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10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1409663" cy="13335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63" cy="1333500"/>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汉威科技集团股份有限公司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right="1131" w:firstLine="420"/>
        <w:jc w:val="both"/>
      </w:pPr>
      <w:r>
        <w:rPr>
          <w:spacing w:val="-1"/>
        </w:rPr>
        <w:t>公司董事会、监事会及董事、监事、高级管理人员保证年度报告内容的真实、准确、完整，不存在虚</w:t>
      </w:r>
      <w:r>
        <w:rPr/>
        <w:t> 假记载、误导性陈述或重大遗漏，并承担个别和连带的法律责任。</w:t>
      </w:r>
    </w:p>
    <w:p>
      <w:pPr>
        <w:pStyle w:val="BodyText"/>
        <w:spacing w:line="408" w:lineRule="auto"/>
        <w:ind w:right="1131" w:firstLine="420"/>
        <w:jc w:val="both"/>
      </w:pPr>
      <w:r>
        <w:rPr>
          <w:spacing w:val="-1"/>
        </w:rPr>
        <w:t>公司负责人任红军、主管会计工作负责人刘瑞玲及会计机构负责人</w:t>
      </w:r>
      <w:r>
        <w:rPr>
          <w:rFonts w:ascii="宋体" w:hAnsi="宋体" w:cs="宋体" w:eastAsia="宋体" w:hint="default"/>
          <w:spacing w:val="-1"/>
        </w:rPr>
        <w:t>(</w:t>
      </w:r>
      <w:r>
        <w:rPr>
          <w:spacing w:val="-1"/>
        </w:rPr>
        <w:t>会计主管人员</w:t>
      </w:r>
      <w:r>
        <w:rPr>
          <w:rFonts w:ascii="宋体" w:hAnsi="宋体" w:cs="宋体" w:eastAsia="宋体" w:hint="default"/>
          <w:spacing w:val="-1"/>
        </w:rPr>
        <w:t>)</w:t>
      </w:r>
      <w:r>
        <w:rPr>
          <w:spacing w:val="-1"/>
        </w:rPr>
        <w:t>肖桂华声明：保证</w:t>
      </w:r>
      <w:r>
        <w:rPr/>
        <w:t> 年度报告中财务报告的真实、准确、完整。</w:t>
      </w:r>
    </w:p>
    <w:p>
      <w:pPr>
        <w:pStyle w:val="BodyText"/>
        <w:spacing w:line="408" w:lineRule="auto"/>
        <w:ind w:left="574" w:right="5922"/>
        <w:jc w:val="left"/>
      </w:pPr>
      <w:r>
        <w:rPr/>
        <w:t>所有董事均已出席了审议本报告的董事会会议。 </w:t>
      </w:r>
      <w:r>
        <w:rPr>
          <w:rFonts w:ascii="宋体" w:hAnsi="宋体" w:cs="宋体" w:eastAsia="宋体" w:hint="default"/>
        </w:rPr>
        <w:t>1</w:t>
      </w:r>
      <w:r>
        <w:rPr/>
        <w:t>、物联网行业竞争加剧带来的市场风险</w:t>
      </w:r>
    </w:p>
    <w:p>
      <w:pPr>
        <w:pStyle w:val="BodyText"/>
        <w:spacing w:line="408" w:lineRule="auto"/>
        <w:ind w:right="1131" w:firstLine="420"/>
        <w:jc w:val="both"/>
      </w:pPr>
      <w:r>
        <w:rPr>
          <w:spacing w:val="-1"/>
        </w:rPr>
        <w:t>近年来物联网行业市场竞争日趋激烈，智慧城市、智慧环保等领域的蓬勃发展逐渐吸引了大批市场竞</w:t>
      </w:r>
      <w:r>
        <w:rPr/>
        <w:t> </w:t>
      </w:r>
      <w:r>
        <w:rPr>
          <w:spacing w:val="-1"/>
        </w:rPr>
        <w:t>争对手，同时公司还面临来自国际企业的竞争。如果公司不能保持现有的核心技术优势、品牌优势与重点</w:t>
      </w:r>
      <w:r>
        <w:rPr>
          <w:spacing w:val="-83"/>
        </w:rPr>
        <w:t> </w:t>
      </w:r>
      <w:r>
        <w:rPr>
          <w:spacing w:val="-83"/>
        </w:rPr>
      </w:r>
      <w:r>
        <w:rPr>
          <w:spacing w:val="-1"/>
        </w:rPr>
        <w:t>市场的既有优势，并不断开发新产品与开拓新市场，公司将受行业分化的影响丧失领先优势，对公司未来</w:t>
      </w:r>
      <w:r>
        <w:rPr>
          <w:spacing w:val="-83"/>
        </w:rPr>
        <w:t> </w:t>
      </w:r>
      <w:r>
        <w:rPr>
          <w:spacing w:val="-83"/>
        </w:rPr>
      </w:r>
      <w:r>
        <w:rPr>
          <w:spacing w:val="-1"/>
        </w:rPr>
        <w:t>业绩增长产生不利影响。为此，公司将不断加强自主研发及对外合作，持续增加产品、服务的种类和业务</w:t>
      </w:r>
      <w:r>
        <w:rPr>
          <w:spacing w:val="-85"/>
        </w:rPr>
        <w:t> </w:t>
      </w:r>
      <w:r>
        <w:rPr>
          <w:spacing w:val="-85"/>
        </w:rPr>
      </w:r>
      <w:r>
        <w:rPr/>
        <w:t>覆盖范围，持续巩固传感器核心优势，不断完善物联网产业生态圈，增强获得项目订单的竞争实力。</w:t>
      </w:r>
    </w:p>
    <w:p>
      <w:pPr>
        <w:pStyle w:val="BodyText"/>
        <w:spacing w:line="408" w:lineRule="auto"/>
        <w:ind w:left="574" w:right="0"/>
        <w:jc w:val="left"/>
      </w:pPr>
      <w:r>
        <w:rPr>
          <w:rFonts w:ascii="宋体" w:hAnsi="宋体" w:cs="宋体" w:eastAsia="宋体" w:hint="default"/>
        </w:rPr>
        <w:t>2</w:t>
      </w:r>
      <w:r>
        <w:rPr/>
        <w:t>、创新能力不足带来的技术风险 </w:t>
      </w:r>
      <w:r>
        <w:rPr>
          <w:spacing w:val="-1"/>
        </w:rPr>
        <w:t>公司所处的物联网行业正处于快速发展的时期，无论在硬件或者软件方面，未来下游应用都将随着客</w:t>
      </w:r>
    </w:p>
    <w:p>
      <w:pPr>
        <w:pStyle w:val="BodyText"/>
        <w:spacing w:line="408" w:lineRule="auto"/>
        <w:ind w:right="1131"/>
        <w:jc w:val="both"/>
      </w:pPr>
      <w:r>
        <w:rPr>
          <w:spacing w:val="-1"/>
        </w:rPr>
        <w:t>户需求的逐步提高出现快速迭代，如果公司不能保持核心技术的持续领先，将面临技术落后的风险。公司</w:t>
      </w:r>
      <w:r>
        <w:rPr>
          <w:spacing w:val="-83"/>
        </w:rPr>
        <w:t> </w:t>
      </w:r>
      <w:r>
        <w:rPr>
          <w:spacing w:val="-83"/>
        </w:rPr>
      </w:r>
      <w:r>
        <w:rPr>
          <w:spacing w:val="-1"/>
        </w:rPr>
        <w:t>提供的传感器、智能终端设备以及物联网综合解决方案均具有软硬件核心的自主知识产权，未来公司将始</w:t>
      </w:r>
      <w:r>
        <w:rPr>
          <w:spacing w:val="-81"/>
        </w:rPr>
        <w:t> </w:t>
      </w:r>
      <w:r>
        <w:rPr>
          <w:spacing w:val="-81"/>
        </w:rPr>
      </w:r>
      <w:r>
        <w:rPr>
          <w:spacing w:val="-1"/>
        </w:rPr>
        <w:t>终强化技术研发创新能力，在气体传感器细分领域保持国内龙头地位，同时继续实施并购战略，在国内外</w:t>
      </w:r>
      <w:r>
        <w:rPr>
          <w:spacing w:val="-83"/>
        </w:rPr>
        <w:t> </w:t>
      </w:r>
      <w:r>
        <w:rPr>
          <w:spacing w:val="-83"/>
        </w:rPr>
      </w:r>
      <w:r>
        <w:rPr/>
        <w:t>寻求先进的技术标的，针对不同客户建立多层次的产品线，进一步保持并加强行业技术领先的优势。</w:t>
      </w:r>
    </w:p>
    <w:p>
      <w:pPr>
        <w:pStyle w:val="BodyText"/>
        <w:spacing w:line="408" w:lineRule="auto"/>
        <w:ind w:left="574" w:right="0"/>
        <w:jc w:val="left"/>
      </w:pPr>
      <w:r>
        <w:rPr>
          <w:rFonts w:ascii="宋体" w:hAnsi="宋体" w:cs="宋体" w:eastAsia="宋体" w:hint="default"/>
        </w:rPr>
        <w:t>3</w:t>
      </w:r>
      <w:r>
        <w:rPr/>
        <w:t>、集团化经营带来的管理风险 公司近几年来通过坚持“内生增长</w:t>
      </w:r>
      <w:r>
        <w:rPr>
          <w:rFonts w:ascii="宋体" w:hAnsi="宋体" w:cs="宋体" w:eastAsia="宋体" w:hint="default"/>
        </w:rPr>
        <w:t>+</w:t>
      </w:r>
      <w:r>
        <w:rPr/>
        <w:t>外延并购”的战略途径，构建了以传感器为核心的物联网产业生</w:t>
      </w:r>
    </w:p>
    <w:p>
      <w:pPr>
        <w:pStyle w:val="BodyText"/>
        <w:spacing w:line="408" w:lineRule="auto"/>
        <w:ind w:right="1131"/>
        <w:jc w:val="both"/>
      </w:pPr>
      <w:r>
        <w:rPr>
          <w:spacing w:val="-1"/>
        </w:rPr>
        <w:t>态集团。目前，公司旗下二十余家全资及控股子公司，地理区域遍布全国，客户和服务领域广泛，如果公</w:t>
      </w:r>
      <w:r>
        <w:rPr>
          <w:spacing w:val="-83"/>
        </w:rPr>
        <w:t> </w:t>
      </w:r>
      <w:r>
        <w:rPr>
          <w:spacing w:val="-83"/>
        </w:rPr>
      </w:r>
      <w:r>
        <w:rPr>
          <w:spacing w:val="-1"/>
        </w:rPr>
        <w:t>司集团化管控能力不足，将存在无法充分发挥产业协同性的风险。为此，公司将进一步完善集团化管控制</w:t>
      </w:r>
      <w:r>
        <w:rPr>
          <w:spacing w:val="-83"/>
        </w:rPr>
        <w:t> </w:t>
      </w:r>
      <w:r>
        <w:rPr>
          <w:spacing w:val="-83"/>
        </w:rPr>
      </w:r>
      <w:r>
        <w:rPr/>
        <w:t>度，夯实集团化管理的基础，增进各子公司之间的业务协同，真正形成融合统一的物联网产业集团。</w:t>
      </w:r>
    </w:p>
    <w:p>
      <w:pPr>
        <w:pStyle w:val="BodyText"/>
        <w:spacing w:line="240" w:lineRule="auto"/>
        <w:ind w:left="574" w:right="0"/>
        <w:jc w:val="left"/>
      </w:pPr>
      <w:r>
        <w:rPr/>
        <w:t>公司经本次董事会审议通过的利润分配预案为：以</w:t>
      </w:r>
      <w:r>
        <w:rPr>
          <w:spacing w:val="-33"/>
        </w:rPr>
        <w:t> </w:t>
      </w:r>
      <w:r>
        <w:rPr>
          <w:rFonts w:ascii="宋体" w:hAnsi="宋体" w:cs="宋体" w:eastAsia="宋体" w:hint="default"/>
        </w:rPr>
        <w:t>293,022,806</w:t>
      </w:r>
      <w:r>
        <w:rPr>
          <w:rFonts w:ascii="宋体" w:hAnsi="宋体" w:cs="宋体" w:eastAsia="宋体" w:hint="default"/>
          <w:spacing w:val="-33"/>
        </w:rPr>
        <w:t> </w:t>
      </w:r>
      <w:r>
        <w:rPr/>
        <w:t>为基数，向全体股东每</w:t>
      </w:r>
      <w:r>
        <w:rPr>
          <w:spacing w:val="-34"/>
        </w:rPr>
        <w:t> </w:t>
      </w:r>
      <w:r>
        <w:rPr>
          <w:rFonts w:ascii="宋体" w:hAnsi="宋体" w:cs="宋体" w:eastAsia="宋体" w:hint="default"/>
        </w:rPr>
        <w:t>10</w:t>
      </w:r>
      <w:r>
        <w:rPr>
          <w:rFonts w:ascii="宋体" w:hAnsi="宋体" w:cs="宋体" w:eastAsia="宋体" w:hint="default"/>
          <w:spacing w:val="-34"/>
        </w:rPr>
        <w:t> </w:t>
      </w:r>
      <w:r>
        <w:rPr/>
        <w:t>股派发现</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金红利</w:t>
      </w:r>
      <w:r>
        <w:rPr>
          <w:spacing w:val="-52"/>
        </w:rPr>
        <w:t> </w:t>
      </w:r>
      <w:r>
        <w:rPr>
          <w:rFonts w:ascii="宋体" w:hAnsi="宋体" w:cs="宋体" w:eastAsia="宋体" w:hint="default"/>
        </w:rPr>
        <w:t>0.15</w:t>
      </w:r>
      <w:r>
        <w:rPr>
          <w:rFonts w:ascii="宋体" w:hAnsi="宋体" w:cs="宋体" w:eastAsia="宋体" w:hint="default"/>
          <w:spacing w:val="-54"/>
        </w:rPr>
        <w:t> </w:t>
      </w:r>
      <w:r>
        <w:rPr/>
        <w:t>元（含税</w:t>
      </w:r>
      <w:r>
        <w:rPr>
          <w:spacing w:val="-105"/>
        </w:rPr>
        <w:t>）</w:t>
      </w:r>
      <w:r>
        <w:rPr>
          <w:spacing w:val="-2"/>
        </w:rPr>
        <w:t>，</w:t>
      </w:r>
      <w:r>
        <w:rPr/>
        <w:t>送红股</w:t>
      </w:r>
      <w:r>
        <w:rPr>
          <w:spacing w:val="-53"/>
        </w:rPr>
        <w:t> </w:t>
      </w:r>
      <w:r>
        <w:rPr>
          <w:rFonts w:ascii="宋体" w:hAnsi="宋体" w:cs="宋体" w:eastAsia="宋体" w:hint="default"/>
        </w:rPr>
        <w:t>0</w:t>
      </w:r>
      <w:r>
        <w:rPr>
          <w:rFonts w:ascii="宋体" w:hAnsi="宋体" w:cs="宋体" w:eastAsia="宋体" w:hint="default"/>
          <w:spacing w:val="-52"/>
        </w:rPr>
        <w:t> </w:t>
      </w:r>
      <w:r>
        <w:rPr>
          <w:spacing w:val="-2"/>
        </w:rPr>
        <w:t>股</w:t>
      </w:r>
      <w:r>
        <w:rPr/>
        <w:t>（含税</w:t>
      </w:r>
      <w:r>
        <w:rPr>
          <w:spacing w:val="-105"/>
        </w:rPr>
        <w:t>）</w:t>
      </w:r>
      <w:r>
        <w:rPr/>
        <w:t>，</w:t>
      </w:r>
      <w:r>
        <w:rPr>
          <w:spacing w:val="-2"/>
        </w:rPr>
        <w:t>以</w:t>
      </w:r>
      <w:r>
        <w:rPr/>
        <w:t>资本公积金向全体股东每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股转增</w:t>
      </w:r>
      <w:r>
        <w:rPr>
          <w:spacing w:val="-54"/>
        </w:rPr>
        <w:t> </w:t>
      </w:r>
      <w:r>
        <w:rPr>
          <w:rFonts w:ascii="宋体" w:hAnsi="宋体" w:cs="宋体" w:eastAsia="宋体" w:hint="default"/>
        </w:rPr>
        <w:t>0</w:t>
      </w:r>
      <w:r>
        <w:rPr>
          <w:rFonts w:ascii="宋体" w:hAnsi="宋体" w:cs="宋体" w:eastAsia="宋体" w:hint="default"/>
          <w:spacing w:val="-52"/>
        </w:rPr>
        <w:t> </w:t>
      </w:r>
      <w:r>
        <w:rPr/>
        <w:t>股。</w:t>
      </w:r>
    </w:p>
    <w:p>
      <w:pPr>
        <w:spacing w:after="0" w:line="240" w:lineRule="auto"/>
        <w:jc w:val="both"/>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hyperlink>
        </w:p>
        <w:p>
          <w:pPr>
            <w:pStyle w:val="TOC1"/>
            <w:tabs>
              <w:tab w:pos="9771" w:val="right" w:leader="dot"/>
            </w:tabs>
            <w:spacing w:line="240" w:lineRule="auto" w:before="277"/>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37</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62</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69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79</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179</w:t>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73"/>
        <w:gridCol w:w="401"/>
        <w:gridCol w:w="5895"/>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报告期、上年</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汉威科技集团股份有限公司董事会</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汉威科技集团股份有限公司监事会</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汉威科技集团股份有限公司股东大会</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汉威科技、公司</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郑州炜盛电子科技有限公司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沈阳金建数字城市软件有限公司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郑州汉威智源科技有限公司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郑州高新供水有限责任公司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水务工程</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郑州高新水务工程有限公司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郑州高新热力有限责任公司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热力工程</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郑州高新时代热力工程有限公司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鞍山易兴自动化工程有限公司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广东龙泉科技有限公司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河南雪城软件有限公司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河南和阳环境科技有限公司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河南汉威智慧安全科技有限公司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沈阳汉威科技有限公司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北京智威宇讯科技有限公司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上海中威天安公共安全科技有限公司</w:t>
            </w:r>
          </w:p>
        </w:tc>
      </w:tr>
      <w:tr>
        <w:trPr>
          <w:trHeight w:val="161" w:hRule="exact"/>
        </w:trPr>
        <w:tc>
          <w:tcPr>
            <w:tcW w:w="3273"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5" w:type="dxa"/>
            <w:vMerge w:val="restart"/>
            <w:tcBorders>
              <w:top w:val="single" w:sz="4" w:space="0" w:color="000000"/>
              <w:left w:val="single" w:sz="10" w:space="0" w:color="D2D2D2"/>
              <w:right w:val="single" w:sz="4" w:space="0" w:color="000000"/>
            </w:tcBorders>
          </w:tcPr>
          <w:p>
            <w:pPr>
              <w:pStyle w:val="TableParagraph"/>
              <w:spacing w:line="300" w:lineRule="auto" w:before="51"/>
              <w:ind w:left="27"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英吉森安全消防系统（上海）有限公司，曾用名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英森电气系统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r>
              <w:rPr>
                <w:rFonts w:ascii="Times New Roman" w:hAnsi="Times New Roman" w:cs="Times New Roman" w:eastAsia="Times New Roman" w:hint="default"/>
                <w:sz w:val="18"/>
                <w:szCs w:val="18"/>
              </w:rPr>
              <w:t>"</w:t>
            </w:r>
          </w:p>
        </w:tc>
      </w:tr>
      <w:tr>
        <w:trPr>
          <w:trHeight w:val="393" w:hRule="exact"/>
        </w:trPr>
        <w:tc>
          <w:tcPr>
            <w:tcW w:w="3273" w:type="dxa"/>
            <w:vMerge/>
            <w:tcBorders>
              <w:left w:val="single" w:sz="4" w:space="0" w:color="000000"/>
              <w:right w:val="single" w:sz="9" w:space="0" w:color="D2D2D2"/>
            </w:tcBorders>
          </w:tcPr>
          <w:p>
            <w:pPr/>
          </w:p>
        </w:tc>
        <w:tc>
          <w:tcPr>
            <w:tcW w:w="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vMerge/>
            <w:tcBorders>
              <w:left w:val="single" w:sz="10" w:space="0" w:color="D2D2D2"/>
              <w:right w:val="single" w:sz="4" w:space="0" w:color="000000"/>
            </w:tcBorders>
          </w:tcPr>
          <w:p>
            <w:pPr/>
          </w:p>
        </w:tc>
      </w:tr>
      <w:tr>
        <w:trPr>
          <w:trHeight w:val="161" w:hRule="exact"/>
        </w:trPr>
        <w:tc>
          <w:tcPr>
            <w:tcW w:w="3273" w:type="dxa"/>
            <w:vMerge/>
            <w:tcBorders>
              <w:left w:val="single" w:sz="4" w:space="0" w:color="000000"/>
              <w:bottom w:val="single" w:sz="4" w:space="0" w:color="000000"/>
              <w:right w:val="single" w:sz="9" w:space="0" w:color="D2D2D2"/>
            </w:tcBorders>
          </w:tcPr>
          <w:p>
            <w:pPr/>
          </w:p>
        </w:tc>
        <w:tc>
          <w:tcPr>
            <w:tcW w:w="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5" w:type="dxa"/>
            <w:vMerge/>
            <w:tcBorders>
              <w:left w:val="single" w:sz="10" w:space="0" w:color="D2D2D2"/>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河南威果智能科技有限公司</w:t>
            </w:r>
          </w:p>
        </w:tc>
      </w:tr>
      <w:tr>
        <w:trPr>
          <w:trHeight w:val="402"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北京威果智能科技有限公司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2.6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425"/>
                    <w:gridCol w:w="5883"/>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郑州汉威智能仪表有限公司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郑州德析检测技术有限公司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汉威祥云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汉威祥云（上海）数据服务有限公司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上海威研融创实业有限公司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郑州畅威物联网科技有限公司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苏州能斯达电子科技有限公司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郑州吉地艾斯仪器有限公司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深圳明咨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深圳市明咨物联科技有限公司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英吉森消防</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上海英吉森消防设备有限公司，曾用名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上海凯伦消防设备有限公司</w:t>
                        </w:r>
                        <w:r>
                          <w:rPr>
                            <w:rFonts w:ascii="Times New Roman" w:hAnsi="Times New Roman" w:cs="Times New Roman" w:eastAsia="Times New Roman" w:hint="default"/>
                            <w:sz w:val="18"/>
                            <w:szCs w:val="18"/>
                          </w:rPr>
                          <w:t>"</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国仪投资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国仪投资</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合伙企业（有限合伙）</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中盾云安</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河南中盾云安信息科技有限公司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泰瑞数创</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泰瑞数创科技（北京）有限公司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河南省百隆建筑工程有限公司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易度传感</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郑州易度传感技术有限公司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汉威粮安</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河南汉威粮安科技有限公司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福建恒嘉</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福建恒嘉环保设备有限公司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w:t>
                        </w:r>
                        <w:r>
                          <w:rPr>
                            <w:rFonts w:ascii="Times New Roman" w:hAnsi="Times New Roman" w:cs="Times New Roman" w:eastAsia="Times New Roman" w:hint="default"/>
                            <w:sz w:val="18"/>
                            <w:szCs w:val="18"/>
                          </w:rPr>
                          <w:t>(</w:t>
                        </w:r>
                        <w:r>
                          <w:rPr>
                            <w:rFonts w:ascii="宋体" w:hAnsi="宋体" w:cs="宋体" w:eastAsia="宋体" w:hint="default"/>
                            <w:sz w:val="18"/>
                            <w:szCs w:val="18"/>
                          </w:rPr>
                          <w:t>东山</w:t>
                        </w:r>
                        <w:r>
                          <w:rPr>
                            <w:rFonts w:ascii="Times New Roman" w:hAnsi="Times New Roman" w:cs="Times New Roman" w:eastAsia="Times New Roman" w:hint="default"/>
                            <w:sz w:val="18"/>
                            <w:szCs w:val="18"/>
                          </w:rPr>
                          <w:t>)</w:t>
                        </w:r>
                        <w:r>
                          <w:rPr>
                            <w:rFonts w:ascii="宋体" w:hAnsi="宋体" w:cs="宋体" w:eastAsia="宋体" w:hint="default"/>
                            <w:sz w:val="18"/>
                            <w:szCs w:val="18"/>
                          </w:rPr>
                          <w:t>水处理有限公司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福建嘉园</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福建嘉园环保有限责任公司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福州丰泽</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福州丰泽自动化有限公司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合肥嘉园水处理投资有限公司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重庆嘉园</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重庆市巴南区嘉恒污水处理有限公司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福安市嘉园水处理有限公司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光山嘉园</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光山县嘉园水处理有限公司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上海嘉园</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上海嘉园环保科技有限公司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河南汉威智慧消防科技有限公司</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广州全通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广州全通管道工程技术有限公司</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分布式数据存储、点对点传输、共识机制、加密算法等计算机技术的新型 应用模式。</w:t>
                        </w:r>
                      </w:p>
                    </w:tc>
                  </w:tr>
                  <w:tr>
                    <w:trPr>
                      <w:trHeight w:val="196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工业互联网平台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在传统云平台的基础上叠加物联网、大数据、人工智能等新兴技术，构建 更精准、实时、高效的数据采集体系，建设包括存储、集成、访问、分析 管理功能的使能平台，实现工业技术、经验、知识模型化、软件化、复用 化，以工业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的形式为制造企业各类创新应用，最终形成资源富集、多 方参与、合作共赢、协同演进的制造业生态，其构架包括边缘、平台（工 业</w:t>
                        </w:r>
                        <w:r>
                          <w:rPr>
                            <w:rFonts w:ascii="宋体" w:hAnsi="宋体" w:cs="宋体" w:eastAsia="宋体" w:hint="default"/>
                            <w:spacing w:val="-46"/>
                            <w:sz w:val="18"/>
                            <w:szCs w:val="18"/>
                          </w:rPr>
                          <w:t> </w:t>
                        </w:r>
                        <w:r>
                          <w:rPr>
                            <w:rFonts w:ascii="Times New Roman" w:hAnsi="Times New Roman" w:cs="Times New Roman" w:eastAsia="Times New Roman" w:hint="default"/>
                            <w:spacing w:val="-6"/>
                            <w:w w:val="99"/>
                            <w:sz w:val="18"/>
                            <w:szCs w:val="18"/>
                          </w:rPr>
                          <w:t>PaaS</w:t>
                        </w:r>
                        <w:r>
                          <w:rPr>
                            <w:rFonts w:ascii="宋体" w:hAnsi="宋体" w:cs="宋体" w:eastAsia="宋体" w:hint="default"/>
                            <w:spacing w:val="-6"/>
                            <w:w w:val="99"/>
                            <w:sz w:val="18"/>
                            <w:szCs w:val="18"/>
                          </w:rPr>
                          <w:t>）、应用三大核心层级。</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利用特定气体发生物理或化学变化所释放出的有效信号，从而实现对该种 气体成分、浓度进行感知和测量的元器件。</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pict>
          <v:shape style="position:absolute;margin-left:56.459999pt;margin-top:-389.088287pt;width:479.25pt;height:598.4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425"/>
                    <w:gridCol w:w="5883"/>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半导体类气体传感器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利用气体在半导体气敏材料表面所进行的吸附或反应而引起元件电信号的 变化来进行检测的气体传感器。</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催化燃烧类气体传感器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利用可燃性气体氧化燃烧放热使电热丝温度升高、电阻值发生变化的原理 进行气体检测的气体传感器。</w:t>
                        </w:r>
                      </w:p>
                    </w:tc>
                  </w:tr>
                  <w:tr>
                    <w:trPr>
                      <w:trHeight w:val="10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电化学类气体传感器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利用气体的电化学效应进行检测的传感器。气体在传感器电极上发生电化 学氧化</w:t>
                        </w:r>
                        <w:r>
                          <w:rPr>
                            <w:rFonts w:ascii="Times New Roman" w:hAnsi="Times New Roman" w:cs="Times New Roman" w:eastAsia="Times New Roman" w:hint="default"/>
                            <w:sz w:val="18"/>
                            <w:szCs w:val="18"/>
                          </w:rPr>
                          <w:t>-</w:t>
                        </w:r>
                        <w:r>
                          <w:rPr>
                            <w:rFonts w:ascii="宋体" w:hAnsi="宋体" w:cs="宋体" w:eastAsia="宋体" w:hint="default"/>
                            <w:sz w:val="18"/>
                            <w:szCs w:val="18"/>
                          </w:rPr>
                          <w:t>还原反应并释放出电荷</w:t>
                        </w:r>
                        <w:r>
                          <w:rPr>
                            <w:rFonts w:ascii="Times New Roman" w:hAnsi="Times New Roman" w:cs="Times New Roman" w:eastAsia="Times New Roman" w:hint="default"/>
                            <w:sz w:val="18"/>
                            <w:szCs w:val="18"/>
                          </w:rPr>
                          <w:t>,</w:t>
                        </w:r>
                        <w:r>
                          <w:rPr>
                            <w:rFonts w:ascii="宋体" w:hAnsi="宋体" w:cs="宋体" w:eastAsia="宋体" w:hint="default"/>
                            <w:sz w:val="18"/>
                            <w:szCs w:val="18"/>
                          </w:rPr>
                          <w:t>产生电信号</w:t>
                        </w:r>
                        <w:r>
                          <w:rPr>
                            <w:rFonts w:ascii="Times New Roman" w:hAnsi="Times New Roman" w:cs="Times New Roman" w:eastAsia="Times New Roman" w:hint="default"/>
                            <w:sz w:val="18"/>
                            <w:szCs w:val="18"/>
                          </w:rPr>
                          <w:t>,</w:t>
                        </w:r>
                        <w:r>
                          <w:rPr>
                            <w:rFonts w:ascii="宋体" w:hAnsi="宋体" w:cs="宋体" w:eastAsia="宋体" w:hint="default"/>
                            <w:sz w:val="18"/>
                            <w:szCs w:val="18"/>
                          </w:rPr>
                          <w:t>电信号的大小与气体浓度成正 比。</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红外光学类气体传感器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利用不同气体对红外线不同波谱段的光谱吸收原理来检测气体的种类及浓 度，利用此种原理工作的气体传感器称为红外光学类气体传感器。</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利用气体传感器采集生成的气体浓度信号，由配套电路进行处理，实现气 体探测及控制等各项具体功能的仪器仪表。</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SCADA</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Supervisory Control And Data</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Acquisition</w:t>
                        </w:r>
                        <w:r>
                          <w:rPr>
                            <w:rFonts w:ascii="宋体" w:hAnsi="宋体" w:cs="宋体" w:eastAsia="宋体" w:hint="default"/>
                            <w:sz w:val="18"/>
                            <w:szCs w:val="18"/>
                          </w:rPr>
                          <w:t>，即数据采集与监视控制系统。</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VOCs</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Volatile </w:t>
                        </w:r>
                        <w:r>
                          <w:rPr>
                            <w:rFonts w:ascii="Times New Roman" w:hAnsi="Times New Roman" w:cs="Times New Roman" w:eastAsia="Times New Roman" w:hint="default"/>
                            <w:sz w:val="18"/>
                            <w:szCs w:val="18"/>
                          </w:rPr>
                          <w:t>Organic</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Compounds,</w:t>
                        </w:r>
                        <w:r>
                          <w:rPr>
                            <w:rFonts w:ascii="宋体" w:hAnsi="宋体" w:cs="宋体" w:eastAsia="宋体" w:hint="default"/>
                            <w:sz w:val="18"/>
                            <w:szCs w:val="18"/>
                          </w:rPr>
                          <w:t>即挥发性有机物。</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GIS</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Geographic Information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，即地理信息系统。</w:t>
                        </w:r>
                      </w:p>
                    </w:tc>
                  </w:tr>
                  <w:tr>
                    <w:trPr>
                      <w:trHeight w:val="1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空间信息技术</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主要包括北斗、</w:t>
                        </w:r>
                        <w:r>
                          <w:rPr>
                            <w:rFonts w:ascii="Times New Roman" w:hAnsi="Times New Roman" w:cs="Times New Roman" w:eastAsia="Times New Roman" w:hint="default"/>
                            <w:spacing w:val="-3"/>
                            <w:sz w:val="18"/>
                            <w:szCs w:val="18"/>
                          </w:rPr>
                          <w:t>GPS </w:t>
                        </w:r>
                        <w:r>
                          <w:rPr>
                            <w:rFonts w:ascii="宋体" w:hAnsi="宋体" w:cs="宋体" w:eastAsia="宋体" w:hint="default"/>
                            <w:spacing w:val="-3"/>
                            <w:sz w:val="18"/>
                            <w:szCs w:val="18"/>
                          </w:rPr>
                          <w:t>卫星定位授时技术，</w:t>
                        </w:r>
                        <w:r>
                          <w:rPr>
                            <w:rFonts w:ascii="Times New Roman" w:hAnsi="Times New Roman" w:cs="Times New Roman" w:eastAsia="Times New Roman" w:hint="default"/>
                            <w:spacing w:val="-3"/>
                            <w:sz w:val="18"/>
                            <w:szCs w:val="18"/>
                          </w:rPr>
                          <w:t>GIS</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BIM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及三维测绘技术，进行 空间数据的采集、量测、分析、存储、管理、显示、传播和应用，并对传 感数据、事件进行标记、融合，以全面展现事物信息并深度应用的综合性 信息技术。</w:t>
                        </w:r>
                      </w:p>
                    </w:tc>
                  </w:tr>
                  <w:tr>
                    <w:trPr>
                      <w:trHeight w:val="1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NB-IoT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Narrow Band Internet of Things</w:t>
                        </w:r>
                        <w:r>
                          <w:rPr>
                            <w:rFonts w:ascii="宋体" w:hAnsi="宋体" w:cs="宋体" w:eastAsia="宋体" w:hint="default"/>
                            <w:sz w:val="18"/>
                            <w:szCs w:val="18"/>
                          </w:rPr>
                          <w:t>，即窄带物联网技术，</w:t>
                        </w:r>
                        <w:r>
                          <w:rPr>
                            <w:rFonts w:ascii="Times New Roman" w:hAnsi="Times New Roman" w:cs="Times New Roman" w:eastAsia="Times New Roman" w:hint="default"/>
                            <w:sz w:val="18"/>
                            <w:szCs w:val="18"/>
                          </w:rPr>
                          <w:t>NB-IoT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构建于蜂窝网</w:t>
                        </w:r>
                        <w:r>
                          <w:rPr>
                            <w:rFonts w:ascii="宋体" w:hAnsi="宋体" w:cs="宋体" w:eastAsia="宋体" w:hint="default"/>
                            <w:w w:val="99"/>
                            <w:sz w:val="18"/>
                            <w:szCs w:val="18"/>
                          </w:rPr>
                          <w:t> </w:t>
                        </w:r>
                        <w:r>
                          <w:rPr>
                            <w:rFonts w:ascii="宋体" w:hAnsi="宋体" w:cs="宋体" w:eastAsia="宋体" w:hint="default"/>
                            <w:sz w:val="18"/>
                            <w:szCs w:val="18"/>
                          </w:rPr>
                          <w:t>络，只消耗大约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180KHz</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的带宽，可直接部署于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GSM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网络、</w:t>
                        </w:r>
                        <w:r>
                          <w:rPr>
                            <w:rFonts w:ascii="Times New Roman" w:hAnsi="Times New Roman" w:cs="Times New Roman" w:eastAsia="Times New Roman" w:hint="default"/>
                            <w:sz w:val="18"/>
                            <w:szCs w:val="18"/>
                          </w:rPr>
                          <w:t>UMTS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网络或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z w:val="18"/>
                            <w:szCs w:val="18"/>
                          </w:rPr>
                          <w:t> </w:t>
                        </w:r>
                        <w:r>
                          <w:rPr>
                            <w:rFonts w:ascii="宋体" w:hAnsi="宋体" w:cs="宋体" w:eastAsia="宋体" w:hint="default"/>
                            <w:sz w:val="18"/>
                            <w:szCs w:val="18"/>
                          </w:rPr>
                          <w:t>网络，以降低部署成本、实现平滑升级，也被叫作低功耗广域网 </w:t>
                        </w:r>
                        <w:r>
                          <w:rPr>
                            <w:rFonts w:ascii="Times New Roman" w:hAnsi="Times New Roman" w:cs="Times New Roman" w:eastAsia="Times New Roman" w:hint="default"/>
                            <w:spacing w:val="-3"/>
                            <w:sz w:val="18"/>
                            <w:szCs w:val="18"/>
                          </w:rPr>
                          <w:t>(LPWAN)</w:t>
                        </w:r>
                        <w:r>
                          <w:rPr>
                            <w:rFonts w:ascii="宋体" w:hAnsi="宋体" w:cs="宋体" w:eastAsia="宋体" w:hint="default"/>
                            <w:spacing w:val="-3"/>
                            <w:sz w:val="18"/>
                            <w:szCs w:val="18"/>
                          </w:rPr>
                          <w:t>。</w:t>
                        </w:r>
                      </w:p>
                    </w:tc>
                  </w:tr>
                  <w:tr>
                    <w:trPr>
                      <w:trHeight w:val="1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MEMS</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Micro-Electro-Mechanical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，即微机电系统，也叫做微电子机械系统 微系统、微机械等，指尺寸在几毫米乃至更小的高科技装置，是集微传感 器、微执行器、微机械结构、微电源微能源、信号处理和控制电路、高性 能电子集成器件、接口、通信等于一体的微型器件或系统。</w:t>
                        </w:r>
                      </w:p>
                    </w:tc>
                  </w:tr>
                  <w:tr>
                    <w:trPr>
                      <w:trHeight w:val="10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GDS</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Gas detection and alarm</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3"/>
                            <w:sz w:val="18"/>
                            <w:szCs w:val="18"/>
                          </w:rPr>
                          <w:t>system</w:t>
                        </w:r>
                        <w:r>
                          <w:rPr>
                            <w:rFonts w:ascii="宋体" w:hAnsi="宋体" w:cs="宋体" w:eastAsia="宋体" w:hint="default"/>
                            <w:spacing w:val="-3"/>
                            <w:sz w:val="18"/>
                            <w:szCs w:val="18"/>
                          </w:rPr>
                          <w:t>，即气体检测报警系统。该系统基于开放的系</w:t>
                        </w:r>
                        <w:r>
                          <w:rPr>
                            <w:rFonts w:ascii="宋体" w:hAnsi="宋体" w:cs="宋体" w:eastAsia="宋体" w:hint="default"/>
                            <w:sz w:val="18"/>
                            <w:szCs w:val="18"/>
                          </w:rPr>
                          <w:t> 统结构，具备与其他品牌的系统设备（平台）通过工业标准通讯、平台和 协议实现集成和信息交换，协议包括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MODBUS</w:t>
                        </w:r>
                        <w:r>
                          <w:rPr>
                            <w:rFonts w:ascii="宋体" w:hAnsi="宋体" w:cs="宋体" w:eastAsia="宋体" w:hint="default"/>
                            <w:sz w:val="18"/>
                            <w:szCs w:val="18"/>
                          </w:rPr>
                          <w:t>、</w:t>
                        </w:r>
                        <w:r>
                          <w:rPr>
                            <w:rFonts w:ascii="Times New Roman" w:hAnsi="Times New Roman" w:cs="Times New Roman" w:eastAsia="Times New Roman" w:hint="default"/>
                            <w:sz w:val="18"/>
                            <w:szCs w:val="18"/>
                          </w:rPr>
                          <w:t>TCP/IP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OPC</w:t>
                        </w:r>
                        <w:r>
                          <w:rPr>
                            <w:rFonts w:ascii="宋体" w:hAnsi="宋体" w:cs="宋体" w:eastAsia="宋体" w:hint="default"/>
                            <w:sz w:val="18"/>
                            <w:szCs w:val="18"/>
                          </w:rPr>
                          <w:t>。</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FGS</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Fire Alarm and Gas Detector</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，即火灾报警和气体检测系统。</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HSSE</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Health,Safe,Security,Environment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的简称，代表涉及安全的四个主要方面 </w:t>
                        </w:r>
                        <w:r>
                          <w:rPr>
                            <w:rFonts w:ascii="宋体" w:hAnsi="宋体" w:cs="宋体" w:eastAsia="宋体" w:hint="default"/>
                            <w:spacing w:val="-13"/>
                            <w:w w:val="99"/>
                            <w:sz w:val="18"/>
                            <w:szCs w:val="18"/>
                          </w:rPr>
                          <w:t>的管理工作：健康（</w:t>
                        </w:r>
                        <w:r>
                          <w:rPr>
                            <w:rFonts w:ascii="Times New Roman" w:hAnsi="Times New Roman" w:cs="Times New Roman" w:eastAsia="Times New Roman" w:hint="default"/>
                            <w:spacing w:val="-13"/>
                            <w:w w:val="99"/>
                            <w:sz w:val="18"/>
                            <w:szCs w:val="18"/>
                          </w:rPr>
                          <w:t>H</w:t>
                        </w:r>
                        <w:r>
                          <w:rPr>
                            <w:rFonts w:ascii="宋体" w:hAnsi="宋体" w:cs="宋体" w:eastAsia="宋体" w:hint="default"/>
                            <w:spacing w:val="-13"/>
                            <w:w w:val="99"/>
                            <w:sz w:val="18"/>
                            <w:szCs w:val="18"/>
                          </w:rPr>
                          <w:t>）、安全（</w:t>
                        </w:r>
                        <w:r>
                          <w:rPr>
                            <w:rFonts w:ascii="Times New Roman" w:hAnsi="Times New Roman" w:cs="Times New Roman" w:eastAsia="Times New Roman" w:hint="default"/>
                            <w:spacing w:val="-13"/>
                            <w:w w:val="99"/>
                            <w:sz w:val="18"/>
                            <w:szCs w:val="18"/>
                          </w:rPr>
                          <w:t>S</w:t>
                        </w:r>
                        <w:r>
                          <w:rPr>
                            <w:rFonts w:ascii="宋体" w:hAnsi="宋体" w:cs="宋体" w:eastAsia="宋体" w:hint="default"/>
                            <w:spacing w:val="-13"/>
                            <w:w w:val="99"/>
                            <w:sz w:val="18"/>
                            <w:szCs w:val="18"/>
                          </w:rPr>
                          <w:t>）、安保（</w:t>
                        </w:r>
                        <w:r>
                          <w:rPr>
                            <w:rFonts w:ascii="Times New Roman" w:hAnsi="Times New Roman" w:cs="Times New Roman" w:eastAsia="Times New Roman" w:hint="default"/>
                            <w:spacing w:val="-13"/>
                            <w:w w:val="99"/>
                            <w:sz w:val="18"/>
                            <w:szCs w:val="18"/>
                          </w:rPr>
                          <w:t>S</w:t>
                        </w:r>
                        <w:r>
                          <w:rPr>
                            <w:rFonts w:ascii="宋体" w:hAnsi="宋体" w:cs="宋体" w:eastAsia="宋体" w:hint="default"/>
                            <w:spacing w:val="-13"/>
                            <w:w w:val="99"/>
                            <w:sz w:val="18"/>
                            <w:szCs w:val="18"/>
                          </w:rPr>
                          <w:t>）和环境（</w:t>
                        </w:r>
                        <w:r>
                          <w:rPr>
                            <w:rFonts w:ascii="Times New Roman" w:hAnsi="Times New Roman" w:cs="Times New Roman" w:eastAsia="Times New Roman" w:hint="default"/>
                            <w:spacing w:val="-13"/>
                            <w:w w:val="99"/>
                            <w:sz w:val="18"/>
                            <w:szCs w:val="18"/>
                          </w:rPr>
                          <w:t>E</w:t>
                        </w:r>
                        <w:r>
                          <w:rPr>
                            <w:rFonts w:ascii="宋体" w:hAnsi="宋体" w:cs="宋体" w:eastAsia="宋体" w:hint="default"/>
                            <w:spacing w:val="-13"/>
                            <w:w w:val="99"/>
                            <w:sz w:val="18"/>
                            <w:szCs w:val="18"/>
                          </w:rPr>
                          <w:t>）。</w:t>
                        </w:r>
                        <w:r>
                          <w:rPr>
                            <w:rFonts w:ascii="宋体" w:hAnsi="宋体" w:cs="宋体" w:eastAsia="宋体" w:hint="default"/>
                            <w:w w:val="99"/>
                            <w:sz w:val="18"/>
                            <w:szCs w:val="18"/>
                          </w:rPr>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PLC</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Programmable Logic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Controller</w:t>
                        </w:r>
                        <w:r>
                          <w:rPr>
                            <w:rFonts w:ascii="宋体" w:hAnsi="宋体" w:cs="宋体" w:eastAsia="宋体" w:hint="default"/>
                            <w:spacing w:val="-3"/>
                            <w:sz w:val="18"/>
                            <w:szCs w:val="18"/>
                          </w:rPr>
                          <w:t>，即可编程逻辑控制器，专为工业生产设计的</w:t>
                        </w:r>
                        <w:r>
                          <w:rPr>
                            <w:rFonts w:ascii="宋体" w:hAnsi="宋体" w:cs="宋体" w:eastAsia="宋体" w:hint="default"/>
                            <w:w w:val="99"/>
                            <w:sz w:val="18"/>
                            <w:szCs w:val="18"/>
                          </w:rPr>
                          <w:t> </w:t>
                        </w:r>
                        <w:r>
                          <w:rPr>
                            <w:rFonts w:ascii="宋体" w:hAnsi="宋体" w:cs="宋体" w:eastAsia="宋体" w:hint="default"/>
                            <w:sz w:val="18"/>
                            <w:szCs w:val="18"/>
                          </w:rPr>
                          <w:t>一种数字运算操作的电子装置。</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01168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汉威科技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300007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Hanwei Electronics Group</w:t>
            </w:r>
            <w:r>
              <w:rPr>
                <w:rFonts w:ascii="Times New Roman"/>
                <w:spacing w:val="-5"/>
                <w:sz w:val="18"/>
              </w:rPr>
              <w:t> </w:t>
            </w:r>
            <w:r>
              <w:rPr>
                <w:rFonts w:ascii="Times New Roman"/>
                <w:sz w:val="18"/>
              </w:rPr>
              <w:t>Corporation</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Hanwei</w:t>
            </w:r>
            <w:r>
              <w:rPr>
                <w:rFonts w:ascii="Times New Roman"/>
                <w:spacing w:val="-4"/>
                <w:sz w:val="18"/>
              </w:rPr>
              <w:t> </w:t>
            </w:r>
            <w:r>
              <w:rPr>
                <w:rFonts w:ascii="Times New Roman"/>
                <w:sz w:val="18"/>
              </w:rPr>
              <w:t>Electronics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任红军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郑州高新开发区雪松路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郑州高新开发区雪松路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www.hanwei.cn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70.360001pt;margin-top:438.609985pt;width:56.25pt;height:28pt;mso-position-horizontal-relative:page;mso-position-vertical-relative:page;z-index:-1011664" coordorigin="3407,8772" coordsize="1125,560">
            <v:group style="position:absolute;left:3419;top:8784;width:2;height:393" coordorigin="3419,8784" coordsize="2,393">
              <v:shape style="position:absolute;left:3419;top:8784;width:2;height:393" coordorigin="3419,8784" coordsize="0,393" path="m3419,8784l3419,9176e" filled="false" stroked="true" strokeweight="1.140pt" strokecolor="#ffffff">
                <v:path arrowok="t"/>
              </v:shape>
            </v:group>
            <v:group style="position:absolute;left:3407;top:9176;width:1125;height:156" coordorigin="3407,9176" coordsize="1125,156">
              <v:shape style="position:absolute;left:3407;top:9176;width:1125;height:156" coordorigin="3407,9176" coordsize="1125,156" path="m3407,9332l4532,9332,4532,9176,3407,9176,3407,9332xe" filled="true" fillcolor="#ffffff" stroked="false">
                <v:path arrowok="t"/>
                <v:fill type="solid"/>
              </v:shape>
            </v:group>
            <v:group style="position:absolute;left:3430;top:8784;width:1079;height:393" coordorigin="3430,8784" coordsize="1079,393">
              <v:shape style="position:absolute;left:3430;top:8784;width:1079;height:393" coordorigin="3430,8784" coordsize="1079,393" path="m3430,9176l4509,9176,4509,8784,3430,8784,3430,917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郝东升、熊建辉</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6"/>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追溯调整或重述原因 其他原因</w:t>
      </w:r>
    </w:p>
    <w:tbl>
      <w:tblPr>
        <w:tblW w:w="0" w:type="auto"/>
        <w:jc w:val="left"/>
        <w:tblInd w:w="160" w:type="dxa"/>
        <w:tblLayout w:type="fixed"/>
        <w:tblCellMar>
          <w:top w:w="0" w:type="dxa"/>
          <w:left w:w="0" w:type="dxa"/>
          <w:bottom w:w="0" w:type="dxa"/>
          <w:right w:w="0" w:type="dxa"/>
        </w:tblCellMar>
        <w:tblLook w:val="01E0"/>
      </w:tblPr>
      <w:tblGrid>
        <w:gridCol w:w="2257"/>
        <w:gridCol w:w="111"/>
        <w:gridCol w:w="1023"/>
        <w:gridCol w:w="1134"/>
        <w:gridCol w:w="1134"/>
        <w:gridCol w:w="1419"/>
        <w:gridCol w:w="1276"/>
        <w:gridCol w:w="1204"/>
      </w:tblGrid>
      <w:tr>
        <w:trPr>
          <w:trHeight w:val="206"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4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6" w:hRule="exact"/>
        </w:trPr>
        <w:tc>
          <w:tcPr>
            <w:tcW w:w="2257"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247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257"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05"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1,512,330,588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1,444,179,089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1,444,179,089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4.72%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1,107,719,247.9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1,107,719,247.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134" w:type="dxa"/>
            <w:gridSpan w:val="2"/>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1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61,657,351.15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110,320,925.9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110,320,925.9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-44.11%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90,629,460.02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90,629,460.02</w:t>
            </w: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归属于上市公司股东的扣除 </w:t>
            </w:r>
            <w:r>
              <w:rPr>
                <w:rFonts w:ascii="宋体" w:hAnsi="宋体" w:cs="宋体" w:eastAsia="宋体" w:hint="default"/>
                <w:spacing w:val="-4"/>
                <w:sz w:val="18"/>
                <w:szCs w:val="18"/>
              </w:rPr>
              <w:t>非经常性损益的净利润（元</w:t>
            </w:r>
          </w:p>
        </w:tc>
        <w:tc>
          <w:tcPr>
            <w:tcW w:w="111"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6,561,844.42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60,374,950.32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68,155,890.76</w:t>
            </w:r>
          </w:p>
          <w:p>
            <w:pPr>
              <w:pStyle w:val="TableParagraph"/>
              <w:spacing w:line="240" w:lineRule="auto" w:before="82"/>
              <w:ind w:right="23"/>
              <w:jc w:val="right"/>
              <w:rPr>
                <w:rFonts w:ascii="Times New Roman" w:hAnsi="Times New Roman" w:cs="Times New Roman" w:eastAsia="Times New Roman" w:hint="default"/>
                <w:sz w:val="12"/>
                <w:szCs w:val="12"/>
              </w:rPr>
            </w:pPr>
            <w:r>
              <w:rPr>
                <w:rFonts w:ascii="Times New Roman"/>
                <w:color w:val="FF0000"/>
                <w:sz w:val="12"/>
              </w:rPr>
              <w:t>1</w:t>
            </w:r>
            <w:r>
              <w:rPr>
                <w:rFonts w:ascii="Times New Roman"/>
                <w:sz w:val="12"/>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19,387,211.82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22,455,309.70</w:t>
            </w: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1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528,663,710.7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131,246,699.0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131,246,699.0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201,438,999.76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201,438,999.76</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1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4.32%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r>
      <w:tr>
        <w:trPr>
          <w:trHeight w:val="161" w:hRule="exact"/>
        </w:trPr>
        <w:tc>
          <w:tcPr>
            <w:tcW w:w="2257"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
        </w:tc>
        <w:tc>
          <w:tcPr>
            <w:tcW w:w="2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3" w:right="75" w:hanging="450"/>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24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257"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9" w:type="dxa"/>
            <w:vMerge/>
            <w:tcBorders>
              <w:left w:val="single" w:sz="4" w:space="0" w:color="000000"/>
              <w:right w:val="single" w:sz="4" w:space="0" w:color="000000"/>
            </w:tcBorders>
            <w:shd w:val="clear" w:color="auto" w:fill="D2D2D2"/>
          </w:tcPr>
          <w:p>
            <w:pPr/>
          </w:p>
        </w:tc>
        <w:tc>
          <w:tcPr>
            <w:tcW w:w="247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257"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479"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57"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2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24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5,068,432,370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4,278,972,794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.41</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4,278,972,794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18.45%</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3,765,211,905.7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3,765,211,905.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134" w:type="dxa"/>
            <w:gridSpan w:val="2"/>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1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1,455,606,210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1,395,977,967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1,395,977,967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1,294,945,691.3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1,294,945,691.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bl>
    <w:p>
      <w:pPr>
        <w:pStyle w:val="BodyText"/>
        <w:spacing w:line="408" w:lineRule="auto" w:before="87"/>
        <w:ind w:right="1115" w:firstLine="420"/>
        <w:jc w:val="left"/>
      </w:pPr>
      <w:r>
        <w:rPr/>
        <w:t>注：</w:t>
      </w:r>
      <w:r>
        <w:rPr>
          <w:rFonts w:ascii="宋体" w:hAnsi="宋体" w:cs="宋体" w:eastAsia="宋体" w:hint="default"/>
        </w:rPr>
        <w:t>1 </w:t>
      </w:r>
      <w:r>
        <w:rPr/>
        <w:t>报告期，公司将结构性存款收益界定为经常性损益项目 ，同时为保证数据的可比性，对</w:t>
      </w:r>
      <w:r>
        <w:rPr>
          <w:spacing w:val="-23"/>
        </w:rPr>
        <w:t> </w:t>
      </w:r>
      <w:r>
        <w:rPr>
          <w:rFonts w:ascii="宋体" w:hAnsi="宋体" w:cs="宋体" w:eastAsia="宋体" w:hint="default"/>
        </w:rPr>
        <w:t>2017 </w:t>
      </w:r>
      <w:r>
        <w:rPr/>
        <w:t>年和</w:t>
      </w:r>
      <w:r>
        <w:rPr>
          <w:spacing w:val="-54"/>
        </w:rPr>
        <w:t> </w:t>
      </w:r>
      <w:r>
        <w:rPr>
          <w:rFonts w:ascii="宋体" w:hAnsi="宋体" w:cs="宋体" w:eastAsia="宋体" w:hint="default"/>
        </w:rPr>
        <w:t>2016</w:t>
      </w:r>
      <w:r>
        <w:rPr>
          <w:rFonts w:ascii="宋体" w:hAnsi="宋体" w:cs="宋体" w:eastAsia="宋体" w:hint="default"/>
          <w:spacing w:val="-53"/>
        </w:rPr>
        <w:t> </w:t>
      </w:r>
      <w:r>
        <w:rPr/>
        <w:t>年进行了追溯调整。</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980"/>
        <w:gridCol w:w="148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377,534,679.97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353,280,717.99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349,853,562.23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431,661,628.67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23,469,978.14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43,206,898.20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23,885,867.23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-28,905,392.42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13,690,318.11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20,490,370.95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5,566,596.68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-33,185,441.32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84,737,174.91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201,113,300.87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-20,226,352.90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263,039,587.88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408" w:lineRule="auto" w:before="155"/>
        <w:ind w:right="0" w:firstLine="420"/>
        <w:jc w:val="left"/>
      </w:pPr>
      <w:r>
        <w:rPr>
          <w:spacing w:val="-1"/>
        </w:rPr>
        <w:t>根据财政部通知，企业实际收到的政府补助，无论是与资产相关还是与收益相关，在编制现金流量表</w:t>
      </w:r>
      <w:r>
        <w:rPr/>
        <w:t> 时都应作为与经营活动相关的现金流列报。因此，按照所属期间，公司对现金流项目进行了调整。</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430"/>
        <w:gridCol w:w="1559"/>
        <w:gridCol w:w="1419"/>
        <w:gridCol w:w="233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 资产减值准备的冲销部分）</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-895,232.20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-169,552.08</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 业务密切相关，按照国家统一标准 定额或定量享受的政府补助除外）</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98,223,081.50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54,650,429.06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43,498,493.90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-443,369.63</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-94,936.80</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-208,600.00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 和支出</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-333,130.19</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33,248.66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473,320.12</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1418"/>
        <w:gridCol w:w="1559"/>
        <w:gridCol w:w="1419"/>
        <w:gridCol w:w="2338"/>
      </w:tblGrid>
      <w:tr>
        <w:trPr>
          <w:trHeight w:val="165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 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1,230,738.07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5,206,928.81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47,465,412.69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其他符合非经常性损益定义 的损益项目系联营及合营企 业权益法核算的投资收益中 属于非经常性损益的部分 </w:t>
            </w:r>
            <w:r>
              <w:rPr>
                <w:rFonts w:ascii="Times New Roman" w:hAnsi="Times New Roman" w:cs="Times New Roman" w:eastAsia="Times New Roman" w:hint="default"/>
                <w:sz w:val="18"/>
                <w:szCs w:val="18"/>
              </w:rPr>
              <w:t>1,230,738.07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20,940,997.80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8,922,608.68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14,164,900.97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21,745,583.02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8,252,460.94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8,720,023.34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55,095,506.73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42,165,035.18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68,174,150.32</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九、 非经常性损益项目及金额的补充说明" w:id="15"/>
      <w:bookmarkEnd w:id="15"/>
      <w:r>
        <w:rPr>
          <w:b w:val="0"/>
          <w:bCs w:val="0"/>
        </w:rPr>
      </w:r>
      <w:r>
        <w:rPr/>
        <w:t>九、</w:t>
      </w:r>
      <w:r>
        <w:rPr>
          <w:spacing w:val="-16"/>
        </w:rPr>
        <w:t> </w:t>
      </w:r>
      <w:r>
        <w:rPr/>
        <w:t>非经常性损益项目及金额的补充说明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2" w:firstLine="420"/>
        <w:jc w:val="both"/>
      </w:pPr>
      <w:r>
        <w:rPr>
          <w:spacing w:val="-1"/>
        </w:rPr>
        <w:t>报告期，根据经营业务的性质和特点，公司将结构性存款收益界定为经常性损益项目。同时，为保证</w:t>
      </w:r>
      <w:r>
        <w:rPr/>
        <w:t> 历年财务数据的可比性，公司对比较期间进行了追溯调整。</w:t>
      </w:r>
      <w:r>
        <w:rPr>
          <w:rFonts w:ascii="宋体" w:hAnsi="宋体" w:cs="宋体" w:eastAsia="宋体" w:hint="default"/>
        </w:rPr>
        <w:t>2017</w:t>
      </w:r>
      <w:r>
        <w:rPr>
          <w:rFonts w:ascii="宋体" w:hAnsi="宋体" w:cs="宋体" w:eastAsia="宋体" w:hint="default"/>
          <w:spacing w:val="-43"/>
        </w:rPr>
        <w:t> </w:t>
      </w:r>
      <w:r>
        <w:rPr/>
        <w:t>年和</w:t>
      </w:r>
      <w:r>
        <w:rPr>
          <w:spacing w:val="-45"/>
        </w:rPr>
        <w:t> </w:t>
      </w:r>
      <w:r>
        <w:rPr>
          <w:rFonts w:ascii="宋体" w:hAnsi="宋体" w:cs="宋体" w:eastAsia="宋体" w:hint="default"/>
        </w:rPr>
        <w:t>2016</w:t>
      </w:r>
      <w:r>
        <w:rPr>
          <w:rFonts w:ascii="宋体" w:hAnsi="宋体" w:cs="宋体" w:eastAsia="宋体" w:hint="default"/>
          <w:spacing w:val="-43"/>
        </w:rPr>
        <w:t> </w:t>
      </w:r>
      <w:r>
        <w:rPr/>
        <w:t>年调整前后的非经常性损益数 据如下：</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261"/>
        <w:gridCol w:w="1555"/>
        <w:gridCol w:w="1520"/>
        <w:gridCol w:w="1522"/>
        <w:gridCol w:w="1710"/>
      </w:tblGrid>
      <w:tr>
        <w:trPr>
          <w:trHeight w:val="415" w:hRule="exact"/>
        </w:trPr>
        <w:tc>
          <w:tcPr>
            <w:tcW w:w="32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年金额</w:t>
            </w:r>
          </w:p>
        </w:tc>
        <w:tc>
          <w:tcPr>
            <w:tcW w:w="32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年金额</w:t>
            </w:r>
          </w:p>
        </w:tc>
      </w:tr>
      <w:tr>
        <w:trPr>
          <w:trHeight w:val="432" w:hRule="exact"/>
        </w:trPr>
        <w:tc>
          <w:tcPr>
            <w:tcW w:w="3261" w:type="dxa"/>
            <w:vMerge/>
            <w:tcBorders>
              <w:left w:val="single" w:sz="6" w:space="0" w:color="000000"/>
              <w:bottom w:val="single" w:sz="6" w:space="0" w:color="000000"/>
              <w:right w:val="single" w:sz="6" w:space="0" w:color="000000"/>
            </w:tcBorders>
            <w:shd w:val="clear" w:color="auto" w:fill="D2D2D2"/>
          </w:tcPr>
          <w:p>
            <w:pPr/>
          </w:p>
        </w:tc>
        <w:tc>
          <w:tcPr>
            <w:tcW w:w="1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8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734"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2" w:right="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5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c>
          <w:tcPr>
            <w:tcW w:w="15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c>
          <w:tcPr>
            <w:tcW w:w="15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-169,552.08</w:t>
            </w:r>
            <w:r>
              <w:rPr>
                <w:rFonts w:ascii="Times New Roman"/>
                <w:sz w:val="18"/>
              </w:rPr>
            </w:r>
          </w:p>
        </w:tc>
        <w:tc>
          <w:tcPr>
            <w:tcW w:w="17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-169,552.08</w:t>
            </w:r>
            <w:r>
              <w:rPr>
                <w:rFonts w:ascii="Times New Roman"/>
                <w:sz w:val="18"/>
              </w:rPr>
            </w:r>
          </w:p>
        </w:tc>
      </w:tr>
      <w:tr>
        <w:trPr>
          <w:trHeight w:val="1050"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2" w:right="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54,650,429.06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54,650,429.06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43,498,493.90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43,498,493.90</w:t>
            </w:r>
          </w:p>
        </w:tc>
      </w:tr>
      <w:tr>
        <w:trPr>
          <w:trHeight w:val="427"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14,792,196.80</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5,328,931.09</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-94,936.80</w:t>
            </w:r>
            <w:r>
              <w:rPr>
                <w:rFonts w:ascii="Times New Roman"/>
                <w:sz w:val="18"/>
              </w:rPr>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-94,936.80</w:t>
            </w:r>
            <w:r>
              <w:rPr>
                <w:rFonts w:ascii="Times New Roman"/>
                <w:sz w:val="18"/>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-208,600.00</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-208,600.00</w:t>
            </w:r>
            <w:r>
              <w:rPr>
                <w:rFonts w:ascii="Times New Roman"/>
                <w:sz w:val="18"/>
              </w:rPr>
            </w:r>
          </w:p>
        </w:tc>
      </w:tr>
      <w:tr>
        <w:trPr>
          <w:trHeight w:val="427"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33,248.66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33,248.66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473,320.12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473,320.12</w:t>
            </w:r>
          </w:p>
        </w:tc>
      </w:tr>
      <w:tr>
        <w:trPr>
          <w:trHeight w:val="427"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5,206,928.81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5,206,928.81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47,465,412.69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47,465,412.69</w:t>
            </w:r>
          </w:p>
        </w:tc>
      </w:tr>
      <w:tr>
        <w:trPr>
          <w:trHeight w:val="426"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12,382,536.07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8,922,608.68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15,206,713.23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14,164,900.97</w:t>
            </w:r>
          </w:p>
        </w:tc>
      </w:tr>
      <w:tr>
        <w:trPr>
          <w:trHeight w:val="428"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11,803,789.91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8,252,460.94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9,939,044.29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8,720,023.34</w:t>
            </w:r>
          </w:p>
        </w:tc>
      </w:tr>
      <w:tr>
        <w:trPr>
          <w:trHeight w:val="428" w:hRule="exact"/>
        </w:trPr>
        <w:tc>
          <w:tcPr>
            <w:tcW w:w="3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49,945,975.62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42,165,035.18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71,242,248.20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68,174,150.32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9"/>
        <w:ind w:right="1131" w:firstLine="420"/>
        <w:jc w:val="both"/>
      </w:pPr>
      <w:r>
        <w:rPr>
          <w:spacing w:val="-1"/>
        </w:rPr>
        <w:t>公司以“成为以传感器为核心的物联网解决方案引领者”为产业愿景，通过多年的内生外延发展，构</w:t>
      </w:r>
      <w:r>
        <w:rPr/>
        <w:t> 建了相对完整的物联网（</w:t>
      </w:r>
      <w:r>
        <w:rPr>
          <w:rFonts w:ascii="宋体" w:hAnsi="宋体" w:cs="宋体" w:eastAsia="宋体" w:hint="default"/>
        </w:rPr>
        <w:t>IOT</w:t>
      </w:r>
      <w:r>
        <w:rPr/>
        <w:t>）生态圈，主要是以传感器为核心，将传感技术、智能终端、通讯技术、云</w:t>
      </w:r>
      <w:r>
        <w:rPr>
          <w:spacing w:val="-33"/>
        </w:rPr>
        <w:t> </w:t>
      </w:r>
      <w:r>
        <w:rPr>
          <w:spacing w:val="-33"/>
        </w:rPr>
      </w:r>
      <w:r>
        <w:rPr>
          <w:spacing w:val="-1"/>
        </w:rPr>
        <w:t>计算和地理信息等物联网技术紧密结合，形成了“传感器</w:t>
      </w:r>
      <w:r>
        <w:rPr>
          <w:rFonts w:ascii="宋体" w:hAnsi="宋体" w:cs="宋体" w:eastAsia="宋体" w:hint="default"/>
          <w:spacing w:val="-1"/>
        </w:rPr>
        <w:t>+</w:t>
      </w:r>
      <w:r>
        <w:rPr>
          <w:spacing w:val="-1"/>
        </w:rPr>
        <w:t>监测终端</w:t>
      </w:r>
      <w:r>
        <w:rPr>
          <w:rFonts w:ascii="宋体" w:hAnsi="宋体" w:cs="宋体" w:eastAsia="宋体" w:hint="default"/>
          <w:spacing w:val="-1"/>
        </w:rPr>
        <w:t>+</w:t>
      </w:r>
      <w:r>
        <w:rPr>
          <w:spacing w:val="-1"/>
        </w:rPr>
        <w:t>数据采集</w:t>
      </w:r>
      <w:r>
        <w:rPr>
          <w:rFonts w:ascii="宋体" w:hAnsi="宋体" w:cs="宋体" w:eastAsia="宋体" w:hint="default"/>
          <w:spacing w:val="-1"/>
        </w:rPr>
        <w:t>+</w:t>
      </w:r>
      <w:r>
        <w:rPr>
          <w:spacing w:val="-1"/>
        </w:rPr>
        <w:t>空间信息技术</w:t>
      </w:r>
      <w:r>
        <w:rPr>
          <w:rFonts w:ascii="宋体" w:hAnsi="宋体" w:cs="宋体" w:eastAsia="宋体" w:hint="default"/>
          <w:spacing w:val="-1"/>
        </w:rPr>
        <w:t>+</w:t>
      </w:r>
      <w:r>
        <w:rPr>
          <w:spacing w:val="-1"/>
        </w:rPr>
        <w:t>云应用”的</w:t>
      </w:r>
      <w:r>
        <w:rPr>
          <w:spacing w:val="-85"/>
        </w:rPr>
        <w:t> </w:t>
      </w:r>
      <w:r>
        <w:rPr>
          <w:spacing w:val="-85"/>
        </w:rPr>
      </w:r>
      <w:r>
        <w:rPr>
          <w:spacing w:val="-1"/>
        </w:rPr>
        <w:t>系统解决方案，业务应用覆盖物联网综合解决方案及居家智能与健康等行业领域，在所涉及的产业领域中</w:t>
      </w:r>
      <w:r>
        <w:rPr>
          <w:spacing w:val="-81"/>
        </w:rPr>
        <w:t> </w:t>
      </w:r>
      <w:r>
        <w:rPr>
          <w:spacing w:val="-81"/>
        </w:rPr>
      </w:r>
      <w:r>
        <w:rPr/>
        <w:t>形成了相对领先的优势。具体如下：</w:t>
      </w:r>
    </w:p>
    <w:p>
      <w:pPr>
        <w:pStyle w:val="BodyText"/>
        <w:spacing w:line="408" w:lineRule="auto"/>
        <w:ind w:left="574" w:right="0"/>
        <w:jc w:val="left"/>
      </w:pPr>
      <w:r>
        <w:rPr/>
        <w:t>（一）传感器业务 </w:t>
      </w:r>
      <w:r>
        <w:rPr>
          <w:spacing w:val="-1"/>
        </w:rPr>
        <w:t>在构成物联网的三层架构中，传感层处于最底层，是构成物联网的核心基础。在物联网运行中，传感</w:t>
      </w:r>
    </w:p>
    <w:p>
      <w:pPr>
        <w:pStyle w:val="BodyText"/>
        <w:spacing w:line="408" w:lineRule="auto"/>
        <w:ind w:right="1110"/>
        <w:jc w:val="both"/>
      </w:pPr>
      <w:r>
        <w:rPr/>
        <w:t>器将感知获取到的物理、化学、生物等信息转化为易识别的数字信息传输至后端平台处理、分析、应用。 </w:t>
      </w:r>
      <w:r>
        <w:rPr>
          <w:spacing w:val="-1"/>
        </w:rPr>
        <w:t>传感器是公司旗下最具成长性和价值的核心业务板块之一，公司集传感器的研发、生产、销售为一体，产</w:t>
      </w:r>
      <w:r>
        <w:rPr>
          <w:spacing w:val="-86"/>
        </w:rPr>
        <w:t> </w:t>
      </w:r>
      <w:r>
        <w:rPr>
          <w:spacing w:val="-86"/>
        </w:rPr>
      </w:r>
      <w:r>
        <w:rPr>
          <w:spacing w:val="-1"/>
        </w:rPr>
        <w:t>品覆盖气体、压力、流量、温度、湿度、柔性、加速度等门类。该业务板块主要由公司旗下子公司炜盛科</w:t>
      </w:r>
      <w:r>
        <w:rPr>
          <w:spacing w:val="-85"/>
        </w:rPr>
        <w:t> </w:t>
      </w:r>
      <w:r>
        <w:rPr>
          <w:spacing w:val="-85"/>
        </w:rPr>
      </w:r>
      <w:r>
        <w:rPr>
          <w:spacing w:val="-3"/>
        </w:rPr>
        <w:t>技等组成。报告期内，公司传感器业务平稳发展，</w:t>
      </w:r>
      <w:r>
        <w:rPr>
          <w:rFonts w:ascii="宋体" w:hAnsi="宋体" w:cs="宋体" w:eastAsia="宋体" w:hint="default"/>
          <w:spacing w:val="-3"/>
        </w:rPr>
        <w:t>MEMS</w:t>
      </w:r>
      <w:r>
        <w:rPr>
          <w:rFonts w:ascii="宋体" w:hAnsi="宋体" w:cs="宋体" w:eastAsia="宋体" w:hint="default"/>
          <w:spacing w:val="-54"/>
        </w:rPr>
        <w:t> </w:t>
      </w:r>
      <w:r>
        <w:rPr/>
        <w:t>气体传感器工艺研发进展顺利，多种新型传感器产 品陆续完成研发。</w:t>
      </w:r>
    </w:p>
    <w:p>
      <w:pPr>
        <w:pStyle w:val="BodyText"/>
        <w:spacing w:line="408" w:lineRule="auto"/>
        <w:ind w:left="574" w:right="1092"/>
        <w:jc w:val="left"/>
      </w:pPr>
      <w:r>
        <w:rPr/>
        <w:t>（二）物联网综合解决方案 依托核心传感器技术，公司研发生产了多样化的智能仪表，智能仪表作为不同场景的感知硬件终端，</w:t>
      </w:r>
    </w:p>
    <w:p>
      <w:pPr>
        <w:pStyle w:val="BodyText"/>
        <w:spacing w:line="408" w:lineRule="auto"/>
        <w:ind w:right="1023"/>
        <w:jc w:val="left"/>
      </w:pPr>
      <w:r>
        <w:rPr/>
        <w:t>将感知信息通过 </w:t>
      </w:r>
      <w:r>
        <w:rPr>
          <w:rFonts w:ascii="宋体" w:hAnsi="宋体" w:cs="宋体" w:eastAsia="宋体" w:hint="default"/>
        </w:rPr>
        <w:t>NB-IoT</w:t>
      </w:r>
      <w:r>
        <w:rPr>
          <w:rFonts w:ascii="宋体" w:hAnsi="宋体" w:cs="宋体" w:eastAsia="宋体" w:hint="default"/>
          <w:spacing w:val="-23"/>
        </w:rPr>
        <w:t> </w:t>
      </w:r>
      <w:r>
        <w:rPr/>
        <w:t>等多种通讯手段传输至公司研发的物联网监控系统，监控系统根据客户需求对重 </w:t>
      </w:r>
      <w:r>
        <w:rPr>
          <w:spacing w:val="-3"/>
        </w:rPr>
        <w:t>点信息进行分析处理，最终形成可视化报告。目前，公司的物联网综合解决方案主要有如下几个应用场景：</w:t>
      </w:r>
    </w:p>
    <w:p>
      <w:pPr>
        <w:pStyle w:val="BodyText"/>
        <w:spacing w:line="408" w:lineRule="auto"/>
        <w:ind w:left="574" w:right="0"/>
        <w:jc w:val="left"/>
      </w:pPr>
      <w:r>
        <w:rPr>
          <w:rFonts w:ascii="宋体" w:hAnsi="宋体" w:cs="宋体" w:eastAsia="宋体" w:hint="default"/>
        </w:rPr>
        <w:t>1</w:t>
      </w:r>
      <w:r>
        <w:rPr/>
        <w:t>、物联网平台解决方案 物联网平台解决方案主要面向燃气、供水、供热、市政、产业园区、楼宇等领域，依靠“传感器</w:t>
      </w:r>
      <w:r>
        <w:rPr>
          <w:rFonts w:ascii="宋体" w:hAnsi="宋体" w:cs="宋体" w:eastAsia="宋体" w:hint="default"/>
        </w:rPr>
        <w:t>+</w:t>
      </w:r>
      <w:r>
        <w:rPr/>
        <w:t>监</w:t>
      </w:r>
    </w:p>
    <w:p>
      <w:pPr>
        <w:pStyle w:val="BodyText"/>
        <w:spacing w:line="408" w:lineRule="auto"/>
        <w:ind w:right="1132"/>
        <w:jc w:val="both"/>
      </w:pPr>
      <w:r>
        <w:rPr/>
        <w:t>测终端</w:t>
      </w:r>
      <w:r>
        <w:rPr>
          <w:rFonts w:ascii="宋体" w:hAnsi="宋体" w:cs="宋体" w:eastAsia="宋体" w:hint="default"/>
        </w:rPr>
        <w:t>+</w:t>
      </w:r>
      <w:r>
        <w:rPr/>
        <w:t>数据采集</w:t>
      </w:r>
      <w:r>
        <w:rPr>
          <w:rFonts w:ascii="宋体" w:hAnsi="宋体" w:cs="宋体" w:eastAsia="宋体" w:hint="default"/>
        </w:rPr>
        <w:t>+</w:t>
      </w:r>
      <w:r>
        <w:rPr/>
        <w:t>空间信息技术</w:t>
      </w:r>
      <w:r>
        <w:rPr>
          <w:rFonts w:ascii="宋体" w:hAnsi="宋体" w:cs="宋体" w:eastAsia="宋体" w:hint="default"/>
        </w:rPr>
        <w:t>+</w:t>
      </w:r>
      <w:r>
        <w:rPr/>
        <w:t>云应用”系统，提供集管网</w:t>
      </w:r>
      <w:r>
        <w:rPr>
          <w:spacing w:val="-70"/>
        </w:rPr>
        <w:t> </w:t>
      </w:r>
      <w:r>
        <w:rPr>
          <w:rFonts w:ascii="宋体" w:hAnsi="宋体" w:cs="宋体" w:eastAsia="宋体" w:hint="default"/>
          <w:spacing w:val="-3"/>
        </w:rPr>
        <w:t>GIS</w:t>
      </w:r>
      <w:r>
        <w:rPr>
          <w:spacing w:val="-3"/>
        </w:rPr>
        <w:t>、信息采集、运营管理为一体的物联网解</w:t>
      </w:r>
      <w:r>
        <w:rPr/>
        <w:t> </w:t>
      </w:r>
      <w:r>
        <w:rPr>
          <w:spacing w:val="-1"/>
        </w:rPr>
        <w:t>决方案，提高燃气、供水、供热、市政管理及园区、楼宇运营的效率和效益。报告期内，物联网平台解决</w:t>
      </w:r>
      <w:r>
        <w:rPr>
          <w:spacing w:val="-85"/>
        </w:rPr>
        <w:t> </w:t>
      </w:r>
      <w:r>
        <w:rPr>
          <w:spacing w:val="-85"/>
        </w:rPr>
      </w:r>
      <w:r>
        <w:rPr/>
        <w:t>方案业务随着打造“数字中国，智慧城市”的新兴行业推动，整体订单情况良好。</w:t>
      </w:r>
    </w:p>
    <w:p>
      <w:pPr>
        <w:pStyle w:val="BodyText"/>
        <w:spacing w:line="408" w:lineRule="auto"/>
        <w:ind w:left="574" w:right="0"/>
        <w:jc w:val="left"/>
      </w:pPr>
      <w:r>
        <w:rPr>
          <w:rFonts w:ascii="宋体" w:hAnsi="宋体" w:cs="宋体" w:eastAsia="宋体" w:hint="default"/>
        </w:rPr>
        <w:t>2</w:t>
      </w:r>
      <w:r>
        <w:rPr/>
        <w:t>、智慧市政系统解决方案 </w:t>
      </w:r>
      <w:r>
        <w:rPr>
          <w:spacing w:val="-1"/>
        </w:rPr>
        <w:t>智慧市政系统解决方案是公司利用上述物联网平台解决方案能力，通过投资、建设、运营郑州高新技</w:t>
      </w:r>
    </w:p>
    <w:p>
      <w:pPr>
        <w:pStyle w:val="BodyText"/>
        <w:spacing w:line="240" w:lineRule="auto"/>
        <w:ind w:right="0"/>
        <w:jc w:val="both"/>
      </w:pPr>
      <w:r>
        <w:rPr/>
        <w:t>术开发区供水及供热等市政项目，打造出来的物联网行业应用标杆典范。随着近年来郑州高新技术开发区</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城镇化水平的不断提升及智慧化运营、管理手段的持续加强，该项目保持着良好的发展趋势，持续为企业</w:t>
      </w:r>
      <w:r>
        <w:rPr>
          <w:spacing w:val="-83"/>
        </w:rPr>
        <w:t> </w:t>
      </w:r>
      <w:r>
        <w:rPr>
          <w:spacing w:val="-83"/>
        </w:rPr>
      </w:r>
      <w:r>
        <w:rPr/>
        <w:t>及民众提供质优、经济、便捷的整体解决方案。</w:t>
      </w:r>
    </w:p>
    <w:p>
      <w:pPr>
        <w:pStyle w:val="BodyText"/>
        <w:spacing w:line="240" w:lineRule="auto"/>
        <w:ind w:left="574" w:right="0"/>
        <w:jc w:val="left"/>
      </w:pPr>
      <w:r>
        <w:rPr>
          <w:rFonts w:ascii="宋体" w:hAnsi="宋体" w:cs="宋体" w:eastAsia="宋体" w:hint="default"/>
        </w:rPr>
        <w:t>3</w:t>
      </w:r>
      <w:r>
        <w:rPr/>
        <w:t>、智慧环保系统解决方案</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t>智慧环保系统解决方案致力为客户提供“第三方检测</w:t>
      </w:r>
      <w:r>
        <w:rPr>
          <w:rFonts w:ascii="宋体" w:hAnsi="宋体" w:cs="宋体" w:eastAsia="宋体" w:hint="default"/>
        </w:rPr>
        <w:t>-</w:t>
      </w:r>
      <w:r>
        <w:rPr/>
        <w:t>在线监测</w:t>
      </w:r>
      <w:r>
        <w:rPr>
          <w:rFonts w:ascii="宋体" w:hAnsi="宋体" w:cs="宋体" w:eastAsia="宋体" w:hint="default"/>
        </w:rPr>
        <w:t>-</w:t>
      </w:r>
      <w:r>
        <w:rPr/>
        <w:t>废气废水处理</w:t>
      </w:r>
      <w:r>
        <w:rPr>
          <w:rFonts w:ascii="宋体" w:hAnsi="宋体" w:cs="宋体" w:eastAsia="宋体" w:hint="default"/>
        </w:rPr>
        <w:t>-</w:t>
      </w:r>
      <w:r>
        <w:rPr/>
        <w:t>智慧环保系统运维” </w:t>
      </w:r>
      <w:r>
        <w:rPr>
          <w:spacing w:val="-1"/>
        </w:rPr>
        <w:t>闭环业务生态的环保系统解决方案，依靠“传感器</w:t>
      </w:r>
      <w:r>
        <w:rPr>
          <w:rFonts w:ascii="宋体" w:hAnsi="宋体" w:cs="宋体" w:eastAsia="宋体" w:hint="default"/>
          <w:spacing w:val="-1"/>
        </w:rPr>
        <w:t>+</w:t>
      </w:r>
      <w:r>
        <w:rPr>
          <w:spacing w:val="-1"/>
        </w:rPr>
        <w:t>监测终端</w:t>
      </w:r>
      <w:r>
        <w:rPr>
          <w:rFonts w:ascii="宋体" w:hAnsi="宋体" w:cs="宋体" w:eastAsia="宋体" w:hint="default"/>
          <w:spacing w:val="-1"/>
        </w:rPr>
        <w:t>+</w:t>
      </w:r>
      <w:r>
        <w:rPr>
          <w:spacing w:val="-1"/>
        </w:rPr>
        <w:t>数据采集</w:t>
      </w:r>
      <w:r>
        <w:rPr>
          <w:rFonts w:ascii="宋体" w:hAnsi="宋体" w:cs="宋体" w:eastAsia="宋体" w:hint="default"/>
          <w:spacing w:val="-1"/>
        </w:rPr>
        <w:t>+</w:t>
      </w:r>
      <w:r>
        <w:rPr>
          <w:spacing w:val="-1"/>
        </w:rPr>
        <w:t>空间信息技术</w:t>
      </w:r>
      <w:r>
        <w:rPr>
          <w:rFonts w:ascii="宋体" w:hAnsi="宋体" w:cs="宋体" w:eastAsia="宋体" w:hint="default"/>
          <w:spacing w:val="-1"/>
        </w:rPr>
        <w:t>+</w:t>
      </w:r>
      <w:r>
        <w:rPr>
          <w:spacing w:val="-1"/>
        </w:rPr>
        <w:t>云应用</w:t>
      </w:r>
      <w:r>
        <w:rPr>
          <w:rFonts w:ascii="宋体" w:hAnsi="宋体" w:cs="宋体" w:eastAsia="宋体" w:hint="default"/>
          <w:spacing w:val="-1"/>
        </w:rPr>
        <w:t>+</w:t>
      </w:r>
      <w:r>
        <w:rPr>
          <w:spacing w:val="-1"/>
        </w:rPr>
        <w:t>治理</w:t>
      </w:r>
      <w:r>
        <w:rPr>
          <w:rFonts w:ascii="宋体" w:hAnsi="宋体" w:cs="宋体" w:eastAsia="宋体" w:hint="default"/>
          <w:spacing w:val="-1"/>
        </w:rPr>
        <w:t>+</w:t>
      </w:r>
      <w:r>
        <w:rPr>
          <w:spacing w:val="-1"/>
        </w:rPr>
        <w:t>运维</w:t>
      </w:r>
      <w:r>
        <w:rPr>
          <w:spacing w:val="-83"/>
        </w:rPr>
        <w:t> </w:t>
      </w:r>
      <w:r>
        <w:rPr>
          <w:spacing w:val="-1"/>
        </w:rPr>
        <w:t>服务”整体方案，为企业、政府提供大气监测、污水及垃圾渗滤液处理、有机废气治理等一体化的环保服</w:t>
      </w:r>
      <w:r>
        <w:rPr>
          <w:spacing w:val="-86"/>
        </w:rPr>
        <w:t> </w:t>
      </w:r>
      <w:r>
        <w:rPr>
          <w:spacing w:val="-86"/>
        </w:rPr>
      </w:r>
      <w:r>
        <w:rPr/>
        <w:t>务。报告期内，该业务板块在市场及技术领域均取得了较好的发展。</w:t>
      </w:r>
    </w:p>
    <w:p>
      <w:pPr>
        <w:pStyle w:val="BodyText"/>
        <w:spacing w:line="408" w:lineRule="auto"/>
        <w:ind w:left="574" w:right="0"/>
        <w:jc w:val="left"/>
      </w:pPr>
      <w:r>
        <w:rPr>
          <w:rFonts w:ascii="宋体" w:hAnsi="宋体" w:cs="宋体" w:eastAsia="宋体" w:hint="default"/>
        </w:rPr>
        <w:t>4</w:t>
      </w:r>
      <w:r>
        <w:rPr/>
        <w:t>、智慧安全系统解决方案 </w:t>
      </w:r>
      <w:r>
        <w:rPr>
          <w:spacing w:val="-1"/>
        </w:rPr>
        <w:t>智慧安全系统解决方案主要面向石油、化工、冶金、电力、矿山、制药、食品等领域，致力于为各类</w:t>
      </w:r>
    </w:p>
    <w:p>
      <w:pPr>
        <w:pStyle w:val="BodyText"/>
        <w:spacing w:line="408" w:lineRule="auto"/>
        <w:ind w:right="1131"/>
        <w:jc w:val="both"/>
      </w:pPr>
      <w:r>
        <w:rPr>
          <w:spacing w:val="-1"/>
        </w:rPr>
        <w:t>工业客户提供安全管理监控一体化解决方案，由硬件监控设备和系统软件共同构成完整的安全管理监控平</w:t>
      </w:r>
      <w:r>
        <w:rPr>
          <w:spacing w:val="-81"/>
        </w:rPr>
        <w:t> </w:t>
      </w:r>
      <w:r>
        <w:rPr>
          <w:spacing w:val="-81"/>
        </w:rPr>
      </w:r>
      <w:r>
        <w:rPr/>
        <w:t>台。报告期内，该业务板块业绩增速较为突出，盈利能力持续增强，实现了高质量的发展。</w:t>
      </w:r>
    </w:p>
    <w:p>
      <w:pPr>
        <w:pStyle w:val="BodyText"/>
        <w:spacing w:line="408" w:lineRule="auto"/>
        <w:ind w:left="574" w:right="1017"/>
        <w:jc w:val="left"/>
      </w:pPr>
      <w:r>
        <w:rPr/>
        <w:t>（三）居家智能和健康业务 </w:t>
      </w:r>
      <w:r>
        <w:rPr>
          <w:spacing w:val="-3"/>
        </w:rPr>
        <w:t>居家智能和健康业务通过物联网技术对家庭中的环境健康、人体健康、智能设备进行有机联通和管理，</w:t>
      </w:r>
    </w:p>
    <w:p>
      <w:pPr>
        <w:pStyle w:val="BodyText"/>
        <w:spacing w:line="408" w:lineRule="auto"/>
        <w:ind w:right="1133"/>
        <w:jc w:val="both"/>
      </w:pPr>
      <w:r>
        <w:rPr>
          <w:spacing w:val="-1"/>
        </w:rPr>
        <w:t>结合数据服务运营能力，夯实了空气质量、燃气安全类市场，拓展了水质安全类市场，为人们提供专业可</w:t>
      </w:r>
      <w:r>
        <w:rPr>
          <w:spacing w:val="-86"/>
        </w:rPr>
        <w:t> </w:t>
      </w:r>
      <w:r>
        <w:rPr>
          <w:spacing w:val="-86"/>
        </w:rPr>
      </w:r>
      <w:r>
        <w:rPr/>
        <w:t>靠的“监测</w:t>
      </w:r>
      <w:r>
        <w:rPr>
          <w:rFonts w:ascii="宋体" w:hAnsi="宋体" w:cs="宋体" w:eastAsia="宋体" w:hint="default"/>
        </w:rPr>
        <w:t>+</w:t>
      </w:r>
      <w:r>
        <w:rPr/>
        <w:t>治理”居家智能和健康全方案服务。报告期内，随着人民日益增长的美好生活需要，该业务</w:t>
      </w:r>
      <w:r>
        <w:rPr>
          <w:spacing w:val="-35"/>
        </w:rPr>
        <w:t> </w:t>
      </w:r>
      <w:r>
        <w:rPr>
          <w:spacing w:val="-35"/>
        </w:rPr>
      </w:r>
      <w:r>
        <w:rPr/>
        <w:t>营业规模取得一定增长。</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86.12%</w:t>
            </w:r>
            <w:r>
              <w:rPr>
                <w:rFonts w:ascii="宋体" w:hAnsi="宋体" w:cs="宋体" w:eastAsia="宋体" w:hint="default"/>
                <w:sz w:val="18"/>
                <w:szCs w:val="18"/>
              </w:rPr>
              <w:t>，主要系公司结构性存款到期及收到的政府补助增加所致。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192.03%</w:t>
            </w:r>
            <w:r>
              <w:rPr>
                <w:rFonts w:ascii="宋体" w:hAnsi="宋体" w:cs="宋体" w:eastAsia="宋体" w:hint="default"/>
                <w:sz w:val="18"/>
                <w:szCs w:val="18"/>
              </w:rPr>
              <w:t>，主要系公司智慧市政预付的采购款、项目款增加所致。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52.65%</w:t>
            </w:r>
            <w:r>
              <w:rPr>
                <w:rFonts w:ascii="宋体" w:hAnsi="宋体" w:cs="宋体" w:eastAsia="宋体" w:hint="default"/>
                <w:sz w:val="18"/>
                <w:szCs w:val="18"/>
              </w:rPr>
              <w:t>，主要系公司购买的结构性存款到期所致。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jc w:val="left"/>
        <w:rPr>
          <w:rFonts w:ascii="宋体" w:hAnsi="宋体" w:cs="宋体" w:eastAsia="宋体" w:hint="default"/>
        </w:rPr>
      </w:pPr>
      <w:r>
        <w:rPr>
          <w:rFonts w:ascii="宋体" w:hAnsi="宋体" w:cs="宋体" w:eastAsia="宋体" w:hint="default"/>
        </w:rPr>
        <w:t>1</w:t>
      </w:r>
      <w:r>
        <w:rPr/>
        <w:t>、产业生态圈优势 公司的愿景为“成为以传感器为核心的物联网解决方案引领者”，通过多年发展，形成了“传感器</w:t>
      </w:r>
      <w:r>
        <w:rPr>
          <w:rFonts w:ascii="宋体" w:hAnsi="宋体" w:cs="宋体" w:eastAsia="宋体" w:hint="default"/>
        </w:rPr>
        <w:t>+</w:t>
      </w:r>
    </w:p>
    <w:p>
      <w:pPr>
        <w:pStyle w:val="BodyText"/>
        <w:spacing w:line="408" w:lineRule="auto"/>
        <w:ind w:right="1023"/>
        <w:jc w:val="left"/>
      </w:pPr>
      <w:r>
        <w:rPr/>
        <w:t>监测终端</w:t>
      </w:r>
      <w:r>
        <w:rPr>
          <w:rFonts w:ascii="宋体" w:hAnsi="宋体" w:cs="宋体" w:eastAsia="宋体" w:hint="default"/>
        </w:rPr>
        <w:t>+</w:t>
      </w:r>
      <w:r>
        <w:rPr/>
        <w:t>数据采集</w:t>
      </w:r>
      <w:r>
        <w:rPr>
          <w:rFonts w:ascii="宋体" w:hAnsi="宋体" w:cs="宋体" w:eastAsia="宋体" w:hint="default"/>
        </w:rPr>
        <w:t>+</w:t>
      </w:r>
      <w:r>
        <w:rPr/>
        <w:t>空间信息技术</w:t>
      </w:r>
      <w:r>
        <w:rPr>
          <w:rFonts w:ascii="宋体" w:hAnsi="宋体" w:cs="宋体" w:eastAsia="宋体" w:hint="default"/>
        </w:rPr>
        <w:t>+</w:t>
      </w:r>
      <w:r>
        <w:rPr/>
        <w:t>云应用”的完整物联网技术平台，并构建了围绕该物联网技术平台应</w:t>
      </w:r>
      <w:r>
        <w:rPr>
          <w:spacing w:val="-34"/>
        </w:rPr>
        <w:t> </w:t>
      </w:r>
      <w:r>
        <w:rPr>
          <w:spacing w:val="-34"/>
        </w:rPr>
      </w:r>
      <w:r>
        <w:rPr/>
        <w:t>用的产业生态圈。该物联网产业生态圈将互联网、物联网技术与应用行业高度融合，真正实现智能、智慧</w:t>
      </w:r>
      <w:r>
        <w:rPr/>
        <w:t> </w:t>
      </w:r>
      <w:r>
        <w:rPr>
          <w:spacing w:val="-3"/>
        </w:rPr>
        <w:t>化管理，助推传统产业升级创新，降低了燃气、工业现场、水务、热力、市政管理等领域的综合运营成本，</w:t>
      </w:r>
      <w:r>
        <w:rPr>
          <w:spacing w:val="-94"/>
        </w:rPr>
        <w:t> </w:t>
      </w:r>
      <w:r>
        <w:rPr>
          <w:spacing w:val="-94"/>
        </w:rPr>
      </w:r>
      <w:r>
        <w:rPr/>
        <w:t>实现了较好的效益，解决了行业客户的痛点，同时具备高度的可复制性、延伸性。未来，公司将保持并扩</w:t>
      </w:r>
      <w:r>
        <w:rPr/>
        <w:t> 大产业生态圈优势，稳固公司行业领军地位。</w:t>
      </w:r>
    </w:p>
    <w:p>
      <w:pPr>
        <w:pStyle w:val="BodyText"/>
        <w:spacing w:line="408" w:lineRule="auto"/>
        <w:ind w:left="574" w:right="0"/>
        <w:jc w:val="left"/>
      </w:pPr>
      <w:r>
        <w:rPr>
          <w:rFonts w:ascii="宋体" w:hAnsi="宋体" w:cs="宋体" w:eastAsia="宋体" w:hint="default"/>
        </w:rPr>
        <w:t>2</w:t>
      </w:r>
      <w:r>
        <w:rPr/>
        <w:t>、核心技术优势 </w:t>
      </w:r>
      <w:r>
        <w:rPr>
          <w:spacing w:val="-1"/>
        </w:rPr>
        <w:t>传感器属于物联网感知层的核心技术，公司经过十余年的潜心研发，具备国内领先的气体传感器研发</w:t>
      </w:r>
    </w:p>
    <w:p>
      <w:pPr>
        <w:pStyle w:val="BodyText"/>
        <w:spacing w:line="408" w:lineRule="auto"/>
        <w:ind w:right="1110"/>
        <w:jc w:val="both"/>
      </w:pPr>
      <w:r>
        <w:rPr>
          <w:spacing w:val="-1"/>
        </w:rPr>
        <w:t>和生产技术，可以生产半导体类、催化燃烧类、电化学类、红外光学类等主要种类气体传感器，常年稳居</w:t>
      </w:r>
      <w:r>
        <w:rPr>
          <w:spacing w:val="-83"/>
        </w:rPr>
        <w:t> </w:t>
      </w:r>
      <w:r>
        <w:rPr>
          <w:spacing w:val="-83"/>
        </w:rPr>
      </w:r>
      <w:r>
        <w:rPr>
          <w:spacing w:val="-1"/>
        </w:rPr>
        <w:t>气体传感器领域龙头地位。此外，公司在热释电、压力、流量、水质等传感器方面取得重大研发突破。同</w:t>
      </w:r>
      <w:r>
        <w:rPr>
          <w:spacing w:val="-83"/>
        </w:rPr>
        <w:t> </w:t>
      </w:r>
      <w:r>
        <w:rPr>
          <w:spacing w:val="-83"/>
        </w:rPr>
      </w:r>
      <w:r>
        <w:rPr/>
        <w:t>时，公司将传感器深入到物联网下游应用领域，结合 </w:t>
      </w:r>
      <w:r>
        <w:rPr>
          <w:rFonts w:ascii="宋体" w:hAnsi="宋体" w:cs="宋体" w:eastAsia="宋体" w:hint="default"/>
        </w:rPr>
        <w:t>GIS</w:t>
      </w:r>
      <w:r>
        <w:rPr/>
        <w:t>、</w:t>
      </w:r>
      <w:r>
        <w:rPr>
          <w:rFonts w:ascii="宋体" w:hAnsi="宋体" w:cs="宋体" w:eastAsia="宋体" w:hint="default"/>
        </w:rPr>
        <w:t>SCADA</w:t>
      </w:r>
      <w:r>
        <w:rPr>
          <w:rFonts w:ascii="宋体" w:hAnsi="宋体" w:cs="宋体" w:eastAsia="宋体" w:hint="default"/>
          <w:spacing w:val="-24"/>
        </w:rPr>
        <w:t> </w:t>
      </w:r>
      <w:r>
        <w:rPr/>
        <w:t>等技术组成领先的物联网系统技术，在 </w:t>
      </w:r>
      <w:r>
        <w:rPr>
          <w:spacing w:val="-1"/>
        </w:rPr>
        <w:t>智慧城市、智慧环保、智慧安全等领域进行智慧化升级与改造，迅速改变着生态模式。未来，公司将持续</w:t>
      </w:r>
      <w:r>
        <w:rPr>
          <w:spacing w:val="-83"/>
        </w:rPr>
        <w:t> </w:t>
      </w:r>
      <w:r>
        <w:rPr>
          <w:spacing w:val="-83"/>
        </w:rPr>
      </w:r>
      <w:r>
        <w:rPr/>
        <w:t>保持领先的物联网技术，丰富物联网系统解决方案在多场景的应用，向物联网运营平台的方向持续迈进。</w:t>
      </w:r>
    </w:p>
    <w:p>
      <w:pPr>
        <w:pStyle w:val="BodyText"/>
        <w:spacing w:line="408" w:lineRule="auto"/>
        <w:ind w:left="574" w:right="0"/>
        <w:jc w:val="left"/>
      </w:pPr>
      <w:r>
        <w:rPr>
          <w:rFonts w:ascii="宋体" w:hAnsi="宋体" w:cs="宋体" w:eastAsia="宋体" w:hint="default"/>
        </w:rPr>
        <w:t>3</w:t>
      </w:r>
      <w:r>
        <w:rPr/>
        <w:t>、集团化管控优势 </w:t>
      </w:r>
      <w:r>
        <w:rPr>
          <w:spacing w:val="-1"/>
        </w:rPr>
        <w:t>经过多年的积累与沉淀，公司形成了高效协同的发展格局，协同效应日渐显著，集团化管控体系日臻</w:t>
      </w:r>
    </w:p>
    <w:p>
      <w:pPr>
        <w:pStyle w:val="BodyText"/>
        <w:spacing w:line="408" w:lineRule="auto"/>
        <w:ind w:right="1130"/>
        <w:jc w:val="both"/>
      </w:pPr>
      <w:r>
        <w:rPr>
          <w:spacing w:val="-1"/>
        </w:rPr>
        <w:t>完善。公司以财务委派制度、资金集中管理制度、建设统一采购平台等为手段，对集团内部资源进行有效</w:t>
      </w:r>
      <w:r>
        <w:rPr>
          <w:spacing w:val="-86"/>
        </w:rPr>
        <w:t> </w:t>
      </w:r>
      <w:r>
        <w:rPr>
          <w:spacing w:val="-86"/>
        </w:rPr>
      </w:r>
      <w:r>
        <w:rPr>
          <w:spacing w:val="-1"/>
        </w:rPr>
        <w:t>整合，集合市场、技术、生产采购、人才、资金等资源，降低资源成本，兼并融合，充分发挥资源间的协</w:t>
      </w:r>
      <w:r>
        <w:rPr>
          <w:spacing w:val="-85"/>
        </w:rPr>
        <w:t> </w:t>
      </w:r>
      <w:r>
        <w:rPr>
          <w:spacing w:val="-85"/>
        </w:rPr>
      </w:r>
      <w:r>
        <w:rPr/>
        <w:t>同效应，集团内部合作共赢，实现高质量的发展。</w:t>
      </w:r>
    </w:p>
    <w:p>
      <w:pPr>
        <w:pStyle w:val="BodyText"/>
        <w:spacing w:line="408" w:lineRule="auto"/>
        <w:ind w:left="574" w:right="1115"/>
        <w:jc w:val="left"/>
      </w:pPr>
      <w:r>
        <w:rPr>
          <w:rFonts w:ascii="宋体" w:hAnsi="宋体" w:cs="宋体" w:eastAsia="宋体" w:hint="default"/>
        </w:rPr>
        <w:t>4</w:t>
      </w:r>
      <w:r>
        <w:rPr/>
        <w:t>、品牌优势 </w:t>
      </w:r>
      <w:r>
        <w:rPr>
          <w:spacing w:val="-1"/>
        </w:rPr>
        <w:t>公司布局物联网行业多年，始终注重品牌发展战略，“汉威”商标被评为“中国驰名商标”。公司积</w:t>
      </w:r>
    </w:p>
    <w:p>
      <w:pPr>
        <w:pStyle w:val="BodyText"/>
        <w:spacing w:line="408" w:lineRule="auto"/>
        <w:ind w:right="1131"/>
        <w:jc w:val="both"/>
      </w:pPr>
      <w:r>
        <w:rPr>
          <w:spacing w:val="-1"/>
        </w:rPr>
        <w:t>极利用学术会议和社会组织资源，提升品牌传播效果，进一步提升汉威的行业影响力；同时通过国内外行</w:t>
      </w:r>
      <w:r>
        <w:rPr>
          <w:spacing w:val="-83"/>
        </w:rPr>
        <w:t> </w:t>
      </w:r>
      <w:r>
        <w:rPr>
          <w:spacing w:val="-83"/>
        </w:rPr>
      </w:r>
      <w:r>
        <w:rPr>
          <w:spacing w:val="-1"/>
        </w:rPr>
        <w:t>业展会，宣传公司产品和品牌，提升品牌知名度，市场开拓能力显著增强，实现了品牌创造市场、联合市</w:t>
      </w:r>
      <w:r>
        <w:rPr>
          <w:spacing w:val="-83"/>
        </w:rPr>
        <w:t> </w:t>
      </w:r>
      <w:r>
        <w:rPr>
          <w:spacing w:val="-83"/>
        </w:rPr>
      </w:r>
      <w:r>
        <w:rPr>
          <w:spacing w:val="-1"/>
        </w:rPr>
        <w:t>场和巩固市场的功能。报告期内，公司成功推动第一届世界传感器大会在郑州召开，并成功组织筹办了河</w:t>
      </w:r>
      <w:r>
        <w:rPr>
          <w:spacing w:val="-83"/>
        </w:rPr>
        <w:t> </w:t>
      </w:r>
      <w:r>
        <w:rPr>
          <w:spacing w:val="-83"/>
        </w:rPr>
      </w:r>
      <w:r>
        <w:rPr/>
        <w:t>南省工业互联网创新发展论坛及第 </w:t>
      </w:r>
      <w:r>
        <w:rPr>
          <w:rFonts w:ascii="宋体" w:hAnsi="宋体" w:cs="宋体" w:eastAsia="宋体" w:hint="default"/>
        </w:rPr>
        <w:t>15</w:t>
      </w:r>
      <w:r>
        <w:rPr>
          <w:rFonts w:ascii="宋体" w:hAnsi="宋体" w:cs="宋体" w:eastAsia="宋体" w:hint="default"/>
          <w:spacing w:val="-24"/>
        </w:rPr>
        <w:t> </w:t>
      </w:r>
      <w:r>
        <w:rPr/>
        <w:t>届全国敏感元件与传感器学术会议，有效提升了公司物联网行业领 军企业的形象。</w:t>
      </w:r>
    </w:p>
    <w:p>
      <w:pPr>
        <w:pStyle w:val="BodyText"/>
        <w:spacing w:line="408" w:lineRule="auto"/>
        <w:ind w:left="574" w:right="0"/>
        <w:jc w:val="left"/>
      </w:pPr>
      <w:r>
        <w:rPr>
          <w:rFonts w:ascii="宋体" w:hAnsi="宋体" w:cs="宋体" w:eastAsia="宋体" w:hint="default"/>
        </w:rPr>
        <w:t>5</w:t>
      </w:r>
      <w:r>
        <w:rPr/>
        <w:t>、研发创新优势 </w:t>
      </w:r>
      <w:r>
        <w:rPr>
          <w:spacing w:val="3"/>
        </w:rPr>
        <w:t>公司拥有锐意创新的研发团队，具有独立的设计和开发能力，研发中心获得了“国家级企业技术中</w:t>
      </w:r>
    </w:p>
    <w:p>
      <w:pPr>
        <w:pStyle w:val="BodyText"/>
        <w:spacing w:line="408" w:lineRule="auto"/>
        <w:ind w:left="574" w:right="1116" w:hanging="420"/>
        <w:jc w:val="left"/>
        <w:rPr>
          <w:rFonts w:ascii="宋体" w:hAnsi="宋体" w:cs="宋体" w:eastAsia="宋体" w:hint="default"/>
        </w:rPr>
      </w:pPr>
      <w:r>
        <w:rPr/>
        <w:t>心”认证，在多项应用领域中取得了领先成果，未来经营中将继续加强研发创新能力。 报告期内，公司及子公司新增专利证书</w:t>
      </w:r>
      <w:r>
        <w:rPr>
          <w:spacing w:val="-48"/>
        </w:rPr>
        <w:t> </w:t>
      </w:r>
      <w:r>
        <w:rPr>
          <w:rFonts w:ascii="宋体" w:hAnsi="宋体" w:cs="宋体" w:eastAsia="宋体" w:hint="default"/>
        </w:rPr>
        <w:t>34</w:t>
      </w:r>
      <w:r>
        <w:rPr>
          <w:rFonts w:ascii="宋体" w:hAnsi="宋体" w:cs="宋体" w:eastAsia="宋体" w:hint="default"/>
          <w:spacing w:val="-48"/>
        </w:rPr>
        <w:t> </w:t>
      </w:r>
      <w:r>
        <w:rPr/>
        <w:t>项，其中发明专利</w:t>
      </w:r>
      <w:r>
        <w:rPr>
          <w:spacing w:val="-49"/>
        </w:rPr>
        <w:t> </w:t>
      </w:r>
      <w:r>
        <w:rPr>
          <w:rFonts w:ascii="宋体" w:hAnsi="宋体" w:cs="宋体" w:eastAsia="宋体" w:hint="default"/>
        </w:rPr>
        <w:t>4</w:t>
      </w:r>
      <w:r>
        <w:rPr>
          <w:rFonts w:ascii="宋体" w:hAnsi="宋体" w:cs="宋体" w:eastAsia="宋体" w:hint="default"/>
          <w:spacing w:val="-48"/>
        </w:rPr>
        <w:t> </w:t>
      </w:r>
      <w:r>
        <w:rPr/>
        <w:t>项，实用新型专利</w:t>
      </w:r>
      <w:r>
        <w:rPr>
          <w:spacing w:val="-49"/>
        </w:rPr>
        <w:t> </w:t>
      </w:r>
      <w:r>
        <w:rPr>
          <w:rFonts w:ascii="宋体" w:hAnsi="宋体" w:cs="宋体" w:eastAsia="宋体" w:hint="default"/>
        </w:rPr>
        <w:t>25</w:t>
      </w:r>
      <w:r>
        <w:rPr>
          <w:rFonts w:ascii="宋体" w:hAnsi="宋体" w:cs="宋体" w:eastAsia="宋体" w:hint="default"/>
          <w:spacing w:val="-48"/>
        </w:rPr>
        <w:t> </w:t>
      </w:r>
      <w:r>
        <w:rPr/>
        <w:t>项，外观设计</w:t>
      </w:r>
      <w:r>
        <w:rPr>
          <w:spacing w:val="-49"/>
        </w:rPr>
        <w:t> </w:t>
      </w:r>
      <w:r>
        <w:rPr>
          <w:rFonts w:ascii="宋体" w:hAnsi="宋体" w:cs="宋体" w:eastAsia="宋体" w:hint="default"/>
        </w:rPr>
        <w:t>5</w:t>
      </w:r>
    </w:p>
    <w:p>
      <w:pPr>
        <w:spacing w:after="0" w:line="408"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项；新增计算机软件著作权</w:t>
      </w:r>
      <w:r>
        <w:rPr>
          <w:spacing w:val="-53"/>
        </w:rPr>
        <w:t> </w:t>
      </w:r>
      <w:r>
        <w:rPr>
          <w:rFonts w:ascii="宋体" w:hAnsi="宋体" w:cs="宋体" w:eastAsia="宋体" w:hint="default"/>
        </w:rPr>
        <w:t>41</w:t>
      </w:r>
      <w:r>
        <w:rPr>
          <w:rFonts w:ascii="宋体" w:hAnsi="宋体" w:cs="宋体" w:eastAsia="宋体" w:hint="default"/>
          <w:spacing w:val="-53"/>
        </w:rPr>
        <w:t> </w:t>
      </w:r>
      <w:r>
        <w:rPr/>
        <w:t>项。</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1</w:t>
      </w:r>
      <w:r>
        <w:rPr/>
        <w:t>）报告期内，公司及子公司新增专利证书如下：</w:t>
      </w:r>
    </w:p>
    <w:p>
      <w:pPr>
        <w:spacing w:line="240" w:lineRule="auto" w:before="4"/>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95"/>
        <w:gridCol w:w="1560"/>
        <w:gridCol w:w="3970"/>
        <w:gridCol w:w="851"/>
        <w:gridCol w:w="993"/>
        <w:gridCol w:w="850"/>
        <w:gridCol w:w="1046"/>
      </w:tblGrid>
      <w:tr>
        <w:trPr>
          <w:trHeight w:val="329" w:hRule="exact"/>
        </w:trPr>
        <w:tc>
          <w:tcPr>
            <w:tcW w:w="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502"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56"/>
              <w:jc w:val="right"/>
              <w:rPr>
                <w:rFonts w:ascii="宋体" w:hAnsi="宋体" w:cs="宋体" w:eastAsia="宋体" w:hint="default"/>
                <w:sz w:val="18"/>
                <w:szCs w:val="18"/>
              </w:rPr>
            </w:pPr>
            <w:r>
              <w:rPr>
                <w:rFonts w:ascii="宋体" w:hAnsi="宋体" w:cs="宋体" w:eastAsia="宋体" w:hint="default"/>
                <w:sz w:val="18"/>
                <w:szCs w:val="18"/>
              </w:rPr>
              <w:t>专利类型</w:t>
            </w:r>
          </w:p>
        </w:tc>
        <w:tc>
          <w:tcPr>
            <w:tcW w:w="9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218"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10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54" w:right="0"/>
              <w:jc w:val="left"/>
              <w:rPr>
                <w:rFonts w:ascii="宋体" w:hAnsi="宋体" w:cs="宋体" w:eastAsia="宋体" w:hint="default"/>
                <w:sz w:val="18"/>
                <w:szCs w:val="18"/>
              </w:rPr>
            </w:pPr>
            <w:r>
              <w:rPr>
                <w:rFonts w:ascii="宋体" w:hAnsi="宋体" w:cs="宋体" w:eastAsia="宋体" w:hint="default"/>
                <w:sz w:val="18"/>
                <w:szCs w:val="18"/>
              </w:rPr>
              <w:t>专利权人</w:t>
            </w:r>
          </w:p>
        </w:tc>
      </w:tr>
      <w:tr>
        <w:trPr>
          <w:trHeight w:val="428"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CN201820157706</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基于蜂窝网络的液化气钢瓶追踪管理系统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4"/>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2018-1-30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201510327843.7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管道气体泄漏检测装置及其检测方法</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18" w:right="0"/>
              <w:jc w:val="left"/>
              <w:rPr>
                <w:rFonts w:ascii="宋体" w:hAnsi="宋体" w:cs="宋体" w:eastAsia="宋体" w:hint="default"/>
                <w:sz w:val="20"/>
                <w:szCs w:val="20"/>
              </w:rPr>
            </w:pPr>
            <w:r>
              <w:rPr>
                <w:rFonts w:ascii="宋体" w:hAnsi="宋体" w:cs="宋体" w:eastAsia="宋体" w:hint="default"/>
                <w:sz w:val="20"/>
                <w:szCs w:val="20"/>
              </w:rPr>
              <w:t>发明</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2015-6-15</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201610231275.5</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因长期冷置而漂移的传感器显示修正方法</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18" w:right="0"/>
              <w:jc w:val="left"/>
              <w:rPr>
                <w:rFonts w:ascii="宋体" w:hAnsi="宋体" w:cs="宋体" w:eastAsia="宋体" w:hint="default"/>
                <w:sz w:val="20"/>
                <w:szCs w:val="20"/>
              </w:rPr>
            </w:pPr>
            <w:r>
              <w:rPr>
                <w:rFonts w:ascii="宋体" w:hAnsi="宋体" w:cs="宋体" w:eastAsia="宋体" w:hint="default"/>
                <w:sz w:val="20"/>
                <w:szCs w:val="20"/>
              </w:rPr>
              <w:t>发明</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2016-4-14</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6"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201720669886.8</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具备自动标定功能的酒精检测仪</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2017-6-10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739"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201720669892.3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4"/>
              <w:jc w:val="left"/>
              <w:rPr>
                <w:rFonts w:ascii="宋体" w:hAnsi="宋体" w:cs="宋体" w:eastAsia="宋体" w:hint="default"/>
                <w:sz w:val="20"/>
                <w:szCs w:val="20"/>
              </w:rPr>
            </w:pPr>
            <w:r>
              <w:rPr>
                <w:rFonts w:ascii="宋体" w:hAnsi="宋体" w:cs="宋体" w:eastAsia="宋体" w:hint="default"/>
                <w:spacing w:val="6"/>
                <w:sz w:val="20"/>
                <w:szCs w:val="20"/>
              </w:rPr>
              <w:t>一种带夜灯及室内环境监测功能的健康看护</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设备</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2017-6-10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201720764755.8</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离子液体电化学气体传感器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2017-6-28</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201730299860.4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多通道光纤气体检测探头</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hAnsi="宋体" w:cs="宋体" w:eastAsia="宋体" w:hint="default"/>
                <w:sz w:val="20"/>
                <w:szCs w:val="20"/>
              </w:rPr>
              <w:t>外观设计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2017-7-10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201730299764.X</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多通道光纤气体检测仪</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hAnsi="宋体" w:cs="宋体" w:eastAsia="宋体" w:hint="default"/>
                <w:sz w:val="20"/>
                <w:szCs w:val="20"/>
              </w:rPr>
              <w:t>外观设计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2017-7-10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201730405905.1</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手持式环境质量检测仪</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4"/>
              <w:jc w:val="right"/>
              <w:rPr>
                <w:rFonts w:ascii="宋体" w:hAnsi="宋体" w:cs="宋体" w:eastAsia="宋体" w:hint="default"/>
                <w:sz w:val="20"/>
                <w:szCs w:val="20"/>
              </w:rPr>
            </w:pPr>
            <w:r>
              <w:rPr>
                <w:rFonts w:ascii="宋体" w:hAnsi="宋体" w:cs="宋体" w:eastAsia="宋体" w:hint="default"/>
                <w:sz w:val="20"/>
                <w:szCs w:val="20"/>
              </w:rPr>
              <w:t>外观设计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2017-8-30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6"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201730406431.2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呼出型气体酒精含量检测仪</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20"/>
                <w:szCs w:val="20"/>
              </w:rPr>
            </w:pPr>
            <w:r>
              <w:rPr>
                <w:rFonts w:ascii="宋体" w:hAnsi="宋体" w:cs="宋体" w:eastAsia="宋体" w:hint="default"/>
                <w:sz w:val="20"/>
                <w:szCs w:val="20"/>
              </w:rPr>
              <w:t>外观设计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2017-8-30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201721845605.6</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一种垃圾渗滤液膜过滤浓缩液处理装置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2017-12-26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15"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201721887802.4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一种用于垃圾渗滤液生化处理的曝气装置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2017-12-28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428"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Times New Roman" w:hAnsi="Times New Roman" w:cs="Times New Roman" w:eastAsia="Times New Roman" w:hint="default"/>
                <w:sz w:val="20"/>
                <w:szCs w:val="20"/>
              </w:rPr>
            </w:pPr>
            <w:r>
              <w:rPr>
                <w:rFonts w:ascii="Times New Roman"/>
                <w:sz w:val="20"/>
              </w:rPr>
              <w:t>201721845110.3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一种可降低</w:t>
            </w:r>
            <w:r>
              <w:rPr>
                <w:rFonts w:ascii="Times New Roman" w:hAnsi="Times New Roman" w:cs="Times New Roman" w:eastAsia="Times New Roman" w:hint="default"/>
                <w:sz w:val="20"/>
                <w:szCs w:val="20"/>
              </w:rPr>
              <w:t>NOx</w:t>
            </w:r>
            <w:r>
              <w:rPr>
                <w:rFonts w:ascii="宋体" w:hAnsi="宋体" w:cs="宋体" w:eastAsia="宋体" w:hint="default"/>
                <w:sz w:val="20"/>
                <w:szCs w:val="20"/>
              </w:rPr>
              <w:t>浓度的蓄热式焚烧设备</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right"/>
              <w:rPr>
                <w:rFonts w:ascii="Times New Roman" w:hAnsi="Times New Roman" w:cs="Times New Roman" w:eastAsia="Times New Roman" w:hint="default"/>
                <w:sz w:val="20"/>
                <w:szCs w:val="20"/>
              </w:rPr>
            </w:pPr>
            <w:r>
              <w:rPr>
                <w:rFonts w:ascii="Times New Roman"/>
                <w:spacing w:val="-1"/>
                <w:sz w:val="20"/>
              </w:rPr>
              <w:t>2017-12-26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201721855607.3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一种有机废气高效除湿过滤装置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2017-12-26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201721845016.8</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一种大风量低浓度有机废气处理装置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2017-12-26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426"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201721845672.8</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一种用于</w:t>
            </w:r>
            <w:r>
              <w:rPr>
                <w:rFonts w:ascii="Times New Roman" w:hAnsi="Times New Roman" w:cs="Times New Roman" w:eastAsia="Times New Roman" w:hint="default"/>
                <w:sz w:val="20"/>
                <w:szCs w:val="20"/>
              </w:rPr>
              <w:t>IC</w:t>
            </w:r>
            <w:r>
              <w:rPr>
                <w:rFonts w:ascii="宋体" w:hAnsi="宋体" w:cs="宋体" w:eastAsia="宋体" w:hint="default"/>
                <w:sz w:val="20"/>
                <w:szCs w:val="20"/>
              </w:rPr>
              <w:t>厌氧反应器的高效气液分离装置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2017-12-26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5" w:right="0"/>
              <w:jc w:val="left"/>
              <w:rPr>
                <w:rFonts w:ascii="宋体" w:hAnsi="宋体" w:cs="宋体" w:eastAsia="宋体" w:hint="default"/>
                <w:sz w:val="20"/>
                <w:szCs w:val="20"/>
              </w:rPr>
            </w:pPr>
            <w:r>
              <w:rPr>
                <w:rFonts w:ascii="宋体" w:hAnsi="宋体" w:cs="宋体" w:eastAsia="宋体" w:hint="default"/>
                <w:sz w:val="20"/>
                <w:szCs w:val="20"/>
              </w:rPr>
              <w:t>福建恒嘉</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201721895280.2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一种侧进式搅拌的厌氧反应器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2017-12-29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福建恒嘉</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201721859787.2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一种烘干车间有机废气治理装置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2017-12-27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福建恒嘉</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201510996721.7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渗滤液厌氧反应器的进水配水系统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18" w:right="0"/>
              <w:jc w:val="left"/>
              <w:rPr>
                <w:rFonts w:ascii="宋体" w:hAnsi="宋体" w:cs="宋体" w:eastAsia="宋体" w:hint="default"/>
                <w:sz w:val="20"/>
                <w:szCs w:val="20"/>
              </w:rPr>
            </w:pPr>
            <w:r>
              <w:rPr>
                <w:rFonts w:ascii="宋体" w:hAnsi="宋体" w:cs="宋体" w:eastAsia="宋体" w:hint="default"/>
                <w:sz w:val="20"/>
                <w:szCs w:val="20"/>
              </w:rPr>
              <w:t>发明</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2015-12-28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福建恒嘉</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201710001304.3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一种有机废气的冷凝回收溶剂装置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18" w:right="0"/>
              <w:jc w:val="left"/>
              <w:rPr>
                <w:rFonts w:ascii="宋体" w:hAnsi="宋体" w:cs="宋体" w:eastAsia="宋体" w:hint="default"/>
                <w:sz w:val="20"/>
                <w:szCs w:val="20"/>
              </w:rPr>
            </w:pPr>
            <w:r>
              <w:rPr>
                <w:rFonts w:ascii="宋体" w:hAnsi="宋体" w:cs="宋体" w:eastAsia="宋体" w:hint="default"/>
                <w:sz w:val="20"/>
                <w:szCs w:val="20"/>
              </w:rPr>
              <w:t>发明</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20"/>
                <w:szCs w:val="20"/>
              </w:rPr>
            </w:pPr>
            <w:r>
              <w:rPr>
                <w:rFonts w:ascii="Times New Roman"/>
                <w:spacing w:val="-1"/>
                <w:sz w:val="20"/>
              </w:rPr>
              <w:t>2017-1-3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201820902625.0</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一种新型水质在线监测设备用液体计量系统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2018-6-12</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15" w:right="0"/>
              <w:jc w:val="left"/>
              <w:rPr>
                <w:rFonts w:ascii="宋体" w:hAnsi="宋体" w:cs="宋体" w:eastAsia="宋体" w:hint="default"/>
                <w:sz w:val="20"/>
                <w:szCs w:val="20"/>
              </w:rPr>
            </w:pPr>
            <w:r>
              <w:rPr>
                <w:rFonts w:ascii="宋体" w:hAnsi="宋体" w:cs="宋体" w:eastAsia="宋体" w:hint="default"/>
                <w:sz w:val="20"/>
                <w:szCs w:val="20"/>
              </w:rPr>
              <w:t>沈阳汉威</w:t>
            </w:r>
          </w:p>
        </w:tc>
      </w:tr>
      <w:tr>
        <w:trPr>
          <w:trHeight w:val="426"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201820902521.X</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一种新型气相色谱仪用气化室</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2018-6-12</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5" w:right="0"/>
              <w:jc w:val="left"/>
              <w:rPr>
                <w:rFonts w:ascii="宋体" w:hAnsi="宋体" w:cs="宋体" w:eastAsia="宋体" w:hint="default"/>
                <w:sz w:val="20"/>
                <w:szCs w:val="20"/>
              </w:rPr>
            </w:pPr>
            <w:r>
              <w:rPr>
                <w:rFonts w:ascii="宋体" w:hAnsi="宋体" w:cs="宋体" w:eastAsia="宋体" w:hint="default"/>
                <w:sz w:val="20"/>
                <w:szCs w:val="20"/>
              </w:rPr>
              <w:t>沈阳汉威</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201820902690.3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一种气相色谱仪柱室快速降温装置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2018-6-12</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沈阳汉威</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201830357899.1</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水质在线分析仪</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外观专利</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20"/>
                <w:szCs w:val="20"/>
              </w:rPr>
            </w:pPr>
            <w:r>
              <w:rPr>
                <w:rFonts w:ascii="Times New Roman"/>
                <w:spacing w:val="-1"/>
                <w:sz w:val="20"/>
              </w:rPr>
              <w:t>2018-7-5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沈阳汉威</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201720689760.7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一种电烙铁自动保护系统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2017-6-14</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炜盛科技</w:t>
            </w:r>
          </w:p>
        </w:tc>
      </w:tr>
      <w:tr>
        <w:trPr>
          <w:trHeight w:val="428"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201720690778.9</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防止电池燃烧的预警系统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2017-6-14</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炜盛科技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201721203078.9</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基于钠超离子导体层的固体电解质氧传感器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2017-9-20</w:t>
            </w:r>
            <w:r>
              <w:rPr>
                <w:rFonts w:ascii="Times New Roman"/>
                <w:sz w:val="20"/>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15" w:right="0"/>
              <w:jc w:val="left"/>
              <w:rPr>
                <w:rFonts w:ascii="宋体" w:hAnsi="宋体" w:cs="宋体" w:eastAsia="宋体" w:hint="default"/>
                <w:sz w:val="20"/>
                <w:szCs w:val="20"/>
              </w:rPr>
            </w:pPr>
            <w:r>
              <w:rPr>
                <w:rFonts w:ascii="宋体" w:hAnsi="宋体" w:cs="宋体" w:eastAsia="宋体" w:hint="default"/>
                <w:sz w:val="20"/>
                <w:szCs w:val="20"/>
              </w:rPr>
              <w:t>炜盛科技</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201721321871.9</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MEMS</w:t>
            </w:r>
            <w:r>
              <w:rPr>
                <w:rFonts w:ascii="宋体" w:hAnsi="宋体" w:cs="宋体" w:eastAsia="宋体" w:hint="default"/>
                <w:sz w:val="20"/>
                <w:szCs w:val="20"/>
              </w:rPr>
              <w:t>气敏元件及模组的陶瓷封装</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2017-10-14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5" w:right="0"/>
              <w:jc w:val="left"/>
              <w:rPr>
                <w:rFonts w:ascii="宋体" w:hAnsi="宋体" w:cs="宋体" w:eastAsia="宋体" w:hint="default"/>
                <w:sz w:val="20"/>
                <w:szCs w:val="20"/>
              </w:rPr>
            </w:pPr>
            <w:r>
              <w:rPr>
                <w:rFonts w:ascii="宋体" w:hAnsi="宋体" w:cs="宋体" w:eastAsia="宋体" w:hint="default"/>
                <w:sz w:val="20"/>
                <w:szCs w:val="20"/>
              </w:rPr>
              <w:t>炜盛科技</w:t>
            </w:r>
          </w:p>
        </w:tc>
      </w:tr>
    </w:tbl>
    <w:p>
      <w:pPr>
        <w:spacing w:after="0" w:line="240"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5"/>
        <w:gridCol w:w="1560"/>
        <w:gridCol w:w="3970"/>
        <w:gridCol w:w="851"/>
        <w:gridCol w:w="993"/>
        <w:gridCol w:w="850"/>
        <w:gridCol w:w="1046"/>
      </w:tblGrid>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201720241016.0</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一种红外火焰探测器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38" w:right="0"/>
              <w:jc w:val="center"/>
              <w:rPr>
                <w:rFonts w:ascii="Times New Roman" w:hAnsi="Times New Roman" w:cs="Times New Roman" w:eastAsia="Times New Roman" w:hint="default"/>
                <w:sz w:val="20"/>
                <w:szCs w:val="20"/>
              </w:rPr>
            </w:pPr>
            <w:r>
              <w:rPr>
                <w:rFonts w:ascii="Times New Roman"/>
                <w:sz w:val="20"/>
              </w:rPr>
              <w:t>2017-3-13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上海英吉森</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201720242180.3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一种四频谱的红外火焰探测器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38" w:right="0"/>
              <w:jc w:val="center"/>
              <w:rPr>
                <w:rFonts w:ascii="Times New Roman" w:hAnsi="Times New Roman" w:cs="Times New Roman" w:eastAsia="Times New Roman" w:hint="default"/>
                <w:sz w:val="20"/>
                <w:szCs w:val="20"/>
              </w:rPr>
            </w:pPr>
            <w:r>
              <w:rPr>
                <w:rFonts w:ascii="Times New Roman"/>
                <w:sz w:val="20"/>
              </w:rPr>
              <w:t>2017-3-13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上海英吉森</w:t>
            </w:r>
          </w:p>
        </w:tc>
      </w:tr>
      <w:tr>
        <w:trPr>
          <w:trHeight w:val="426"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sz w:val="20"/>
              </w:rPr>
              <w:t>201721200971.6</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一种节能调储二次供水系统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38" w:right="0"/>
              <w:jc w:val="center"/>
              <w:rPr>
                <w:rFonts w:ascii="Times New Roman" w:hAnsi="Times New Roman" w:cs="Times New Roman" w:eastAsia="Times New Roman" w:hint="default"/>
                <w:sz w:val="20"/>
                <w:szCs w:val="20"/>
              </w:rPr>
            </w:pPr>
            <w:r>
              <w:rPr>
                <w:rFonts w:ascii="Times New Roman"/>
                <w:sz w:val="20"/>
              </w:rPr>
              <w:t>2017-9-19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广东龙泉</w:t>
            </w:r>
          </w:p>
        </w:tc>
      </w:tr>
      <w:tr>
        <w:trPr>
          <w:trHeight w:val="428"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Times New Roman" w:hAnsi="Times New Roman" w:cs="Times New Roman" w:eastAsia="Times New Roman" w:hint="default"/>
                <w:sz w:val="20"/>
                <w:szCs w:val="20"/>
              </w:rPr>
            </w:pPr>
            <w:r>
              <w:rPr>
                <w:rFonts w:ascii="Times New Roman"/>
                <w:sz w:val="20"/>
              </w:rPr>
              <w:t>201721207600.0</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水管网监测设备</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38" w:right="0"/>
              <w:jc w:val="center"/>
              <w:rPr>
                <w:rFonts w:ascii="Times New Roman" w:hAnsi="Times New Roman" w:cs="Times New Roman" w:eastAsia="Times New Roman" w:hint="default"/>
                <w:sz w:val="20"/>
                <w:szCs w:val="20"/>
              </w:rPr>
            </w:pPr>
            <w:r>
              <w:rPr>
                <w:rFonts w:ascii="Times New Roman"/>
                <w:sz w:val="20"/>
              </w:rPr>
              <w:t>2017-9-20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广东龙泉</w:t>
            </w:r>
          </w:p>
        </w:tc>
      </w:tr>
      <w:tr>
        <w:trPr>
          <w:trHeight w:val="427"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201721252175.7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光伏发电智能采集装置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38" w:right="0"/>
              <w:jc w:val="center"/>
              <w:rPr>
                <w:rFonts w:ascii="Times New Roman" w:hAnsi="Times New Roman" w:cs="Times New Roman" w:eastAsia="Times New Roman" w:hint="default"/>
                <w:sz w:val="20"/>
                <w:szCs w:val="20"/>
              </w:rPr>
            </w:pPr>
            <w:r>
              <w:rPr>
                <w:rFonts w:ascii="Times New Roman"/>
                <w:sz w:val="20"/>
              </w:rPr>
              <w:t>2017-9-27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广东龙泉</w:t>
            </w:r>
          </w:p>
        </w:tc>
      </w:tr>
      <w:tr>
        <w:trPr>
          <w:trHeight w:val="739" w:hRule="exact"/>
        </w:trPr>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201721404567.0</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4"/>
              <w:jc w:val="left"/>
              <w:rPr>
                <w:rFonts w:ascii="宋体" w:hAnsi="宋体" w:cs="宋体" w:eastAsia="宋体" w:hint="default"/>
                <w:sz w:val="20"/>
                <w:szCs w:val="20"/>
              </w:rPr>
            </w:pPr>
            <w:r>
              <w:rPr>
                <w:rFonts w:ascii="宋体" w:hAnsi="宋体" w:cs="宋体" w:eastAsia="宋体" w:hint="default"/>
                <w:spacing w:val="6"/>
                <w:sz w:val="20"/>
                <w:szCs w:val="20"/>
              </w:rPr>
              <w:t>供水管道控制设备及带有该设备的供水管网</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互联控制系统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8" w:right="0"/>
              <w:jc w:val="center"/>
              <w:rPr>
                <w:rFonts w:ascii="Times New Roman" w:hAnsi="Times New Roman" w:cs="Times New Roman" w:eastAsia="Times New Roman" w:hint="default"/>
                <w:sz w:val="20"/>
                <w:szCs w:val="20"/>
              </w:rPr>
            </w:pPr>
            <w:r>
              <w:rPr>
                <w:rFonts w:ascii="Times New Roman"/>
                <w:sz w:val="20"/>
              </w:rPr>
              <w:t>2017-10-27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广东龙泉</w:t>
            </w:r>
          </w:p>
        </w:tc>
      </w:tr>
    </w:tbl>
    <w:p>
      <w:pPr>
        <w:pStyle w:val="BodyText"/>
        <w:spacing w:line="240" w:lineRule="auto" w:before="63"/>
        <w:ind w:left="574" w:right="0"/>
        <w:jc w:val="left"/>
      </w:pPr>
      <w:r>
        <w:rPr/>
        <w:t>（</w:t>
      </w:r>
      <w:r>
        <w:rPr>
          <w:rFonts w:ascii="宋体" w:hAnsi="宋体" w:cs="宋体" w:eastAsia="宋体" w:hint="default"/>
        </w:rPr>
        <w:t>2</w:t>
      </w:r>
      <w:r>
        <w:rPr/>
        <w:t>）报告期内，公司及子公司新增软件著作权情况：</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92"/>
        <w:gridCol w:w="3686"/>
        <w:gridCol w:w="1277"/>
        <w:gridCol w:w="991"/>
        <w:gridCol w:w="852"/>
        <w:gridCol w:w="850"/>
        <w:gridCol w:w="1610"/>
      </w:tblGrid>
      <w:tr>
        <w:trPr>
          <w:trHeight w:val="347" w:hRule="exact"/>
        </w:trPr>
        <w:tc>
          <w:tcPr>
            <w:tcW w:w="392"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686"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著作权名称</w:t>
            </w:r>
          </w:p>
        </w:tc>
        <w:tc>
          <w:tcPr>
            <w:tcW w:w="1277"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著作权号</w:t>
            </w:r>
          </w:p>
        </w:tc>
        <w:tc>
          <w:tcPr>
            <w:tcW w:w="991"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1"/>
              <w:ind w:left="218"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852"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850"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610"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所有权人</w:t>
            </w:r>
          </w:p>
        </w:tc>
      </w:tr>
      <w:tr>
        <w:trPr>
          <w:trHeight w:val="357" w:hRule="exact"/>
        </w:trPr>
        <w:tc>
          <w:tcPr>
            <w:tcW w:w="392"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1</w:t>
            </w:r>
          </w:p>
        </w:tc>
        <w:tc>
          <w:tcPr>
            <w:tcW w:w="3686"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汉威安全可燃气体报警控制器软件</w:t>
            </w:r>
          </w:p>
        </w:tc>
        <w:tc>
          <w:tcPr>
            <w:tcW w:w="1277"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2018SR810902</w:t>
            </w:r>
          </w:p>
        </w:tc>
        <w:tc>
          <w:tcPr>
            <w:tcW w:w="991"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2018-1-8</w:t>
            </w:r>
          </w:p>
        </w:tc>
        <w:tc>
          <w:tcPr>
            <w:tcW w:w="852"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2</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汉威安全便携式气体检测报警仪软件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2018SR808824</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2017-4-18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744"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3</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汉威安全测量范围为</w:t>
            </w:r>
            <w:r>
              <w:rPr>
                <w:rFonts w:ascii="Times New Roman" w:hAnsi="Times New Roman" w:cs="Times New Roman" w:eastAsia="Times New Roman" w:hint="default"/>
                <w:sz w:val="20"/>
                <w:szCs w:val="20"/>
              </w:rPr>
              <w:t>0-100%LEL</w:t>
            </w:r>
            <w:r>
              <w:rPr>
                <w:rFonts w:ascii="宋体" w:hAnsi="宋体" w:cs="宋体" w:eastAsia="宋体" w:hint="default"/>
                <w:sz w:val="20"/>
                <w:szCs w:val="20"/>
              </w:rPr>
              <w:t>的点型可</w:t>
            </w:r>
            <w:r>
              <w:rPr>
                <w:rFonts w:ascii="宋体" w:hAnsi="宋体" w:cs="宋体" w:eastAsia="宋体" w:hint="default"/>
                <w:spacing w:val="-43"/>
                <w:sz w:val="20"/>
                <w:szCs w:val="20"/>
              </w:rPr>
              <w:t> </w:t>
            </w:r>
            <w:r>
              <w:rPr>
                <w:rFonts w:ascii="宋体" w:hAnsi="宋体" w:cs="宋体" w:eastAsia="宋体" w:hint="default"/>
                <w:spacing w:val="-43"/>
                <w:sz w:val="20"/>
                <w:szCs w:val="20"/>
              </w:rPr>
            </w:r>
            <w:r>
              <w:rPr>
                <w:rFonts w:ascii="宋体" w:hAnsi="宋体" w:cs="宋体" w:eastAsia="宋体" w:hint="default"/>
                <w:sz w:val="20"/>
                <w:szCs w:val="20"/>
              </w:rPr>
              <w:t>燃气体探测器软件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2018SR808053</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744"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4</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汉威安全测量范围为</w:t>
            </w:r>
            <w:r>
              <w:rPr>
                <w:rFonts w:ascii="Times New Roman" w:hAnsi="Times New Roman" w:cs="Times New Roman" w:eastAsia="Times New Roman" w:hint="default"/>
                <w:sz w:val="20"/>
                <w:szCs w:val="20"/>
              </w:rPr>
              <w:t>0-100%LEL</w:t>
            </w:r>
            <w:r>
              <w:rPr>
                <w:rFonts w:ascii="宋体" w:hAnsi="宋体" w:cs="宋体" w:eastAsia="宋体" w:hint="default"/>
                <w:sz w:val="20"/>
                <w:szCs w:val="20"/>
              </w:rPr>
              <w:t>的便携式</w:t>
            </w:r>
            <w:r>
              <w:rPr>
                <w:rFonts w:ascii="宋体" w:hAnsi="宋体" w:cs="宋体" w:eastAsia="宋体" w:hint="default"/>
                <w:spacing w:val="-43"/>
                <w:sz w:val="20"/>
                <w:szCs w:val="20"/>
              </w:rPr>
              <w:t> </w:t>
            </w:r>
            <w:r>
              <w:rPr>
                <w:rFonts w:ascii="宋体" w:hAnsi="宋体" w:cs="宋体" w:eastAsia="宋体" w:hint="default"/>
                <w:spacing w:val="-43"/>
                <w:sz w:val="20"/>
                <w:szCs w:val="20"/>
              </w:rPr>
            </w:r>
            <w:r>
              <w:rPr>
                <w:rFonts w:ascii="宋体" w:hAnsi="宋体" w:cs="宋体" w:eastAsia="宋体" w:hint="default"/>
                <w:sz w:val="20"/>
                <w:szCs w:val="20"/>
              </w:rPr>
              <w:t>可燃气体探测器软件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2018SR808051</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2018-3-18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5</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汉威安全固定式气体检测报警仪软件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2018SR807098</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6</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汉威安全便携式多种气体检测报警仪软件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2018SR807961</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2018-3-18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汉威智慧安</w:t>
            </w:r>
          </w:p>
        </w:tc>
      </w:tr>
      <w:tr>
        <w:trPr>
          <w:trHeight w:val="744"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7</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46"/>
              <w:ind w:left="2" w:right="4"/>
              <w:jc w:val="left"/>
              <w:rPr>
                <w:rFonts w:ascii="宋体" w:hAnsi="宋体" w:cs="宋体" w:eastAsia="宋体" w:hint="default"/>
                <w:sz w:val="20"/>
                <w:szCs w:val="20"/>
              </w:rPr>
            </w:pPr>
            <w:r>
              <w:rPr>
                <w:rFonts w:ascii="宋体" w:hAnsi="宋体" w:cs="宋体" w:eastAsia="宋体" w:hint="default"/>
                <w:spacing w:val="2"/>
                <w:sz w:val="20"/>
                <w:szCs w:val="20"/>
              </w:rPr>
              <w:t>汉威智慧园区安全环保应急一体化综合信</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息平台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2018SR448808</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8</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汉威在线监测联网备查系统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2018SR545206</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9</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汉威智慧园区综合信息平台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2018SR544452</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2017-3-10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744"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46"/>
              <w:ind w:left="2" w:right="4"/>
              <w:jc w:val="left"/>
              <w:rPr>
                <w:rFonts w:ascii="宋体" w:hAnsi="宋体" w:cs="宋体" w:eastAsia="宋体" w:hint="default"/>
                <w:sz w:val="20"/>
                <w:szCs w:val="20"/>
              </w:rPr>
            </w:pPr>
            <w:r>
              <w:rPr>
                <w:rFonts w:ascii="宋体" w:hAnsi="宋体" w:cs="宋体" w:eastAsia="宋体" w:hint="default"/>
                <w:spacing w:val="2"/>
                <w:sz w:val="20"/>
                <w:szCs w:val="20"/>
              </w:rPr>
              <w:t>汉威安全风险分级管控与事故隐患排查治</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理系统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2018SR544964</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2017-4-10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11</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汉威安全生产监管</w:t>
            </w:r>
            <w:r>
              <w:rPr>
                <w:rFonts w:ascii="Times New Roman" w:hAnsi="Times New Roman" w:cs="Times New Roman" w:eastAsia="Times New Roman" w:hint="default"/>
                <w:sz w:val="20"/>
                <w:szCs w:val="20"/>
              </w:rPr>
              <w:t>GIS</w:t>
            </w:r>
            <w:r>
              <w:rPr>
                <w:rFonts w:ascii="宋体" w:hAnsi="宋体" w:cs="宋体" w:eastAsia="宋体" w:hint="default"/>
                <w:sz w:val="20"/>
                <w:szCs w:val="20"/>
              </w:rPr>
              <w:t>一张图平台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2018SR544955</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2017-5-10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12</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汉威安全云综合信息服务平台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2018SR544932</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2016-11-20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13</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汉威安全生产监管综合信息平台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2018SR544795</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2017-6-10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14</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汉威企业安全生产标准化管理系统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2018SR545766</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2017-7-10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15</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汉威企业诚信评价分级管控系统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2018SR545758</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744"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16</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46"/>
              <w:ind w:left="2" w:right="4"/>
              <w:jc w:val="left"/>
              <w:rPr>
                <w:rFonts w:ascii="宋体" w:hAnsi="宋体" w:cs="宋体" w:eastAsia="宋体" w:hint="default"/>
                <w:sz w:val="20"/>
                <w:szCs w:val="20"/>
              </w:rPr>
            </w:pPr>
            <w:r>
              <w:rPr>
                <w:rFonts w:ascii="宋体" w:hAnsi="宋体" w:cs="宋体" w:eastAsia="宋体" w:hint="default"/>
                <w:spacing w:val="2"/>
                <w:sz w:val="20"/>
                <w:szCs w:val="20"/>
              </w:rPr>
              <w:t>汉威安全生产监管移动执法及隐患排查系</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2018SR544776</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17</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汉威安全生产监管移动端软件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2018SR544478</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2017-10-10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汉威智慧安全</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18</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燃气安全信息化管理平台</w:t>
            </w:r>
            <w:r>
              <w:rPr>
                <w:rFonts w:ascii="Times New Roman" w:hAnsi="Times New Roman" w:cs="Times New Roman" w:eastAsia="Times New Roman" w:hint="default"/>
                <w:sz w:val="20"/>
                <w:szCs w:val="20"/>
              </w:rPr>
              <w:t>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2018SR002432</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2017-2-20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19</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燃气安全信息化管理平台</w:t>
            </w:r>
            <w:r>
              <w:rPr>
                <w:rFonts w:ascii="Times New Roman" w:hAnsi="Times New Roman" w:cs="Times New Roman" w:eastAsia="Times New Roman" w:hint="default"/>
                <w:sz w:val="20"/>
                <w:szCs w:val="20"/>
              </w:rPr>
              <w:t>2.0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2018SR008419</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1" w:hRule="exact"/>
        </w:trPr>
        <w:tc>
          <w:tcPr>
            <w:tcW w:w="39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w:t>
            </w:r>
          </w:p>
        </w:tc>
        <w:tc>
          <w:tcPr>
            <w:tcW w:w="3686"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企业安全巡查</w:t>
            </w:r>
            <w:r>
              <w:rPr>
                <w:rFonts w:ascii="Times New Roman" w:hAnsi="Times New Roman" w:cs="Times New Roman" w:eastAsia="Times New Roman" w:hint="default"/>
                <w:sz w:val="20"/>
                <w:szCs w:val="20"/>
              </w:rPr>
              <w:t>APP</w:t>
            </w:r>
            <w:r>
              <w:rPr>
                <w:rFonts w:ascii="宋体" w:hAnsi="宋体" w:cs="宋体" w:eastAsia="宋体" w:hint="default"/>
                <w:sz w:val="20"/>
                <w:szCs w:val="20"/>
              </w:rPr>
              <w:t>软件</w:t>
            </w:r>
          </w:p>
        </w:tc>
        <w:tc>
          <w:tcPr>
            <w:tcW w:w="127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2018SR008244</w:t>
            </w:r>
          </w:p>
        </w:tc>
        <w:tc>
          <w:tcPr>
            <w:tcW w:w="991"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2017-1-20</w:t>
            </w:r>
          </w:p>
        </w:tc>
        <w:tc>
          <w:tcPr>
            <w:tcW w:w="85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畅威物联网</w:t>
            </w:r>
          </w:p>
        </w:tc>
      </w:tr>
    </w:tbl>
    <w:p>
      <w:pPr>
        <w:spacing w:after="0" w:line="240" w:lineRule="auto"/>
        <w:jc w:val="center"/>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2"/>
        <w:gridCol w:w="3686"/>
        <w:gridCol w:w="1277"/>
        <w:gridCol w:w="991"/>
        <w:gridCol w:w="852"/>
        <w:gridCol w:w="850"/>
        <w:gridCol w:w="1610"/>
      </w:tblGrid>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21</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燃气小灵通</w:t>
            </w:r>
            <w:r>
              <w:rPr>
                <w:rFonts w:ascii="Times New Roman" w:hAnsi="Times New Roman" w:cs="Times New Roman" w:eastAsia="Times New Roman" w:hint="default"/>
                <w:sz w:val="20"/>
                <w:szCs w:val="20"/>
              </w:rPr>
              <w:t>APP</w:t>
            </w:r>
            <w:r>
              <w:rPr>
                <w:rFonts w:ascii="宋体" w:hAnsi="宋体" w:cs="宋体" w:eastAsia="宋体" w:hint="default"/>
                <w:sz w:val="20"/>
                <w:szCs w:val="20"/>
              </w:rPr>
              <w:t>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2018SR008252</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畅威物联网</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22</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燃气安全监管物联网云平台</w:t>
            </w:r>
            <w:r>
              <w:rPr>
                <w:rFonts w:ascii="Times New Roman" w:hAnsi="Times New Roman" w:cs="Times New Roman" w:eastAsia="Times New Roman" w:hint="default"/>
                <w:sz w:val="20"/>
                <w:szCs w:val="20"/>
              </w:rPr>
              <w:t>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2018SR002697</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2017-11-1</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23</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畅威民用燃气安全监管物联网云平台</w:t>
            </w:r>
            <w:r>
              <w:rPr>
                <w:rFonts w:ascii="Times New Roman" w:hAnsi="Times New Roman" w:cs="Times New Roman" w:eastAsia="Times New Roman" w:hint="default"/>
                <w:sz w:val="20"/>
                <w:szCs w:val="20"/>
              </w:rPr>
              <w:t>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2018SR562876</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2018-3-18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744"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24</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46"/>
              <w:ind w:left="2" w:right="4"/>
              <w:jc w:val="left"/>
              <w:rPr>
                <w:rFonts w:ascii="宋体" w:hAnsi="宋体" w:cs="宋体" w:eastAsia="宋体" w:hint="default"/>
                <w:sz w:val="20"/>
                <w:szCs w:val="20"/>
              </w:rPr>
            </w:pPr>
            <w:r>
              <w:rPr>
                <w:rFonts w:ascii="宋体" w:hAnsi="宋体" w:cs="宋体" w:eastAsia="宋体" w:hint="default"/>
                <w:spacing w:val="2"/>
                <w:sz w:val="20"/>
                <w:szCs w:val="20"/>
              </w:rPr>
              <w:t>畅威（城镇）燃气管网安全信息化管理平</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2018SR562915</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2018-1-28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25</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畅威燃气工程保压</w:t>
            </w:r>
            <w:r>
              <w:rPr>
                <w:rFonts w:ascii="Times New Roman" w:hAnsi="Times New Roman" w:cs="Times New Roman" w:eastAsia="Times New Roman" w:hint="default"/>
                <w:sz w:val="20"/>
                <w:szCs w:val="20"/>
              </w:rPr>
              <w:t>APP</w:t>
            </w:r>
            <w:r>
              <w:rPr>
                <w:rFonts w:ascii="宋体" w:hAnsi="宋体" w:cs="宋体" w:eastAsia="宋体" w:hint="default"/>
                <w:sz w:val="20"/>
                <w:szCs w:val="20"/>
              </w:rPr>
              <w:t>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2018SR651909</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2018-6-18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26</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畅威燃气管网压力监测系统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2018SR651971</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2018-6-16</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27</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燃气公共安全云监管平台</w:t>
            </w:r>
            <w:r>
              <w:rPr>
                <w:rFonts w:ascii="Times New Roman" w:hAnsi="Times New Roman" w:cs="Times New Roman" w:eastAsia="Times New Roman" w:hint="default"/>
                <w:sz w:val="20"/>
                <w:szCs w:val="20"/>
              </w:rPr>
              <w:t>APP</w:t>
            </w:r>
            <w:r>
              <w:rPr>
                <w:rFonts w:ascii="宋体" w:hAnsi="宋体" w:cs="宋体" w:eastAsia="宋体" w:hint="default"/>
                <w:sz w:val="20"/>
                <w:szCs w:val="20"/>
              </w:rPr>
              <w:t>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2018SR840576</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2018-7-20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28</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畅威智慧燃气微信小程序软件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2018SR838070</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2018-8-20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29</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调压设备智能诊断系统</w:t>
            </w:r>
            <w:r>
              <w:rPr>
                <w:rFonts w:ascii="Times New Roman" w:hAnsi="Times New Roman" w:cs="Times New Roman" w:eastAsia="Times New Roman" w:hint="default"/>
                <w:sz w:val="20"/>
                <w:szCs w:val="20"/>
              </w:rPr>
              <w:t>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2018SR1061766</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2018-10-20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30</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城市综合体联防联控智慧建设平台</w:t>
            </w:r>
            <w:r>
              <w:rPr>
                <w:rFonts w:ascii="Times New Roman" w:hAnsi="Times New Roman" w:cs="Times New Roman" w:eastAsia="Times New Roman" w:hint="default"/>
                <w:sz w:val="20"/>
                <w:szCs w:val="20"/>
              </w:rPr>
              <w:t>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2018SR1061727</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2018-10-20</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畅威物联</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31</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雪城油烟在线监控平台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2018SR746897</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2018-7-25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雪城软件</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32</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雪城城市天眼系统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2018SR860769</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2018-6-15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雪城软件</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33</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雪城智慧环保平台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2018SR860669</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2018-4-28</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雪城软件</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34</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雪城高空瞭望侦测系统</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2018SR860675</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2018-6-6</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雪城软件</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35</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COD</w:t>
            </w:r>
            <w:r>
              <w:rPr>
                <w:rFonts w:ascii="宋体" w:hAnsi="宋体" w:cs="宋体" w:eastAsia="宋体" w:hint="default"/>
                <w:sz w:val="20"/>
                <w:szCs w:val="20"/>
              </w:rPr>
              <w:t>在线监测</w:t>
            </w:r>
            <w:r>
              <w:rPr>
                <w:rFonts w:ascii="Times New Roman" w:hAnsi="Times New Roman" w:cs="Times New Roman" w:eastAsia="Times New Roman" w:hint="default"/>
                <w:sz w:val="20"/>
                <w:szCs w:val="20"/>
              </w:rPr>
              <w:t>PLC</w:t>
            </w:r>
            <w:r>
              <w:rPr>
                <w:rFonts w:ascii="宋体" w:hAnsi="宋体" w:cs="宋体" w:eastAsia="宋体" w:hint="default"/>
                <w:sz w:val="20"/>
                <w:szCs w:val="20"/>
              </w:rPr>
              <w:t>控制软件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2018SR616509</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2018-4-15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pacing w:val="-2"/>
                <w:sz w:val="20"/>
                <w:szCs w:val="20"/>
              </w:rPr>
              <w:t>沈阳汉威；时迎国</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36</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氨氮在线监测</w:t>
            </w:r>
            <w:r>
              <w:rPr>
                <w:rFonts w:ascii="Times New Roman" w:hAnsi="Times New Roman" w:cs="Times New Roman" w:eastAsia="Times New Roman" w:hint="default"/>
                <w:sz w:val="20"/>
                <w:szCs w:val="20"/>
              </w:rPr>
              <w:t>PLC</w:t>
            </w:r>
            <w:r>
              <w:rPr>
                <w:rFonts w:ascii="宋体" w:hAnsi="宋体" w:cs="宋体" w:eastAsia="宋体" w:hint="default"/>
                <w:sz w:val="20"/>
                <w:szCs w:val="20"/>
              </w:rPr>
              <w:t>控制软件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2018SR635008</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2018-4-15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pacing w:val="-2"/>
                <w:sz w:val="20"/>
                <w:szCs w:val="20"/>
              </w:rPr>
              <w:t>沈阳汉威；时迎国</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37</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总氮在线监测</w:t>
            </w:r>
            <w:r>
              <w:rPr>
                <w:rFonts w:ascii="Times New Roman" w:hAnsi="Times New Roman" w:cs="Times New Roman" w:eastAsia="Times New Roman" w:hint="default"/>
                <w:sz w:val="20"/>
                <w:szCs w:val="20"/>
              </w:rPr>
              <w:t>PLC</w:t>
            </w:r>
            <w:r>
              <w:rPr>
                <w:rFonts w:ascii="宋体" w:hAnsi="宋体" w:cs="宋体" w:eastAsia="宋体" w:hint="default"/>
                <w:sz w:val="20"/>
                <w:szCs w:val="20"/>
              </w:rPr>
              <w:t>控制软件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2018SR634997</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2018-4-15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pacing w:val="-2"/>
                <w:sz w:val="20"/>
                <w:szCs w:val="20"/>
              </w:rPr>
              <w:t>沈阳汉威；时迎国</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38</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总磷在线监测</w:t>
            </w:r>
            <w:r>
              <w:rPr>
                <w:rFonts w:ascii="Times New Roman" w:hAnsi="Times New Roman" w:cs="Times New Roman" w:eastAsia="Times New Roman" w:hint="default"/>
                <w:sz w:val="20"/>
                <w:szCs w:val="20"/>
              </w:rPr>
              <w:t>PLC</w:t>
            </w:r>
            <w:r>
              <w:rPr>
                <w:rFonts w:ascii="宋体" w:hAnsi="宋体" w:cs="宋体" w:eastAsia="宋体" w:hint="default"/>
                <w:sz w:val="20"/>
                <w:szCs w:val="20"/>
              </w:rPr>
              <w:t>控制软件</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2018SR634984</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2018-4-15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pacing w:val="-2"/>
                <w:sz w:val="20"/>
                <w:szCs w:val="20"/>
              </w:rPr>
              <w:t>沈阳汉威；时迎国</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39</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龙泉智慧市政一体化管理平台软件</w:t>
            </w:r>
            <w:r>
              <w:rPr>
                <w:rFonts w:ascii="Times New Roman" w:hAnsi="Times New Roman" w:cs="Times New Roman" w:eastAsia="Times New Roman" w:hint="default"/>
                <w:sz w:val="20"/>
                <w:szCs w:val="20"/>
              </w:rPr>
              <w:t>V1.0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2018SR027274</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2016-11-15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广东龙泉</w:t>
            </w:r>
          </w:p>
        </w:tc>
      </w:tr>
      <w:tr>
        <w:trPr>
          <w:trHeight w:val="432" w:hRule="exact"/>
        </w:trPr>
        <w:tc>
          <w:tcPr>
            <w:tcW w:w="3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40</w:t>
            </w:r>
          </w:p>
        </w:tc>
        <w:tc>
          <w:tcPr>
            <w:tcW w:w="36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龙泉供水调度（</w:t>
            </w:r>
            <w:r>
              <w:rPr>
                <w:rFonts w:ascii="Times New Roman" w:hAnsi="Times New Roman" w:cs="Times New Roman" w:eastAsia="Times New Roman" w:hint="default"/>
                <w:sz w:val="20"/>
                <w:szCs w:val="20"/>
              </w:rPr>
              <w:t>SCADA</w:t>
            </w:r>
            <w:r>
              <w:rPr>
                <w:rFonts w:ascii="宋体" w:hAnsi="宋体" w:cs="宋体" w:eastAsia="宋体" w:hint="default"/>
                <w:sz w:val="20"/>
                <w:szCs w:val="20"/>
              </w:rPr>
              <w:t>）系统</w:t>
            </w:r>
            <w:r>
              <w:rPr>
                <w:rFonts w:ascii="Times New Roman" w:hAnsi="Times New Roman" w:cs="Times New Roman" w:eastAsia="Times New Roman" w:hint="default"/>
                <w:sz w:val="20"/>
                <w:szCs w:val="20"/>
              </w:rPr>
              <w:t>V1.0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2018SR029319</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2017-9-15</w:t>
            </w:r>
          </w:p>
        </w:tc>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广东龙泉</w:t>
            </w:r>
          </w:p>
        </w:tc>
      </w:tr>
      <w:tr>
        <w:trPr>
          <w:trHeight w:val="430" w:hRule="exact"/>
        </w:trPr>
        <w:tc>
          <w:tcPr>
            <w:tcW w:w="39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41</w:t>
            </w:r>
          </w:p>
        </w:tc>
        <w:tc>
          <w:tcPr>
            <w:tcW w:w="3686"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龙泉物联网数据采集平台软件</w:t>
            </w:r>
            <w:r>
              <w:rPr>
                <w:rFonts w:ascii="Times New Roman" w:hAnsi="Times New Roman" w:cs="Times New Roman" w:eastAsia="Times New Roman" w:hint="default"/>
                <w:sz w:val="20"/>
                <w:szCs w:val="20"/>
              </w:rPr>
              <w:t>V1.0</w:t>
            </w:r>
          </w:p>
        </w:tc>
        <w:tc>
          <w:tcPr>
            <w:tcW w:w="127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2018SR854173</w:t>
            </w:r>
          </w:p>
        </w:tc>
        <w:tc>
          <w:tcPr>
            <w:tcW w:w="991"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2017-8-1</w:t>
            </w:r>
          </w:p>
        </w:tc>
        <w:tc>
          <w:tcPr>
            <w:tcW w:w="85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6"/>
              <w:ind w:left="2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年</w:t>
            </w:r>
          </w:p>
        </w:tc>
        <w:tc>
          <w:tcPr>
            <w:tcW w:w="850"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6"/>
              <w:ind w:left="16"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610"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广东龙泉</w:t>
            </w:r>
          </w:p>
        </w:tc>
      </w:tr>
    </w:tbl>
    <w:p>
      <w:pPr>
        <w:spacing w:after="0" w:line="240" w:lineRule="auto"/>
        <w:jc w:val="center"/>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0"/>
        <w:jc w:val="both"/>
      </w:pPr>
      <w:r>
        <w:rPr>
          <w:rFonts w:ascii="宋体" w:hAnsi="宋体" w:cs="宋体" w:eastAsia="宋体" w:hint="default"/>
        </w:rPr>
        <w:t>2018</w:t>
      </w:r>
      <w:r>
        <w:rPr>
          <w:rFonts w:ascii="宋体" w:hAnsi="宋体" w:cs="宋体" w:eastAsia="宋体" w:hint="default"/>
          <w:spacing w:val="-43"/>
        </w:rPr>
        <w:t> </w:t>
      </w:r>
      <w:r>
        <w:rPr/>
        <w:t>年是公司成立</w:t>
      </w:r>
      <w:r>
        <w:rPr>
          <w:spacing w:val="-45"/>
        </w:rPr>
        <w:t> </w:t>
      </w:r>
      <w:r>
        <w:rPr>
          <w:rFonts w:ascii="宋体" w:hAnsi="宋体" w:cs="宋体" w:eastAsia="宋体" w:hint="default"/>
        </w:rPr>
        <w:t>20</w:t>
      </w:r>
      <w:r>
        <w:rPr>
          <w:rFonts w:ascii="宋体" w:hAnsi="宋体" w:cs="宋体" w:eastAsia="宋体" w:hint="default"/>
          <w:spacing w:val="-44"/>
        </w:rPr>
        <w:t> </w:t>
      </w:r>
      <w:r>
        <w:rPr/>
        <w:t>周年，也是公司战略落地和高质量发展的重要一年。报告期内，面对不断变化 </w:t>
      </w:r>
      <w:r>
        <w:rPr>
          <w:spacing w:val="-1"/>
        </w:rPr>
        <w:t>的国际形势和国内市场形势，公司全体同仁在董事会的领导下，紧紧围绕“为万物赋灵，让生产和生活不</w:t>
      </w:r>
      <w:r>
        <w:rPr>
          <w:spacing w:val="-83"/>
        </w:rPr>
        <w:t> </w:t>
      </w:r>
      <w:r>
        <w:rPr>
          <w:spacing w:val="-83"/>
        </w:rPr>
      </w:r>
      <w:r>
        <w:rPr>
          <w:spacing w:val="-1"/>
        </w:rPr>
        <w:t>断涌现新价值”的企业使命，牢牢把握“创新、协同、规范、升级、发展”五条主线的工作要求，在生产</w:t>
      </w:r>
      <w:r>
        <w:rPr>
          <w:spacing w:val="-85"/>
        </w:rPr>
        <w:t> </w:t>
      </w:r>
      <w:r>
        <w:rPr>
          <w:spacing w:val="-85"/>
        </w:rPr>
      </w:r>
      <w:r>
        <w:rPr>
          <w:spacing w:val="-1"/>
        </w:rPr>
        <w:t>经营、创新发展、企业文化等方面开展了大量工作，取得了一定成效。公司整体延续了稳步发展、总体良</w:t>
      </w:r>
      <w:r>
        <w:rPr>
          <w:spacing w:val="-83"/>
        </w:rPr>
        <w:t> </w:t>
      </w:r>
      <w:r>
        <w:rPr>
          <w:spacing w:val="-83"/>
        </w:rPr>
      </w:r>
      <w:r>
        <w:rPr/>
        <w:t>好的态势，内生增长动力强劲，发展质量稳步提升，竞争优势进一步增强。</w:t>
      </w:r>
    </w:p>
    <w:p>
      <w:pPr>
        <w:pStyle w:val="BodyText"/>
        <w:spacing w:line="408" w:lineRule="auto"/>
        <w:ind w:right="1132" w:firstLine="420"/>
        <w:jc w:val="both"/>
      </w:pPr>
      <w:r>
        <w:rPr/>
        <w:t>报告期内，公司实现营业收入</w:t>
      </w:r>
      <w:r>
        <w:rPr>
          <w:spacing w:val="-69"/>
        </w:rPr>
        <w:t> </w:t>
      </w:r>
      <w:r>
        <w:rPr>
          <w:rFonts w:ascii="宋体" w:hAnsi="宋体" w:cs="宋体" w:eastAsia="宋体" w:hint="default"/>
        </w:rPr>
        <w:t>151,233.06</w:t>
      </w:r>
      <w:r>
        <w:rPr>
          <w:rFonts w:ascii="宋体" w:hAnsi="宋体" w:cs="宋体" w:eastAsia="宋体" w:hint="default"/>
          <w:spacing w:val="-69"/>
        </w:rPr>
        <w:t> </w:t>
      </w:r>
      <w:r>
        <w:rPr>
          <w:spacing w:val="-4"/>
        </w:rPr>
        <w:t>万元，同比增长</w:t>
      </w:r>
      <w:r>
        <w:rPr>
          <w:spacing w:val="-69"/>
        </w:rPr>
        <w:t> </w:t>
      </w:r>
      <w:r>
        <w:rPr>
          <w:rFonts w:ascii="宋体" w:hAnsi="宋体" w:cs="宋体" w:eastAsia="宋体" w:hint="default"/>
        </w:rPr>
        <w:t>4.72%</w:t>
      </w:r>
      <w:r>
        <w:rPr/>
        <w:t>；实现归属于上市公司股东的净利润 </w:t>
      </w:r>
      <w:r>
        <w:rPr>
          <w:rFonts w:ascii="宋体" w:hAnsi="宋体" w:cs="宋体" w:eastAsia="宋体" w:hint="default"/>
        </w:rPr>
        <w:t>6,165.74</w:t>
      </w:r>
      <w:r>
        <w:rPr>
          <w:rFonts w:ascii="宋体" w:hAnsi="宋体" w:cs="宋体" w:eastAsia="宋体" w:hint="default"/>
          <w:spacing w:val="-52"/>
        </w:rPr>
        <w:t> </w:t>
      </w:r>
      <w:r>
        <w:rPr/>
        <w:t>万元，同比下降</w:t>
      </w:r>
      <w:r>
        <w:rPr>
          <w:spacing w:val="-54"/>
        </w:rPr>
        <w:t> </w:t>
      </w:r>
      <w:r>
        <w:rPr>
          <w:rFonts w:ascii="宋体" w:hAnsi="宋体" w:cs="宋体" w:eastAsia="宋体" w:hint="default"/>
        </w:rPr>
        <w:t>44.11%</w:t>
      </w:r>
      <w:r>
        <w:rPr/>
        <w:t>。</w:t>
      </w:r>
    </w:p>
    <w:p>
      <w:pPr>
        <w:pStyle w:val="BodyText"/>
        <w:spacing w:line="408" w:lineRule="auto"/>
        <w:ind w:right="1023" w:firstLine="420"/>
        <w:jc w:val="left"/>
      </w:pPr>
      <w:r>
        <w:rPr/>
        <w:t>整体来看，报告期内公司经营情况实现了稳中有进的高质量发展。其中，传感器类业务稳定运行，多 </w:t>
      </w:r>
      <w:r>
        <w:rPr>
          <w:spacing w:val="3"/>
        </w:rPr>
        <w:t>种其他门类传感器的研发工作相继完成；物联网平台解决方案业务受经济环境影响业绩出现一定程度下</w:t>
      </w:r>
      <w:r>
        <w:rPr>
          <w:spacing w:val="-82"/>
        </w:rPr>
        <w:t> </w:t>
      </w:r>
      <w:r>
        <w:rPr>
          <w:spacing w:val="-82"/>
        </w:rPr>
      </w:r>
      <w:r>
        <w:rPr>
          <w:spacing w:val="-3"/>
        </w:rPr>
        <w:t>滑；智慧安全系统解决方案业务方面，客户结构调整和转型升级工作均取得积极进展，盈利能力持续增强，</w:t>
      </w:r>
      <w:r>
        <w:rPr>
          <w:spacing w:val="-90"/>
        </w:rPr>
        <w:t> </w:t>
      </w:r>
      <w:r>
        <w:rPr>
          <w:spacing w:val="-90"/>
        </w:rPr>
      </w:r>
      <w:r>
        <w:rPr/>
        <w:t>报告期内经营业绩增速较为突出；智慧市政系统解决方案业务保持了稳定的业绩增长，起到了公司“现金</w:t>
      </w:r>
      <w:r>
        <w:rPr/>
        <w:t> 稳定器”的积极作用，在发挥智慧市政标杆效应的同时为公司提供了充足的现金流。</w:t>
      </w:r>
    </w:p>
    <w:p>
      <w:pPr>
        <w:pStyle w:val="BodyText"/>
        <w:spacing w:line="408" w:lineRule="auto"/>
        <w:ind w:right="1132" w:firstLine="420"/>
        <w:jc w:val="both"/>
      </w:pPr>
      <w:r>
        <w:rPr/>
        <w:t>报告期内，公司根据《企业会计准则》及中国证监会《会计监管风险提示第</w:t>
      </w:r>
      <w:r>
        <w:rPr>
          <w:spacing w:val="-64"/>
        </w:rPr>
        <w:t> </w:t>
      </w:r>
      <w:r>
        <w:rPr>
          <w:rFonts w:ascii="宋体" w:hAnsi="宋体" w:cs="宋体" w:eastAsia="宋体" w:hint="default"/>
        </w:rPr>
        <w:t>8</w:t>
      </w:r>
      <w:r>
        <w:rPr>
          <w:rFonts w:ascii="宋体" w:hAnsi="宋体" w:cs="宋体" w:eastAsia="宋体" w:hint="default"/>
          <w:spacing w:val="-65"/>
        </w:rPr>
        <w:t> </w:t>
      </w:r>
      <w:r>
        <w:rPr/>
        <w:t>号</w:t>
      </w:r>
      <w:r>
        <w:rPr>
          <w:rFonts w:ascii="宋体" w:hAnsi="宋体" w:cs="宋体" w:eastAsia="宋体" w:hint="default"/>
        </w:rPr>
        <w:t>--</w:t>
      </w:r>
      <w:r>
        <w:rPr/>
        <w:t>商誉减值》相关要 </w:t>
      </w:r>
      <w:r>
        <w:rPr>
          <w:spacing w:val="-1"/>
        </w:rPr>
        <w:t>求，遵循谨慎性原则，对商誉进行了减值测试。根据减值测试结果，结合子公司实际经营情况，计提商誉</w:t>
      </w:r>
      <w:r>
        <w:rPr>
          <w:spacing w:val="-83"/>
        </w:rPr>
        <w:t> </w:t>
      </w:r>
      <w:r>
        <w:rPr>
          <w:spacing w:val="-83"/>
        </w:rPr>
      </w:r>
      <w:r>
        <w:rPr/>
        <w:t>减值准备共计</w:t>
      </w:r>
      <w:r>
        <w:rPr>
          <w:spacing w:val="-52"/>
        </w:rPr>
        <w:t> </w:t>
      </w:r>
      <w:r>
        <w:rPr>
          <w:rFonts w:ascii="宋体" w:hAnsi="宋体" w:cs="宋体" w:eastAsia="宋体" w:hint="default"/>
        </w:rPr>
        <w:t>5,554.93</w:t>
      </w:r>
      <w:r>
        <w:rPr>
          <w:rFonts w:ascii="宋体" w:hAnsi="宋体" w:cs="宋体" w:eastAsia="宋体" w:hint="default"/>
          <w:spacing w:val="-54"/>
        </w:rPr>
        <w:t> </w:t>
      </w:r>
      <w:r>
        <w:rPr/>
        <w:t>万元，对公司归属于上市公司股东的净利润造成了较大影响。</w:t>
      </w:r>
    </w:p>
    <w:p>
      <w:pPr>
        <w:pStyle w:val="BodyText"/>
        <w:spacing w:line="240" w:lineRule="auto"/>
        <w:ind w:left="574" w:right="0"/>
        <w:jc w:val="left"/>
      </w:pPr>
      <w:r>
        <w:rPr/>
        <w:t>报告期内，公司重点工作回顾如下：</w:t>
      </w:r>
    </w:p>
    <w:p>
      <w:pPr>
        <w:spacing w:line="240" w:lineRule="auto" w:before="10"/>
        <w:rPr>
          <w:rFonts w:ascii="宋体" w:hAnsi="宋体" w:cs="宋体" w:eastAsia="宋体" w:hint="default"/>
          <w:sz w:val="14"/>
          <w:szCs w:val="14"/>
        </w:rPr>
      </w:pPr>
    </w:p>
    <w:p>
      <w:pPr>
        <w:pStyle w:val="BodyText"/>
        <w:spacing w:line="408" w:lineRule="auto" w:before="0"/>
        <w:ind w:left="574" w:right="1017"/>
        <w:jc w:val="left"/>
      </w:pPr>
      <w:r>
        <w:rPr/>
        <w:t>（一）纵深发展物联网产业生态圈 </w:t>
      </w:r>
      <w:r>
        <w:rPr>
          <w:spacing w:val="-3"/>
        </w:rPr>
        <w:t>报告期内，公司坚持“成为以传感器为核心的物联网解决方案引领者”的企业愿景，以拓展产业内涵、</w:t>
      </w:r>
    </w:p>
    <w:p>
      <w:pPr>
        <w:pStyle w:val="BodyText"/>
        <w:spacing w:line="408" w:lineRule="auto"/>
        <w:ind w:right="0"/>
        <w:jc w:val="left"/>
      </w:pPr>
      <w:r>
        <w:rPr>
          <w:spacing w:val="-1"/>
        </w:rPr>
        <w:t>增强产业厚度、丰富产品品种为切入口，以技术突破和项目落地为着力点，充分发挥物联网生态圈的协同</w:t>
      </w:r>
      <w:r>
        <w:rPr>
          <w:spacing w:val="-83"/>
        </w:rPr>
        <w:t> </w:t>
      </w:r>
      <w:r>
        <w:rPr>
          <w:spacing w:val="-83"/>
        </w:rPr>
      </w:r>
      <w:r>
        <w:rPr/>
        <w:t>作用，实现可持续的、良性的内生增长，部分业务板块实现了突破，物联网产业布局趋向更加合理。</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10"/>
          <w:szCs w:val="10"/>
        </w:rPr>
      </w:pPr>
    </w:p>
    <w:p>
      <w:pPr>
        <w:spacing w:line="5882" w:lineRule="exact"/>
        <w:ind w:left="314"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5782569" cy="373522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782569" cy="3735228"/>
                    </a:xfrm>
                    <a:prstGeom prst="rect">
                      <a:avLst/>
                    </a:prstGeom>
                  </pic:spPr>
                </pic:pic>
              </a:graphicData>
            </a:graphic>
          </wp:inline>
        </w:drawing>
      </w:r>
      <w:r>
        <w:rPr>
          <w:rFonts w:ascii="宋体" w:hAnsi="宋体" w:cs="宋体" w:eastAsia="宋体" w:hint="default"/>
          <w:position w:val="-117"/>
          <w:sz w:val="20"/>
          <w:szCs w:val="20"/>
        </w:rPr>
      </w:r>
    </w:p>
    <w:p>
      <w:pPr>
        <w:pStyle w:val="BodyText"/>
        <w:spacing w:line="240" w:lineRule="auto" w:before="23"/>
        <w:ind w:left="3581" w:right="0"/>
        <w:jc w:val="left"/>
      </w:pPr>
      <w:r>
        <w:rPr/>
        <w:t>图 </w:t>
      </w:r>
      <w:r>
        <w:rPr>
          <w:rFonts w:ascii="宋体" w:hAnsi="宋体" w:cs="宋体" w:eastAsia="宋体" w:hint="default"/>
        </w:rPr>
        <w:t>1</w:t>
      </w:r>
      <w:r>
        <w:rPr>
          <w:rFonts w:ascii="宋体" w:hAnsi="宋体" w:cs="宋体" w:eastAsia="宋体" w:hint="default"/>
          <w:spacing w:val="-54"/>
        </w:rPr>
        <w:t> </w:t>
      </w:r>
      <w:r>
        <w:rPr/>
        <w:t>汉威科技物联网战略导图</w:t>
      </w:r>
    </w:p>
    <w:p>
      <w:pPr>
        <w:spacing w:line="240" w:lineRule="auto" w:before="1"/>
        <w:rPr>
          <w:rFonts w:ascii="宋体" w:hAnsi="宋体" w:cs="宋体" w:eastAsia="宋体" w:hint="default"/>
          <w:sz w:val="12"/>
          <w:szCs w:val="12"/>
        </w:rPr>
      </w:pPr>
    </w:p>
    <w:p>
      <w:pPr>
        <w:pStyle w:val="BodyText"/>
        <w:spacing w:line="240" w:lineRule="auto" w:before="35"/>
        <w:ind w:left="574" w:right="0"/>
        <w:jc w:val="left"/>
      </w:pPr>
      <w:r>
        <w:rPr>
          <w:rFonts w:ascii="宋体" w:hAnsi="宋体" w:cs="宋体" w:eastAsia="宋体" w:hint="default"/>
        </w:rPr>
        <w:t>1</w:t>
      </w:r>
      <w:r>
        <w:rPr/>
        <w:t>、传感器业务方面</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报告期内，公司传感器业务服务下游应用客户总数量已超过</w:t>
      </w:r>
      <w:r>
        <w:rPr>
          <w:spacing w:val="-65"/>
        </w:rPr>
        <w:t> </w:t>
      </w:r>
      <w:r>
        <w:rPr>
          <w:rFonts w:ascii="宋体" w:hAnsi="宋体" w:cs="宋体" w:eastAsia="宋体" w:hint="default"/>
        </w:rPr>
        <w:t>2,000</w:t>
      </w:r>
      <w:r>
        <w:rPr>
          <w:rFonts w:ascii="宋体" w:hAnsi="宋体" w:cs="宋体" w:eastAsia="宋体" w:hint="default"/>
          <w:spacing w:val="-65"/>
        </w:rPr>
        <w:t> </w:t>
      </w:r>
      <w:r>
        <w:rPr/>
        <w:t>家，其中包括海尔、美的等多家行</w:t>
      </w:r>
    </w:p>
    <w:p>
      <w:pPr>
        <w:spacing w:line="240" w:lineRule="auto" w:before="10"/>
        <w:rPr>
          <w:rFonts w:ascii="宋体" w:hAnsi="宋体" w:cs="宋体" w:eastAsia="宋体" w:hint="default"/>
          <w:sz w:val="14"/>
          <w:szCs w:val="14"/>
        </w:rPr>
      </w:pPr>
    </w:p>
    <w:p>
      <w:pPr>
        <w:pStyle w:val="BodyText"/>
        <w:spacing w:line="408" w:lineRule="auto" w:before="0"/>
        <w:ind w:right="1118"/>
        <w:jc w:val="left"/>
      </w:pPr>
      <w:r>
        <w:rPr/>
        <w:t>业优质客户。传感器产品及模组销售数量近</w:t>
      </w:r>
      <w:r>
        <w:rPr>
          <w:spacing w:val="-59"/>
        </w:rPr>
        <w:t> </w:t>
      </w:r>
      <w:r>
        <w:rPr>
          <w:rFonts w:ascii="宋体" w:hAnsi="宋体" w:cs="宋体" w:eastAsia="宋体" w:hint="default"/>
        </w:rPr>
        <w:t>3,000</w:t>
      </w:r>
      <w:r>
        <w:rPr>
          <w:rFonts w:ascii="宋体" w:hAnsi="宋体" w:cs="宋体" w:eastAsia="宋体" w:hint="default"/>
          <w:spacing w:val="-59"/>
        </w:rPr>
        <w:t> </w:t>
      </w:r>
      <w:r>
        <w:rPr/>
        <w:t>万支，仪器仪表终端产品销售数量实现约</w:t>
      </w:r>
      <w:r>
        <w:rPr>
          <w:spacing w:val="-59"/>
        </w:rPr>
        <w:t> </w:t>
      </w:r>
      <w:r>
        <w:rPr>
          <w:rFonts w:ascii="宋体" w:hAnsi="宋体" w:cs="宋体" w:eastAsia="宋体" w:hint="default"/>
        </w:rPr>
        <w:t>150</w:t>
      </w:r>
      <w:r>
        <w:rPr>
          <w:rFonts w:ascii="宋体" w:hAnsi="宋体" w:cs="宋体" w:eastAsia="宋体" w:hint="default"/>
          <w:spacing w:val="-59"/>
        </w:rPr>
        <w:t> </w:t>
      </w:r>
      <w:r>
        <w:rPr/>
        <w:t>万台，覆 盖下游众多应用领域，整体业绩平稳发展，在技术、生产及市场开拓方面均呈现出较多亮点。</w:t>
      </w:r>
    </w:p>
    <w:p>
      <w:pPr>
        <w:pStyle w:val="BodyText"/>
        <w:spacing w:line="408" w:lineRule="auto"/>
        <w:ind w:right="1131" w:firstLine="420"/>
        <w:jc w:val="both"/>
      </w:pPr>
      <w:r>
        <w:rPr/>
        <w:t>在技术方面，报告期内，公司持续推进了 </w:t>
      </w:r>
      <w:r>
        <w:rPr>
          <w:rFonts w:ascii="宋体" w:hAnsi="宋体" w:cs="宋体" w:eastAsia="宋体" w:hint="default"/>
        </w:rPr>
        <w:t>MEMS</w:t>
      </w:r>
      <w:r>
        <w:rPr>
          <w:rFonts w:ascii="宋体" w:hAnsi="宋体" w:cs="宋体" w:eastAsia="宋体" w:hint="default"/>
          <w:spacing w:val="-23"/>
        </w:rPr>
        <w:t> </w:t>
      </w:r>
      <w:r>
        <w:rPr/>
        <w:t>阵列传感器、热电堆红外传感器、压力传感器、超声 </w:t>
      </w:r>
      <w:r>
        <w:rPr>
          <w:spacing w:val="-1"/>
        </w:rPr>
        <w:t>波流量传感器、水质检测传感器、超低功耗红外气体传感器等多种产品的研发进度，上述产品分别涵盖了</w:t>
      </w:r>
      <w:r>
        <w:rPr>
          <w:spacing w:val="-83"/>
        </w:rPr>
        <w:t> </w:t>
      </w:r>
      <w:r>
        <w:rPr>
          <w:spacing w:val="-83"/>
        </w:rPr>
      </w:r>
      <w:r>
        <w:rPr>
          <w:spacing w:val="-1"/>
        </w:rPr>
        <w:t>可燃气体泄露、空气质量检测、安防监控、环境保护、流程工业控制、医疗、消费电子等应用领域。截至</w:t>
      </w:r>
      <w:r>
        <w:rPr>
          <w:spacing w:val="-85"/>
        </w:rPr>
        <w:t> </w:t>
      </w:r>
      <w:r>
        <w:rPr>
          <w:spacing w:val="-85"/>
        </w:rPr>
      </w:r>
      <w:r>
        <w:rPr>
          <w:spacing w:val="-1"/>
        </w:rPr>
        <w:t>报告期末，公司研发的半导体气体传感器、催化燃烧气体传感器、红外气体传感器等产品均保持了国内一</w:t>
      </w:r>
      <w:r>
        <w:rPr>
          <w:spacing w:val="-83"/>
        </w:rPr>
        <w:t> </w:t>
      </w:r>
      <w:r>
        <w:rPr>
          <w:spacing w:val="-83"/>
        </w:rPr>
      </w:r>
      <w:r>
        <w:rPr/>
        <w:t>流水平，电化学甲醛传感器、</w:t>
      </w:r>
      <w:r>
        <w:rPr>
          <w:rFonts w:ascii="宋体" w:hAnsi="宋体" w:cs="宋体" w:eastAsia="宋体" w:hint="default"/>
        </w:rPr>
        <w:t>MEMS</w:t>
      </w:r>
      <w:r>
        <w:rPr>
          <w:rFonts w:ascii="宋体" w:hAnsi="宋体" w:cs="宋体" w:eastAsia="宋体" w:hint="default"/>
          <w:spacing w:val="-53"/>
        </w:rPr>
        <w:t> </w:t>
      </w:r>
      <w:r>
        <w:rPr/>
        <w:t>气体传感器等产品达到了国际先进水平。</w:t>
      </w:r>
    </w:p>
    <w:p>
      <w:pPr>
        <w:pStyle w:val="BodyText"/>
        <w:spacing w:line="408" w:lineRule="auto"/>
        <w:ind w:right="1015" w:firstLine="420"/>
        <w:jc w:val="left"/>
      </w:pPr>
      <w:r>
        <w:rPr/>
        <w:t>在生产方面，报告期内，公司通过多种方式进行技术、产品及人才引进，使热释电传感器的产品品质 得到了较大提升，产品合格率提升至</w:t>
      </w:r>
      <w:r>
        <w:rPr>
          <w:spacing w:val="-64"/>
        </w:rPr>
        <w:t> </w:t>
      </w:r>
      <w:r>
        <w:rPr>
          <w:rFonts w:ascii="宋体" w:hAnsi="宋体" w:cs="宋体" w:eastAsia="宋体" w:hint="default"/>
          <w:spacing w:val="-4"/>
        </w:rPr>
        <w:t>99%</w:t>
      </w:r>
      <w:r>
        <w:rPr>
          <w:spacing w:val="-4"/>
        </w:rPr>
        <w:t>，为</w:t>
      </w:r>
      <w:r>
        <w:rPr>
          <w:spacing w:val="-64"/>
        </w:rPr>
        <w:t> </w:t>
      </w:r>
      <w:r>
        <w:rPr>
          <w:rFonts w:ascii="宋体" w:hAnsi="宋体" w:cs="宋体" w:eastAsia="宋体" w:hint="default"/>
        </w:rPr>
        <w:t>2019</w:t>
      </w:r>
      <w:r>
        <w:rPr>
          <w:rFonts w:ascii="宋体" w:hAnsi="宋体" w:cs="宋体" w:eastAsia="宋体" w:hint="default"/>
          <w:spacing w:val="-65"/>
        </w:rPr>
        <w:t> </w:t>
      </w:r>
      <w:r>
        <w:rPr/>
        <w:t>年的销售打下了良好的基础。报告期内，公司进一步提 高了</w:t>
      </w:r>
      <w:r>
        <w:rPr>
          <w:spacing w:val="-60"/>
        </w:rPr>
        <w:t> </w:t>
      </w:r>
      <w:r>
        <w:rPr>
          <w:rFonts w:ascii="宋体" w:hAnsi="宋体" w:cs="宋体" w:eastAsia="宋体" w:hint="default"/>
        </w:rPr>
        <w:t>6</w:t>
      </w:r>
      <w:r>
        <w:rPr>
          <w:rFonts w:ascii="宋体" w:hAnsi="宋体" w:cs="宋体" w:eastAsia="宋体" w:hint="default"/>
          <w:spacing w:val="-59"/>
        </w:rPr>
        <w:t> </w:t>
      </w:r>
      <w:r>
        <w:rPr/>
        <w:t>寸晶圆批量制作硅基气体传感器芯片的产能，奠定了</w:t>
      </w:r>
      <w:r>
        <w:rPr>
          <w:spacing w:val="-59"/>
        </w:rPr>
        <w:t> </w:t>
      </w:r>
      <w:r>
        <w:rPr>
          <w:rFonts w:ascii="宋体" w:hAnsi="宋体" w:cs="宋体" w:eastAsia="宋体" w:hint="default"/>
        </w:rPr>
        <w:t>MEMS</w:t>
      </w:r>
      <w:r>
        <w:rPr>
          <w:rFonts w:ascii="宋体" w:hAnsi="宋体" w:cs="宋体" w:eastAsia="宋体" w:hint="default"/>
          <w:spacing w:val="-60"/>
        </w:rPr>
        <w:t> </w:t>
      </w:r>
      <w:r>
        <w:rPr/>
        <w:t>传感器以及数字智能化发展的基础平台。 报告期内，公司的生产自动化改造成效显著，电化学自动封装产线、自动分选机等进入调试阶段；通过自 动化设备的开发与引进，公司热释电传感器产能取得了较大提高。</w:t>
      </w:r>
    </w:p>
    <w:p>
      <w:pPr>
        <w:pStyle w:val="BodyText"/>
        <w:spacing w:line="408" w:lineRule="auto"/>
        <w:ind w:right="1131" w:firstLine="420"/>
        <w:jc w:val="both"/>
      </w:pPr>
      <w:r>
        <w:rPr/>
        <w:t>在市场开拓方面，报告期内，公司的 </w:t>
      </w:r>
      <w:r>
        <w:rPr>
          <w:rFonts w:ascii="宋体" w:hAnsi="宋体" w:cs="宋体" w:eastAsia="宋体" w:hint="default"/>
        </w:rPr>
        <w:t>MEMS</w:t>
      </w:r>
      <w:r>
        <w:rPr>
          <w:rFonts w:ascii="宋体" w:hAnsi="宋体" w:cs="宋体" w:eastAsia="宋体" w:hint="default"/>
          <w:spacing w:val="-24"/>
        </w:rPr>
        <w:t> </w:t>
      </w:r>
      <w:r>
        <w:rPr/>
        <w:t>气体传感器及其对应的数字模组方案得到市场的不同领域 </w:t>
      </w:r>
      <w:r>
        <w:rPr>
          <w:spacing w:val="-1"/>
        </w:rPr>
        <w:t>客户批量应用验证。报告期内，公司生产的燃气类传感器成功打入主流家电企业，成为其合格供应商，其</w:t>
      </w:r>
      <w:r>
        <w:rPr>
          <w:spacing w:val="-85"/>
        </w:rPr>
        <w:t> </w:t>
      </w:r>
      <w:r>
        <w:rPr>
          <w:spacing w:val="-85"/>
        </w:rPr>
      </w:r>
      <w:r>
        <w:rPr/>
        <w:t>中，海尔家电产品配套的电化学一氧化碳模组和一氧化碳</w:t>
      </w:r>
      <w:r>
        <w:rPr>
          <w:rFonts w:ascii="宋体" w:hAnsi="宋体" w:cs="宋体" w:eastAsia="宋体" w:hint="default"/>
        </w:rPr>
        <w:t>/</w:t>
      </w:r>
      <w:r>
        <w:rPr/>
        <w:t>甲烷双气模组在报告期内实现了较大的销售规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t>模，标志着公司产品通过了主流家电企业严格的产品及质量保证体系的认证，同时也为公司继续渗透家电 领域积累了经验。报告期内，公司传感器业务出口业绩较上年增幅达</w:t>
      </w:r>
      <w:r>
        <w:rPr>
          <w:spacing w:val="-59"/>
        </w:rPr>
        <w:t> </w:t>
      </w:r>
      <w:r>
        <w:rPr>
          <w:rFonts w:ascii="宋体" w:hAnsi="宋体" w:cs="宋体" w:eastAsia="宋体" w:hint="default"/>
          <w:spacing w:val="-3"/>
        </w:rPr>
        <w:t>45.92%</w:t>
      </w:r>
      <w:r>
        <w:rPr>
          <w:spacing w:val="-3"/>
        </w:rPr>
        <w:t>，在韩国市场，公司研制的催</w:t>
      </w:r>
      <w:r>
        <w:rPr/>
        <w:t> 化型传感器和半导体传感器均取得了较大突破。报告期内，公司研制的电化学甲醛传感器销售收入持续增 长，电化学甲醛传感器以较好的品质和较优的价格，占有较高的市场份额，同时吸引了一批具有较强增长 潜力和较大知名度的客户，成为公司又一款明星产品。报告期内，借助于国家政策等优势，公司工业类传 感器销售增幅达 </w:t>
      </w:r>
      <w:r>
        <w:rPr>
          <w:rFonts w:ascii="宋体" w:hAnsi="宋体" w:cs="宋体" w:eastAsia="宋体" w:hint="default"/>
        </w:rPr>
        <w:t>48%</w:t>
      </w:r>
      <w:r>
        <w:rPr/>
        <w:t>，主要增长来自工业电化学传感器及模组、</w:t>
      </w:r>
      <w:r>
        <w:rPr>
          <w:rFonts w:ascii="宋体" w:hAnsi="宋体" w:cs="宋体" w:eastAsia="宋体" w:hint="default"/>
        </w:rPr>
        <w:t>PID</w:t>
      </w:r>
      <w:r>
        <w:rPr>
          <w:rFonts w:ascii="宋体" w:hAnsi="宋体" w:cs="宋体" w:eastAsia="宋体" w:hint="default"/>
          <w:spacing w:val="-25"/>
        </w:rPr>
        <w:t> </w:t>
      </w:r>
      <w:r>
        <w:rPr/>
        <w:t>传感器等产品的销售。报告期内，公 </w:t>
      </w:r>
      <w:r>
        <w:rPr>
          <w:spacing w:val="-3"/>
        </w:rPr>
        <w:t>司研制的压力传感器客户结构更加合理，应用领域更加多样化，为未来的销售增长奠定了基础。报告期内，</w:t>
      </w:r>
      <w:r>
        <w:rPr>
          <w:spacing w:val="-90"/>
        </w:rPr>
        <w:t> </w:t>
      </w:r>
      <w:r>
        <w:rPr>
          <w:spacing w:val="-90"/>
        </w:rPr>
      </w:r>
      <w:r>
        <w:rPr/>
        <w:t>公司传感器业务的电商工作取得积极进展，除了完成日常的产品推广、企业宣传、展会策划等工作以外， 销售收入实现了较大幅度的增长，同时孵化了西门子等明星客户。</w:t>
      </w:r>
    </w:p>
    <w:p>
      <w:pPr>
        <w:pStyle w:val="BodyText"/>
        <w:spacing w:line="240" w:lineRule="auto"/>
        <w:ind w:left="574" w:right="0"/>
        <w:jc w:val="left"/>
      </w:pPr>
      <w:r>
        <w:rPr>
          <w:rFonts w:ascii="宋体" w:hAnsi="宋体" w:cs="宋体" w:eastAsia="宋体" w:hint="default"/>
        </w:rPr>
        <w:t>2</w:t>
      </w:r>
      <w:r>
        <w:rPr/>
        <w:t>、物联网综合解决方案方面</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t>（</w:t>
      </w:r>
      <w:r>
        <w:rPr>
          <w:rFonts w:ascii="宋体" w:hAnsi="宋体" w:cs="宋体" w:eastAsia="宋体" w:hint="default"/>
        </w:rPr>
        <w:t>1</w:t>
      </w:r>
      <w:r>
        <w:rPr/>
        <w:t>）智慧安全系统解决方案 </w:t>
      </w:r>
      <w:r>
        <w:rPr>
          <w:spacing w:val="-1"/>
        </w:rPr>
        <w:t>报告期内，公司智慧安全系统解决方案业务板块服务工业企业、园区管委会、政府职能部门等客户总</w:t>
      </w:r>
    </w:p>
    <w:p>
      <w:pPr>
        <w:pStyle w:val="BodyText"/>
        <w:spacing w:line="408" w:lineRule="auto"/>
        <w:ind w:right="1130"/>
        <w:jc w:val="both"/>
      </w:pPr>
      <w:r>
        <w:rPr/>
        <w:t>量近</w:t>
      </w:r>
      <w:r>
        <w:rPr>
          <w:spacing w:val="-65"/>
        </w:rPr>
        <w:t> </w:t>
      </w:r>
      <w:r>
        <w:rPr>
          <w:rFonts w:ascii="宋体" w:hAnsi="宋体" w:cs="宋体" w:eastAsia="宋体" w:hint="default"/>
        </w:rPr>
        <w:t>2,000</w:t>
      </w:r>
      <w:r>
        <w:rPr>
          <w:rFonts w:ascii="宋体" w:hAnsi="宋体" w:cs="宋体" w:eastAsia="宋体" w:hint="default"/>
          <w:spacing w:val="-65"/>
        </w:rPr>
        <w:t> </w:t>
      </w:r>
      <w:r>
        <w:rPr/>
        <w:t>家，其中包含近百家规模以上客户，整体板块实现了较好的业绩增长。报告期内，在仪器仪表 方面，公司安全仪表类业务销售额同比增长</w:t>
      </w:r>
      <w:r>
        <w:rPr>
          <w:spacing w:val="-24"/>
        </w:rPr>
        <w:t> </w:t>
      </w:r>
      <w:r>
        <w:rPr>
          <w:rFonts w:ascii="宋体" w:hAnsi="宋体" w:cs="宋体" w:eastAsia="宋体" w:hint="default"/>
        </w:rPr>
        <w:t>51%</w:t>
      </w:r>
      <w:r>
        <w:rPr/>
        <w:t>；在智慧安全整体解决方案方面，公司加速落地了多个安 </w:t>
      </w:r>
      <w:r>
        <w:rPr>
          <w:spacing w:val="-1"/>
        </w:rPr>
        <w:t>环一体化项目，系统集成类项目业绩占比进一步提高，为区域业务全覆盖奠定了标杆基础，同时对全国范</w:t>
      </w:r>
      <w:r>
        <w:rPr>
          <w:spacing w:val="-83"/>
        </w:rPr>
        <w:t> </w:t>
      </w:r>
      <w:r>
        <w:rPr>
          <w:spacing w:val="-83"/>
        </w:rPr>
      </w:r>
      <w:r>
        <w:rPr>
          <w:spacing w:val="-1"/>
        </w:rPr>
        <w:t>围内智慧园区项目的复制推广起到了积极的示范作用。报告期内，公司加快了上海城市大脑、浙江石油等</w:t>
      </w:r>
      <w:r>
        <w:rPr>
          <w:spacing w:val="-83"/>
        </w:rPr>
        <w:t> </w:t>
      </w:r>
      <w:r>
        <w:rPr>
          <w:spacing w:val="-83"/>
        </w:rPr>
      </w:r>
      <w:r>
        <w:rPr>
          <w:spacing w:val="-1"/>
        </w:rPr>
        <w:t>重大项目的落地，加强了与中国联通、浪潮、和利时等合作伙伴的横向产业战略合作。在工业物联网浪潮</w:t>
      </w:r>
      <w:r>
        <w:rPr>
          <w:spacing w:val="-85"/>
        </w:rPr>
        <w:t> </w:t>
      </w:r>
      <w:r>
        <w:rPr>
          <w:spacing w:val="-85"/>
        </w:rPr>
      </w:r>
      <w:r>
        <w:rPr/>
        <w:t>下，公司智慧安全系统解决方案业务板块专注于物联网</w:t>
      </w:r>
      <w:r>
        <w:rPr>
          <w:rFonts w:ascii="宋体" w:hAnsi="宋体" w:cs="宋体" w:eastAsia="宋体" w:hint="default"/>
        </w:rPr>
        <w:t>+</w:t>
      </w:r>
      <w:r>
        <w:rPr/>
        <w:t>大安全的“感、应、云”的</w:t>
      </w:r>
      <w:r>
        <w:rPr>
          <w:spacing w:val="-33"/>
        </w:rPr>
        <w:t> </w:t>
      </w:r>
      <w:r>
        <w:rPr>
          <w:rFonts w:ascii="宋体" w:hAnsi="宋体" w:cs="宋体" w:eastAsia="宋体" w:hint="default"/>
        </w:rPr>
        <w:t>toB</w:t>
      </w:r>
      <w:r>
        <w:rPr>
          <w:rFonts w:ascii="宋体" w:hAnsi="宋体" w:cs="宋体" w:eastAsia="宋体" w:hint="default"/>
          <w:spacing w:val="-33"/>
        </w:rPr>
        <w:t> </w:t>
      </w:r>
      <w:r>
        <w:rPr/>
        <w:t>和</w:t>
      </w:r>
      <w:r>
        <w:rPr>
          <w:spacing w:val="-34"/>
        </w:rPr>
        <w:t> </w:t>
      </w:r>
      <w:r>
        <w:rPr>
          <w:rFonts w:ascii="宋体" w:hAnsi="宋体" w:cs="宋体" w:eastAsia="宋体" w:hint="default"/>
        </w:rPr>
        <w:t>toG</w:t>
      </w:r>
      <w:r>
        <w:rPr>
          <w:rFonts w:ascii="宋体" w:hAnsi="宋体" w:cs="宋体" w:eastAsia="宋体" w:hint="default"/>
          <w:spacing w:val="-33"/>
        </w:rPr>
        <w:t> </w:t>
      </w:r>
      <w:r>
        <w:rPr/>
        <w:t>业务，构 建了智慧安全</w:t>
      </w:r>
      <w:r>
        <w:rPr>
          <w:spacing w:val="-52"/>
        </w:rPr>
        <w:t> </w:t>
      </w:r>
      <w:r>
        <w:rPr>
          <w:rFonts w:ascii="宋体" w:hAnsi="宋体" w:cs="宋体" w:eastAsia="宋体" w:hint="default"/>
        </w:rPr>
        <w:t>IOT+HSSE</w:t>
      </w:r>
      <w:r>
        <w:rPr>
          <w:rFonts w:ascii="宋体" w:hAnsi="宋体" w:cs="宋体" w:eastAsia="宋体" w:hint="default"/>
          <w:spacing w:val="-54"/>
        </w:rPr>
        <w:t> </w:t>
      </w:r>
      <w:r>
        <w:rPr/>
        <w:t>生态平台，为智慧安全型城市提供完整的解决方案。</w:t>
      </w:r>
    </w:p>
    <w:p>
      <w:pPr>
        <w:pStyle w:val="BodyText"/>
        <w:spacing w:line="408" w:lineRule="auto"/>
        <w:ind w:right="1023" w:firstLine="420"/>
        <w:jc w:val="left"/>
      </w:pPr>
      <w:r>
        <w:rPr/>
        <w:t>报告期内，公司加速落地了 </w:t>
      </w:r>
      <w:r>
        <w:rPr>
          <w:rFonts w:ascii="宋体" w:hAnsi="宋体" w:cs="宋体" w:eastAsia="宋体" w:hint="default"/>
        </w:rPr>
        <w:t>NB-IoT</w:t>
      </w:r>
      <w:r>
        <w:rPr/>
        <w:t>、</w:t>
      </w:r>
      <w:r>
        <w:rPr>
          <w:rFonts w:ascii="宋体" w:hAnsi="宋体" w:cs="宋体" w:eastAsia="宋体" w:hint="default"/>
        </w:rPr>
        <w:t>GDS</w:t>
      </w:r>
      <w:r>
        <w:rPr/>
        <w:t>、</w:t>
      </w:r>
      <w:r>
        <w:rPr>
          <w:rFonts w:ascii="宋体" w:hAnsi="宋体" w:cs="宋体" w:eastAsia="宋体" w:hint="default"/>
        </w:rPr>
        <w:t>FGS</w:t>
      </w:r>
      <w:r>
        <w:rPr/>
        <w:t>、</w:t>
      </w:r>
      <w:r>
        <w:rPr>
          <w:rFonts w:ascii="宋体" w:hAnsi="宋体" w:cs="宋体" w:eastAsia="宋体" w:hint="default"/>
        </w:rPr>
        <w:t>HSSE</w:t>
      </w:r>
      <w:r>
        <w:rPr>
          <w:rFonts w:ascii="宋体" w:hAnsi="宋体" w:cs="宋体" w:eastAsia="宋体" w:hint="default"/>
          <w:spacing w:val="-26"/>
        </w:rPr>
        <w:t> </w:t>
      </w:r>
      <w:r>
        <w:rPr/>
        <w:t>产品面向化工行业的工业物联网平台建设和应 用，同时实现了智慧园区、应急管理等整体解决方案三次迭代升级。在基于</w:t>
      </w:r>
      <w:r>
        <w:rPr>
          <w:spacing w:val="-56"/>
        </w:rPr>
        <w:t> </w:t>
      </w:r>
      <w:r>
        <w:rPr>
          <w:rFonts w:ascii="宋体" w:hAnsi="宋体" w:cs="宋体" w:eastAsia="宋体" w:hint="default"/>
        </w:rPr>
        <w:t>PLC</w:t>
      </w:r>
      <w:r>
        <w:rPr>
          <w:rFonts w:ascii="宋体" w:hAnsi="宋体" w:cs="宋体" w:eastAsia="宋体" w:hint="default"/>
          <w:spacing w:val="-8"/>
        </w:rPr>
        <w:t> </w:t>
      </w:r>
      <w:r>
        <w:rPr/>
        <w:t>的安全仪表以及基于</w:t>
      </w:r>
      <w:r>
        <w:rPr>
          <w:spacing w:val="-57"/>
        </w:rPr>
        <w:t> </w:t>
      </w:r>
      <w:r>
        <w:rPr>
          <w:rFonts w:ascii="宋体" w:hAnsi="宋体" w:cs="宋体" w:eastAsia="宋体" w:hint="default"/>
        </w:rPr>
        <w:t>GIS </w:t>
      </w:r>
      <w:r>
        <w:rPr>
          <w:spacing w:val="-3"/>
        </w:rPr>
        <w:t>一张网的应用领域上，公司进一步向数据采集一体化、硬件智能化、数据可视化、产品云化等新方向延伸，</w:t>
      </w:r>
      <w:r>
        <w:rPr>
          <w:spacing w:val="-96"/>
        </w:rPr>
        <w:t> </w:t>
      </w:r>
      <w:r>
        <w:rPr>
          <w:spacing w:val="-96"/>
        </w:rPr>
      </w:r>
      <w:r>
        <w:rPr/>
        <w:t>不断巩固扩大核心竞争优势，在细分行业领域的地位得到了夯实与提升。</w:t>
      </w:r>
    </w:p>
    <w:p>
      <w:pPr>
        <w:pStyle w:val="BodyText"/>
        <w:spacing w:line="408" w:lineRule="auto"/>
        <w:ind w:left="574" w:right="0"/>
        <w:jc w:val="left"/>
      </w:pPr>
      <w:r>
        <w:rPr/>
        <w:t>（</w:t>
      </w:r>
      <w:r>
        <w:rPr>
          <w:rFonts w:ascii="宋体" w:hAnsi="宋体" w:cs="宋体" w:eastAsia="宋体" w:hint="default"/>
        </w:rPr>
        <w:t>2</w:t>
      </w:r>
      <w:r>
        <w:rPr/>
        <w:t>）物联网平台解决方案 公司物联网平台解决方案业务综合了多门类物联网技术，通过对目标项目实施“硬件</w:t>
      </w:r>
      <w:r>
        <w:rPr>
          <w:rFonts w:ascii="宋体" w:hAnsi="宋体" w:cs="宋体" w:eastAsia="宋体" w:hint="default"/>
        </w:rPr>
        <w:t>+</w:t>
      </w:r>
      <w:r>
        <w:rPr/>
        <w:t>软件”的智慧</w:t>
      </w:r>
    </w:p>
    <w:p>
      <w:pPr>
        <w:pStyle w:val="BodyText"/>
        <w:spacing w:line="408" w:lineRule="auto"/>
        <w:ind w:right="1133"/>
        <w:jc w:val="both"/>
      </w:pPr>
      <w:r>
        <w:rPr>
          <w:spacing w:val="-1"/>
        </w:rPr>
        <w:t>化改造，为传统行业插上智慧的翅膀，助其实现经营质量的改善和效益的提高。报告期内，公司主动调整</w:t>
      </w:r>
      <w:r>
        <w:rPr>
          <w:spacing w:val="-86"/>
        </w:rPr>
        <w:t> </w:t>
      </w:r>
      <w:r>
        <w:rPr>
          <w:spacing w:val="-86"/>
        </w:rPr>
      </w:r>
      <w:r>
        <w:rPr>
          <w:spacing w:val="-1"/>
        </w:rPr>
        <w:t>了该板块的管理团队，带动了板块内部的积极发展因素，在智慧水务、智慧热力、智慧燃气以及智慧消防</w:t>
      </w:r>
      <w:r>
        <w:rPr>
          <w:spacing w:val="-86"/>
        </w:rPr>
        <w:t> </w:t>
      </w:r>
      <w:r>
        <w:rPr>
          <w:spacing w:val="-86"/>
        </w:rPr>
      </w:r>
      <w:r>
        <w:rPr/>
        <w:t>等领域实现了较好的落地效果。</w:t>
      </w:r>
    </w:p>
    <w:p>
      <w:pPr>
        <w:pStyle w:val="BodyText"/>
        <w:spacing w:line="408" w:lineRule="auto"/>
        <w:ind w:right="1017" w:firstLine="420"/>
        <w:jc w:val="left"/>
      </w:pPr>
      <w:r>
        <w:rPr>
          <w:spacing w:val="-3"/>
        </w:rPr>
        <w:t>报告期内，公司研发的“祥云物联网平台”正式发布，进一步推进了基于行业应用的“汉威云”战略。</w:t>
      </w:r>
      <w:r>
        <w:rPr/>
        <w:t> “祥云物联网平台”与公司多个业务板块形成了良好的协同效应，结合公司原有物联网平台解决方案促成</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了多个应用方案落地。“祥云物联网平台”具备提供传感器、仪表、智能终端的数据接入服务和轻应用开</w:t>
      </w:r>
      <w:r>
        <w:rPr>
          <w:spacing w:val="-82"/>
        </w:rPr>
        <w:t> </w:t>
      </w:r>
      <w:r>
        <w:rPr>
          <w:spacing w:val="-82"/>
        </w:rPr>
      </w:r>
      <w:r>
        <w:rPr>
          <w:spacing w:val="-1"/>
        </w:rPr>
        <w:t>发服务的能力，已接入水务、密闭空间、烟感、水质、震动等设备数据，通过创新的多租户模式，帮助用</w:t>
      </w:r>
      <w:r>
        <w:rPr>
          <w:spacing w:val="-85"/>
        </w:rPr>
        <w:t> </w:t>
      </w:r>
      <w:r>
        <w:rPr>
          <w:spacing w:val="-85"/>
        </w:rPr>
      </w:r>
      <w:r>
        <w:rPr/>
        <w:t>户实现设备及数据价值最大化。</w:t>
      </w:r>
    </w:p>
    <w:p>
      <w:pPr>
        <w:pStyle w:val="BodyText"/>
        <w:spacing w:line="408" w:lineRule="auto"/>
        <w:ind w:right="1013" w:firstLine="420"/>
        <w:jc w:val="left"/>
      </w:pPr>
      <w:r>
        <w:rPr/>
        <w:t>智慧水务与智慧热力解决方案加快发展。报告期内，公司共签定</w:t>
      </w:r>
      <w:r>
        <w:rPr>
          <w:spacing w:val="-59"/>
        </w:rPr>
        <w:t> </w:t>
      </w:r>
      <w:r>
        <w:rPr>
          <w:rFonts w:ascii="宋体" w:hAnsi="宋体" w:cs="宋体" w:eastAsia="宋体" w:hint="default"/>
        </w:rPr>
        <w:t>67</w:t>
      </w:r>
      <w:r>
        <w:rPr>
          <w:rFonts w:ascii="宋体" w:hAnsi="宋体" w:cs="宋体" w:eastAsia="宋体" w:hint="default"/>
          <w:spacing w:val="-59"/>
        </w:rPr>
        <w:t> </w:t>
      </w:r>
      <w:r>
        <w:rPr/>
        <w:t>个供水管网</w:t>
      </w:r>
      <w:r>
        <w:rPr>
          <w:spacing w:val="-59"/>
        </w:rPr>
        <w:t> </w:t>
      </w:r>
      <w:r>
        <w:rPr>
          <w:rFonts w:ascii="宋体" w:hAnsi="宋体" w:cs="宋体" w:eastAsia="宋体" w:hint="default"/>
        </w:rPr>
        <w:t>GIS</w:t>
      </w:r>
      <w:r>
        <w:rPr>
          <w:rFonts w:ascii="宋体" w:hAnsi="宋体" w:cs="宋体" w:eastAsia="宋体" w:hint="default"/>
          <w:spacing w:val="-59"/>
        </w:rPr>
        <w:t> </w:t>
      </w:r>
      <w:r>
        <w:rPr/>
        <w:t>及移动巡检项目， 较去年增长</w:t>
      </w:r>
      <w:r>
        <w:rPr>
          <w:spacing w:val="-23"/>
        </w:rPr>
        <w:t> </w:t>
      </w:r>
      <w:r>
        <w:rPr>
          <w:rFonts w:ascii="宋体" w:hAnsi="宋体" w:cs="宋体" w:eastAsia="宋体" w:hint="default"/>
        </w:rPr>
        <w:t>13.6%</w:t>
      </w:r>
      <w:r>
        <w:rPr/>
        <w:t>，其中，厦门智慧市政大数据管理平台研发项目是公司首个市政大数据项目；秀山管网 地理信息系统设备采购及安装项目是公司参与的第一个农村饮用水水质监控及自动化改造项目，公司通过 该项目完成了</w:t>
      </w:r>
      <w:r>
        <w:rPr>
          <w:spacing w:val="-57"/>
        </w:rPr>
        <w:t> </w:t>
      </w:r>
      <w:r>
        <w:rPr>
          <w:rFonts w:ascii="宋体" w:hAnsi="宋体" w:cs="宋体" w:eastAsia="宋体" w:hint="default"/>
        </w:rPr>
        <w:t>18</w:t>
      </w:r>
      <w:r>
        <w:rPr>
          <w:rFonts w:ascii="宋体" w:hAnsi="宋体" w:cs="宋体" w:eastAsia="宋体" w:hint="default"/>
          <w:spacing w:val="-57"/>
        </w:rPr>
        <w:t> </w:t>
      </w:r>
      <w:r>
        <w:rPr/>
        <w:t>个农村水厂及</w:t>
      </w:r>
      <w:r>
        <w:rPr>
          <w:spacing w:val="-58"/>
        </w:rPr>
        <w:t> </w:t>
      </w:r>
      <w:r>
        <w:rPr>
          <w:rFonts w:ascii="宋体" w:hAnsi="宋体" w:cs="宋体" w:eastAsia="宋体" w:hint="default"/>
        </w:rPr>
        <w:t>12</w:t>
      </w:r>
      <w:r>
        <w:rPr>
          <w:rFonts w:ascii="宋体" w:hAnsi="宋体" w:cs="宋体" w:eastAsia="宋体" w:hint="default"/>
          <w:spacing w:val="-57"/>
        </w:rPr>
        <w:t> </w:t>
      </w:r>
      <w:r>
        <w:rPr/>
        <w:t>个污水处理厂的自动化改造及集控，具有一定的市场战略意义。报告期 内，公司在原有河南、贵州省份业务的基础上，新开辟江苏、湖南等新的智慧水务标杆项目区域，其中， 江苏吴江华衍水务项目已完成验收，湖南区域收获韶山、桃江项目，同时与多家县级水司达成意向合作， 形成了一定的市场影响力。报告期内，公司沿着智慧水务行业延伸发展了管道非开挖修复业务，为公司的 智慧水务板块带来了质量较高的增值业务，形成了一定规模，同时促进了公司智慧化业务的增长。报告期 内，公司在原有水厂生产辅助系统、自动化改造、</w:t>
      </w:r>
      <w:r>
        <w:rPr>
          <w:rFonts w:ascii="宋体" w:hAnsi="宋体" w:cs="宋体" w:eastAsia="宋体" w:hint="default"/>
        </w:rPr>
        <w:t>BIM</w:t>
      </w:r>
      <w:r>
        <w:rPr>
          <w:rFonts w:ascii="宋体" w:hAnsi="宋体" w:cs="宋体" w:eastAsia="宋体" w:hint="default"/>
          <w:spacing w:val="-23"/>
        </w:rPr>
        <w:t> </w:t>
      </w:r>
      <w:r>
        <w:rPr/>
        <w:t>系统等功能的基础上，研发出水厂运营四大智能模 </w:t>
      </w:r>
      <w:r>
        <w:rPr>
          <w:spacing w:val="-1"/>
        </w:rPr>
        <w:t>型系统（按需定产模型、节能降耗调度模型、智能加药模型、工艺时间停留模型），提高了公司智慧水务</w:t>
      </w:r>
      <w:r>
        <w:rPr>
          <w:spacing w:val="-94"/>
        </w:rPr>
        <w:t> </w:t>
      </w:r>
      <w:r>
        <w:rPr>
          <w:spacing w:val="-94"/>
        </w:rPr>
      </w:r>
      <w:r>
        <w:rPr/>
        <w:t>项目的核心竞争力。报告期内，智慧水务平台得到了华为技术有限公司（以下简称“华为”）“优秀方案</w:t>
      </w:r>
      <w:r>
        <w:rPr/>
        <w:t> 供应商”的认证，未来将以领先的物联网技术持续打造智慧水务标杆。报告期内，公司智慧热力项目在换 热站自动运行的基础上，完成了换热站多模式自动调节，调度中心远程干预调节，使换热站自动运行更节 能稳定，真正实现节能降耗，降低热力公司运营成本。报告期内，公司成功入驻阿里巴巴</w:t>
      </w:r>
      <w:r>
        <w:rPr>
          <w:spacing w:val="-68"/>
        </w:rPr>
        <w:t> </w:t>
      </w:r>
      <w:r>
        <w:rPr>
          <w:rFonts w:ascii="宋体" w:hAnsi="宋体" w:cs="宋体" w:eastAsia="宋体" w:hint="default"/>
          <w:spacing w:val="-3"/>
        </w:rPr>
        <w:t>Linkmarket</w:t>
      </w:r>
      <w:r>
        <w:rPr>
          <w:spacing w:val="-3"/>
        </w:rPr>
        <w:t>，相</w:t>
      </w:r>
      <w:r>
        <w:rPr>
          <w:spacing w:val="-15"/>
        </w:rPr>
        <w:t> </w:t>
      </w:r>
      <w:r>
        <w:rPr/>
        <w:t>关物联网平台解决方案和案例正在逐步上线。</w:t>
      </w:r>
    </w:p>
    <w:p>
      <w:pPr>
        <w:pStyle w:val="BodyText"/>
        <w:spacing w:line="408" w:lineRule="auto"/>
        <w:ind w:right="1012" w:firstLine="420"/>
        <w:jc w:val="left"/>
      </w:pPr>
      <w:r>
        <w:rPr/>
        <w:t>智慧燃气解决方案陆续落地。报告期内，公司实施了智慧燃气、智慧管廊等</w:t>
      </w:r>
      <w:r>
        <w:rPr>
          <w:spacing w:val="-65"/>
        </w:rPr>
        <w:t> </w:t>
      </w:r>
      <w:r>
        <w:rPr>
          <w:rFonts w:ascii="宋体" w:hAnsi="宋体" w:cs="宋体" w:eastAsia="宋体" w:hint="default"/>
        </w:rPr>
        <w:t>40</w:t>
      </w:r>
      <w:r>
        <w:rPr>
          <w:rFonts w:ascii="宋体" w:hAnsi="宋体" w:cs="宋体" w:eastAsia="宋体" w:hint="default"/>
          <w:spacing w:val="-65"/>
        </w:rPr>
        <w:t> </w:t>
      </w:r>
      <w:r>
        <w:rPr/>
        <w:t>余个系统集成类项目， 项目主要分布在北京、天津、福建、浙江、湖南、江苏等省份及地区，订单总额较上年同期增幅达</w:t>
      </w:r>
      <w:r>
        <w:rPr>
          <w:spacing w:val="-22"/>
        </w:rPr>
        <w:t> </w:t>
      </w:r>
      <w:r>
        <w:rPr>
          <w:rFonts w:ascii="宋体" w:hAnsi="宋体" w:cs="宋体" w:eastAsia="宋体" w:hint="default"/>
        </w:rPr>
        <w:t>59%</w:t>
      </w:r>
      <w:r>
        <w:rPr/>
        <w:t>。 </w:t>
      </w:r>
      <w:r>
        <w:rPr>
          <w:spacing w:val="-3"/>
        </w:rPr>
        <w:t>其中长安天然气智慧燃气信息化项目、新疆乌鲁木齐燃气监管平台在行业内具有标杆示范意义。报告期内，</w:t>
      </w:r>
      <w:r>
        <w:rPr>
          <w:spacing w:val="-92"/>
        </w:rPr>
        <w:t> </w:t>
      </w:r>
      <w:r>
        <w:rPr>
          <w:spacing w:val="-92"/>
        </w:rPr>
      </w:r>
      <w:r>
        <w:rPr/>
        <w:t>公司物联网平台解决方案业务研发推出了三款新产品，分别是智慧测绘系统、数据仓库、综合数据分析与</w:t>
      </w:r>
      <w:r>
        <w:rPr/>
        <w:t> 展示平台，上述产品除了面向燃气企业之外，也拓展了面向供水企业的业务。新产品在沈阳燃气集团、天 津水务集团、长安天然气等企业推广应用，有效提升了公司智慧燃气解决方案的深度。</w:t>
      </w:r>
    </w:p>
    <w:p>
      <w:pPr>
        <w:pStyle w:val="BodyText"/>
        <w:spacing w:line="408" w:lineRule="auto"/>
        <w:ind w:left="574" w:right="0"/>
        <w:jc w:val="left"/>
      </w:pPr>
      <w:r>
        <w:rPr/>
        <w:t>（</w:t>
      </w:r>
      <w:r>
        <w:rPr>
          <w:rFonts w:ascii="宋体" w:hAnsi="宋体" w:cs="宋体" w:eastAsia="宋体" w:hint="default"/>
        </w:rPr>
        <w:t>3</w:t>
      </w:r>
      <w:r>
        <w:rPr/>
        <w:t>）智慧环保系统解决方案 </w:t>
      </w:r>
      <w:r>
        <w:rPr>
          <w:spacing w:val="-1"/>
        </w:rPr>
        <w:t>环境监测方面，报告期内，环保行业发展进入前所未有的历史机遇期。结合国家对水、大气、土壤污</w:t>
      </w:r>
    </w:p>
    <w:p>
      <w:pPr>
        <w:pStyle w:val="BodyText"/>
        <w:spacing w:line="408" w:lineRule="auto"/>
        <w:ind w:right="1131"/>
        <w:jc w:val="both"/>
      </w:pPr>
      <w:r>
        <w:rPr>
          <w:spacing w:val="-1"/>
        </w:rPr>
        <w:t>染防治的密切关注和政策支持，以及在环保方面的投入持续加大，环境治理、环境监测、环境信息化等方</w:t>
      </w:r>
      <w:r>
        <w:rPr>
          <w:spacing w:val="-86"/>
        </w:rPr>
        <w:t> </w:t>
      </w:r>
      <w:r>
        <w:rPr>
          <w:spacing w:val="-86"/>
        </w:rPr>
      </w:r>
      <w:r>
        <w:rPr>
          <w:spacing w:val="-1"/>
        </w:rPr>
        <w:t>面孕育了广阔的市场。报告期内，公司依据环保部门的建设要求，共计参与了近百个空气监测标准站项目</w:t>
      </w:r>
      <w:r>
        <w:rPr>
          <w:spacing w:val="-83"/>
        </w:rPr>
        <w:t> </w:t>
      </w:r>
      <w:r>
        <w:rPr>
          <w:spacing w:val="-83"/>
        </w:rPr>
      </w:r>
      <w:r>
        <w:rPr>
          <w:spacing w:val="-1"/>
        </w:rPr>
        <w:t>的建设，增强了大气监管能力；公司突破性的实施了许昌水环境管理综合决策平台项目，在水污染防治方</w:t>
      </w:r>
      <w:r>
        <w:rPr>
          <w:spacing w:val="-83"/>
        </w:rPr>
        <w:t> </w:t>
      </w:r>
      <w:r>
        <w:rPr>
          <w:spacing w:val="-83"/>
        </w:rPr>
      </w:r>
      <w:r>
        <w:rPr>
          <w:spacing w:val="-1"/>
        </w:rPr>
        <w:t>面积累了经验；公司充分发挥内部协同作用实施了多个园区安环一体化项目，将安全与环保有机结合，对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工业园区管理提供了样板；公司开发部署了温县智慧环保云平台、沁阳市智慧环保云平台等多个县级智慧</w:t>
      </w:r>
      <w:r>
        <w:rPr>
          <w:spacing w:val="-81"/>
        </w:rPr>
        <w:t> </w:t>
      </w:r>
      <w:r>
        <w:rPr>
          <w:spacing w:val="-81"/>
        </w:rPr>
      </w:r>
      <w:r>
        <w:rPr>
          <w:spacing w:val="-1"/>
        </w:rPr>
        <w:t>环保综合管理平台，使智慧环保项目真正落地，实现了环境管控决策数据化的科学性、环境管控业务网格</w:t>
      </w:r>
      <w:r>
        <w:rPr>
          <w:spacing w:val="-83"/>
        </w:rPr>
        <w:t> </w:t>
      </w:r>
      <w:r>
        <w:rPr>
          <w:spacing w:val="-83"/>
        </w:rPr>
      </w:r>
      <w:r>
        <w:rPr/>
        <w:t>化的协同性以及环境管控作业的可视性，为地方监管决策提供了有力支撑。</w:t>
      </w:r>
    </w:p>
    <w:p>
      <w:pPr>
        <w:pStyle w:val="BodyText"/>
        <w:spacing w:line="408" w:lineRule="auto"/>
        <w:ind w:right="1131" w:firstLine="420"/>
        <w:jc w:val="both"/>
      </w:pPr>
      <w:r>
        <w:rPr>
          <w:spacing w:val="-1"/>
        </w:rPr>
        <w:t>环境治理方面，报告期内，公司气务类业务在今年取得较好业绩。主要原因是公司在原有技术工艺基</w:t>
      </w:r>
      <w:r>
        <w:rPr/>
        <w:t> </w:t>
      </w:r>
      <w:r>
        <w:rPr>
          <w:spacing w:val="-1"/>
        </w:rPr>
        <w:t>础上取得了一定突破和改进，如分子筛转筒工艺的研发及大面积推广，抢占了一定的市场份额，且新签约</w:t>
      </w:r>
      <w:r>
        <w:rPr>
          <w:spacing w:val="-83"/>
        </w:rPr>
        <w:t> </w:t>
      </w:r>
      <w:r>
        <w:rPr>
          <w:spacing w:val="-83"/>
        </w:rPr>
      </w:r>
      <w:r>
        <w:rPr/>
        <w:t>项目涉及多种工艺、多个行业，发挥了公司技术多元化发展的优势。报告期内，天津天药单个项目</w:t>
      </w:r>
      <w:r>
        <w:rPr>
          <w:spacing w:val="-22"/>
        </w:rPr>
        <w:t> </w:t>
      </w:r>
      <w:r>
        <w:rPr>
          <w:rFonts w:ascii="宋体" w:hAnsi="宋体" w:cs="宋体" w:eastAsia="宋体" w:hint="default"/>
        </w:rPr>
        <w:t>3,700 </w:t>
      </w:r>
      <w:r>
        <w:rPr>
          <w:spacing w:val="-1"/>
        </w:rPr>
        <w:t>万的合同额创下公司气务类项目历史新高，为公司在制药行业的业务奠定了基础。报告期内，公司水务类</w:t>
      </w:r>
      <w:r>
        <w:rPr>
          <w:spacing w:val="-83"/>
        </w:rPr>
        <w:t> </w:t>
      </w:r>
      <w:r>
        <w:rPr>
          <w:spacing w:val="-83"/>
        </w:rPr>
      </w:r>
      <w:r>
        <w:rPr>
          <w:spacing w:val="-1"/>
        </w:rPr>
        <w:t>项目业务整体订单情况良好，公司承建的东山双东污水处理厂提标改造项目是公司目前投资最大的污水处</w:t>
      </w:r>
      <w:r>
        <w:rPr>
          <w:spacing w:val="-81"/>
        </w:rPr>
        <w:t> </w:t>
      </w:r>
      <w:r>
        <w:rPr>
          <w:spacing w:val="-81"/>
        </w:rPr>
      </w:r>
      <w:r>
        <w:rPr>
          <w:spacing w:val="-1"/>
        </w:rPr>
        <w:t>理项目，已签约的项目总体质量较好，为公司带来较好的经济效益。报告期内，公司智慧环保平台建设有</w:t>
      </w:r>
      <w:r>
        <w:rPr>
          <w:spacing w:val="-86"/>
        </w:rPr>
        <w:t> </w:t>
      </w:r>
      <w:r>
        <w:rPr>
          <w:spacing w:val="-86"/>
        </w:rPr>
      </w:r>
      <w:r>
        <w:rPr>
          <w:spacing w:val="-1"/>
        </w:rPr>
        <w:t>序推进，截至报告期末，公司已完成智慧环保平台的展示平台、管控平台开发，完成多家垃圾填埋场渗滤</w:t>
      </w:r>
      <w:r>
        <w:rPr>
          <w:spacing w:val="-86"/>
        </w:rPr>
        <w:t> </w:t>
      </w:r>
      <w:r>
        <w:rPr>
          <w:spacing w:val="-86"/>
        </w:rPr>
      </w:r>
      <w:r>
        <w:rPr>
          <w:spacing w:val="-1"/>
        </w:rPr>
        <w:t>液处理厂有关数据接入及应用，实现远程调取生产数据、远程视频监控及了解厂区实时生产状况，并完成</w:t>
      </w:r>
      <w:r>
        <w:rPr>
          <w:spacing w:val="-83"/>
        </w:rPr>
        <w:t> </w:t>
      </w:r>
      <w:r>
        <w:rPr>
          <w:spacing w:val="-83"/>
        </w:rPr>
      </w:r>
      <w:r>
        <w:rPr/>
        <w:t>阶段性验收。报告期内，智慧环保平台得到了华为技术有限公司的“优秀方案供应商”认证。</w:t>
      </w:r>
    </w:p>
    <w:p>
      <w:pPr>
        <w:pStyle w:val="BodyText"/>
        <w:spacing w:line="408" w:lineRule="auto"/>
        <w:ind w:left="574" w:right="0"/>
        <w:jc w:val="left"/>
      </w:pPr>
      <w:r>
        <w:rPr/>
        <w:t>（</w:t>
      </w:r>
      <w:r>
        <w:rPr>
          <w:rFonts w:ascii="宋体" w:hAnsi="宋体" w:cs="宋体" w:eastAsia="宋体" w:hint="default"/>
        </w:rPr>
        <w:t>4</w:t>
      </w:r>
      <w:r>
        <w:rPr/>
        <w:t>）智慧市政系统解决方案 </w:t>
      </w:r>
      <w:r>
        <w:rPr>
          <w:spacing w:val="-1"/>
        </w:rPr>
        <w:t>报告期内，公司智慧市政系统解决方案坚持“质量先行、效益优先”，经营业绩取得了稳步提高。在</w:t>
      </w:r>
    </w:p>
    <w:p>
      <w:pPr>
        <w:pStyle w:val="BodyText"/>
        <w:spacing w:line="408" w:lineRule="auto"/>
        <w:ind w:right="1130"/>
        <w:jc w:val="both"/>
      </w:pPr>
      <w:r>
        <w:rPr>
          <w:spacing w:val="-1"/>
        </w:rPr>
        <w:t>整体经济形势下行的环境下，该部分资产为公司发展提供了充足的现金流，起到了公司“现金稳定器”的</w:t>
      </w:r>
      <w:r>
        <w:rPr>
          <w:spacing w:val="-80"/>
        </w:rPr>
        <w:t> </w:t>
      </w:r>
      <w:r>
        <w:rPr>
          <w:spacing w:val="-80"/>
        </w:rPr>
      </w:r>
      <w:r>
        <w:rPr>
          <w:spacing w:val="-1"/>
        </w:rPr>
        <w:t>积极作用，另一方面，作为物联网平台解决方案业务的“试验田”，智慧市政项目充分发挥了行业的标杆</w:t>
      </w:r>
      <w:r>
        <w:rPr>
          <w:spacing w:val="-83"/>
        </w:rPr>
        <w:t> </w:t>
      </w:r>
      <w:r>
        <w:rPr>
          <w:spacing w:val="-83"/>
        </w:rPr>
      </w:r>
      <w:r>
        <w:rPr>
          <w:spacing w:val="-1"/>
        </w:rPr>
        <w:t>示范效应。报告期内，公司供热及供水业务均较好地完成了民生任务。同时，高新供水成功申报高新技术</w:t>
      </w:r>
      <w:r>
        <w:rPr>
          <w:spacing w:val="-86"/>
        </w:rPr>
        <w:t> </w:t>
      </w:r>
      <w:r>
        <w:rPr>
          <w:spacing w:val="-86"/>
        </w:rPr>
      </w:r>
      <w:r>
        <w:rPr/>
        <w:t>企业，彰显了公司智慧城市业务在供水行业的应用深度和智慧水务的科技含量。</w:t>
      </w:r>
    </w:p>
    <w:p>
      <w:pPr>
        <w:pStyle w:val="BodyText"/>
        <w:spacing w:line="408" w:lineRule="auto"/>
        <w:ind w:left="574" w:right="0"/>
        <w:jc w:val="left"/>
      </w:pPr>
      <w:r>
        <w:rPr>
          <w:rFonts w:ascii="宋体" w:hAnsi="宋体" w:cs="宋体" w:eastAsia="宋体" w:hint="default"/>
        </w:rPr>
        <w:t>3</w:t>
      </w:r>
      <w:r>
        <w:rPr/>
        <w:t>、居家智能与健康 </w:t>
      </w:r>
      <w:r>
        <w:rPr>
          <w:spacing w:val="-1"/>
        </w:rPr>
        <w:t>报告期内，公司持续创新发展消费电子业务，在研发创新方面取得了突破。其中，烟雾报警类产品完</w:t>
      </w:r>
    </w:p>
    <w:p>
      <w:pPr>
        <w:pStyle w:val="BodyText"/>
        <w:spacing w:line="408" w:lineRule="auto"/>
        <w:ind w:right="1131"/>
        <w:jc w:val="both"/>
      </w:pPr>
      <w:r>
        <w:rPr>
          <w:spacing w:val="-1"/>
        </w:rPr>
        <w:t>成研发，产品稳定性优于行业平均水平，并成功通过了国家认证检测，逐步批量投入市场。报告期内，结</w:t>
      </w:r>
      <w:r>
        <w:rPr>
          <w:spacing w:val="-83"/>
        </w:rPr>
        <w:t> </w:t>
      </w:r>
      <w:r>
        <w:rPr>
          <w:spacing w:val="-83"/>
        </w:rPr>
      </w:r>
      <w:r>
        <w:rPr>
          <w:spacing w:val="-1"/>
        </w:rPr>
        <w:t>合祥云物联网平台的成功发布，公司居家智能与健康业务实现了向数据应用服务的转型升级。截至报告期</w:t>
      </w:r>
      <w:r>
        <w:rPr>
          <w:spacing w:val="-81"/>
        </w:rPr>
        <w:t> </w:t>
      </w:r>
      <w:r>
        <w:rPr>
          <w:spacing w:val="-81"/>
        </w:rPr>
      </w:r>
      <w:r>
        <w:rPr>
          <w:spacing w:val="-1"/>
        </w:rPr>
        <w:t>末，公司已经形成以居家、安全、环境为核心，以云端数据平台为依托的居家智能应用方案，应用涵盖燃</w:t>
      </w:r>
      <w:r>
        <w:rPr>
          <w:spacing w:val="-83"/>
        </w:rPr>
        <w:t> </w:t>
      </w:r>
      <w:r>
        <w:rPr>
          <w:spacing w:val="-83"/>
        </w:rPr>
      </w:r>
      <w:r>
        <w:rPr>
          <w:spacing w:val="-1"/>
        </w:rPr>
        <w:t>气报警、消防安全、空气健康等硬件方案的组合以及配套数据服务，主要应用于空气监护、智能家电以及</w:t>
      </w:r>
      <w:r>
        <w:rPr>
          <w:spacing w:val="-86"/>
        </w:rPr>
        <w:t> </w:t>
      </w:r>
      <w:r>
        <w:rPr>
          <w:spacing w:val="-86"/>
        </w:rPr>
      </w:r>
      <w:r>
        <w:rPr/>
        <w:t>新能源汽车等领域，相关业务保持了较好发展。</w:t>
      </w:r>
    </w:p>
    <w:p>
      <w:pPr>
        <w:pStyle w:val="BodyText"/>
        <w:spacing w:line="408" w:lineRule="auto"/>
        <w:ind w:left="574" w:right="6867"/>
        <w:jc w:val="left"/>
      </w:pPr>
      <w:r>
        <w:rPr/>
        <w:t>（二）提升研发实力 </w:t>
      </w:r>
      <w:r>
        <w:rPr>
          <w:rFonts w:ascii="宋体" w:hAnsi="宋体" w:cs="宋体" w:eastAsia="宋体" w:hint="default"/>
        </w:rPr>
        <w:t>1</w:t>
      </w:r>
      <w:r>
        <w:rPr/>
        <w:t>、“双创”孵化平台建设取得新进展</w:t>
      </w:r>
    </w:p>
    <w:p>
      <w:pPr>
        <w:pStyle w:val="BodyText"/>
        <w:spacing w:line="408" w:lineRule="auto"/>
        <w:ind w:right="1131" w:firstLine="420"/>
        <w:jc w:val="both"/>
      </w:pPr>
      <w:r>
        <w:rPr>
          <w:spacing w:val="-1"/>
        </w:rPr>
        <w:t>作为科技型创新企业，公司始终将创新视为公司发展的源动力。公司打造的传感器专业化众创空间作</w:t>
      </w:r>
      <w:r>
        <w:rPr/>
        <w:t> 为公司完善产业链条、优化创新生态的前沿阵地，是创新发展的重要引擎。</w:t>
      </w:r>
    </w:p>
    <w:p>
      <w:pPr>
        <w:pStyle w:val="BodyText"/>
        <w:spacing w:line="240" w:lineRule="auto"/>
        <w:ind w:left="574" w:right="0"/>
        <w:jc w:val="left"/>
      </w:pPr>
      <w:r>
        <w:rPr/>
        <w:t>报告期内，传感器国家专业化众创空间加快打造物联网领域创新创业项目的产业生态群，多维度服务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t>在孵企业，创新孵化能力得到进一步提升。传感器国家专业化众创空间继续坚持定向精准孵化，根据在孵 </w:t>
      </w:r>
      <w:r>
        <w:rPr>
          <w:spacing w:val="-3"/>
        </w:rPr>
        <w:t>企业需求，与部分在孵企业签订全年战略服务协议，深化对在孵企业的各项服务辅导，助力创业团队成长。</w:t>
      </w:r>
      <w:r>
        <w:rPr>
          <w:spacing w:val="-90"/>
        </w:rPr>
        <w:t> </w:t>
      </w:r>
      <w:r>
        <w:rPr>
          <w:spacing w:val="-90"/>
        </w:rPr>
      </w:r>
      <w:r>
        <w:rPr/>
        <w:t>截至报告期末，该众创空间新增高新企业</w:t>
      </w:r>
      <w:r>
        <w:rPr>
          <w:spacing w:val="-53"/>
        </w:rPr>
        <w:t> </w:t>
      </w:r>
      <w:r>
        <w:rPr>
          <w:rFonts w:ascii="宋体" w:hAnsi="宋体" w:cs="宋体" w:eastAsia="宋体" w:hint="default"/>
        </w:rPr>
        <w:t>2</w:t>
      </w:r>
      <w:r>
        <w:rPr>
          <w:rFonts w:ascii="宋体" w:hAnsi="宋体" w:cs="宋体" w:eastAsia="宋体" w:hint="default"/>
          <w:spacing w:val="-53"/>
        </w:rPr>
        <w:t> </w:t>
      </w:r>
      <w:r>
        <w:rPr/>
        <w:t>家，累计获得高新认定企业</w:t>
      </w:r>
      <w:r>
        <w:rPr>
          <w:spacing w:val="-54"/>
        </w:rPr>
        <w:t> </w:t>
      </w:r>
      <w:r>
        <w:rPr>
          <w:rFonts w:ascii="宋体" w:hAnsi="宋体" w:cs="宋体" w:eastAsia="宋体" w:hint="default"/>
        </w:rPr>
        <w:t>3</w:t>
      </w:r>
      <w:r>
        <w:rPr>
          <w:rFonts w:ascii="宋体" w:hAnsi="宋体" w:cs="宋体" w:eastAsia="宋体" w:hint="default"/>
          <w:spacing w:val="-53"/>
        </w:rPr>
        <w:t> </w:t>
      </w:r>
      <w:r>
        <w:rPr/>
        <w:t>家。</w:t>
      </w:r>
    </w:p>
    <w:p>
      <w:pPr>
        <w:pStyle w:val="BodyText"/>
        <w:spacing w:line="408" w:lineRule="auto"/>
        <w:ind w:right="1131" w:firstLine="420"/>
        <w:jc w:val="both"/>
      </w:pPr>
      <w:r>
        <w:rPr/>
        <w:t>报告期内，传感器国家专业化众创空间不断提升自身影响力，完成大型参观交流 </w:t>
      </w:r>
      <w:r>
        <w:rPr>
          <w:rFonts w:ascii="宋体" w:hAnsi="宋体" w:cs="宋体" w:eastAsia="宋体" w:hint="default"/>
        </w:rPr>
        <w:t>13</w:t>
      </w:r>
      <w:r>
        <w:rPr>
          <w:rFonts w:ascii="宋体" w:hAnsi="宋体" w:cs="宋体" w:eastAsia="宋体" w:hint="default"/>
          <w:spacing w:val="-24"/>
        </w:rPr>
        <w:t> </w:t>
      </w:r>
      <w:r>
        <w:rPr/>
        <w:t>场，进一步加强 </w:t>
      </w:r>
      <w:r>
        <w:rPr>
          <w:spacing w:val="-1"/>
        </w:rPr>
        <w:t>了行业影响力。报告期内，省市级领导多次参观传感器国家专业化众创空间，对公司创新创业工作及传感</w:t>
      </w:r>
      <w:r>
        <w:rPr>
          <w:spacing w:val="-83"/>
        </w:rPr>
        <w:t> </w:t>
      </w:r>
      <w:r>
        <w:rPr>
          <w:spacing w:val="-83"/>
        </w:rPr>
      </w:r>
      <w:r>
        <w:rPr/>
        <w:t>器国家专业化众创空间建设给予了充分的肯定。</w:t>
      </w:r>
    </w:p>
    <w:p>
      <w:pPr>
        <w:pStyle w:val="BodyText"/>
        <w:spacing w:line="240" w:lineRule="auto"/>
        <w:ind w:left="574" w:right="0"/>
        <w:jc w:val="left"/>
      </w:pPr>
      <w:r>
        <w:rPr>
          <w:rFonts w:ascii="宋体" w:hAnsi="宋体" w:cs="宋体" w:eastAsia="宋体" w:hint="default"/>
        </w:rPr>
        <w:t>2</w:t>
      </w:r>
      <w:r>
        <w:rPr/>
        <w:t>、创新实力不断增强</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t>（</w:t>
      </w:r>
      <w:r>
        <w:rPr>
          <w:rFonts w:ascii="宋体" w:hAnsi="宋体" w:cs="宋体" w:eastAsia="宋体" w:hint="default"/>
        </w:rPr>
        <w:t>1</w:t>
      </w:r>
      <w:r>
        <w:rPr/>
        <w:t>）报告期内，公司以提升创新牵引力为目标，重点在拓展创新领域、拓宽创新方向、挖掘商业模 </w:t>
      </w:r>
      <w:r>
        <w:rPr>
          <w:spacing w:val="-10"/>
        </w:rPr>
        <w:t>式、丰富创新产品等方面入手，使科技创新呈现出生机勃勃的局面。报告期内，公司投入研发经费</w:t>
      </w:r>
      <w:r>
        <w:rPr>
          <w:spacing w:val="-19"/>
        </w:rPr>
        <w:t> </w:t>
      </w:r>
      <w:r>
        <w:rPr>
          <w:rFonts w:ascii="宋体" w:hAnsi="宋体" w:cs="宋体" w:eastAsia="宋体" w:hint="default"/>
        </w:rPr>
        <w:t>10,668.68</w:t>
      </w:r>
      <w:r>
        <w:rPr>
          <w:rFonts w:ascii="宋体" w:hAnsi="宋体" w:cs="宋体" w:eastAsia="宋体" w:hint="default"/>
          <w:spacing w:val="-100"/>
        </w:rPr>
        <w:t> </w:t>
      </w:r>
      <w:r>
        <w:rPr>
          <w:spacing w:val="-3"/>
        </w:rPr>
        <w:t>万元，同比增长</w:t>
      </w:r>
      <w:r>
        <w:rPr>
          <w:spacing w:val="-70"/>
        </w:rPr>
        <w:t> </w:t>
      </w:r>
      <w:r>
        <w:rPr>
          <w:rFonts w:ascii="宋体" w:hAnsi="宋体" w:cs="宋体" w:eastAsia="宋体" w:hint="default"/>
        </w:rPr>
        <w:t>17.11%</w:t>
      </w:r>
      <w:r>
        <w:rPr/>
        <w:t>；引进</w:t>
      </w:r>
      <w:r>
        <w:rPr>
          <w:spacing w:val="-71"/>
        </w:rPr>
        <w:t> </w:t>
      </w:r>
      <w:r>
        <w:rPr>
          <w:rFonts w:ascii="宋体" w:hAnsi="宋体" w:cs="宋体" w:eastAsia="宋体" w:hint="default"/>
        </w:rPr>
        <w:t>116</w:t>
      </w:r>
      <w:r>
        <w:rPr>
          <w:rFonts w:ascii="宋体" w:hAnsi="宋体" w:cs="宋体" w:eastAsia="宋体" w:hint="default"/>
          <w:spacing w:val="-71"/>
        </w:rPr>
        <w:t> </w:t>
      </w:r>
      <w:r>
        <w:rPr/>
        <w:t>名专业技术人才，研发创新力量进一步增强；报告期内，公司新增专利 </w:t>
      </w:r>
      <w:r>
        <w:rPr>
          <w:rFonts w:ascii="宋体" w:hAnsi="宋体" w:cs="宋体" w:eastAsia="宋体" w:hint="default"/>
        </w:rPr>
        <w:t>34</w:t>
      </w:r>
      <w:r>
        <w:rPr>
          <w:rFonts w:ascii="宋体" w:hAnsi="宋体" w:cs="宋体" w:eastAsia="宋体" w:hint="default"/>
          <w:spacing w:val="-48"/>
        </w:rPr>
        <w:t> </w:t>
      </w:r>
      <w:r>
        <w:rPr/>
        <w:t>项，截至目前取得的专利总数达到</w:t>
      </w:r>
      <w:r>
        <w:rPr>
          <w:spacing w:val="-48"/>
        </w:rPr>
        <w:t> </w:t>
      </w:r>
      <w:r>
        <w:rPr>
          <w:rFonts w:ascii="宋体" w:hAnsi="宋体" w:cs="宋体" w:eastAsia="宋体" w:hint="default"/>
        </w:rPr>
        <w:t>381</w:t>
      </w:r>
      <w:r>
        <w:rPr>
          <w:rFonts w:ascii="宋体" w:hAnsi="宋体" w:cs="宋体" w:eastAsia="宋体" w:hint="default"/>
          <w:spacing w:val="-48"/>
        </w:rPr>
        <w:t> </w:t>
      </w:r>
      <w:r>
        <w:rPr/>
        <w:t>项，其中发明专利</w:t>
      </w:r>
      <w:r>
        <w:rPr>
          <w:spacing w:val="-49"/>
        </w:rPr>
        <w:t> </w:t>
      </w:r>
      <w:r>
        <w:rPr>
          <w:rFonts w:ascii="宋体" w:hAnsi="宋体" w:cs="宋体" w:eastAsia="宋体" w:hint="default"/>
        </w:rPr>
        <w:t>77</w:t>
      </w:r>
      <w:r>
        <w:rPr>
          <w:rFonts w:ascii="宋体" w:hAnsi="宋体" w:cs="宋体" w:eastAsia="宋体" w:hint="default"/>
          <w:spacing w:val="-48"/>
        </w:rPr>
        <w:t> </w:t>
      </w:r>
      <w:r>
        <w:rPr/>
        <w:t>项；报告期内，公司作为河南省创新龙头 企业被工业和信息化部认定为“国家技术创新示范企业”。</w:t>
      </w:r>
    </w:p>
    <w:p>
      <w:pPr>
        <w:pStyle w:val="BodyText"/>
        <w:spacing w:line="408" w:lineRule="auto"/>
        <w:ind w:right="1023" w:firstLine="420"/>
        <w:jc w:val="left"/>
      </w:pPr>
      <w:r>
        <w:rPr/>
        <w:t>（</w:t>
      </w:r>
      <w:r>
        <w:rPr>
          <w:rFonts w:ascii="宋体" w:hAnsi="宋体" w:cs="宋体" w:eastAsia="宋体" w:hint="default"/>
        </w:rPr>
        <w:t>2</w:t>
      </w:r>
      <w:r>
        <w:rPr/>
        <w:t>）报告期内，公司研发团队在</w:t>
      </w:r>
      <w:r>
        <w:rPr>
          <w:spacing w:val="-60"/>
        </w:rPr>
        <w:t> </w:t>
      </w:r>
      <w:r>
        <w:rPr>
          <w:rFonts w:ascii="宋体" w:hAnsi="宋体" w:cs="宋体" w:eastAsia="宋体" w:hint="default"/>
        </w:rPr>
        <w:t>NB-IoT</w:t>
      </w:r>
      <w:r>
        <w:rPr/>
        <w:t>、</w:t>
      </w:r>
      <w:r>
        <w:rPr>
          <w:rFonts w:ascii="宋体" w:hAnsi="宋体" w:cs="宋体" w:eastAsia="宋体" w:hint="default"/>
        </w:rPr>
        <w:t>LoRa</w:t>
      </w:r>
      <w:r>
        <w:rPr>
          <w:rFonts w:ascii="宋体" w:hAnsi="宋体" w:cs="宋体" w:eastAsia="宋体" w:hint="default"/>
          <w:spacing w:val="-60"/>
        </w:rPr>
        <w:t> </w:t>
      </w:r>
      <w:r>
        <w:rPr/>
        <w:t>等无线通讯技术的智能传感终端应用领域取得了阶段 性研发成果。报告期内，公司完成了通用无线模组平台的搭建，实现了多种通讯技术及不同模组厂家在智 能仪表上应用的无缝切换，同时，该模组平台已经在公司智慧燃气、智慧环保等业务板块中的多款智能传 感终端设备上规模应用。其中，基于 </w:t>
      </w:r>
      <w:r>
        <w:rPr>
          <w:rFonts w:ascii="宋体" w:hAnsi="宋体" w:cs="宋体" w:eastAsia="宋体" w:hint="default"/>
        </w:rPr>
        <w:t>NB-IoT</w:t>
      </w:r>
      <w:r>
        <w:rPr>
          <w:rFonts w:ascii="宋体" w:hAnsi="宋体" w:cs="宋体" w:eastAsia="宋体" w:hint="default"/>
          <w:spacing w:val="-24"/>
        </w:rPr>
        <w:t> </w:t>
      </w:r>
      <w:r>
        <w:rPr/>
        <w:t>的燃气报警器在上海、南京等多个地区规模商用，行业引领 </w:t>
      </w:r>
      <w:r>
        <w:rPr>
          <w:spacing w:val="-3"/>
        </w:rPr>
        <w:t>效果显著。报告期内，公司在无线传感终端方面与电信运营商及阿里巴巴、华为等公司继续保持深入合作，</w:t>
      </w:r>
      <w:r>
        <w:rPr>
          <w:spacing w:val="-90"/>
        </w:rPr>
        <w:t> </w:t>
      </w:r>
      <w:r>
        <w:rPr>
          <w:spacing w:val="-90"/>
        </w:rPr>
      </w:r>
      <w:r>
        <w:rPr/>
        <w:t>加快落地感知设备智能化、无线化应用项目，进一步提升公司在物联网全行业的影响力和技术引领实力。</w:t>
      </w:r>
    </w:p>
    <w:p>
      <w:pPr>
        <w:pStyle w:val="BodyText"/>
        <w:spacing w:line="408" w:lineRule="auto"/>
        <w:ind w:right="1020" w:firstLine="420"/>
        <w:jc w:val="left"/>
      </w:pPr>
      <w:r>
        <w:rPr>
          <w:spacing w:val="-6"/>
        </w:rPr>
        <w:t>（</w:t>
      </w:r>
      <w:r>
        <w:rPr>
          <w:rFonts w:ascii="宋体" w:hAnsi="宋体" w:cs="宋体" w:eastAsia="宋体" w:hint="default"/>
          <w:spacing w:val="-6"/>
        </w:rPr>
        <w:t>3</w:t>
      </w:r>
      <w:r>
        <w:rPr>
          <w:spacing w:val="-6"/>
        </w:rPr>
        <w:t>）报告期内，公司开展了 </w:t>
      </w:r>
      <w:r>
        <w:rPr>
          <w:rFonts w:ascii="宋体" w:hAnsi="宋体" w:cs="宋体" w:eastAsia="宋体" w:hint="default"/>
        </w:rPr>
        <w:t>10</w:t>
      </w:r>
      <w:r>
        <w:rPr>
          <w:rFonts w:ascii="宋体" w:hAnsi="宋体" w:cs="宋体" w:eastAsia="宋体" w:hint="default"/>
          <w:spacing w:val="-66"/>
        </w:rPr>
        <w:t> </w:t>
      </w:r>
      <w:r>
        <w:rPr>
          <w:spacing w:val="-3"/>
        </w:rPr>
        <w:t>项新方向业务项目调研，目前均按计划有序推进。其中包括但不限于：</w:t>
      </w:r>
      <w:r>
        <w:rPr/>
        <w:t> 公司扩展了消防安全产品，研发完成了独立式小烟感和 </w:t>
      </w:r>
      <w:r>
        <w:rPr>
          <w:rFonts w:ascii="宋体" w:hAnsi="宋体" w:cs="宋体" w:eastAsia="宋体" w:hint="default"/>
        </w:rPr>
        <w:t>NB-IoT</w:t>
      </w:r>
      <w:r>
        <w:rPr>
          <w:rFonts w:ascii="宋体" w:hAnsi="宋体" w:cs="宋体" w:eastAsia="宋体" w:hint="default"/>
          <w:spacing w:val="-24"/>
        </w:rPr>
        <w:t> </w:t>
      </w:r>
      <w:r>
        <w:rPr/>
        <w:t>烟感产品；完成了全光谱水质检测仪的产 品开发，在环境监测领域实现了向水质监测的跨越；持续推进超声波气体检测技术的研究，在原有的半导 体、电化学、催化燃烧、红外光检测四大气体检测原理基础上，进行了进一步的拓展。</w:t>
      </w:r>
    </w:p>
    <w:p>
      <w:pPr>
        <w:pStyle w:val="BodyText"/>
        <w:spacing w:line="408" w:lineRule="auto"/>
        <w:ind w:right="0" w:firstLine="420"/>
        <w:jc w:val="left"/>
      </w:pPr>
      <w:r>
        <w:rPr>
          <w:spacing w:val="-1"/>
        </w:rPr>
        <w:t>（</w:t>
      </w:r>
      <w:r>
        <w:rPr>
          <w:rFonts w:ascii="宋体" w:hAnsi="宋体" w:cs="宋体" w:eastAsia="宋体" w:hint="default"/>
          <w:spacing w:val="-1"/>
        </w:rPr>
        <w:t>4</w:t>
      </w:r>
      <w:r>
        <w:rPr>
          <w:spacing w:val="-1"/>
        </w:rPr>
        <w:t>）报告期内，公司成功推动第一届世界传感器大会于郑州市召开，作为本次大会的主要协办单位，</w:t>
      </w:r>
      <w:r>
        <w:rPr/>
        <w:t> 公司在大会期间发挥了重要作用。大会期间，公司还积极筹办了第</w:t>
      </w:r>
      <w:r>
        <w:rPr>
          <w:spacing w:val="-32"/>
        </w:rPr>
        <w:t> </w:t>
      </w:r>
      <w:r>
        <w:rPr>
          <w:rFonts w:ascii="宋体" w:hAnsi="宋体" w:cs="宋体" w:eastAsia="宋体" w:hint="default"/>
        </w:rPr>
        <w:t>15</w:t>
      </w:r>
      <w:r>
        <w:rPr>
          <w:rFonts w:ascii="宋体" w:hAnsi="宋体" w:cs="宋体" w:eastAsia="宋体" w:hint="default"/>
          <w:spacing w:val="-34"/>
        </w:rPr>
        <w:t> </w:t>
      </w:r>
      <w:r>
        <w:rPr/>
        <w:t>届</w:t>
      </w:r>
      <w:r>
        <w:rPr>
          <w:spacing w:val="-33"/>
        </w:rPr>
        <w:t> </w:t>
      </w:r>
      <w:r>
        <w:rPr>
          <w:rFonts w:ascii="宋体" w:hAnsi="宋体" w:cs="宋体" w:eastAsia="宋体" w:hint="default"/>
        </w:rPr>
        <w:t>STC</w:t>
      </w:r>
      <w:r>
        <w:rPr>
          <w:rFonts w:ascii="宋体" w:hAnsi="宋体" w:cs="宋体" w:eastAsia="宋体" w:hint="default"/>
          <w:spacing w:val="-32"/>
        </w:rPr>
        <w:t> </w:t>
      </w:r>
      <w:r>
        <w:rPr/>
        <w:t>学术会议及河南省工业互联 网创新发展论坛，取得了非常好的办会效果，进一步扩大了行业影响力。报告期内，公司与郑州大学共建 的郑州大学汉威物联网研究院正式揭牌成立。该研究院的建立，体现了公司与郑州大学创新产学研合作新 模式，公司将以研究院为载体，充分利用郑州大学的学科优势和人才资源，开展物联网基础、应用研究， 共享自身产业优势和行业经验，努力实现产学研全面共赢。</w:t>
      </w:r>
    </w:p>
    <w:p>
      <w:pPr>
        <w:pStyle w:val="BodyText"/>
        <w:spacing w:line="408" w:lineRule="auto"/>
        <w:ind w:left="574" w:right="0"/>
        <w:jc w:val="left"/>
      </w:pPr>
      <w:r>
        <w:rPr/>
        <w:t>（三）集团化管理体系更加完善 </w:t>
      </w:r>
      <w:r>
        <w:rPr>
          <w:spacing w:val="-1"/>
        </w:rPr>
        <w:t>报告期内，公司围绕“统分结合、控放有度、权责清晰、规范科学、灵活高效”的总目标，在继续深</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7"/>
        <w:jc w:val="both"/>
      </w:pPr>
      <w:r>
        <w:rPr>
          <w:spacing w:val="-1"/>
        </w:rPr>
        <w:t>化和完善现有十大体系基础上，重点开展了组织、监督体系建设，进一步夯实了集团化管理的基础，提高</w:t>
      </w:r>
      <w:r>
        <w:rPr>
          <w:spacing w:val="-86"/>
        </w:rPr>
        <w:t> </w:t>
      </w:r>
      <w:r>
        <w:rPr>
          <w:spacing w:val="-86"/>
        </w:rPr>
      </w:r>
      <w:r>
        <w:rPr/>
        <w:t>了企业运营效率。报告期内，公司大力推行“平台</w:t>
      </w:r>
      <w:r>
        <w:rPr>
          <w:rFonts w:ascii="宋体" w:hAnsi="宋体" w:cs="宋体" w:eastAsia="宋体" w:hint="default"/>
        </w:rPr>
        <w:t>+</w:t>
      </w:r>
      <w:r>
        <w:rPr/>
        <w:t>特种兵”型组织，根据“有加有减、精简高效”的原</w:t>
      </w:r>
      <w:r>
        <w:rPr>
          <w:spacing w:val="-25"/>
        </w:rPr>
        <w:t> </w:t>
      </w:r>
      <w:r>
        <w:rPr>
          <w:spacing w:val="-25"/>
        </w:rPr>
      </w:r>
      <w:r>
        <w:rPr/>
        <w:t>则，调整优化了管理组织架构，集团化管控能力得到进一步加强。</w:t>
      </w:r>
    </w:p>
    <w:p>
      <w:pPr>
        <w:pStyle w:val="BodyText"/>
        <w:spacing w:line="408" w:lineRule="auto"/>
        <w:ind w:left="574" w:right="0"/>
        <w:jc w:val="left"/>
      </w:pPr>
      <w:r>
        <w:rPr/>
        <w:t>（四）企业文化内涵更加丰富 </w:t>
      </w:r>
      <w:r>
        <w:rPr>
          <w:spacing w:val="-1"/>
        </w:rPr>
        <w:t>报告期内，公司携手国内顶尖的咨询公司——华夏基石开展了企业文化建设项目，进一步厘清了公司</w:t>
      </w:r>
    </w:p>
    <w:p>
      <w:pPr>
        <w:pStyle w:val="BodyText"/>
        <w:spacing w:line="408" w:lineRule="auto"/>
        <w:ind w:right="1131"/>
        <w:jc w:val="both"/>
      </w:pPr>
      <w:r>
        <w:rPr>
          <w:spacing w:val="-1"/>
        </w:rPr>
        <w:t>持续成功的顶层设计与思考，凝炼形成集体智慧的结晶——《汉威文化法典》，再次明确了公司的企业使</w:t>
      </w:r>
      <w:r>
        <w:rPr>
          <w:spacing w:val="-90"/>
        </w:rPr>
        <w:t> </w:t>
      </w:r>
      <w:r>
        <w:rPr>
          <w:spacing w:val="-90"/>
        </w:rPr>
      </w:r>
      <w:r>
        <w:rPr>
          <w:spacing w:val="-1"/>
        </w:rPr>
        <w:t>命、愿景、核心价值观等核心理念，确定了公司未来的发展战略及管理法则，奠定了处理公司发展中重大</w:t>
      </w:r>
      <w:r>
        <w:rPr>
          <w:spacing w:val="-85"/>
        </w:rPr>
        <w:t> </w:t>
      </w:r>
      <w:r>
        <w:rPr>
          <w:spacing w:val="-85"/>
        </w:rPr>
      </w:r>
      <w:r>
        <w:rPr>
          <w:spacing w:val="-1"/>
        </w:rPr>
        <w:t>关系的核心纲领以及指导公司各项经营管理工作的基本准则，成为统领公司其他规章制度的根本方针，为</w:t>
      </w:r>
      <w:r>
        <w:rPr>
          <w:spacing w:val="-81"/>
        </w:rPr>
        <w:t> </w:t>
      </w:r>
      <w:r>
        <w:rPr>
          <w:spacing w:val="-81"/>
        </w:rPr>
      </w:r>
      <w:r>
        <w:rPr/>
        <w:t>公司更快更好发展奠定坚实的文化基础。</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54" w:right="13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11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0"/>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3"/>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否</w:t>
      </w:r>
    </w:p>
    <w:p>
      <w:pPr>
        <w:spacing w:before="42"/>
        <w:ind w:left="154" w:right="0" w:firstLine="0"/>
        <w:jc w:val="both"/>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57"/>
        <w:gridCol w:w="1713"/>
        <w:gridCol w:w="1548"/>
        <w:gridCol w:w="1571"/>
        <w:gridCol w:w="1535"/>
        <w:gridCol w:w="931"/>
      </w:tblGrid>
      <w:tr>
        <w:trPr>
          <w:trHeight w:val="207"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57" w:type="dxa"/>
            <w:vMerge w:val="restart"/>
            <w:tcBorders>
              <w:top w:val="nil" w:sz="6" w:space="0" w:color="auto"/>
              <w:left w:val="single" w:sz="4" w:space="0" w:color="000000"/>
              <w:right w:val="single" w:sz="4" w:space="0" w:color="000000"/>
            </w:tcBorders>
            <w:shd w:val="clear" w:color="auto" w:fill="D2D2D2"/>
          </w:tcPr>
          <w:p>
            <w:pPr/>
          </w:p>
        </w:tc>
        <w:tc>
          <w:tcPr>
            <w:tcW w:w="3261" w:type="dxa"/>
            <w:gridSpan w:val="2"/>
            <w:vMerge/>
            <w:tcBorders>
              <w:left w:val="single" w:sz="4" w:space="0" w:color="000000"/>
              <w:bottom w:val="single" w:sz="4" w:space="0" w:color="000000"/>
              <w:right w:val="single" w:sz="4" w:space="0" w:color="000000"/>
            </w:tcBorders>
            <w:shd w:val="clear" w:color="auto" w:fill="D2D2D2"/>
          </w:tcPr>
          <w:p>
            <w:pPr/>
          </w:p>
        </w:tc>
        <w:tc>
          <w:tcPr>
            <w:tcW w:w="3107"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2257" w:type="dxa"/>
            <w:vMerge/>
            <w:tcBorders>
              <w:left w:val="single" w:sz="4" w:space="0" w:color="000000"/>
              <w:bottom w:val="nil" w:sz="6" w:space="0" w:color="auto"/>
              <w:right w:val="single" w:sz="4" w:space="0" w:color="000000"/>
            </w:tcBorders>
            <w:shd w:val="clear" w:color="auto" w:fill="D2D2D2"/>
          </w:tcPr>
          <w:p>
            <w:pPr/>
          </w:p>
        </w:tc>
        <w:tc>
          <w:tcPr>
            <w:tcW w:w="1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金额</w:t>
            </w:r>
          </w:p>
        </w:tc>
        <w:tc>
          <w:tcPr>
            <w:tcW w:w="1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3" w:type="dxa"/>
            <w:vMerge/>
            <w:tcBorders>
              <w:left w:val="single" w:sz="4" w:space="0" w:color="000000"/>
              <w:bottom w:val="single" w:sz="4" w:space="0" w:color="000000"/>
              <w:right w:val="single" w:sz="4" w:space="0" w:color="000000"/>
            </w:tcBorders>
            <w:shd w:val="clear" w:color="auto" w:fill="D2D2D2"/>
          </w:tcPr>
          <w:p>
            <w:pPr/>
          </w:p>
        </w:tc>
        <w:tc>
          <w:tcPr>
            <w:tcW w:w="1548"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535"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1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1,512,330,588.86</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1,444,179,089.91</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1" w:right="0"/>
              <w:jc w:val="left"/>
              <w:rPr>
                <w:rFonts w:ascii="Times New Roman" w:hAnsi="Times New Roman" w:cs="Times New Roman" w:eastAsia="Times New Roman" w:hint="default"/>
                <w:sz w:val="18"/>
                <w:szCs w:val="18"/>
              </w:rPr>
            </w:pPr>
            <w:r>
              <w:rPr>
                <w:rFonts w:ascii="Times New Roman"/>
                <w:sz w:val="18"/>
              </w:rPr>
              <w:t>4.72%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702"/>
        <w:gridCol w:w="1560"/>
        <w:gridCol w:w="1559"/>
        <w:gridCol w:w="1559"/>
        <w:gridCol w:w="919"/>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1,512,330,588.86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1,444,179,089.91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155,183,424.45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159,320,227.08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智能仪表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289,578,807.15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233,928,540.93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物联网综合解决方案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1,015,095,398.00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1,008,724,923.51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52,472,959.26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42,205,398.39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分行业应用</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155,183,424.45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159,320,227.08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物联网平台解决方案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106,620,739.54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125,534,772.39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智慧环保系统解决方案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427,287,751.18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384,244,067.75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智慧市政系统解决方案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452,062,942.90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469,266,219.90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智慧安全系统解决方案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318,702,771.53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263,608,404.40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52,472,959.26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42,205,398.39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1,457,858,651.73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1,390,026,577.63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54,471,937.13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54,152,512.28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419"/>
        <w:gridCol w:w="991"/>
        <w:gridCol w:w="1277"/>
        <w:gridCol w:w="1276"/>
        <w:gridCol w:w="1207"/>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1,512,330,588.86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979,609,451.19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155,183,424.45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80,986,538.14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智能仪表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289,578,807.15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153,333,814.16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物联网综合解决方案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1,015,095,398.00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712,002,231.62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分行业应用</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155,183,424.45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80,986,538.14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物联网平台解决方案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106,620,739.54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57,142,351.57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智慧环保系统解决方案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427,287,751.18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296,360,669.99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419"/>
        <w:gridCol w:w="991"/>
        <w:gridCol w:w="1277"/>
        <w:gridCol w:w="1276"/>
        <w:gridCol w:w="1207"/>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智慧市政系统解决方案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452,062,942.90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344,650,137.29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智慧安全系统解决方案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318,702,771.53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167,182,886.93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1,457,858,651.73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950,486,996.04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692" w:lineRule="exact" w:before="28"/>
        <w:ind w:left="574" w:right="0" w:hanging="420"/>
        <w:jc w:val="left"/>
        <w:rPr>
          <w:rFonts w:ascii="宋体" w:hAnsi="宋体" w:cs="宋体" w:eastAsia="宋体" w:hint="default"/>
          <w:sz w:val="21"/>
          <w:szCs w:val="21"/>
        </w:rPr>
      </w:pPr>
      <w:bookmarkStart w:name="（3） 营业收入构成情况的补充说明"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营业收入构成情况的补充说明</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报告期内，为便于投资者更加清晰的理解公司产品类别及物联网行业布局，并保持历年财务数据的可</w:t>
      </w:r>
    </w:p>
    <w:p>
      <w:pPr>
        <w:pStyle w:val="BodyText"/>
        <w:spacing w:line="408" w:lineRule="auto" w:before="84"/>
        <w:ind w:right="1131"/>
        <w:jc w:val="both"/>
      </w:pPr>
      <w:r>
        <w:rPr>
          <w:spacing w:val="-1"/>
        </w:rPr>
        <w:t>比性，公司按“分行业”、“分产品或服务”及“分行业应用”的统计口径将财务数据进行分类，以更加</w:t>
      </w:r>
      <w:r>
        <w:rPr>
          <w:spacing w:val="-83"/>
        </w:rPr>
        <w:t> </w:t>
      </w:r>
      <w:r>
        <w:rPr>
          <w:spacing w:val="-83"/>
        </w:rPr>
      </w:r>
      <w:r>
        <w:rPr>
          <w:spacing w:val="-1"/>
        </w:rPr>
        <w:t>突出公司主营业务产品以及物联网系统解决方案在各行业应用中的整体情况。上述各统计口径下的合计财</w:t>
      </w:r>
      <w:r>
        <w:rPr>
          <w:spacing w:val="-81"/>
        </w:rPr>
        <w:t> </w:t>
      </w:r>
      <w:r>
        <w:rPr>
          <w:spacing w:val="-81"/>
        </w:rPr>
      </w:r>
      <w:r>
        <w:rPr/>
        <w:t>务数据一致。</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4）公司实物销售收入是否大于劳务收入" w:id="32"/>
      <w:bookmarkEnd w:id="32"/>
      <w:r>
        <w:rPr>
          <w:b w:val="0"/>
          <w:bCs w:val="0"/>
        </w:rPr>
      </w:r>
      <w:r>
        <w:rPr/>
        <w:t>（</w:t>
      </w:r>
      <w:r>
        <w:rPr>
          <w:rFonts w:ascii="Times New Roman" w:hAnsi="Times New Roman" w:cs="Times New Roman" w:eastAsia="Times New Roman" w:hint="default"/>
        </w:rPr>
        <w:t>4</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公司已签订的重大销售合同截至本报告期的履行情况" w:id="33"/>
      <w:bookmarkEnd w:id="33"/>
      <w:r>
        <w:rPr>
          <w:b w:val="0"/>
          <w:bCs w:val="0"/>
        </w:rPr>
      </w:r>
      <w:r>
        <w:rPr/>
        <w:t>（</w:t>
      </w:r>
      <w:r>
        <w:rPr>
          <w:rFonts w:ascii="Times New Roman" w:hAnsi="Times New Roman" w:cs="Times New Roman" w:eastAsia="Times New Roman" w:hint="default"/>
        </w:rPr>
        <w:t>5</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6）营业成本构成" w:id="34"/>
      <w:bookmarkEnd w:id="34"/>
      <w:r>
        <w:rPr>
          <w:b w:val="0"/>
          <w:bCs w:val="0"/>
        </w:rPr>
      </w:r>
      <w:r>
        <w:rPr/>
        <w:t>（</w:t>
      </w:r>
      <w:r>
        <w:rPr>
          <w:rFonts w:ascii="Times New Roman" w:hAnsi="Times New Roman" w:cs="Times New Roman" w:eastAsia="Times New Roman" w:hint="default"/>
        </w:rPr>
        <w:t>6</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628,512,602.96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472,533,341.96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130,928,425.24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109,698,987.13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220,168,422.99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322,970,046.85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报告期内合并范围是否发生变动" w:id="35"/>
      <w:bookmarkEnd w:id="35"/>
      <w:r>
        <w:rPr>
          <w:b w:val="0"/>
          <w:bCs w:val="0"/>
        </w:rPr>
      </w:r>
      <w:r>
        <w:rPr/>
        <w:t>（</w:t>
      </w:r>
      <w:r>
        <w:rPr>
          <w:rFonts w:ascii="Times New Roman" w:hAnsi="Times New Roman" w:cs="Times New Roman" w:eastAsia="Times New Roman" w:hint="default"/>
        </w:rPr>
        <w:t>7</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right="0"/>
        <w:jc w:val="left"/>
      </w:pPr>
      <w:r>
        <w:rPr/>
        <w:t>报告期内合并范围新增</w:t>
      </w:r>
      <w:r>
        <w:rPr>
          <w:rFonts w:ascii="Times New Roman" w:hAnsi="Times New Roman" w:cs="Times New Roman" w:eastAsia="Times New Roman" w:hint="default"/>
        </w:rPr>
        <w:t>1</w:t>
      </w:r>
      <w:r>
        <w:rPr/>
        <w:t>家，为汉威智慧消防。</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8</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9）主要销售客户和主要供应商情况" w:id="37"/>
      <w:bookmarkEnd w:id="37"/>
      <w:r>
        <w:rPr>
          <w:b w:val="0"/>
          <w:bCs w:val="0"/>
        </w:rPr>
      </w:r>
      <w:r>
        <w:rPr/>
        <w:t>（</w:t>
      </w:r>
      <w:r>
        <w:rPr>
          <w:rFonts w:ascii="Times New Roman" w:hAnsi="Times New Roman" w:cs="Times New Roman" w:eastAsia="Times New Roman" w:hint="default"/>
        </w:rPr>
        <w:t>9</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37"/>
        <w:gridCol w:w="5032"/>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107,057,491.25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40,127,308.81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26,515,102.67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14,546,678.92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13,968,894.75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11,899,506.10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107,057,491.25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200,736,882.00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119,194,451.75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39,800,531.99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20,321,731.98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11,486,509.38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9,933,656.90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200,736,882.00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112,852,768.14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101,328,998.76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11.37%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164,677,451.44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148,369,316.45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54,096,023.00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44,761,483.87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106,686,836.36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91,097,376.27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17.11%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458"/>
        <w:gridCol w:w="4364"/>
        <w:gridCol w:w="1232"/>
        <w:gridCol w:w="2127"/>
        <w:gridCol w:w="1459"/>
      </w:tblGrid>
      <w:tr>
        <w:trPr>
          <w:trHeight w:val="352" w:hRule="exact"/>
        </w:trPr>
        <w:tc>
          <w:tcPr>
            <w:tcW w:w="45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6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3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进展情况</w:t>
            </w:r>
          </w:p>
        </w:tc>
        <w:tc>
          <w:tcPr>
            <w:tcW w:w="2127"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512"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145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sz w:val="18"/>
                <w:szCs w:val="18"/>
              </w:rPr>
              <w:t>完成情况</w:t>
            </w:r>
          </w:p>
        </w:tc>
      </w:tr>
      <w:tr>
        <w:trPr>
          <w:trHeight w:val="353"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智能网关平台</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月完成正式样机</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已正常使用</w:t>
            </w:r>
          </w:p>
        </w:tc>
      </w:tr>
      <w:tr>
        <w:trPr>
          <w:trHeight w:val="664"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z w:val="18"/>
                <w:szCs w:val="18"/>
              </w:rPr>
              <w:t>基于光电集成式微纳气体传感器阵列与组网的大气污染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监测系统研究</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月完成验收</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荧光氧气体传感器</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月可批量生产</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53"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基于物联网的高并发数据采集订阅子平台</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月可正式使用</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已正常使用</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环境水质监测系统</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月完成验收</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在线遥感式激光气体监测系统</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月完成验收</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3"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综合污染防治管理平台</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月可正式使用</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智能传感器</w:t>
            </w:r>
            <w:r>
              <w:rPr>
                <w:rFonts w:ascii="Times New Roman" w:hAnsi="Times New Roman" w:cs="Times New Roman" w:eastAsia="Times New Roman" w:hint="default"/>
                <w:sz w:val="18"/>
                <w:szCs w:val="18"/>
              </w:rPr>
              <w:t>-</w:t>
            </w:r>
            <w:r>
              <w:rPr>
                <w:rFonts w:ascii="宋体" w:hAnsi="宋体" w:cs="宋体" w:eastAsia="宋体" w:hint="default"/>
                <w:sz w:val="18"/>
                <w:szCs w:val="18"/>
              </w:rPr>
              <w:t>数字热电堆传感器研发</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可批量生产</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压力传感器的研发</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可批量生产</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r>
        <w:trPr>
          <w:trHeight w:val="353"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车载激光巡检应用平台</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月完成样机</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高危行业</w:t>
            </w:r>
            <w:r>
              <w:rPr>
                <w:rFonts w:ascii="Times New Roman" w:hAnsi="Times New Roman" w:cs="Times New Roman" w:eastAsia="Times New Roman" w:hint="default"/>
                <w:sz w:val="18"/>
                <w:szCs w:val="18"/>
              </w:rPr>
              <w:t>(</w:t>
            </w:r>
            <w:r>
              <w:rPr>
                <w:rFonts w:ascii="宋体" w:hAnsi="宋体" w:cs="宋体" w:eastAsia="宋体" w:hint="default"/>
                <w:sz w:val="18"/>
                <w:szCs w:val="18"/>
              </w:rPr>
              <w:t>危化品</w:t>
            </w:r>
            <w:r>
              <w:rPr>
                <w:rFonts w:ascii="Times New Roman" w:hAnsi="Times New Roman" w:cs="Times New Roman" w:eastAsia="Times New Roman" w:hint="default"/>
                <w:sz w:val="18"/>
                <w:szCs w:val="18"/>
              </w:rPr>
              <w:t>)</w:t>
            </w:r>
            <w:r>
              <w:rPr>
                <w:rFonts w:ascii="宋体" w:hAnsi="宋体" w:cs="宋体" w:eastAsia="宋体" w:hint="default"/>
                <w:sz w:val="18"/>
                <w:szCs w:val="18"/>
              </w:rPr>
              <w:t>全流通域风险防控与分析决策平台</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月完成</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环保水质多参数检测系统</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月完成</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r>
        <w:trPr>
          <w:trHeight w:val="353"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市政级防汛应急指挥系统</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月完成</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r>
        <w:trPr>
          <w:trHeight w:val="352"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沸石转筒吸附浓缩耦合氧化工艺设备开发</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月完成</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r>
        <w:trPr>
          <w:trHeight w:val="353" w:hRule="exact"/>
        </w:trPr>
        <w:tc>
          <w:tcPr>
            <w:tcW w:w="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3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火灾感烟探测系统</w:t>
            </w:r>
          </w:p>
        </w:tc>
        <w:tc>
          <w:tcPr>
            <w:tcW w:w="1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月可批量生产</w:t>
            </w:r>
          </w:p>
        </w:tc>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立项</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6"/>
        <w:gridCol w:w="2423"/>
        <w:gridCol w:w="1984"/>
        <w:gridCol w:w="2054"/>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106,686,836.36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91,097,376.27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68,174,847.25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08"/>
        <w:gridCol w:w="2423"/>
        <w:gridCol w:w="1984"/>
        <w:gridCol w:w="2054"/>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2705"/>
        <w:gridCol w:w="2126"/>
        <w:gridCol w:w="1488"/>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2,172,992,441.66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1,493,860,308.70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1,644,328,730.90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1,362,613,609.67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528,663,710.76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131,246,699.03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302.80%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1,250,637,980.89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2,689,307,050.75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1,286,917,510.24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2,624,387,288.73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-36,279,529.35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64,919,762.02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-155.88%</w:t>
            </w:r>
            <w:r>
              <w:rPr>
                <w:rFonts w:ascii="Times New Roman"/>
                <w:sz w:val="18"/>
              </w:rPr>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684,415,944.00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553,410,871.91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500,164,560.39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604,208,175.09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184,251,383.61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-50,797,303.18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462.72%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677,119,717.30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144,616,750.81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16" w:firstLine="420"/>
        <w:jc w:val="left"/>
      </w:pPr>
      <w:r>
        <w:rPr/>
        <w:t>经营活动产生的现金流量净额较上年同期增加</w:t>
      </w:r>
      <w:r>
        <w:rPr>
          <w:spacing w:val="-24"/>
        </w:rPr>
        <w:t> </w:t>
      </w:r>
      <w:r>
        <w:rPr>
          <w:rFonts w:ascii="宋体" w:hAnsi="宋体" w:cs="宋体" w:eastAsia="宋体" w:hint="default"/>
        </w:rPr>
        <w:t>302.80%</w:t>
      </w:r>
      <w:r>
        <w:rPr/>
        <w:t>，主要系本期货款回收较好及收到政府补助增 加所致。</w:t>
      </w:r>
    </w:p>
    <w:p>
      <w:pPr>
        <w:pStyle w:val="BodyText"/>
        <w:spacing w:line="408" w:lineRule="auto"/>
        <w:ind w:left="574" w:right="1986"/>
        <w:jc w:val="left"/>
      </w:pPr>
      <w:r>
        <w:rPr/>
        <w:t>投资活动产生的现金流量净额较上年同期减少</w:t>
      </w:r>
      <w:r>
        <w:rPr>
          <w:spacing w:val="-54"/>
        </w:rPr>
        <w:t> </w:t>
      </w:r>
      <w:r>
        <w:rPr>
          <w:rFonts w:ascii="宋体" w:hAnsi="宋体" w:cs="宋体" w:eastAsia="宋体" w:hint="default"/>
        </w:rPr>
        <w:t>155.88%</w:t>
      </w:r>
      <w:r>
        <w:rPr/>
        <w:t>，主要系本期结构性存款到期所致。 筹资活动产生的现金流量净额较上年同期增加</w:t>
      </w:r>
      <w:r>
        <w:rPr>
          <w:spacing w:val="-54"/>
        </w:rPr>
        <w:t> </w:t>
      </w:r>
      <w:r>
        <w:rPr>
          <w:rFonts w:ascii="宋体" w:hAnsi="宋体" w:cs="宋体" w:eastAsia="宋体" w:hint="default"/>
        </w:rPr>
        <w:t>462.72%</w:t>
      </w:r>
      <w:r>
        <w:rPr/>
        <w:t>，主要系本期借款规模扩大所致。</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pStyle w:val="BodyText"/>
        <w:spacing w:line="292" w:lineRule="auto" w:before="117"/>
        <w:ind w:right="1302"/>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t>报告期内公司经营活动产生的现金净流量与本年度净利润存在差异的主要原因为经营性应付项目增加及</w:t>
      </w:r>
      <w:r>
        <w:rPr/>
        <w:t> 各种资产减值、折旧、摊销增加所致。</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三、非主营业务情况" w:id="41"/>
      <w:bookmarkEnd w:id="41"/>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736"/>
        <w:gridCol w:w="177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47,783,051.26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31.37%</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主要系结构性存款利息收入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736"/>
        <w:gridCol w:w="177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26,440,274.73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17.36%</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主要系拆迁补偿款</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82,034,073.40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53.86%</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与日常活动相关的政府补助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2"/>
      <w:bookmarkEnd w:id="42"/>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1418"/>
        <w:gridCol w:w="1276"/>
        <w:gridCol w:w="1559"/>
        <w:gridCol w:w="1134"/>
        <w:gridCol w:w="148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755" w:type="dxa"/>
            <w:gridSpan w:val="2"/>
            <w:vMerge/>
            <w:tcBorders>
              <w:left w:val="single" w:sz="4" w:space="0" w:color="000000"/>
              <w:bottom w:val="single" w:sz="4" w:space="0" w:color="000000"/>
              <w:right w:val="single" w:sz="4" w:space="0" w:color="000000"/>
            </w:tcBorders>
            <w:shd w:val="clear" w:color="auto" w:fill="D2D2D2"/>
          </w:tcPr>
          <w:p>
            <w:pPr/>
          </w:p>
        </w:tc>
        <w:tc>
          <w:tcPr>
            <w:tcW w:w="28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1,452,520,751.04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780,426,422.09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10.42%</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470,143,769.08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497,426,792.06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407,907,845.25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343,106,145.18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184,700,496.44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181,443,650.37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95,841,901.94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84,828,813.09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857,714,936.00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799,922,706.75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225,049,799.70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219,844,574.70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229,500,000.00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670,350,927.63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584,144,327.60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详见第十一节财务报告七、合并财务报表项目注释</w:t>
      </w:r>
      <w:r>
        <w:rPr>
          <w:rFonts w:ascii="Times New Roman" w:hAnsi="Times New Roman" w:cs="Times New Roman" w:eastAsia="Times New Roman" w:hint="default"/>
          <w:sz w:val="18"/>
          <w:szCs w:val="18"/>
        </w:rPr>
        <w:t>52</w:t>
      </w:r>
      <w:r>
        <w:rPr>
          <w:rFonts w:ascii="宋体" w:hAnsi="宋体" w:cs="宋体" w:eastAsia="宋体" w:hint="default"/>
          <w:sz w:val="18"/>
          <w:szCs w:val="18"/>
        </w:rPr>
        <w:t>、所有权或使用权受到限制的资产。</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37,943,467.34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126,507,649.80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10"/>
        <w:gridCol w:w="566"/>
        <w:gridCol w:w="709"/>
        <w:gridCol w:w="851"/>
        <w:gridCol w:w="708"/>
        <w:gridCol w:w="1134"/>
        <w:gridCol w:w="709"/>
        <w:gridCol w:w="568"/>
        <w:gridCol w:w="425"/>
        <w:gridCol w:w="851"/>
        <w:gridCol w:w="1036"/>
        <w:gridCol w:w="523"/>
        <w:gridCol w:w="780"/>
      </w:tblGrid>
      <w:tr>
        <w:trPr>
          <w:trHeight w:val="133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7"/>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1"/>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0" w:right="7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1"/>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4"/>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5"/>
              <w:jc w:val="both"/>
              <w:rPr>
                <w:rFonts w:ascii="宋体" w:hAnsi="宋体" w:cs="宋体" w:eastAsia="宋体" w:hint="default"/>
                <w:sz w:val="18"/>
                <w:szCs w:val="18"/>
              </w:rPr>
            </w:pPr>
            <w:r>
              <w:rPr>
                <w:rFonts w:ascii="宋体" w:hAnsi="宋体" w:cs="宋体" w:eastAsia="宋体" w:hint="default"/>
                <w:sz w:val="18"/>
                <w:szCs w:val="18"/>
              </w:rPr>
              <w:t>郑州高 新第二 水厂工 程项目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自建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公用事业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5,228,96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78,574,877.11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33"/>
              <w:jc w:val="both"/>
              <w:rPr>
                <w:rFonts w:ascii="宋体" w:hAnsi="宋体" w:cs="宋体" w:eastAsia="宋体" w:hint="default"/>
                <w:sz w:val="18"/>
                <w:szCs w:val="18"/>
              </w:rPr>
            </w:pPr>
            <w:r>
              <w:rPr>
                <w:rFonts w:ascii="宋体" w:hAnsi="宋体" w:cs="宋体" w:eastAsia="宋体" w:hint="default"/>
                <w:sz w:val="18"/>
                <w:szCs w:val="18"/>
              </w:rPr>
              <w:t>自筹资 金及其 他方式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3">
              <w:r>
                <w:rPr>
                  <w:rFonts w:ascii="Times New Roman" w:hAnsi="Times New Roman" w:cs="Times New Roman" w:eastAsia="Times New Roman" w:hint="default"/>
                  <w:sz w:val="18"/>
                  <w:szCs w:val="18"/>
                </w:rPr>
                <w:t>http://ww</w:t>
              </w:r>
            </w:hyperlink>
          </w:p>
          <w:p>
            <w:pPr>
              <w:pStyle w:val="TableParagraph"/>
              <w:spacing w:line="312" w:lineRule="auto" w:before="23"/>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w.cninfo. com.cn</w:t>
            </w:r>
            <w:r>
              <w:rPr>
                <w:rFonts w:ascii="宋体" w:hAnsi="宋体" w:cs="宋体" w:eastAsia="宋体" w:hint="default"/>
                <w:sz w:val="18"/>
                <w:szCs w:val="18"/>
              </w:rPr>
              <w:t>， 公告编号 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2017-008</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5,228,96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78,574,877.11</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1594"/>
        <w:gridCol w:w="1046"/>
        <w:gridCol w:w="1045"/>
        <w:gridCol w:w="1045"/>
        <w:gridCol w:w="1046"/>
        <w:gridCol w:w="1045"/>
        <w:gridCol w:w="1046"/>
      </w:tblGrid>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炜盛科技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159,026,120.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125,025,953.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169,733,902.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43,437,016.8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38,733,211.6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环境工程</w:t>
            </w:r>
            <w:r>
              <w:rPr>
                <w:rFonts w:ascii="宋体" w:hAnsi="宋体" w:cs="宋体" w:eastAsia="宋体" w:hint="default"/>
                <w:spacing w:val="-82"/>
                <w:sz w:val="18"/>
                <w:szCs w:val="18"/>
              </w:rPr>
              <w:t>、</w:t>
            </w:r>
            <w:r>
              <w:rPr>
                <w:rFonts w:ascii="宋体" w:hAnsi="宋体" w:cs="宋体" w:eastAsia="宋体" w:hint="default"/>
                <w:sz w:val="18"/>
                <w:szCs w:val="18"/>
              </w:rPr>
              <w:t>市政工程</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815,928,717.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374,536,193.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326,232,741.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28,701,778.2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25,318,203.2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城市基础设施建设 工程设计及施工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2" w:right="0"/>
              <w:jc w:val="left"/>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1,327,055,27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623,697,738.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201,754,647.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51,622,936.1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35,693,361.3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汉威智源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城市基础设施建设 工程设计及施工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2" w:right="0"/>
              <w:jc w:val="left"/>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1,708,323,24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560,210,851.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235,374,321.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80,827,473.9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87,089,493.9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pict>
          <v:group style="position:absolute;margin-left:221.720001pt;margin-top:-71.418297pt;width:51.75pt;height:27.95pt;mso-position-horizontal-relative:page;mso-position-vertical-relative:paragraph;z-index:-1011640" coordorigin="4434,-1428" coordsize="1035,559">
            <v:group style="position:absolute;left:4434;top:-1428;width:1035;height:156" coordorigin="4434,-1428" coordsize="1035,156">
              <v:shape style="position:absolute;left:4434;top:-1428;width:1035;height:156" coordorigin="4434,-1428" coordsize="1035,156" path="m4434,-1272l5469,-1272,5469,-1428,4434,-1428,4434,-1272xe" filled="true" fillcolor="#ffffff" stroked="false">
                <v:path arrowok="t"/>
                <v:fill type="solid"/>
              </v:shape>
            </v:group>
            <v:group style="position:absolute;left:4446;top:-1272;width:2;height:392" coordorigin="4446,-1272" coordsize="2,392">
              <v:shape style="position:absolute;left:4446;top:-1272;width:2;height:392" coordorigin="4446,-1272" coordsize="0,392" path="m4446,-1272l4446,-881e" filled="false" stroked="true" strokeweight="1.140pt" strokecolor="#ffffff">
                <v:path arrowok="t"/>
              </v:shape>
            </v:group>
            <v:group style="position:absolute;left:4457;top:-1272;width:990;height:392" coordorigin="4457,-1272" coordsize="990,392">
              <v:shape style="position:absolute;left:4457;top:-1272;width:990;height:392" coordorigin="4457,-1272" coordsize="990,392" path="m4457,-881l5446,-881,5446,-1272,4457,-1272,4457,-881xe" filled="true" fillcolor="#ffffff" stroked="false">
                <v:path arrowok="t"/>
                <v:fill type="solid"/>
              </v:shape>
            </v:group>
            <w10:wrap type="none"/>
          </v:group>
        </w:pict>
      </w:r>
      <w:r>
        <w:rPr/>
        <w:pict>
          <v:group style="position:absolute;margin-left:221.720001pt;margin-top:-35.718292pt;width:51.75pt;height:27.95pt;mso-position-horizontal-relative:page;mso-position-vertical-relative:paragraph;z-index:-1011616" coordorigin="4434,-714" coordsize="1035,559">
            <v:group style="position:absolute;left:4434;top:-714;width:1035;height:156" coordorigin="4434,-714" coordsize="1035,156">
              <v:shape style="position:absolute;left:4434;top:-714;width:1035;height:156" coordorigin="4434,-714" coordsize="1035,156" path="m4434,-558l5469,-558,5469,-714,4434,-714,4434,-558xe" filled="true" fillcolor="#ffffff" stroked="false">
                <v:path arrowok="t"/>
                <v:fill type="solid"/>
              </v:shape>
            </v:group>
            <v:group style="position:absolute;left:4446;top:-558;width:2;height:392" coordorigin="4446,-558" coordsize="2,392">
              <v:shape style="position:absolute;left:4446;top:-558;width:2;height:392" coordorigin="4446,-558" coordsize="0,392" path="m4446,-558l4446,-167e" filled="false" stroked="true" strokeweight="1.140pt" strokecolor="#ffffff">
                <v:path arrowok="t"/>
              </v:shape>
            </v:group>
            <v:group style="position:absolute;left:4457;top:-558;width:990;height:392" coordorigin="4457,-558" coordsize="990,392">
              <v:shape style="position:absolute;left:4457;top:-558;width:990;height:392" coordorigin="4457,-558" coordsize="990,392" path="m4457,-167l5446,-167,5446,-558,4457,-558,4457,-167xe" filled="true" fillcolor="#ffffff" stroked="false">
                <v:path arrowok="t"/>
                <v:fill type="solid"/>
              </v:shape>
            </v:group>
            <w10:wrap type="none"/>
          </v:group>
        </w:pict>
      </w:r>
      <w:r>
        <w:rPr>
          <w:rFonts w:ascii="宋体" w:hAnsi="宋体" w:cs="宋体" w:eastAsia="宋体" w:hint="default"/>
          <w:sz w:val="18"/>
          <w:szCs w:val="18"/>
        </w:rPr>
        <w:t>报告期内取得和处置子公司的情况</w:t>
      </w:r>
    </w:p>
    <w:p>
      <w:pPr>
        <w:spacing w:line="340" w:lineRule="auto" w:before="116"/>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pStyle w:val="BodyText"/>
        <w:spacing w:line="240" w:lineRule="auto" w:before="92"/>
        <w:ind w:left="574" w:right="0"/>
        <w:jc w:val="left"/>
      </w:pPr>
      <w:r>
        <w:rPr>
          <w:rFonts w:ascii="宋体" w:hAnsi="宋体" w:cs="宋体" w:eastAsia="宋体" w:hint="default"/>
        </w:rPr>
        <w:t>1</w:t>
      </w:r>
      <w:r>
        <w:rPr/>
        <w:t>、郑州炜盛电子科技有限公司</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炜盛科技为公司的全资子公司，注册资本</w:t>
      </w:r>
      <w:r>
        <w:rPr>
          <w:spacing w:val="-65"/>
        </w:rPr>
        <w:t> </w:t>
      </w:r>
      <w:r>
        <w:rPr>
          <w:rFonts w:ascii="宋体" w:hAnsi="宋体" w:cs="宋体" w:eastAsia="宋体" w:hint="default"/>
        </w:rPr>
        <w:t>5,000</w:t>
      </w:r>
      <w:r>
        <w:rPr>
          <w:rFonts w:ascii="宋体" w:hAnsi="宋体" w:cs="宋体" w:eastAsia="宋体" w:hint="default"/>
          <w:spacing w:val="-65"/>
        </w:rPr>
        <w:t> </w:t>
      </w:r>
      <w:r>
        <w:rPr/>
        <w:t>万元。法定代表人：刘瑞玲。公司住所：郑州高新技</w:t>
      </w:r>
    </w:p>
    <w:p>
      <w:pPr>
        <w:spacing w:line="240" w:lineRule="auto" w:before="10"/>
        <w:rPr>
          <w:rFonts w:ascii="宋体" w:hAnsi="宋体" w:cs="宋体" w:eastAsia="宋体" w:hint="default"/>
          <w:sz w:val="14"/>
          <w:szCs w:val="14"/>
        </w:rPr>
      </w:pPr>
    </w:p>
    <w:p>
      <w:pPr>
        <w:pStyle w:val="BodyText"/>
        <w:spacing w:line="408" w:lineRule="auto" w:before="0"/>
        <w:ind w:right="1117"/>
        <w:jc w:val="left"/>
      </w:pPr>
      <w:r>
        <w:rPr/>
        <w:t>术开发区金梭路</w:t>
      </w:r>
      <w:r>
        <w:rPr>
          <w:spacing w:val="-65"/>
        </w:rPr>
        <w:t> </w:t>
      </w:r>
      <w:r>
        <w:rPr>
          <w:rFonts w:ascii="宋体" w:hAnsi="宋体" w:cs="宋体" w:eastAsia="宋体" w:hint="default"/>
        </w:rPr>
        <w:t>299</w:t>
      </w:r>
      <w:r>
        <w:rPr>
          <w:rFonts w:ascii="宋体" w:hAnsi="宋体" w:cs="宋体" w:eastAsia="宋体" w:hint="default"/>
          <w:spacing w:val="-65"/>
        </w:rPr>
        <w:t> </w:t>
      </w:r>
      <w:r>
        <w:rPr/>
        <w:t>号。主要经营范围：气敏元件、传感器、检测控制仪表、电子产品的开发、生产、销 售；提供技术转让、技术服务、技术咨询；进出口贸易。</w:t>
      </w:r>
    </w:p>
    <w:p>
      <w:pPr>
        <w:pStyle w:val="BodyText"/>
        <w:spacing w:line="408" w:lineRule="auto"/>
        <w:ind w:left="574" w:right="2148"/>
        <w:jc w:val="left"/>
      </w:pPr>
      <w:r>
        <w:rPr/>
        <w:t>经审计，炜盛科技</w:t>
      </w:r>
      <w:r>
        <w:rPr>
          <w:spacing w:val="-53"/>
        </w:rPr>
        <w:t> </w:t>
      </w:r>
      <w:r>
        <w:rPr>
          <w:rFonts w:ascii="宋体" w:hAnsi="宋体" w:cs="宋体" w:eastAsia="宋体" w:hint="default"/>
        </w:rPr>
        <w:t>2018</w:t>
      </w:r>
      <w:r>
        <w:rPr>
          <w:rFonts w:ascii="宋体" w:hAnsi="宋体" w:cs="宋体" w:eastAsia="宋体" w:hint="default"/>
          <w:spacing w:val="-55"/>
        </w:rPr>
        <w:t> </w:t>
      </w:r>
      <w:r>
        <w:rPr/>
        <w:t>年度实现营业收入</w:t>
      </w:r>
      <w:r>
        <w:rPr>
          <w:spacing w:val="-53"/>
        </w:rPr>
        <w:t> </w:t>
      </w:r>
      <w:r>
        <w:rPr>
          <w:rFonts w:ascii="宋体" w:hAnsi="宋体" w:cs="宋体" w:eastAsia="宋体" w:hint="default"/>
        </w:rPr>
        <w:t>16,973.39</w:t>
      </w:r>
      <w:r>
        <w:rPr>
          <w:rFonts w:ascii="宋体" w:hAnsi="宋体" w:cs="宋体" w:eastAsia="宋体" w:hint="default"/>
          <w:spacing w:val="-53"/>
        </w:rPr>
        <w:t> </w:t>
      </w:r>
      <w:r>
        <w:rPr/>
        <w:t>万元，实现净利润</w:t>
      </w:r>
      <w:r>
        <w:rPr>
          <w:spacing w:val="-53"/>
        </w:rPr>
        <w:t> </w:t>
      </w:r>
      <w:r>
        <w:rPr>
          <w:rFonts w:ascii="宋体" w:hAnsi="宋体" w:cs="宋体" w:eastAsia="宋体" w:hint="default"/>
        </w:rPr>
        <w:t>3,873.32</w:t>
      </w:r>
      <w:r>
        <w:rPr>
          <w:rFonts w:ascii="宋体" w:hAnsi="宋体" w:cs="宋体" w:eastAsia="宋体" w:hint="default"/>
          <w:spacing w:val="-54"/>
        </w:rPr>
        <w:t> </w:t>
      </w:r>
      <w:r>
        <w:rPr/>
        <w:t>万元。 </w:t>
      </w:r>
      <w:r>
        <w:rPr>
          <w:rFonts w:ascii="宋体" w:hAnsi="宋体" w:cs="宋体" w:eastAsia="宋体" w:hint="default"/>
        </w:rPr>
        <w:t>2</w:t>
      </w:r>
      <w:r>
        <w:rPr/>
        <w:t>、嘉园环保有限公司</w:t>
      </w:r>
    </w:p>
    <w:p>
      <w:pPr>
        <w:pStyle w:val="BodyText"/>
        <w:spacing w:line="408" w:lineRule="auto"/>
        <w:ind w:right="1131" w:firstLine="420"/>
        <w:jc w:val="both"/>
      </w:pPr>
      <w:r>
        <w:rPr/>
        <w:t>嘉园环保为公司的控股子公司，注册资本 </w:t>
      </w:r>
      <w:r>
        <w:rPr>
          <w:rFonts w:ascii="宋体" w:hAnsi="宋体" w:cs="宋体" w:eastAsia="宋体" w:hint="default"/>
        </w:rPr>
        <w:t>10,000</w:t>
      </w:r>
      <w:r>
        <w:rPr>
          <w:rFonts w:ascii="宋体" w:hAnsi="宋体" w:cs="宋体" w:eastAsia="宋体" w:hint="default"/>
          <w:spacing w:val="-24"/>
        </w:rPr>
        <w:t> </w:t>
      </w:r>
      <w:r>
        <w:rPr/>
        <w:t>万元。法定代表人：高延明。公司住所：福州市鼓 楼区软件大道</w:t>
      </w:r>
      <w:r>
        <w:rPr>
          <w:spacing w:val="-51"/>
        </w:rPr>
        <w:t> </w:t>
      </w:r>
      <w:r>
        <w:rPr>
          <w:rFonts w:ascii="宋体" w:hAnsi="宋体" w:cs="宋体" w:eastAsia="宋体" w:hint="default"/>
        </w:rPr>
        <w:t>89</w:t>
      </w:r>
      <w:r>
        <w:rPr>
          <w:rFonts w:ascii="宋体" w:hAnsi="宋体" w:cs="宋体" w:eastAsia="宋体" w:hint="default"/>
          <w:spacing w:val="-51"/>
        </w:rPr>
        <w:t> </w:t>
      </w:r>
      <w:r>
        <w:rPr/>
        <w:t>号福州软件园</w:t>
      </w:r>
      <w:r>
        <w:rPr>
          <w:spacing w:val="-52"/>
        </w:rPr>
        <w:t> </w:t>
      </w:r>
      <w:r>
        <w:rPr>
          <w:rFonts w:ascii="宋体" w:hAnsi="宋体" w:cs="宋体" w:eastAsia="宋体" w:hint="default"/>
        </w:rPr>
        <w:t>C</w:t>
      </w:r>
      <w:r>
        <w:rPr>
          <w:rFonts w:ascii="宋体" w:hAnsi="宋体" w:cs="宋体" w:eastAsia="宋体" w:hint="default"/>
          <w:spacing w:val="-51"/>
        </w:rPr>
        <w:t> </w:t>
      </w:r>
      <w:r>
        <w:rPr/>
        <w:t>区</w:t>
      </w:r>
      <w:r>
        <w:rPr>
          <w:spacing w:val="-53"/>
        </w:rPr>
        <w:t> </w:t>
      </w:r>
      <w:r>
        <w:rPr>
          <w:rFonts w:ascii="宋体" w:hAnsi="宋体" w:cs="宋体" w:eastAsia="宋体" w:hint="default"/>
        </w:rPr>
        <w:t>27</w:t>
      </w:r>
      <w:r>
        <w:rPr>
          <w:rFonts w:ascii="宋体" w:hAnsi="宋体" w:cs="宋体" w:eastAsia="宋体" w:hint="default"/>
          <w:spacing w:val="-51"/>
        </w:rPr>
        <w:t> </w:t>
      </w:r>
      <w:r>
        <w:rPr>
          <w:spacing w:val="-3"/>
        </w:rPr>
        <w:t>号楼。公司持股比例为</w:t>
      </w:r>
      <w:r>
        <w:rPr>
          <w:spacing w:val="-51"/>
        </w:rPr>
        <w:t> </w:t>
      </w:r>
      <w:r>
        <w:rPr>
          <w:rFonts w:ascii="宋体" w:hAnsi="宋体" w:cs="宋体" w:eastAsia="宋体" w:hint="default"/>
          <w:spacing w:val="-3"/>
        </w:rPr>
        <w:t>60.67%</w:t>
      </w:r>
      <w:r>
        <w:rPr>
          <w:spacing w:val="-3"/>
        </w:rPr>
        <w:t>。主要经营范围：环境工程与市政工</w:t>
      </w:r>
      <w:r>
        <w:rPr/>
        <w:t> </w:t>
      </w:r>
      <w:r>
        <w:rPr>
          <w:spacing w:val="-1"/>
        </w:rPr>
        <w:t>程的咨询、设计、施工、总承包、运营；房屋建筑工程的设计、施工、总承包；环保设备、材料及机电设</w:t>
      </w:r>
      <w:r>
        <w:rPr>
          <w:spacing w:val="-86"/>
        </w:rPr>
        <w:t> </w:t>
      </w:r>
      <w:r>
        <w:rPr>
          <w:spacing w:val="-86"/>
        </w:rPr>
      </w:r>
      <w:r>
        <w:rPr>
          <w:spacing w:val="-1"/>
        </w:rPr>
        <w:t>备的研发、制造、销售、安装；环保软件开发、销售；环保技术服务；自营和代理各类商品和技术的进出</w:t>
      </w:r>
      <w:r>
        <w:rPr>
          <w:spacing w:val="-85"/>
        </w:rPr>
        <w:t> </w:t>
      </w:r>
      <w:r>
        <w:rPr>
          <w:spacing w:val="-85"/>
        </w:rPr>
      </w:r>
      <w:r>
        <w:rPr/>
        <w:t>口、但国家限定公司经营或禁止进出口的商品和技术除外。</w:t>
      </w:r>
    </w:p>
    <w:p>
      <w:pPr>
        <w:pStyle w:val="BodyText"/>
        <w:spacing w:line="408" w:lineRule="auto"/>
        <w:ind w:left="574" w:right="2148"/>
        <w:jc w:val="left"/>
      </w:pPr>
      <w:r>
        <w:rPr/>
        <w:t>经审计，嘉园环保</w:t>
      </w:r>
      <w:r>
        <w:rPr>
          <w:spacing w:val="-53"/>
        </w:rPr>
        <w:t> </w:t>
      </w:r>
      <w:r>
        <w:rPr>
          <w:rFonts w:ascii="宋体" w:hAnsi="宋体" w:cs="宋体" w:eastAsia="宋体" w:hint="default"/>
        </w:rPr>
        <w:t>2018</w:t>
      </w:r>
      <w:r>
        <w:rPr>
          <w:rFonts w:ascii="宋体" w:hAnsi="宋体" w:cs="宋体" w:eastAsia="宋体" w:hint="default"/>
          <w:spacing w:val="-55"/>
        </w:rPr>
        <w:t> </w:t>
      </w:r>
      <w:r>
        <w:rPr/>
        <w:t>年度实现营业收入</w:t>
      </w:r>
      <w:r>
        <w:rPr>
          <w:spacing w:val="-53"/>
        </w:rPr>
        <w:t> </w:t>
      </w:r>
      <w:r>
        <w:rPr>
          <w:rFonts w:ascii="宋体" w:hAnsi="宋体" w:cs="宋体" w:eastAsia="宋体" w:hint="default"/>
        </w:rPr>
        <w:t>32,623.27</w:t>
      </w:r>
      <w:r>
        <w:rPr>
          <w:rFonts w:ascii="宋体" w:hAnsi="宋体" w:cs="宋体" w:eastAsia="宋体" w:hint="default"/>
          <w:spacing w:val="-53"/>
        </w:rPr>
        <w:t> </w:t>
      </w:r>
      <w:r>
        <w:rPr/>
        <w:t>万元，实现净利润</w:t>
      </w:r>
      <w:r>
        <w:rPr>
          <w:spacing w:val="-53"/>
        </w:rPr>
        <w:t> </w:t>
      </w:r>
      <w:r>
        <w:rPr>
          <w:rFonts w:ascii="宋体" w:hAnsi="宋体" w:cs="宋体" w:eastAsia="宋体" w:hint="default"/>
        </w:rPr>
        <w:t>2,531.82</w:t>
      </w:r>
      <w:r>
        <w:rPr>
          <w:rFonts w:ascii="宋体" w:hAnsi="宋体" w:cs="宋体" w:eastAsia="宋体" w:hint="default"/>
          <w:spacing w:val="-54"/>
        </w:rPr>
        <w:t> </w:t>
      </w:r>
      <w:r>
        <w:rPr/>
        <w:t>万元。 </w:t>
      </w:r>
      <w:r>
        <w:rPr>
          <w:rFonts w:ascii="宋体" w:hAnsi="宋体" w:cs="宋体" w:eastAsia="宋体" w:hint="default"/>
        </w:rPr>
        <w:t>3</w:t>
      </w:r>
      <w:r>
        <w:rPr/>
        <w:t>、郑州汉威公用事业科技有限公司</w:t>
      </w:r>
    </w:p>
    <w:p>
      <w:pPr>
        <w:pStyle w:val="BodyText"/>
        <w:spacing w:line="240" w:lineRule="auto"/>
        <w:ind w:left="574" w:right="0"/>
        <w:jc w:val="left"/>
      </w:pPr>
      <w:r>
        <w:rPr/>
        <w:t>汉威公用为公司的控股子公司，注册资本 </w:t>
      </w:r>
      <w:r>
        <w:rPr>
          <w:rFonts w:ascii="宋体" w:hAnsi="宋体" w:cs="宋体" w:eastAsia="宋体" w:hint="default"/>
        </w:rPr>
        <w:t>10,000</w:t>
      </w:r>
      <w:r>
        <w:rPr>
          <w:rFonts w:ascii="宋体" w:hAnsi="宋体" w:cs="宋体" w:eastAsia="宋体" w:hint="default"/>
          <w:spacing w:val="-24"/>
        </w:rPr>
        <w:t> </w:t>
      </w:r>
      <w:r>
        <w:rPr/>
        <w:t>万元。法定代表人：陈根平。公司住所：郑州市高</w:t>
      </w:r>
    </w:p>
    <w:p>
      <w:pPr>
        <w:spacing w:line="240" w:lineRule="auto" w:before="10"/>
        <w:rPr>
          <w:rFonts w:ascii="宋体" w:hAnsi="宋体" w:cs="宋体" w:eastAsia="宋体" w:hint="default"/>
          <w:sz w:val="14"/>
          <w:szCs w:val="14"/>
        </w:rPr>
      </w:pPr>
    </w:p>
    <w:p>
      <w:pPr>
        <w:pStyle w:val="BodyText"/>
        <w:spacing w:line="408" w:lineRule="auto" w:before="0"/>
        <w:ind w:right="1023"/>
        <w:jc w:val="left"/>
      </w:pPr>
      <w:r>
        <w:rPr/>
        <w:t>新区雪松路</w:t>
      </w:r>
      <w:r>
        <w:rPr>
          <w:spacing w:val="-50"/>
        </w:rPr>
        <w:t> </w:t>
      </w:r>
      <w:r>
        <w:rPr>
          <w:rFonts w:ascii="宋体" w:hAnsi="宋体" w:cs="宋体" w:eastAsia="宋体" w:hint="default"/>
        </w:rPr>
        <w:t>169</w:t>
      </w:r>
      <w:r>
        <w:rPr>
          <w:rFonts w:ascii="宋体" w:hAnsi="宋体" w:cs="宋体" w:eastAsia="宋体" w:hint="default"/>
          <w:spacing w:val="-51"/>
        </w:rPr>
        <w:t> </w:t>
      </w:r>
      <w:r>
        <w:rPr/>
        <w:t>号</w:t>
      </w:r>
      <w:r>
        <w:rPr>
          <w:spacing w:val="-51"/>
        </w:rPr>
        <w:t> </w:t>
      </w:r>
      <w:r>
        <w:rPr>
          <w:rFonts w:ascii="宋体" w:hAnsi="宋体" w:cs="宋体" w:eastAsia="宋体" w:hint="default"/>
        </w:rPr>
        <w:t>4</w:t>
      </w:r>
      <w:r>
        <w:rPr>
          <w:rFonts w:ascii="宋体" w:hAnsi="宋体" w:cs="宋体" w:eastAsia="宋体" w:hint="default"/>
          <w:spacing w:val="-49"/>
        </w:rPr>
        <w:t> </w:t>
      </w:r>
      <w:r>
        <w:rPr/>
        <w:t>号楼</w:t>
      </w:r>
      <w:r>
        <w:rPr>
          <w:spacing w:val="-51"/>
        </w:rPr>
        <w:t> </w:t>
      </w:r>
      <w:r>
        <w:rPr>
          <w:rFonts w:ascii="宋体" w:hAnsi="宋体" w:cs="宋体" w:eastAsia="宋体" w:hint="default"/>
        </w:rPr>
        <w:t>3</w:t>
      </w:r>
      <w:r>
        <w:rPr>
          <w:rFonts w:ascii="宋体" w:hAnsi="宋体" w:cs="宋体" w:eastAsia="宋体" w:hint="default"/>
          <w:spacing w:val="-49"/>
        </w:rPr>
        <w:t> </w:t>
      </w:r>
      <w:r>
        <w:rPr/>
        <w:t>层</w:t>
      </w:r>
      <w:r>
        <w:rPr>
          <w:spacing w:val="-51"/>
        </w:rPr>
        <w:t> </w:t>
      </w:r>
      <w:r>
        <w:rPr>
          <w:rFonts w:ascii="宋体" w:hAnsi="宋体" w:cs="宋体" w:eastAsia="宋体" w:hint="default"/>
        </w:rPr>
        <w:t>301</w:t>
      </w:r>
      <w:r>
        <w:rPr>
          <w:rFonts w:ascii="宋体" w:hAnsi="宋体" w:cs="宋体" w:eastAsia="宋体" w:hint="default"/>
          <w:spacing w:val="-49"/>
        </w:rPr>
        <w:t> </w:t>
      </w:r>
      <w:r>
        <w:rPr/>
        <w:t>室。公司持股比例为</w:t>
      </w:r>
      <w:r>
        <w:rPr>
          <w:spacing w:val="-50"/>
        </w:rPr>
        <w:t> </w:t>
      </w:r>
      <w:r>
        <w:rPr>
          <w:rFonts w:ascii="宋体" w:hAnsi="宋体" w:cs="宋体" w:eastAsia="宋体" w:hint="default"/>
        </w:rPr>
        <w:t>65%</w:t>
      </w:r>
      <w:r>
        <w:rPr/>
        <w:t>。主要经营范围：城市基础设施建设、工程设 </w:t>
      </w:r>
      <w:r>
        <w:rPr>
          <w:spacing w:val="-3"/>
        </w:rPr>
        <w:t>计、工程施工、设备安装、维修服务；市政公用事业的建设、管理及相关软件开发、系统集成、运维服务；</w:t>
      </w:r>
      <w:r>
        <w:rPr>
          <w:spacing w:val="-97"/>
        </w:rPr>
        <w:t> </w:t>
      </w:r>
      <w:r>
        <w:rPr>
          <w:spacing w:val="-97"/>
        </w:rPr>
      </w:r>
      <w:r>
        <w:rPr/>
        <w:t>市政公用设施的新建、改建、维护及运营管理。</w:t>
      </w:r>
    </w:p>
    <w:p>
      <w:pPr>
        <w:pStyle w:val="BodyText"/>
        <w:spacing w:line="408" w:lineRule="auto"/>
        <w:ind w:left="574" w:right="2148"/>
        <w:jc w:val="left"/>
      </w:pPr>
      <w:r>
        <w:rPr/>
        <w:t>经审计，汉威公用</w:t>
      </w:r>
      <w:r>
        <w:rPr>
          <w:spacing w:val="-53"/>
        </w:rPr>
        <w:t> </w:t>
      </w:r>
      <w:r>
        <w:rPr>
          <w:rFonts w:ascii="宋体" w:hAnsi="宋体" w:cs="宋体" w:eastAsia="宋体" w:hint="default"/>
        </w:rPr>
        <w:t>2018</w:t>
      </w:r>
      <w:r>
        <w:rPr>
          <w:rFonts w:ascii="宋体" w:hAnsi="宋体" w:cs="宋体" w:eastAsia="宋体" w:hint="default"/>
          <w:spacing w:val="-55"/>
        </w:rPr>
        <w:t> </w:t>
      </w:r>
      <w:r>
        <w:rPr/>
        <w:t>年度实现营业收入</w:t>
      </w:r>
      <w:r>
        <w:rPr>
          <w:spacing w:val="-53"/>
        </w:rPr>
        <w:t> </w:t>
      </w:r>
      <w:r>
        <w:rPr>
          <w:rFonts w:ascii="宋体" w:hAnsi="宋体" w:cs="宋体" w:eastAsia="宋体" w:hint="default"/>
        </w:rPr>
        <w:t>20,175.46</w:t>
      </w:r>
      <w:r>
        <w:rPr>
          <w:rFonts w:ascii="宋体" w:hAnsi="宋体" w:cs="宋体" w:eastAsia="宋体" w:hint="default"/>
          <w:spacing w:val="-53"/>
        </w:rPr>
        <w:t> </w:t>
      </w:r>
      <w:r>
        <w:rPr/>
        <w:t>万元，实现净利润</w:t>
      </w:r>
      <w:r>
        <w:rPr>
          <w:spacing w:val="-53"/>
        </w:rPr>
        <w:t> </w:t>
      </w:r>
      <w:r>
        <w:rPr>
          <w:rFonts w:ascii="宋体" w:hAnsi="宋体" w:cs="宋体" w:eastAsia="宋体" w:hint="default"/>
        </w:rPr>
        <w:t>3,569.34</w:t>
      </w:r>
      <w:r>
        <w:rPr>
          <w:rFonts w:ascii="宋体" w:hAnsi="宋体" w:cs="宋体" w:eastAsia="宋体" w:hint="default"/>
          <w:spacing w:val="-54"/>
        </w:rPr>
        <w:t> </w:t>
      </w:r>
      <w:r>
        <w:rPr/>
        <w:t>万元。 </w:t>
      </w:r>
      <w:r>
        <w:rPr>
          <w:rFonts w:ascii="宋体" w:hAnsi="宋体" w:cs="宋体" w:eastAsia="宋体" w:hint="default"/>
        </w:rPr>
        <w:t>4</w:t>
      </w:r>
      <w:r>
        <w:rPr/>
        <w:t>、郑州汉威智源科技有限公司</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t>汉威智源为公司的控股子公司，注册资本 </w:t>
      </w:r>
      <w:r>
        <w:rPr>
          <w:rFonts w:ascii="宋体" w:hAnsi="宋体" w:cs="宋体" w:eastAsia="宋体" w:hint="default"/>
        </w:rPr>
        <w:t>10,000</w:t>
      </w:r>
      <w:r>
        <w:rPr>
          <w:rFonts w:ascii="宋体" w:hAnsi="宋体" w:cs="宋体" w:eastAsia="宋体" w:hint="default"/>
          <w:spacing w:val="-24"/>
        </w:rPr>
        <w:t> </w:t>
      </w:r>
      <w:r>
        <w:rPr/>
        <w:t>万元。法定代表人：赵金领。公司住所：郑州高新</w:t>
      </w:r>
    </w:p>
    <w:p>
      <w:pPr>
        <w:spacing w:line="240" w:lineRule="auto" w:before="10"/>
        <w:rPr>
          <w:rFonts w:ascii="宋体" w:hAnsi="宋体" w:cs="宋体" w:eastAsia="宋体" w:hint="default"/>
          <w:sz w:val="14"/>
          <w:szCs w:val="14"/>
        </w:rPr>
      </w:pPr>
    </w:p>
    <w:p>
      <w:pPr>
        <w:pStyle w:val="BodyText"/>
        <w:spacing w:line="408" w:lineRule="auto" w:before="0"/>
        <w:ind w:right="1124"/>
        <w:jc w:val="left"/>
      </w:pPr>
      <w:r>
        <w:rPr/>
        <w:t>技术产业开发区雪松路</w:t>
      </w:r>
      <w:r>
        <w:rPr>
          <w:spacing w:val="-50"/>
        </w:rPr>
        <w:t> </w:t>
      </w:r>
      <w:r>
        <w:rPr>
          <w:rFonts w:ascii="宋体" w:hAnsi="宋体" w:cs="宋体" w:eastAsia="宋体" w:hint="default"/>
        </w:rPr>
        <w:t>169</w:t>
      </w:r>
      <w:r>
        <w:rPr>
          <w:rFonts w:ascii="宋体" w:hAnsi="宋体" w:cs="宋体" w:eastAsia="宋体" w:hint="default"/>
          <w:spacing w:val="-49"/>
        </w:rPr>
        <w:t> </w:t>
      </w:r>
      <w:r>
        <w:rPr/>
        <w:t>号</w:t>
      </w:r>
      <w:r>
        <w:rPr>
          <w:spacing w:val="-50"/>
        </w:rPr>
        <w:t> </w:t>
      </w:r>
      <w:r>
        <w:rPr>
          <w:rFonts w:ascii="宋体" w:hAnsi="宋体" w:cs="宋体" w:eastAsia="宋体" w:hint="default"/>
        </w:rPr>
        <w:t>4</w:t>
      </w:r>
      <w:r>
        <w:rPr>
          <w:rFonts w:ascii="宋体" w:hAnsi="宋体" w:cs="宋体" w:eastAsia="宋体" w:hint="default"/>
          <w:spacing w:val="-49"/>
        </w:rPr>
        <w:t> </w:t>
      </w:r>
      <w:r>
        <w:rPr/>
        <w:t>号楼</w:t>
      </w:r>
      <w:r>
        <w:rPr>
          <w:spacing w:val="-50"/>
        </w:rPr>
        <w:t> </w:t>
      </w:r>
      <w:r>
        <w:rPr>
          <w:rFonts w:ascii="宋体" w:hAnsi="宋体" w:cs="宋体" w:eastAsia="宋体" w:hint="default"/>
        </w:rPr>
        <w:t>303</w:t>
      </w:r>
      <w:r>
        <w:rPr>
          <w:rFonts w:ascii="宋体" w:hAnsi="宋体" w:cs="宋体" w:eastAsia="宋体" w:hint="default"/>
          <w:spacing w:val="-49"/>
        </w:rPr>
        <w:t> </w:t>
      </w:r>
      <w:r>
        <w:rPr/>
        <w:t>室。公司持股比例为</w:t>
      </w:r>
      <w:r>
        <w:rPr>
          <w:spacing w:val="-50"/>
        </w:rPr>
        <w:t> </w:t>
      </w:r>
      <w:r>
        <w:rPr>
          <w:rFonts w:ascii="宋体" w:hAnsi="宋体" w:cs="宋体" w:eastAsia="宋体" w:hint="default"/>
        </w:rPr>
        <w:t>65%</w:t>
      </w:r>
      <w:r>
        <w:rPr/>
        <w:t>。主要经营范围：城市供热设施的建设 及运营；热力工程承包；市政工程承包；销售：热力器材、电气设备。</w:t>
      </w:r>
    </w:p>
    <w:p>
      <w:pPr>
        <w:pStyle w:val="BodyText"/>
        <w:spacing w:line="240" w:lineRule="auto"/>
        <w:ind w:left="574" w:right="0"/>
        <w:jc w:val="left"/>
      </w:pPr>
      <w:r>
        <w:rPr/>
        <w:t>经审计，汉威智源</w:t>
      </w:r>
      <w:r>
        <w:rPr>
          <w:spacing w:val="-53"/>
        </w:rPr>
        <w:t> </w:t>
      </w:r>
      <w:r>
        <w:rPr>
          <w:rFonts w:ascii="宋体" w:hAnsi="宋体" w:cs="宋体" w:eastAsia="宋体" w:hint="default"/>
        </w:rPr>
        <w:t>2018</w:t>
      </w:r>
      <w:r>
        <w:rPr>
          <w:rFonts w:ascii="宋体" w:hAnsi="宋体" w:cs="宋体" w:eastAsia="宋体" w:hint="default"/>
          <w:spacing w:val="-55"/>
        </w:rPr>
        <w:t> </w:t>
      </w:r>
      <w:r>
        <w:rPr/>
        <w:t>年度实现营业收入</w:t>
      </w:r>
      <w:r>
        <w:rPr>
          <w:spacing w:val="-53"/>
        </w:rPr>
        <w:t> </w:t>
      </w:r>
      <w:r>
        <w:rPr>
          <w:rFonts w:ascii="宋体" w:hAnsi="宋体" w:cs="宋体" w:eastAsia="宋体" w:hint="default"/>
        </w:rPr>
        <w:t>23,537.43</w:t>
      </w:r>
      <w:r>
        <w:rPr>
          <w:rFonts w:ascii="宋体" w:hAnsi="宋体" w:cs="宋体" w:eastAsia="宋体" w:hint="default"/>
          <w:spacing w:val="-53"/>
        </w:rPr>
        <w:t> </w:t>
      </w:r>
      <w:r>
        <w:rPr/>
        <w:t>万元，实现净利润</w:t>
      </w:r>
      <w:r>
        <w:rPr>
          <w:spacing w:val="-53"/>
        </w:rPr>
        <w:t> </w:t>
      </w:r>
      <w:r>
        <w:rPr>
          <w:rFonts w:ascii="宋体" w:hAnsi="宋体" w:cs="宋体" w:eastAsia="宋体" w:hint="default"/>
        </w:rPr>
        <w:t>8,708.95</w:t>
      </w:r>
      <w:r>
        <w:rPr>
          <w:rFonts w:ascii="宋体" w:hAnsi="宋体" w:cs="宋体" w:eastAsia="宋体" w:hint="default"/>
          <w:spacing w:val="-54"/>
        </w:rPr>
        <w:t> </w:t>
      </w:r>
      <w:r>
        <w:rPr/>
        <w:t>万元。</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15" w:firstLine="420"/>
        <w:jc w:val="left"/>
      </w:pPr>
      <w:r>
        <w:rPr/>
        <w:t>近年来，全球经济复苏进程风险集聚，国际金融贸易争端和科技经济竞争全面拉开，物联网行业在全 球范围内的竞争更加激烈。公司坚定认为中国长期持续稳定的创新发展大背景不会改变，只有保持定力、 </w:t>
      </w:r>
      <w:r>
        <w:rPr>
          <w:spacing w:val="-3"/>
        </w:rPr>
        <w:t>增强信心，聚焦以传感器为核心的物联网产业发展，才能在“危中有机”的背景下抓住机遇实现更大发展。</w:t>
      </w:r>
      <w:r>
        <w:rPr>
          <w:spacing w:val="-92"/>
        </w:rPr>
        <w:t> </w:t>
      </w:r>
      <w:r>
        <w:rPr>
          <w:spacing w:val="-92"/>
        </w:rPr>
      </w:r>
      <w:r>
        <w:rPr>
          <w:rFonts w:ascii="宋体" w:hAnsi="宋体" w:cs="宋体" w:eastAsia="宋体" w:hint="default"/>
        </w:rPr>
        <w:t>2018</w:t>
      </w:r>
      <w:r>
        <w:rPr>
          <w:rFonts w:ascii="宋体" w:hAnsi="宋体" w:cs="宋体" w:eastAsia="宋体" w:hint="default"/>
          <w:spacing w:val="-48"/>
        </w:rPr>
        <w:t> </w:t>
      </w:r>
      <w:r>
        <w:rPr/>
        <w:t>年是中国改革开放</w:t>
      </w:r>
      <w:r>
        <w:rPr>
          <w:spacing w:val="-49"/>
        </w:rPr>
        <w:t> </w:t>
      </w:r>
      <w:r>
        <w:rPr>
          <w:rFonts w:ascii="宋体" w:hAnsi="宋体" w:cs="宋体" w:eastAsia="宋体" w:hint="default"/>
        </w:rPr>
        <w:t>40</w:t>
      </w:r>
      <w:r>
        <w:rPr>
          <w:rFonts w:ascii="宋体" w:hAnsi="宋体" w:cs="宋体" w:eastAsia="宋体" w:hint="default"/>
          <w:spacing w:val="-49"/>
        </w:rPr>
        <w:t> </w:t>
      </w:r>
      <w:r>
        <w:rPr>
          <w:spacing w:val="-6"/>
        </w:rPr>
        <w:t>周年，同时也是公司创立</w:t>
      </w:r>
      <w:r>
        <w:rPr>
          <w:spacing w:val="-49"/>
        </w:rPr>
        <w:t> </w:t>
      </w:r>
      <w:r>
        <w:rPr>
          <w:rFonts w:ascii="宋体" w:hAnsi="宋体" w:cs="宋体" w:eastAsia="宋体" w:hint="default"/>
        </w:rPr>
        <w:t>20</w:t>
      </w:r>
      <w:r>
        <w:rPr>
          <w:rFonts w:ascii="宋体" w:hAnsi="宋体" w:cs="宋体" w:eastAsia="宋体" w:hint="default"/>
          <w:spacing w:val="-49"/>
        </w:rPr>
        <w:t> </w:t>
      </w:r>
      <w:r>
        <w:rPr>
          <w:spacing w:val="-6"/>
        </w:rPr>
        <w:t>周年，更是建设“数字中国、智慧社会”的新起点。</w:t>
      </w:r>
    </w:p>
    <w:p>
      <w:pPr>
        <w:pStyle w:val="BodyText"/>
        <w:spacing w:line="408" w:lineRule="auto"/>
        <w:ind w:right="1130" w:firstLine="420"/>
        <w:jc w:val="both"/>
      </w:pPr>
      <w:r>
        <w:rPr/>
        <w:t>未来，公司将深入贯彻落实党的十九大会议精神、</w:t>
      </w:r>
      <w:r>
        <w:rPr>
          <w:rFonts w:ascii="宋体" w:hAnsi="宋体" w:cs="宋体" w:eastAsia="宋体" w:hint="default"/>
        </w:rPr>
        <w:t>2019</w:t>
      </w:r>
      <w:r>
        <w:rPr>
          <w:rFonts w:ascii="宋体" w:hAnsi="宋体" w:cs="宋体" w:eastAsia="宋体" w:hint="default"/>
          <w:spacing w:val="-69"/>
        </w:rPr>
        <w:t> </w:t>
      </w:r>
      <w:r>
        <w:rPr>
          <w:spacing w:val="-3"/>
        </w:rPr>
        <w:t>年中央经济工作会议精神，在省、市发展战略</w:t>
      </w:r>
      <w:r>
        <w:rPr/>
        <w:t> </w:t>
      </w:r>
      <w:r>
        <w:rPr>
          <w:spacing w:val="-1"/>
        </w:rPr>
        <w:t>指导下，继续坚持以“成为以传感器为核心的物联网解决方案引领者”为产业愿景，以践行《汉威文化法</w:t>
      </w:r>
      <w:r>
        <w:rPr>
          <w:spacing w:val="-83"/>
        </w:rPr>
        <w:t> </w:t>
      </w:r>
      <w:r>
        <w:rPr>
          <w:spacing w:val="-83"/>
        </w:rPr>
      </w:r>
      <w:r>
        <w:rPr>
          <w:spacing w:val="-1"/>
        </w:rPr>
        <w:t>典》为核心，以提高发展质量、提升企业效益为中心，以“创新、协同、巩固、落实、增效”为主线，做</w:t>
      </w:r>
      <w:r>
        <w:rPr>
          <w:spacing w:val="-86"/>
        </w:rPr>
        <w:t> </w:t>
      </w:r>
      <w:r>
        <w:rPr>
          <w:spacing w:val="-86"/>
        </w:rPr>
      </w:r>
      <w:r>
        <w:rPr/>
        <w:t>到保持战略定力、厉行价值创造、着力提质增效，持续打造物联网行业龙头地位。</w:t>
      </w:r>
    </w:p>
    <w:p>
      <w:pPr>
        <w:pStyle w:val="BodyText"/>
        <w:spacing w:line="408" w:lineRule="auto"/>
        <w:ind w:left="574" w:right="0"/>
        <w:jc w:val="left"/>
      </w:pPr>
      <w:r>
        <w:rPr/>
        <w:t>（一）厚植物联网领先优势，加快产业生态圈建设 </w:t>
      </w:r>
      <w:r>
        <w:rPr>
          <w:spacing w:val="-1"/>
        </w:rPr>
        <w:t>近年来，公司先人一步以传感器为核心构建了较为完善的物联网产业生态圈，并通过快速落地的行业</w:t>
      </w:r>
    </w:p>
    <w:p>
      <w:pPr>
        <w:pStyle w:val="BodyText"/>
        <w:spacing w:line="408" w:lineRule="auto"/>
        <w:ind w:right="1017"/>
        <w:jc w:val="left"/>
      </w:pPr>
      <w:r>
        <w:rPr>
          <w:spacing w:val="-5"/>
        </w:rPr>
        <w:t>大数据、云计算应用建立了物联网行业的先发优势。</w:t>
      </w:r>
      <w:r>
        <w:rPr>
          <w:rFonts w:ascii="宋体" w:hAnsi="宋体" w:cs="宋体" w:eastAsia="宋体" w:hint="default"/>
          <w:spacing w:val="-5"/>
        </w:rPr>
        <w:t>2019</w:t>
      </w:r>
      <w:r>
        <w:rPr>
          <w:rFonts w:ascii="宋体" w:hAnsi="宋体" w:cs="宋体" w:eastAsia="宋体" w:hint="default"/>
          <w:spacing w:val="-39"/>
        </w:rPr>
        <w:t> </w:t>
      </w:r>
      <w:r>
        <w:rPr>
          <w:spacing w:val="-3"/>
        </w:rPr>
        <w:t>年，公司将围绕“专注于物联网垂直行业的‘感、</w:t>
      </w:r>
      <w:r>
        <w:rPr>
          <w:spacing w:val="-102"/>
        </w:rPr>
        <w:t> </w:t>
      </w:r>
      <w:r>
        <w:rPr>
          <w:spacing w:val="-102"/>
        </w:rPr>
      </w:r>
      <w:r>
        <w:rPr/>
        <w:t>应、云’超级生态系统战略”，不断巩固扩大核心竞争优势，实现各业务板块在细分行业领域的巩固与提</w:t>
      </w:r>
      <w:r>
        <w:rPr/>
        <w:t> 升，在打造物联网行业龙头过程中始终占据主动。</w:t>
      </w:r>
    </w:p>
    <w:p>
      <w:pPr>
        <w:pStyle w:val="BodyText"/>
        <w:spacing w:line="240" w:lineRule="auto"/>
        <w:ind w:left="574" w:right="0"/>
        <w:jc w:val="left"/>
      </w:pPr>
      <w:r>
        <w:rPr>
          <w:rFonts w:ascii="宋体" w:hAnsi="宋体" w:cs="宋体" w:eastAsia="宋体" w:hint="default"/>
        </w:rPr>
        <w:t>1</w:t>
      </w:r>
      <w:r>
        <w:rPr/>
        <w:t>、传感器</w:t>
      </w:r>
    </w:p>
    <w:p>
      <w:pPr>
        <w:spacing w:line="240" w:lineRule="auto" w:before="10"/>
        <w:rPr>
          <w:rFonts w:ascii="宋体" w:hAnsi="宋体" w:cs="宋体" w:eastAsia="宋体" w:hint="default"/>
          <w:sz w:val="14"/>
          <w:szCs w:val="14"/>
        </w:rPr>
      </w:pPr>
    </w:p>
    <w:p>
      <w:pPr>
        <w:pStyle w:val="BodyText"/>
        <w:spacing w:line="408" w:lineRule="auto" w:before="0"/>
        <w:ind w:right="1109" w:firstLine="420"/>
        <w:jc w:val="both"/>
      </w:pPr>
      <w:r>
        <w:rPr/>
        <w:t>传感器是公司旗下最具成长性和价值的核心业务。</w:t>
      </w:r>
      <w:r>
        <w:rPr>
          <w:rFonts w:ascii="宋体" w:hAnsi="宋体" w:cs="宋体" w:eastAsia="宋体" w:hint="default"/>
        </w:rPr>
        <w:t>2019</w:t>
      </w:r>
      <w:r>
        <w:rPr>
          <w:rFonts w:ascii="宋体" w:hAnsi="宋体" w:cs="宋体" w:eastAsia="宋体" w:hint="default"/>
          <w:spacing w:val="-64"/>
        </w:rPr>
        <w:t> </w:t>
      </w:r>
      <w:r>
        <w:rPr>
          <w:spacing w:val="-3"/>
        </w:rPr>
        <w:t>年，公司将继续以应用为牵引，保证业绩稳步</w:t>
      </w:r>
      <w:r>
        <w:rPr/>
        <w:t> 增长，同时练内功、重质量、夯实传感器基础研究，打造平台化的生产加工优势，规范管理制度和流程， 完善信息化平台建设，加大人才引进和团队建设，全面提升行业竞争力。</w:t>
      </w:r>
    </w:p>
    <w:p>
      <w:pPr>
        <w:pStyle w:val="BodyText"/>
        <w:spacing w:line="408" w:lineRule="auto"/>
        <w:ind w:right="1008" w:firstLine="420"/>
        <w:jc w:val="left"/>
      </w:pPr>
      <w:r>
        <w:rPr>
          <w:rFonts w:ascii="宋体" w:hAnsi="宋体" w:cs="宋体" w:eastAsia="宋体" w:hint="default"/>
        </w:rPr>
        <w:t>2019</w:t>
      </w:r>
      <w:r>
        <w:rPr>
          <w:rFonts w:ascii="宋体" w:hAnsi="宋体" w:cs="宋体" w:eastAsia="宋体" w:hint="default"/>
          <w:spacing w:val="-77"/>
        </w:rPr>
        <w:t> </w:t>
      </w:r>
      <w:r>
        <w:rPr/>
        <w:t>年，公司传感器业务将坚持内生增长与外部合作相结合的发展模式。具体包括：通过产品技术的 </w:t>
      </w:r>
      <w:r>
        <w:rPr>
          <w:spacing w:val="-4"/>
        </w:rPr>
        <w:t>升级，提升现有平面半导体传感器的产品形态，从而开拓新的应用领域；通过英国 </w:t>
      </w:r>
      <w:r>
        <w:rPr>
          <w:rFonts w:ascii="宋体" w:hAnsi="宋体" w:cs="宋体" w:eastAsia="宋体" w:hint="default"/>
        </w:rPr>
        <w:t>GST</w:t>
      </w:r>
      <w:r>
        <w:rPr>
          <w:rFonts w:ascii="宋体" w:hAnsi="宋体" w:cs="宋体" w:eastAsia="宋体" w:hint="default"/>
          <w:spacing w:val="-83"/>
        </w:rPr>
        <w:t> </w:t>
      </w:r>
      <w:r>
        <w:rPr/>
        <w:t>的品牌和技术引进， 进一步提升并规范电化学传感器的工艺技术水平；通过和研究机构的紧密合作提升热释电传感器的产品品 质，同时提升现有红外气体传感器的产品品质；通过整合引入合伙人机制盘活压力传感器项目；通过外延</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并购进行品牌整合，建立健全高、中、低端全覆盖的产品结构。</w:t>
      </w:r>
    </w:p>
    <w:p>
      <w:pPr>
        <w:spacing w:line="240" w:lineRule="auto" w:before="10"/>
        <w:rPr>
          <w:rFonts w:ascii="宋体" w:hAnsi="宋体" w:cs="宋体" w:eastAsia="宋体" w:hint="default"/>
          <w:sz w:val="14"/>
          <w:szCs w:val="14"/>
        </w:rPr>
      </w:pPr>
    </w:p>
    <w:p>
      <w:pPr>
        <w:pStyle w:val="BodyText"/>
        <w:spacing w:line="408" w:lineRule="auto" w:before="0"/>
        <w:ind w:right="1040" w:firstLine="420"/>
        <w:jc w:val="left"/>
      </w:pPr>
      <w:r>
        <w:rPr>
          <w:rFonts w:ascii="宋体" w:hAnsi="宋体" w:cs="宋体" w:eastAsia="宋体" w:hint="default"/>
        </w:rPr>
        <w:t>2019</w:t>
      </w:r>
      <w:r>
        <w:rPr>
          <w:rFonts w:ascii="宋体" w:hAnsi="宋体" w:cs="宋体" w:eastAsia="宋体" w:hint="default"/>
          <w:spacing w:val="-53"/>
        </w:rPr>
        <w:t> </w:t>
      </w:r>
      <w:r>
        <w:rPr/>
        <w:t>年，公司传感器业务将继续强化技术、市场双轮驱动，积极打造综合传感器平台。在技术方面， 公司将在对产品具有深刻理解的基础上对生产设备进行自动化和信息化改造，同时夯实传感器基础研究， 推进生产过程和生产环境标准化，打造平台生产加工优势；在市场方面，公司重视产品体系的结构化，对 于热释电产品，公司坚持以市场驱动倒逼技术改进；对于红外传感器及粉尘类传感器产品，公司坚持以技 术驱动带动市场的发展和培育；对于相对成熟的半导体传感器坚持以创新驱动优化产品形态，公司将挖掘 新的应用领域，以更具竞争力的产品战胜竞争对手。</w:t>
      </w:r>
    </w:p>
    <w:p>
      <w:pPr>
        <w:pStyle w:val="BodyText"/>
        <w:spacing w:line="240" w:lineRule="auto"/>
        <w:ind w:left="574" w:right="0"/>
        <w:jc w:val="left"/>
      </w:pPr>
      <w:r>
        <w:rPr>
          <w:rFonts w:ascii="宋体" w:hAnsi="宋体" w:cs="宋体" w:eastAsia="宋体" w:hint="default"/>
        </w:rPr>
        <w:t>2</w:t>
      </w:r>
      <w:r>
        <w:rPr/>
        <w:t>、物联网综合解决方案</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1</w:t>
      </w:r>
      <w:r>
        <w:rPr/>
        <w:t>）智慧安全系统解决方案</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rFonts w:ascii="宋体" w:hAnsi="宋体" w:cs="宋体" w:eastAsia="宋体" w:hint="default"/>
        </w:rPr>
        <w:t>2018</w:t>
      </w:r>
      <w:r>
        <w:rPr>
          <w:rFonts w:ascii="宋体" w:hAnsi="宋体" w:cs="宋体" w:eastAsia="宋体" w:hint="default"/>
          <w:spacing w:val="-6"/>
        </w:rPr>
        <w:t> </w:t>
      </w:r>
      <w:r>
        <w:rPr>
          <w:spacing w:val="-3"/>
        </w:rPr>
        <w:t>年，中共中央办公厅、国务院办公厅印发了《地方党政领导干部安全生产责任制规定》，明确要</w:t>
      </w:r>
      <w:r>
        <w:rPr/>
        <w:t> </w:t>
      </w:r>
      <w:r>
        <w:rPr>
          <w:spacing w:val="-1"/>
        </w:rPr>
        <w:t>求推动将安全生产纳入经济社会发展全局，作为衡量经济发展、建设成效的重要指标和领导干部政绩考核</w:t>
      </w:r>
      <w:r>
        <w:rPr>
          <w:spacing w:val="-81"/>
        </w:rPr>
        <w:t> </w:t>
      </w:r>
      <w:r>
        <w:rPr>
          <w:spacing w:val="-81"/>
        </w:rPr>
      </w:r>
      <w:r>
        <w:rPr>
          <w:spacing w:val="-1"/>
        </w:rPr>
        <w:t>的重要内容，实行地方党政领导干部安全生产责任制。上述政策因素的变化，对当前及未来几年公司智慧</w:t>
      </w:r>
      <w:r>
        <w:rPr>
          <w:spacing w:val="-83"/>
        </w:rPr>
        <w:t> </w:t>
      </w:r>
      <w:r>
        <w:rPr>
          <w:spacing w:val="-83"/>
        </w:rPr>
      </w:r>
      <w:r>
        <w:rPr/>
        <w:t>安全板块业务发展都将起到积极的推动作用，政策红利机遇不容错过。</w:t>
      </w:r>
    </w:p>
    <w:p>
      <w:pPr>
        <w:pStyle w:val="BodyText"/>
        <w:spacing w:line="408" w:lineRule="auto"/>
        <w:ind w:right="1131" w:firstLine="420"/>
        <w:jc w:val="both"/>
      </w:pPr>
      <w:r>
        <w:rPr>
          <w:spacing w:val="-1"/>
        </w:rPr>
        <w:t>展望未来，安全产业仍是一个蓝海行业。安全产业的数字化、信息化、智能化转型正风起云涌，安全</w:t>
      </w:r>
      <w:r>
        <w:rPr/>
        <w:t> </w:t>
      </w:r>
      <w:r>
        <w:rPr>
          <w:spacing w:val="-1"/>
        </w:rPr>
        <w:t>产业进入战略机遇期，企业与政府需要更先进、可信的数字化、信息化、智能化系列产品。公司将在技术</w:t>
      </w:r>
      <w:r>
        <w:rPr>
          <w:spacing w:val="-83"/>
        </w:rPr>
        <w:t> </w:t>
      </w:r>
      <w:r>
        <w:rPr>
          <w:spacing w:val="-83"/>
        </w:rPr>
      </w:r>
      <w:r>
        <w:rPr/>
        <w:t>上创新求真，围绕“物联网</w:t>
      </w:r>
      <w:r>
        <w:rPr>
          <w:rFonts w:ascii="宋体" w:hAnsi="宋体" w:cs="宋体" w:eastAsia="宋体" w:hint="default"/>
        </w:rPr>
        <w:t>+</w:t>
      </w:r>
      <w:r>
        <w:rPr/>
        <w:t>大安全”构建</w:t>
      </w:r>
      <w:r>
        <w:rPr>
          <w:spacing w:val="-33"/>
        </w:rPr>
        <w:t> </w:t>
      </w:r>
      <w:r>
        <w:rPr>
          <w:rFonts w:ascii="宋体" w:hAnsi="宋体" w:cs="宋体" w:eastAsia="宋体" w:hint="default"/>
        </w:rPr>
        <w:t>toB</w:t>
      </w:r>
      <w:r>
        <w:rPr>
          <w:rFonts w:ascii="宋体" w:hAnsi="宋体" w:cs="宋体" w:eastAsia="宋体" w:hint="default"/>
          <w:spacing w:val="-34"/>
        </w:rPr>
        <w:t> </w:t>
      </w:r>
      <w:r>
        <w:rPr/>
        <w:t>和</w:t>
      </w:r>
      <w:r>
        <w:rPr>
          <w:spacing w:val="-33"/>
        </w:rPr>
        <w:t> </w:t>
      </w:r>
      <w:r>
        <w:rPr>
          <w:rFonts w:ascii="宋体" w:hAnsi="宋体" w:cs="宋体" w:eastAsia="宋体" w:hint="default"/>
        </w:rPr>
        <w:t>toG</w:t>
      </w:r>
      <w:r>
        <w:rPr>
          <w:rFonts w:ascii="宋体" w:hAnsi="宋体" w:cs="宋体" w:eastAsia="宋体" w:hint="default"/>
          <w:spacing w:val="-33"/>
        </w:rPr>
        <w:t> </w:t>
      </w:r>
      <w:r>
        <w:rPr/>
        <w:t>产品组合，为智慧安全业务的厂商、园区、城市客 </w:t>
      </w:r>
      <w:r>
        <w:rPr>
          <w:spacing w:val="-1"/>
        </w:rPr>
        <w:t>户提供完整的解决方案。在商务推广上更多采取拓展集团化客户的办法，运用市场化、差异化手段，巩固</w:t>
      </w:r>
      <w:r>
        <w:rPr>
          <w:spacing w:val="-86"/>
        </w:rPr>
        <w:t> </w:t>
      </w:r>
      <w:r>
        <w:rPr>
          <w:spacing w:val="-86"/>
        </w:rPr>
      </w:r>
      <w:r>
        <w:rPr/>
        <w:t>市场。在能力建设方面，公司将提升物联网</w:t>
      </w:r>
      <w:r>
        <w:rPr>
          <w:rFonts w:ascii="宋体" w:hAnsi="宋体" w:cs="宋体" w:eastAsia="宋体" w:hint="default"/>
        </w:rPr>
        <w:t>+</w:t>
      </w:r>
      <w:r>
        <w:rPr/>
        <w:t>大安全产业链水平，注重利用技术创新和规模效应形成新的</w:t>
      </w:r>
      <w:r>
        <w:rPr>
          <w:spacing w:val="-29"/>
        </w:rPr>
        <w:t> </w:t>
      </w:r>
      <w:r>
        <w:rPr>
          <w:spacing w:val="-29"/>
        </w:rPr>
      </w:r>
      <w:r>
        <w:rPr>
          <w:spacing w:val="-1"/>
        </w:rPr>
        <w:t>竞争优势，培育和发展新的细分行业龙头企业集群生态，扩大销售增长和行业龙头企业高质量良性循环发</w:t>
      </w:r>
      <w:r>
        <w:rPr>
          <w:spacing w:val="-81"/>
        </w:rPr>
        <w:t> </w:t>
      </w:r>
      <w:r>
        <w:rPr>
          <w:spacing w:val="-81"/>
        </w:rPr>
      </w:r>
      <w:r>
        <w:rPr/>
        <w:t>展。</w:t>
      </w:r>
    </w:p>
    <w:p>
      <w:pPr>
        <w:pStyle w:val="BodyText"/>
        <w:spacing w:line="408" w:lineRule="auto"/>
        <w:ind w:left="574" w:right="0"/>
        <w:jc w:val="left"/>
      </w:pPr>
      <w:r>
        <w:rPr/>
        <w:t>（</w:t>
      </w:r>
      <w:r>
        <w:rPr>
          <w:rFonts w:ascii="宋体" w:hAnsi="宋体" w:cs="宋体" w:eastAsia="宋体" w:hint="default"/>
        </w:rPr>
        <w:t>2</w:t>
      </w:r>
      <w:r>
        <w:rPr/>
        <w:t>）物联网平台解决方案 公司物联网平台解决方案系基于感知、数据传输、</w:t>
      </w:r>
      <w:r>
        <w:rPr>
          <w:rFonts w:ascii="宋体" w:hAnsi="宋体" w:cs="宋体" w:eastAsia="宋体" w:hint="default"/>
        </w:rPr>
        <w:t>GIS</w:t>
      </w:r>
      <w:r>
        <w:rPr/>
        <w:t>、云数据等技术，向行业客户提供智慧市政地</w:t>
      </w:r>
    </w:p>
    <w:p>
      <w:pPr>
        <w:pStyle w:val="BodyText"/>
        <w:spacing w:line="408" w:lineRule="auto"/>
        <w:ind w:right="0"/>
        <w:jc w:val="left"/>
      </w:pPr>
      <w:r>
        <w:rPr>
          <w:spacing w:val="-1"/>
        </w:rPr>
        <w:t>下管网监管平台、智慧市政管控一体化平台、智慧燃气信息化管理平台、智慧供水物联网平台、智慧供热</w:t>
      </w:r>
      <w:r>
        <w:rPr>
          <w:spacing w:val="-86"/>
        </w:rPr>
        <w:t> </w:t>
      </w:r>
      <w:r>
        <w:rPr>
          <w:spacing w:val="-86"/>
        </w:rPr>
      </w:r>
      <w:r>
        <w:rPr/>
        <w:t>物联网平台等项目解决方案。</w:t>
      </w:r>
    </w:p>
    <w:p>
      <w:pPr>
        <w:pStyle w:val="BodyText"/>
        <w:spacing w:line="408" w:lineRule="auto"/>
        <w:ind w:right="1023" w:firstLine="420"/>
        <w:jc w:val="left"/>
      </w:pPr>
      <w:r>
        <w:rPr>
          <w:rFonts w:ascii="宋体" w:hAnsi="宋体" w:cs="宋体" w:eastAsia="宋体" w:hint="default"/>
        </w:rPr>
        <w:t>2019</w:t>
      </w:r>
      <w:r>
        <w:rPr>
          <w:rFonts w:ascii="宋体" w:hAnsi="宋体" w:cs="宋体" w:eastAsia="宋体" w:hint="default"/>
          <w:spacing w:val="-77"/>
        </w:rPr>
        <w:t> </w:t>
      </w:r>
      <w:r>
        <w:rPr/>
        <w:t>年，公司物联网平台解决方案业务在完成内部改革调整后将蓄力聚势，继续以“打造智慧市政系 统解决方案的提供商和集成商”为目标，持续在城市管网领域打造“感、应、云”的服务体系。公司将保 </w:t>
      </w:r>
      <w:r>
        <w:rPr>
          <w:spacing w:val="-3"/>
        </w:rPr>
        <w:t>持并深化原客户及经销商渠道，进一步拓展集成商、政府公用管理部门、设计院等客户渠道，持续以燃气、</w:t>
      </w:r>
      <w:r>
        <w:rPr>
          <w:spacing w:val="-96"/>
        </w:rPr>
        <w:t> </w:t>
      </w:r>
      <w:r>
        <w:rPr>
          <w:spacing w:val="-96"/>
        </w:rPr>
      </w:r>
      <w:r>
        <w:rPr/>
        <w:t>供排水、热力三个行业为中心，深化原有系统解决方案，由数据管理向业务整合应用方向转变，巩固行业</w:t>
      </w:r>
      <w:r>
        <w:rPr/>
        <w:t> 优势地位。</w:t>
      </w:r>
      <w:r>
        <w:rPr>
          <w:rFonts w:ascii="宋体" w:hAnsi="宋体" w:cs="宋体" w:eastAsia="宋体" w:hint="default"/>
        </w:rPr>
        <w:t>2019</w:t>
      </w:r>
      <w:r>
        <w:rPr>
          <w:rFonts w:ascii="宋体" w:hAnsi="宋体" w:cs="宋体" w:eastAsia="宋体" w:hint="default"/>
          <w:spacing w:val="-69"/>
        </w:rPr>
        <w:t> </w:t>
      </w:r>
      <w:r>
        <w:rPr/>
        <w:t>年，公司将继续加快开展</w:t>
      </w:r>
      <w:r>
        <w:rPr>
          <w:spacing w:val="-68"/>
        </w:rPr>
        <w:t> </w:t>
      </w:r>
      <w:r>
        <w:rPr>
          <w:rFonts w:ascii="宋体" w:hAnsi="宋体" w:cs="宋体" w:eastAsia="宋体" w:hint="default"/>
        </w:rPr>
        <w:t>GIS</w:t>
      </w:r>
      <w:r>
        <w:rPr>
          <w:rFonts w:ascii="宋体" w:hAnsi="宋体" w:cs="宋体" w:eastAsia="宋体" w:hint="default"/>
          <w:spacing w:val="-68"/>
        </w:rPr>
        <w:t> </w:t>
      </w:r>
      <w:r>
        <w:rPr/>
        <w:t>系统实用化研究，以市政相关行业为重点业务方向，抓住国 家二次供水改造、海绵城市建设、城市内河黑臭水体治理等行业需求热点，进行全面布局。同时，物联网</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平台解决方案业务将充分发挥汉威云平台的优势，提升运维服务新模式的用户认可度，并确保在实际应用</w:t>
      </w:r>
      <w:r>
        <w:rPr>
          <w:spacing w:val="-81"/>
        </w:rPr>
        <w:t> </w:t>
      </w:r>
      <w:r>
        <w:rPr>
          <w:spacing w:val="-81"/>
        </w:rPr>
      </w:r>
      <w:r>
        <w:rPr/>
        <w:t>落地上有所突破。</w:t>
      </w:r>
    </w:p>
    <w:p>
      <w:pPr>
        <w:pStyle w:val="BodyText"/>
        <w:spacing w:line="240" w:lineRule="auto"/>
        <w:ind w:left="574" w:right="0"/>
        <w:jc w:val="left"/>
      </w:pPr>
      <w:r>
        <w:rPr/>
        <w:t>（</w:t>
      </w:r>
      <w:r>
        <w:rPr>
          <w:rFonts w:ascii="宋体" w:hAnsi="宋体" w:cs="宋体" w:eastAsia="宋体" w:hint="default"/>
        </w:rPr>
        <w:t>3</w:t>
      </w:r>
      <w:r>
        <w:rPr/>
        <w:t>）智慧环保系统解决方案</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t>公司智慧环保事业群经过多年布局，已形成“第三方检测</w:t>
      </w:r>
      <w:r>
        <w:rPr>
          <w:rFonts w:ascii="宋体" w:hAnsi="宋体" w:cs="宋体" w:eastAsia="宋体" w:hint="default"/>
        </w:rPr>
        <w:t>-</w:t>
      </w:r>
      <w:r>
        <w:rPr/>
        <w:t>在线监测</w:t>
      </w:r>
      <w:r>
        <w:rPr>
          <w:rFonts w:ascii="宋体" w:hAnsi="宋体" w:cs="宋体" w:eastAsia="宋体" w:hint="default"/>
        </w:rPr>
        <w:t>-</w:t>
      </w:r>
      <w:r>
        <w:rPr/>
        <w:t>废气废水处理</w:t>
      </w:r>
      <w:r>
        <w:rPr>
          <w:rFonts w:ascii="宋体" w:hAnsi="宋体" w:cs="宋体" w:eastAsia="宋体" w:hint="default"/>
        </w:rPr>
        <w:t>-</w:t>
      </w:r>
      <w:r>
        <w:rPr/>
        <w:t>智慧环保系统运 </w:t>
      </w:r>
      <w:r>
        <w:rPr>
          <w:spacing w:val="-1"/>
        </w:rPr>
        <w:t>维”闭环业务生态，并以“成为技术领先的大中型智慧环保解决方案综合服务商”为目标，进一步开拓全</w:t>
      </w:r>
      <w:r>
        <w:rPr>
          <w:spacing w:val="-81"/>
        </w:rPr>
        <w:t> </w:t>
      </w:r>
      <w:r>
        <w:rPr>
          <w:spacing w:val="-81"/>
        </w:rPr>
      </w:r>
      <w:r>
        <w:rPr/>
        <w:t>国市场。</w:t>
      </w:r>
    </w:p>
    <w:p>
      <w:pPr>
        <w:pStyle w:val="BodyText"/>
        <w:spacing w:line="408" w:lineRule="auto"/>
        <w:ind w:right="1012" w:firstLine="420"/>
        <w:jc w:val="left"/>
      </w:pPr>
      <w:r>
        <w:rPr>
          <w:spacing w:val="-4"/>
        </w:rPr>
        <w:t>环保监测方面，</w:t>
      </w:r>
      <w:r>
        <w:rPr>
          <w:rFonts w:ascii="宋体" w:hAnsi="宋体" w:cs="宋体" w:eastAsia="宋体" w:hint="default"/>
          <w:spacing w:val="-4"/>
        </w:rPr>
        <w:t>2019</w:t>
      </w:r>
      <w:r>
        <w:rPr>
          <w:rFonts w:ascii="宋体" w:hAnsi="宋体" w:cs="宋体" w:eastAsia="宋体" w:hint="default"/>
          <w:spacing w:val="-47"/>
        </w:rPr>
        <w:t> </w:t>
      </w:r>
      <w:r>
        <w:rPr>
          <w:spacing w:val="-4"/>
        </w:rPr>
        <w:t>年，公司将持续推广建设智慧环保平台，注重垂直领域的业务，实现规模化经营。</w:t>
      </w:r>
      <w:r>
        <w:rPr/>
        <w:t> 通过融合前端检测、监测；中端监控、平台、集成、运维、治理；后端数据服务，形成“感、应、云”完 整解决方案，以平台带动应用，以数据积累带动未来大数据服务。</w:t>
      </w:r>
    </w:p>
    <w:p>
      <w:pPr>
        <w:pStyle w:val="BodyText"/>
        <w:spacing w:line="408" w:lineRule="auto"/>
        <w:ind w:right="1012" w:firstLine="420"/>
        <w:jc w:val="left"/>
      </w:pPr>
      <w:r>
        <w:rPr>
          <w:spacing w:val="-4"/>
        </w:rPr>
        <w:t>环保治理方面，</w:t>
      </w:r>
      <w:r>
        <w:rPr>
          <w:rFonts w:ascii="宋体" w:hAnsi="宋体" w:cs="宋体" w:eastAsia="宋体" w:hint="default"/>
          <w:spacing w:val="-4"/>
        </w:rPr>
        <w:t>2019</w:t>
      </w:r>
      <w:r>
        <w:rPr>
          <w:rFonts w:ascii="宋体" w:hAnsi="宋体" w:cs="宋体" w:eastAsia="宋体" w:hint="default"/>
          <w:spacing w:val="-47"/>
        </w:rPr>
        <w:t> </w:t>
      </w:r>
      <w:r>
        <w:rPr>
          <w:spacing w:val="-4"/>
        </w:rPr>
        <w:t>年，公司将稳定传统优势项目市场，确保资源不流失，并积极开拓新方向新业务。</w:t>
      </w:r>
      <w:r>
        <w:rPr/>
        <w:t> 同时，公司将在资质覆盖范围内开拓村镇污水、工业废水以及土壤监测和治理等领域项目资源，从不同层 面推动并打造行业龙头企业形象。</w:t>
      </w:r>
    </w:p>
    <w:p>
      <w:pPr>
        <w:pStyle w:val="BodyText"/>
        <w:spacing w:line="408" w:lineRule="auto"/>
        <w:ind w:left="574" w:right="0"/>
        <w:jc w:val="left"/>
      </w:pPr>
      <w:r>
        <w:rPr/>
        <w:t>（</w:t>
      </w:r>
      <w:r>
        <w:rPr>
          <w:rFonts w:ascii="宋体" w:hAnsi="宋体" w:cs="宋体" w:eastAsia="宋体" w:hint="default"/>
        </w:rPr>
        <w:t>4</w:t>
      </w:r>
      <w:r>
        <w:rPr/>
        <w:t>）智慧市政系统解决方案 </w:t>
      </w:r>
      <w:r>
        <w:rPr>
          <w:spacing w:val="-1"/>
        </w:rPr>
        <w:t>公司将进一步凭借成熟的智慧水务、智慧热力标杆项目，把郑州高新技术开发区供水、供热的民生工</w:t>
      </w:r>
    </w:p>
    <w:p>
      <w:pPr>
        <w:pStyle w:val="BodyText"/>
        <w:spacing w:line="408" w:lineRule="auto"/>
        <w:ind w:right="1132"/>
        <w:jc w:val="both"/>
      </w:pPr>
      <w:r>
        <w:rPr>
          <w:spacing w:val="-2"/>
        </w:rPr>
        <w:t>作打造成国内一流的智慧市政示范项目。</w:t>
      </w:r>
      <w:r>
        <w:rPr>
          <w:rFonts w:ascii="宋体" w:hAnsi="宋体" w:cs="宋体" w:eastAsia="宋体" w:hint="default"/>
          <w:spacing w:val="-2"/>
        </w:rPr>
        <w:t>2019</w:t>
      </w:r>
      <w:r>
        <w:rPr>
          <w:rFonts w:ascii="宋体" w:hAnsi="宋体" w:cs="宋体" w:eastAsia="宋体" w:hint="default"/>
          <w:spacing w:val="-37"/>
        </w:rPr>
        <w:t> </w:t>
      </w:r>
      <w:r>
        <w:rPr>
          <w:spacing w:val="-2"/>
        </w:rPr>
        <w:t>年，公司将加快推进高新区智慧水务二期、应急平台抢修抢</w:t>
      </w:r>
      <w:r>
        <w:rPr>
          <w:spacing w:val="-102"/>
        </w:rPr>
        <w:t> </w:t>
      </w:r>
      <w:r>
        <w:rPr>
          <w:spacing w:val="-102"/>
        </w:rPr>
      </w:r>
      <w:r>
        <w:rPr>
          <w:spacing w:val="-1"/>
        </w:rPr>
        <w:t>险基地项目、智慧供热二期等项目的建设，同时将积极运用互联网思维，探索、创新商业模式，打造智慧</w:t>
      </w:r>
      <w:r>
        <w:rPr>
          <w:spacing w:val="-83"/>
        </w:rPr>
        <w:t> </w:t>
      </w:r>
      <w:r>
        <w:rPr>
          <w:spacing w:val="-83"/>
        </w:rPr>
      </w:r>
      <w:r>
        <w:rPr/>
        <w:t>市政综合服务平台。</w:t>
      </w:r>
    </w:p>
    <w:p>
      <w:pPr>
        <w:pStyle w:val="BodyText"/>
        <w:spacing w:line="240" w:lineRule="auto"/>
        <w:ind w:left="574" w:right="0"/>
        <w:jc w:val="left"/>
      </w:pPr>
      <w:r>
        <w:rPr>
          <w:rFonts w:ascii="宋体" w:hAnsi="宋体" w:cs="宋体" w:eastAsia="宋体" w:hint="default"/>
        </w:rPr>
        <w:t>3</w:t>
      </w:r>
      <w:r>
        <w:rPr/>
        <w:t>、居家智能与健康</w:t>
      </w:r>
    </w:p>
    <w:p>
      <w:pPr>
        <w:spacing w:line="240" w:lineRule="auto" w:before="10"/>
        <w:rPr>
          <w:rFonts w:ascii="宋体" w:hAnsi="宋体" w:cs="宋体" w:eastAsia="宋体" w:hint="default"/>
          <w:sz w:val="14"/>
          <w:szCs w:val="14"/>
        </w:rPr>
      </w:pPr>
    </w:p>
    <w:p>
      <w:pPr>
        <w:pStyle w:val="BodyText"/>
        <w:spacing w:line="408" w:lineRule="auto" w:before="0"/>
        <w:ind w:right="1319" w:firstLine="420"/>
        <w:jc w:val="both"/>
      </w:pPr>
      <w:r>
        <w:rPr/>
        <w:t>2019年，公司居家智能与健康板块将持续进行研发创新，并加大基于NB</w:t>
      </w:r>
      <w:r>
        <w:rPr>
          <w:rFonts w:ascii="宋体" w:hAnsi="宋体" w:cs="宋体" w:eastAsia="宋体" w:hint="default"/>
        </w:rPr>
        <w:t>-</w:t>
      </w:r>
      <w:r>
        <w:rPr/>
        <w:t>IoT的物联网烟感传感器产 品的推广力度，积极关注3C数码、净水、安防楼宇自控等领域，实现燃气和烟感在消防物联网系统平台 上安全运维的融合。充分利用传感器核心优势，大力开拓空气监护、智能家电市场，进一步渗透新能源 汽车应用空间，在消费电子领域树立独特的竞争优势。</w:t>
      </w:r>
    </w:p>
    <w:p>
      <w:pPr>
        <w:pStyle w:val="BodyText"/>
        <w:spacing w:line="240" w:lineRule="auto"/>
        <w:ind w:left="574" w:right="0"/>
        <w:jc w:val="left"/>
      </w:pPr>
      <w:r>
        <w:rPr/>
        <w:t>（二）提升创新牵引力</w:t>
      </w:r>
    </w:p>
    <w:p>
      <w:pPr>
        <w:spacing w:line="240" w:lineRule="auto" w:before="10"/>
        <w:rPr>
          <w:rFonts w:ascii="宋体" w:hAnsi="宋体" w:cs="宋体" w:eastAsia="宋体" w:hint="default"/>
          <w:sz w:val="14"/>
          <w:szCs w:val="14"/>
        </w:rPr>
      </w:pPr>
    </w:p>
    <w:p>
      <w:pPr>
        <w:pStyle w:val="BodyText"/>
        <w:spacing w:line="408" w:lineRule="auto" w:before="0"/>
        <w:ind w:right="1017" w:firstLine="420"/>
        <w:jc w:val="left"/>
      </w:pPr>
      <w:r>
        <w:rPr>
          <w:rFonts w:ascii="宋体" w:hAnsi="宋体" w:cs="宋体" w:eastAsia="宋体" w:hint="default"/>
        </w:rPr>
        <w:t>2019</w:t>
      </w:r>
      <w:r>
        <w:rPr>
          <w:rFonts w:ascii="宋体" w:hAnsi="宋体" w:cs="宋体" w:eastAsia="宋体" w:hint="default"/>
          <w:spacing w:val="-25"/>
        </w:rPr>
        <w:t> </w:t>
      </w:r>
      <w:r>
        <w:rPr>
          <w:spacing w:val="-5"/>
        </w:rPr>
        <w:t>年，公司将以提升创新平台功能发挥和创新成果转化为重点，继续深化创新引领和创新驱动战略，</w:t>
      </w:r>
      <w:r>
        <w:rPr/>
        <w:t> 使创新真正成为引领企业高质量发展的第一动力。</w:t>
      </w:r>
    </w:p>
    <w:p>
      <w:pPr>
        <w:pStyle w:val="BodyText"/>
        <w:spacing w:line="408" w:lineRule="auto"/>
        <w:ind w:right="1131" w:firstLine="420"/>
        <w:jc w:val="both"/>
      </w:pPr>
      <w:r>
        <w:rPr>
          <w:rFonts w:ascii="宋体" w:hAnsi="宋体" w:cs="宋体" w:eastAsia="宋体" w:hint="default"/>
        </w:rPr>
        <w:t>1</w:t>
      </w:r>
      <w:r>
        <w:rPr/>
        <w:t>、继续拓宽创新格局。</w:t>
      </w:r>
      <w:r>
        <w:rPr>
          <w:rFonts w:ascii="宋体" w:hAnsi="宋体" w:cs="宋体" w:eastAsia="宋体" w:hint="default"/>
        </w:rPr>
        <w:t>2019</w:t>
      </w:r>
      <w:r>
        <w:rPr>
          <w:rFonts w:ascii="宋体" w:hAnsi="宋体" w:cs="宋体" w:eastAsia="宋体" w:hint="default"/>
          <w:spacing w:val="-24"/>
        </w:rPr>
        <w:t> </w:t>
      </w:r>
      <w:r>
        <w:rPr/>
        <w:t>年，公司将积极建设智能传感器创新中心，加速压力传感器、水质传感 </w:t>
      </w:r>
      <w:r>
        <w:rPr>
          <w:spacing w:val="-1"/>
        </w:rPr>
        <w:t>器、高安全等级工业安全仪表研发进度，加大力度完善环境和安全类传感器在消费类电子等应用领域的解</w:t>
      </w:r>
      <w:r>
        <w:rPr>
          <w:spacing w:val="-81"/>
        </w:rPr>
        <w:t> </w:t>
      </w:r>
      <w:r>
        <w:rPr>
          <w:spacing w:val="-81"/>
        </w:rPr>
      </w:r>
      <w:r>
        <w:rPr>
          <w:spacing w:val="-1"/>
        </w:rPr>
        <w:t>决方案，完善物联网接入技术和产品，推进物联网平台的持续升级，向硬件智能化、可视化、云化、数据</w:t>
      </w:r>
      <w:r>
        <w:rPr>
          <w:spacing w:val="-83"/>
        </w:rPr>
        <w:t> </w:t>
      </w:r>
      <w:r>
        <w:rPr>
          <w:spacing w:val="-83"/>
        </w:rPr>
      </w:r>
      <w:r>
        <w:rPr/>
        <w:t>挖掘与服务等方向延伸。</w:t>
      </w:r>
    </w:p>
    <w:p>
      <w:pPr>
        <w:pStyle w:val="BodyText"/>
        <w:spacing w:line="240" w:lineRule="auto"/>
        <w:ind w:left="574" w:right="0"/>
        <w:jc w:val="left"/>
      </w:pPr>
      <w:r>
        <w:rPr>
          <w:rFonts w:ascii="宋体" w:hAnsi="宋体" w:cs="宋体" w:eastAsia="宋体" w:hint="default"/>
        </w:rPr>
        <w:t>2</w:t>
      </w:r>
      <w:r>
        <w:rPr/>
        <w:t>、持续推进祥云物联网平台建设。</w:t>
      </w:r>
      <w:r>
        <w:rPr>
          <w:rFonts w:ascii="宋体" w:hAnsi="宋体" w:cs="宋体" w:eastAsia="宋体" w:hint="default"/>
        </w:rPr>
        <w:t>2019</w:t>
      </w:r>
      <w:r>
        <w:rPr>
          <w:rFonts w:ascii="宋体" w:hAnsi="宋体" w:cs="宋体" w:eastAsia="宋体" w:hint="default"/>
          <w:spacing w:val="-24"/>
        </w:rPr>
        <w:t> </w:t>
      </w:r>
      <w:r>
        <w:rPr/>
        <w:t>年，公司将在做好现有业务支撑的同时，在聚焦市场及客户</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方面转变思路，大力拓展新的产业、产品方向。积极尝试硬件补贴平台、校企联合、资源互换等方式，降</w:t>
      </w:r>
      <w:r>
        <w:rPr>
          <w:spacing w:val="-83"/>
        </w:rPr>
        <w:t> </w:t>
      </w:r>
      <w:r>
        <w:rPr>
          <w:spacing w:val="-83"/>
        </w:rPr>
      </w:r>
      <w:r>
        <w:rPr/>
        <w:t>低用户接入门槛，从而积累平台天使用户接入成功案例，为物联网生态体系长期价值的展现奠定基础。</w:t>
      </w:r>
    </w:p>
    <w:p>
      <w:pPr>
        <w:pStyle w:val="BodyText"/>
        <w:spacing w:line="408" w:lineRule="auto"/>
        <w:ind w:right="1132" w:firstLine="420"/>
        <w:jc w:val="both"/>
      </w:pPr>
      <w:r>
        <w:rPr>
          <w:rFonts w:ascii="宋体" w:hAnsi="宋体" w:cs="宋体" w:eastAsia="宋体" w:hint="default"/>
        </w:rPr>
        <w:t>3</w:t>
      </w:r>
      <w:r>
        <w:rPr/>
        <w:t>、进一步完善研发系统的集团化管控体系。</w:t>
      </w:r>
      <w:r>
        <w:rPr>
          <w:rFonts w:ascii="宋体" w:hAnsi="宋体" w:cs="宋体" w:eastAsia="宋体" w:hint="default"/>
        </w:rPr>
        <w:t>2019</w:t>
      </w:r>
      <w:r>
        <w:rPr>
          <w:rFonts w:ascii="宋体" w:hAnsi="宋体" w:cs="宋体" w:eastAsia="宋体" w:hint="default"/>
          <w:spacing w:val="-24"/>
        </w:rPr>
        <w:t> </w:t>
      </w:r>
      <w:r>
        <w:rPr/>
        <w:t>年，公司将充分发挥创新平台作用，初步发育完成 </w:t>
      </w:r>
      <w:r>
        <w:rPr>
          <w:spacing w:val="-1"/>
        </w:rPr>
        <w:t>创新、赋能、培育、孵化、监管、服务几大功能。通过做好技术平台规划和建设，逐步实现研发系统管理</w:t>
      </w:r>
      <w:r>
        <w:rPr>
          <w:spacing w:val="-85"/>
        </w:rPr>
        <w:t> </w:t>
      </w:r>
      <w:r>
        <w:rPr>
          <w:spacing w:val="-85"/>
        </w:rPr>
      </w:r>
      <w:r>
        <w:rPr/>
        <w:t>及技术应用平台输入输出的有机统一，提升应用技术水平，做好基础技术和突破性技术需求的支撑。</w:t>
      </w:r>
    </w:p>
    <w:p>
      <w:pPr>
        <w:pStyle w:val="BodyText"/>
        <w:spacing w:line="408" w:lineRule="auto"/>
        <w:ind w:right="1110" w:firstLine="420"/>
        <w:jc w:val="both"/>
      </w:pP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22"/>
        </w:rPr>
        <w:t> </w:t>
      </w:r>
      <w:r>
        <w:rPr/>
        <w:t>年，公司将以郑州大学汉威物联网研究院为依托，充分利用外部高校科研院所的横向合作资 源，同时加强知识产权管理与日常工作的融入，积极组织专利申报、建立有效的专利墙，提高行业壁垒， 扩大竞争优势。</w:t>
      </w:r>
    </w:p>
    <w:p>
      <w:pPr>
        <w:pStyle w:val="BodyText"/>
        <w:spacing w:line="240" w:lineRule="auto"/>
        <w:ind w:left="574" w:right="0"/>
        <w:jc w:val="left"/>
      </w:pPr>
      <w:r>
        <w:rPr/>
        <w:t>（三）夯实公司集团化管理</w:t>
      </w:r>
    </w:p>
    <w:p>
      <w:pPr>
        <w:spacing w:line="240" w:lineRule="auto" w:before="10"/>
        <w:rPr>
          <w:rFonts w:ascii="宋体" w:hAnsi="宋体" w:cs="宋体" w:eastAsia="宋体" w:hint="default"/>
          <w:sz w:val="14"/>
          <w:szCs w:val="14"/>
        </w:rPr>
      </w:pPr>
    </w:p>
    <w:p>
      <w:pPr>
        <w:pStyle w:val="BodyText"/>
        <w:spacing w:line="408" w:lineRule="auto" w:before="0"/>
        <w:ind w:right="1057" w:firstLine="420"/>
        <w:jc w:val="both"/>
      </w:pPr>
      <w:r>
        <w:rPr>
          <w:rFonts w:ascii="宋体" w:hAnsi="宋体" w:cs="宋体" w:eastAsia="宋体" w:hint="default"/>
        </w:rPr>
        <w:t>2019</w:t>
      </w:r>
      <w:r>
        <w:rPr>
          <w:rFonts w:ascii="宋体" w:hAnsi="宋体" w:cs="宋体" w:eastAsia="宋体" w:hint="default"/>
          <w:spacing w:val="-53"/>
        </w:rPr>
        <w:t> </w:t>
      </w:r>
      <w:r>
        <w:rPr/>
        <w:t>年，公司将重点围绕提质增效，开展监督体系建设、物资采购平台建设，优化和完善项目管理、 资金管理、绩效管理，进一步提高企业运营效率，提升管理效益，具体措施主要有如下几个方面：</w:t>
      </w:r>
    </w:p>
    <w:p>
      <w:pPr>
        <w:pStyle w:val="BodyText"/>
        <w:spacing w:line="408" w:lineRule="auto"/>
        <w:ind w:right="1132" w:firstLine="420"/>
        <w:jc w:val="both"/>
      </w:pPr>
      <w:r>
        <w:rPr>
          <w:rFonts w:ascii="宋体" w:hAnsi="宋体" w:cs="宋体" w:eastAsia="宋体" w:hint="default"/>
        </w:rPr>
        <w:t>1</w:t>
      </w:r>
      <w:r>
        <w:rPr/>
        <w:t>、加强项目管理。</w:t>
      </w:r>
      <w:r>
        <w:rPr>
          <w:rFonts w:ascii="宋体" w:hAnsi="宋体" w:cs="宋体" w:eastAsia="宋体" w:hint="default"/>
        </w:rPr>
        <w:t>2019</w:t>
      </w:r>
      <w:r>
        <w:rPr>
          <w:rFonts w:ascii="宋体" w:hAnsi="宋体" w:cs="宋体" w:eastAsia="宋体" w:hint="default"/>
          <w:spacing w:val="-24"/>
        </w:rPr>
        <w:t> </w:t>
      </w:r>
      <w:r>
        <w:rPr/>
        <w:t>年，公司将着重加强项目管理，从宏观上加强对各业务单位的引导、指导， 帮助业务单位规避防控有关风险，提高项目质量，提升管理效益。</w:t>
      </w:r>
    </w:p>
    <w:p>
      <w:pPr>
        <w:pStyle w:val="BodyText"/>
        <w:spacing w:line="408" w:lineRule="auto"/>
        <w:ind w:right="1132" w:firstLine="420"/>
        <w:jc w:val="both"/>
      </w:pPr>
      <w:r>
        <w:rPr>
          <w:rFonts w:ascii="宋体" w:hAnsi="宋体" w:cs="宋体" w:eastAsia="宋体" w:hint="default"/>
        </w:rPr>
        <w:t>2</w:t>
      </w:r>
      <w:r>
        <w:rPr/>
        <w:t>、继续强化风险管控。</w:t>
      </w:r>
      <w:r>
        <w:rPr>
          <w:rFonts w:ascii="宋体" w:hAnsi="宋体" w:cs="宋体" w:eastAsia="宋体" w:hint="default"/>
        </w:rPr>
        <w:t>2019</w:t>
      </w:r>
      <w:r>
        <w:rPr>
          <w:rFonts w:ascii="宋体" w:hAnsi="宋体" w:cs="宋体" w:eastAsia="宋体" w:hint="default"/>
          <w:spacing w:val="-24"/>
        </w:rPr>
        <w:t> </w:t>
      </w:r>
      <w:r>
        <w:rPr/>
        <w:t>年，公司将以货款风险为重点，积极引导各业务实体，建立以财务为主 导的风险管控组织体系和财务与业务相结合的货款风险控制体系。</w:t>
      </w:r>
    </w:p>
    <w:p>
      <w:pPr>
        <w:pStyle w:val="BodyText"/>
        <w:spacing w:line="408" w:lineRule="auto"/>
        <w:ind w:right="1132" w:firstLine="420"/>
        <w:jc w:val="both"/>
      </w:pPr>
      <w:r>
        <w:rPr>
          <w:rFonts w:ascii="宋体" w:hAnsi="宋体" w:cs="宋体" w:eastAsia="宋体" w:hint="default"/>
        </w:rPr>
        <w:t>3</w:t>
      </w:r>
      <w:r>
        <w:rPr/>
        <w:t>、继续深化财务委派制。</w:t>
      </w:r>
      <w:r>
        <w:rPr>
          <w:rFonts w:ascii="宋体" w:hAnsi="宋体" w:cs="宋体" w:eastAsia="宋体" w:hint="default"/>
        </w:rPr>
        <w:t>2019</w:t>
      </w:r>
      <w:r>
        <w:rPr>
          <w:rFonts w:ascii="宋体" w:hAnsi="宋体" w:cs="宋体" w:eastAsia="宋体" w:hint="default"/>
          <w:spacing w:val="-24"/>
        </w:rPr>
        <w:t> </w:t>
      </w:r>
      <w:r>
        <w:rPr/>
        <w:t>年，公司将扩大财务机构负责人实质委派的范围，进一步建立完善委 派财务人员定期述职考核及流转机制。</w:t>
      </w:r>
    </w:p>
    <w:p>
      <w:pPr>
        <w:pStyle w:val="BodyText"/>
        <w:spacing w:line="240" w:lineRule="auto"/>
        <w:ind w:left="574" w:right="0"/>
        <w:jc w:val="left"/>
      </w:pPr>
      <w:r>
        <w:rPr/>
        <w:t>（四）加强团队建设</w:t>
      </w:r>
    </w:p>
    <w:p>
      <w:pPr>
        <w:spacing w:line="240" w:lineRule="auto" w:before="10"/>
        <w:rPr>
          <w:rFonts w:ascii="宋体" w:hAnsi="宋体" w:cs="宋体" w:eastAsia="宋体" w:hint="default"/>
          <w:sz w:val="14"/>
          <w:szCs w:val="14"/>
        </w:rPr>
      </w:pPr>
    </w:p>
    <w:p>
      <w:pPr>
        <w:pStyle w:val="BodyText"/>
        <w:spacing w:line="408" w:lineRule="auto" w:before="0"/>
        <w:ind w:right="1110" w:firstLine="420"/>
        <w:jc w:val="both"/>
      </w:pPr>
      <w:r>
        <w:rPr>
          <w:rFonts w:ascii="宋体" w:hAnsi="宋体" w:cs="宋体" w:eastAsia="宋体" w:hint="default"/>
        </w:rPr>
        <w:t>2019</w:t>
      </w:r>
      <w:r>
        <w:rPr>
          <w:rFonts w:ascii="宋体" w:hAnsi="宋体" w:cs="宋体" w:eastAsia="宋体" w:hint="default"/>
          <w:spacing w:val="-49"/>
        </w:rPr>
        <w:t> </w:t>
      </w:r>
      <w:r>
        <w:rPr>
          <w:spacing w:val="-2"/>
        </w:rPr>
        <w:t>年，公司团队建设的目标是坚持核心价值观、责任结果导向与自我批判，开放学习内外部优秀实</w:t>
      </w:r>
      <w:r>
        <w:rPr/>
        <w:t> </w:t>
      </w:r>
      <w:r>
        <w:rPr>
          <w:spacing w:val="-1"/>
        </w:rPr>
        <w:t>践，让组织更加充满活力并保持活力，建立稳定、高效高质的运营体系和团队。同时，公司将通过一系列</w:t>
      </w:r>
      <w:r>
        <w:rPr>
          <w:spacing w:val="-83"/>
        </w:rPr>
        <w:t> </w:t>
      </w:r>
      <w:r>
        <w:rPr>
          <w:spacing w:val="-83"/>
        </w:rPr>
      </w:r>
      <w:r>
        <w:rPr>
          <w:spacing w:val="-1"/>
        </w:rPr>
        <w:t>干部管理机制建设，打造干部队伍使命感与责任感及求真务实的工作作风；通过进一步加大干部交流、轮</w:t>
      </w:r>
      <w:r>
        <w:rPr>
          <w:spacing w:val="-83"/>
        </w:rPr>
        <w:t> </w:t>
      </w:r>
      <w:r>
        <w:rPr>
          <w:spacing w:val="-83"/>
        </w:rPr>
      </w:r>
      <w:r>
        <w:rPr/>
        <w:t>岗的力度，结合公司人才盘点工作，进一步优化干部队伍和后备干部人才库；继续落实步步高干部培训， 重点提升干部队伍战略洞察力与决断力、经营管理能力、新业务开展适应能力。</w:t>
      </w:r>
    </w:p>
    <w:p>
      <w:pPr>
        <w:pStyle w:val="BodyText"/>
        <w:spacing w:line="240" w:lineRule="auto"/>
        <w:ind w:left="574" w:right="0"/>
        <w:jc w:val="left"/>
      </w:pPr>
      <w:r>
        <w:rPr/>
        <w:t>（五）加强企业文化建设</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rFonts w:ascii="宋体" w:hAnsi="宋体" w:cs="宋体" w:eastAsia="宋体" w:hint="default"/>
        </w:rPr>
        <w:t>2019</w:t>
      </w:r>
      <w:r>
        <w:rPr>
          <w:rFonts w:ascii="宋体" w:hAnsi="宋体" w:cs="宋体" w:eastAsia="宋体" w:hint="default"/>
          <w:spacing w:val="-45"/>
        </w:rPr>
        <w:t> </w:t>
      </w:r>
      <w:r>
        <w:rPr>
          <w:spacing w:val="-2"/>
        </w:rPr>
        <w:t>年，公司将在深入宣贯、学习《汉威文化法典》的基础上，重点将文化理念固化为制度，使现行</w:t>
      </w:r>
      <w:r>
        <w:rPr/>
        <w:t> 制度与文化理念相匹配。</w:t>
      </w:r>
    </w:p>
    <w:p>
      <w:pPr>
        <w:pStyle w:val="BodyText"/>
        <w:spacing w:line="408" w:lineRule="auto"/>
        <w:ind w:left="574" w:right="6657"/>
        <w:jc w:val="left"/>
      </w:pPr>
      <w:r>
        <w:rPr/>
        <w:t>（六）风险提示 </w:t>
      </w:r>
      <w:r>
        <w:rPr>
          <w:rFonts w:ascii="宋体" w:hAnsi="宋体" w:cs="宋体" w:eastAsia="宋体" w:hint="default"/>
        </w:rPr>
        <w:t>1</w:t>
      </w:r>
      <w:r>
        <w:rPr/>
        <w:t>、物联网行业竞争加剧带来的市场风险</w:t>
      </w:r>
    </w:p>
    <w:p>
      <w:pPr>
        <w:pStyle w:val="BodyText"/>
        <w:spacing w:line="408" w:lineRule="auto"/>
        <w:ind w:right="1131" w:firstLine="420"/>
        <w:jc w:val="both"/>
      </w:pPr>
      <w:r>
        <w:rPr>
          <w:spacing w:val="-1"/>
        </w:rPr>
        <w:t>近年来物联网行业市场竞争日趋激烈，智慧城市、智慧环保等领域的蓬勃发展逐渐吸引了大批市场竞</w:t>
      </w:r>
      <w:r>
        <w:rPr/>
        <w:t> </w:t>
      </w:r>
      <w:r>
        <w:rPr>
          <w:spacing w:val="-1"/>
        </w:rPr>
        <w:t>争对手，同时公司还面临来自国际企业的竞争。如果公司不能保持现有的核心技术优势、品牌优势与重点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市场的既有优势，并不断开发新产品与开拓新市场，公司将受行业分化的影响丧失领先优势，对公司未来</w:t>
      </w:r>
      <w:r>
        <w:rPr>
          <w:spacing w:val="-83"/>
        </w:rPr>
        <w:t> </w:t>
      </w:r>
      <w:r>
        <w:rPr>
          <w:spacing w:val="-83"/>
        </w:rPr>
      </w:r>
      <w:r>
        <w:rPr>
          <w:spacing w:val="-1"/>
        </w:rPr>
        <w:t>业绩增长产生不利影响。为此，公司将不断加强自主研发及对外合作，持续增加产品、服务的种类和业务</w:t>
      </w:r>
      <w:r>
        <w:rPr>
          <w:spacing w:val="-86"/>
        </w:rPr>
        <w:t> </w:t>
      </w:r>
      <w:r>
        <w:rPr>
          <w:spacing w:val="-86"/>
        </w:rPr>
      </w:r>
      <w:r>
        <w:rPr/>
        <w:t>覆盖范围，持续巩固传感器核心优势，不断完善物联网产业生态圈，增强获得项目订单的竞争实力。</w:t>
      </w:r>
    </w:p>
    <w:p>
      <w:pPr>
        <w:pStyle w:val="BodyText"/>
        <w:spacing w:line="408" w:lineRule="auto"/>
        <w:ind w:left="574" w:right="0"/>
        <w:jc w:val="left"/>
      </w:pPr>
      <w:r>
        <w:rPr>
          <w:rFonts w:ascii="宋体" w:hAnsi="宋体" w:cs="宋体" w:eastAsia="宋体" w:hint="default"/>
        </w:rPr>
        <w:t>2</w:t>
      </w:r>
      <w:r>
        <w:rPr/>
        <w:t>、创新能力不足带来的技术风险 </w:t>
      </w:r>
      <w:r>
        <w:rPr>
          <w:spacing w:val="-1"/>
        </w:rPr>
        <w:t>公司所处的物联网行业正处于快速发展的时期，无论在硬件或者软件方面，未来下游应用都将随着客</w:t>
      </w:r>
    </w:p>
    <w:p>
      <w:pPr>
        <w:pStyle w:val="BodyText"/>
        <w:spacing w:line="408" w:lineRule="auto"/>
        <w:ind w:right="1131"/>
        <w:jc w:val="both"/>
      </w:pPr>
      <w:r>
        <w:rPr>
          <w:spacing w:val="-1"/>
        </w:rPr>
        <w:t>户需求的逐步提高出现快速迭代，如果公司不能保持核心技术的持续领先，将面临技术落后的风险。公司</w:t>
      </w:r>
      <w:r>
        <w:rPr>
          <w:spacing w:val="-83"/>
        </w:rPr>
        <w:t> </w:t>
      </w:r>
      <w:r>
        <w:rPr>
          <w:spacing w:val="-83"/>
        </w:rPr>
      </w:r>
      <w:r>
        <w:rPr>
          <w:spacing w:val="-1"/>
        </w:rPr>
        <w:t>提供的传感器、智能终端设备以及物联网综合解决方案均具有软硬件核心的自主知识产权，未来公司将始</w:t>
      </w:r>
      <w:r>
        <w:rPr>
          <w:spacing w:val="-81"/>
        </w:rPr>
        <w:t> </w:t>
      </w:r>
      <w:r>
        <w:rPr>
          <w:spacing w:val="-81"/>
        </w:rPr>
      </w:r>
      <w:r>
        <w:rPr>
          <w:spacing w:val="-1"/>
        </w:rPr>
        <w:t>终强化技术研发创新能力，在气体传感器细分领域保持国内龙头地位，同时继续实施并购战略，在国内外</w:t>
      </w:r>
      <w:r>
        <w:rPr>
          <w:spacing w:val="-83"/>
        </w:rPr>
        <w:t> </w:t>
      </w:r>
      <w:r>
        <w:rPr>
          <w:spacing w:val="-83"/>
        </w:rPr>
      </w:r>
      <w:r>
        <w:rPr/>
        <w:t>寻求先进的技术标的，针对不同客户建立多层次的产品线，进一步保持并加强行业技术领先的优势。</w:t>
      </w:r>
    </w:p>
    <w:p>
      <w:pPr>
        <w:pStyle w:val="BodyText"/>
        <w:spacing w:line="408" w:lineRule="auto"/>
        <w:ind w:left="574" w:right="0"/>
        <w:jc w:val="left"/>
      </w:pPr>
      <w:r>
        <w:rPr>
          <w:rFonts w:ascii="宋体" w:hAnsi="宋体" w:cs="宋体" w:eastAsia="宋体" w:hint="default"/>
        </w:rPr>
        <w:t>3</w:t>
      </w:r>
      <w:r>
        <w:rPr/>
        <w:t>、集团化经营带来的管理风险 公司近几年来通过坚持“内生增长</w:t>
      </w:r>
      <w:r>
        <w:rPr>
          <w:rFonts w:ascii="宋体" w:hAnsi="宋体" w:cs="宋体" w:eastAsia="宋体" w:hint="default"/>
        </w:rPr>
        <w:t>+</w:t>
      </w:r>
      <w:r>
        <w:rPr/>
        <w:t>外延并购”的战略途径，构建了以传感器为核心的物联网产业生</w:t>
      </w:r>
    </w:p>
    <w:p>
      <w:pPr>
        <w:pStyle w:val="BodyText"/>
        <w:spacing w:line="408" w:lineRule="auto"/>
        <w:ind w:right="1131"/>
        <w:jc w:val="both"/>
      </w:pPr>
      <w:r>
        <w:rPr>
          <w:spacing w:val="-1"/>
        </w:rPr>
        <w:t>态集团。目前，公司旗下二十余家全资及控股子公司，地理区域遍布全国，客户和服务领域广泛，如果公</w:t>
      </w:r>
      <w:r>
        <w:rPr>
          <w:spacing w:val="-83"/>
        </w:rPr>
        <w:t> </w:t>
      </w:r>
      <w:r>
        <w:rPr>
          <w:spacing w:val="-83"/>
        </w:rPr>
      </w:r>
      <w:r>
        <w:rPr>
          <w:spacing w:val="-1"/>
        </w:rPr>
        <w:t>司集团化管控能力不足，将存在无法充分发挥产业协同性的风险。为此，公司将进一步完善集团化管控制</w:t>
      </w:r>
      <w:r>
        <w:rPr>
          <w:spacing w:val="-83"/>
        </w:rPr>
        <w:t> </w:t>
      </w:r>
      <w:r>
        <w:rPr>
          <w:spacing w:val="-83"/>
        </w:rPr>
      </w:r>
      <w:r>
        <w:rPr/>
        <w:t>度，夯实集团化管理的基础，增进各子公司之间的业务协同，真正形成融合统一的物联网产业集团。</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017" w:firstLine="420"/>
        <w:jc w:val="left"/>
      </w:pPr>
      <w:r>
        <w:rPr>
          <w:spacing w:val="-3"/>
        </w:rPr>
        <w:t>报告期内，公司严格按照相关利润分配政策和审议程序实施利润分配方案，分红标准和分红比例明确、</w:t>
      </w:r>
      <w:r>
        <w:rPr/>
        <w:t> 清晰，相关的决策程序和机制完备；相关议案经由公司董事会、监事会审议后提交股东大会审议，公司独 立董事发表了独立意见；并在分配方案审议通过后的</w:t>
      </w:r>
      <w:r>
        <w:rPr>
          <w:spacing w:val="-53"/>
        </w:rPr>
        <w:t> </w:t>
      </w:r>
      <w:r>
        <w:rPr>
          <w:rFonts w:ascii="宋体" w:hAnsi="宋体" w:cs="宋体" w:eastAsia="宋体" w:hint="default"/>
        </w:rPr>
        <w:t>2</w:t>
      </w:r>
      <w:r>
        <w:rPr>
          <w:rFonts w:ascii="宋体" w:hAnsi="宋体" w:cs="宋体" w:eastAsia="宋体" w:hint="default"/>
          <w:spacing w:val="-53"/>
        </w:rPr>
        <w:t> </w:t>
      </w:r>
      <w:r>
        <w:rPr/>
        <w:t>个月内进行了权益分派，保证了全体股东的利益。</w:t>
      </w: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3</w:t>
      </w:r>
      <w:r>
        <w:rPr>
          <w:rFonts w:ascii="宋体" w:hAnsi="宋体" w:cs="宋体" w:eastAsia="宋体" w:hint="default"/>
          <w:spacing w:val="-49"/>
        </w:rPr>
        <w:t> </w:t>
      </w:r>
      <w:r>
        <w:rPr/>
        <w:t>月</w:t>
      </w:r>
      <w:r>
        <w:rPr>
          <w:spacing w:val="-51"/>
        </w:rPr>
        <w:t> </w:t>
      </w:r>
      <w:r>
        <w:rPr>
          <w:rFonts w:ascii="宋体" w:hAnsi="宋体" w:cs="宋体" w:eastAsia="宋体" w:hint="default"/>
        </w:rPr>
        <w:t>22</w:t>
      </w:r>
      <w:r>
        <w:rPr>
          <w:rFonts w:ascii="宋体" w:hAnsi="宋体" w:cs="宋体" w:eastAsia="宋体" w:hint="default"/>
          <w:spacing w:val="-49"/>
        </w:rPr>
        <w:t> </w:t>
      </w:r>
      <w:r>
        <w:rPr/>
        <w:t>日，公司第四届董事会第十三次会议审议通过了</w:t>
      </w:r>
      <w:r>
        <w:rPr>
          <w:spacing w:val="-50"/>
        </w:rPr>
        <w:t> </w:t>
      </w:r>
      <w:r>
        <w:rPr>
          <w:rFonts w:ascii="宋体" w:hAnsi="宋体" w:cs="宋体" w:eastAsia="宋体" w:hint="default"/>
        </w:rPr>
        <w:t>2017</w:t>
      </w:r>
      <w:r>
        <w:rPr>
          <w:rFonts w:ascii="宋体" w:hAnsi="宋体" w:cs="宋体" w:eastAsia="宋体" w:hint="default"/>
          <w:spacing w:val="-50"/>
        </w:rPr>
        <w:t> </w:t>
      </w:r>
      <w:r>
        <w:rPr/>
        <w:t>年度利润分配方案，以</w:t>
      </w:r>
      <w:r>
        <w:rPr>
          <w:spacing w:val="-50"/>
        </w:rPr>
        <w:t> </w:t>
      </w:r>
      <w:r>
        <w:rPr>
          <w:rFonts w:ascii="宋体" w:hAnsi="宋体" w:cs="宋体" w:eastAsia="宋体" w:hint="default"/>
        </w:rPr>
        <w:t>2017</w:t>
      </w:r>
      <w:r>
        <w:rPr>
          <w:rFonts w:ascii="宋体" w:hAnsi="宋体" w:cs="宋体" w:eastAsia="宋体" w:hint="default"/>
          <w:spacing w:val="-50"/>
        </w:rPr>
        <w:t> </w:t>
      </w:r>
      <w:r>
        <w:rPr/>
        <w:t>年</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总</w:t>
      </w:r>
      <w:r>
        <w:rPr/>
        <w:t>股本</w:t>
      </w:r>
      <w:r>
        <w:rPr>
          <w:spacing w:val="-53"/>
        </w:rPr>
        <w:t> </w:t>
      </w:r>
      <w:r>
        <w:rPr>
          <w:rFonts w:ascii="宋体" w:hAnsi="宋体" w:cs="宋体" w:eastAsia="宋体" w:hint="default"/>
        </w:rPr>
        <w:t>293,022,806</w:t>
      </w:r>
      <w:r>
        <w:rPr>
          <w:rFonts w:ascii="宋体" w:hAnsi="宋体" w:cs="宋体" w:eastAsia="宋体" w:hint="default"/>
          <w:spacing w:val="-52"/>
        </w:rPr>
        <w:t> </w:t>
      </w:r>
      <w:r>
        <w:rPr/>
        <w:t>股为</w:t>
      </w:r>
      <w:r>
        <w:rPr>
          <w:spacing w:val="-2"/>
        </w:rPr>
        <w:t>基</w:t>
      </w:r>
      <w:r>
        <w:rPr/>
        <w:t>数</w:t>
      </w:r>
      <w:r>
        <w:rPr>
          <w:spacing w:val="-26"/>
        </w:rPr>
        <w:t>，</w:t>
      </w:r>
      <w:r>
        <w:rPr/>
        <w:t>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spacing w:val="-2"/>
        </w:rPr>
        <w:t>股</w:t>
      </w:r>
      <w:r>
        <w:rPr/>
        <w:t>派发现金红利</w:t>
      </w:r>
      <w:r>
        <w:rPr>
          <w:spacing w:val="-52"/>
        </w:rPr>
        <w:t> </w:t>
      </w:r>
      <w:r>
        <w:rPr>
          <w:rFonts w:ascii="宋体" w:hAnsi="宋体" w:cs="宋体" w:eastAsia="宋体" w:hint="default"/>
        </w:rPr>
        <w:t>0.45</w:t>
      </w:r>
      <w:r>
        <w:rPr>
          <w:rFonts w:ascii="宋体" w:hAnsi="宋体" w:cs="宋体" w:eastAsia="宋体" w:hint="default"/>
          <w:spacing w:val="-53"/>
        </w:rPr>
        <w:t> </w:t>
      </w:r>
      <w:r>
        <w:rPr>
          <w:spacing w:val="-26"/>
        </w:rPr>
        <w:t>元</w:t>
      </w:r>
      <w:r>
        <w:rPr/>
        <w:t>（含税</w:t>
      </w:r>
      <w:r>
        <w:rPr>
          <w:spacing w:val="-105"/>
        </w:rPr>
        <w:t>）</w:t>
      </w:r>
      <w:r>
        <w:rPr>
          <w:spacing w:val="-26"/>
        </w:rPr>
        <w:t>，</w:t>
      </w:r>
      <w:r>
        <w:rPr/>
        <w:t>合计派发现</w:t>
      </w:r>
    </w:p>
    <w:p>
      <w:pPr>
        <w:spacing w:line="240" w:lineRule="auto" w:before="10"/>
        <w:rPr>
          <w:rFonts w:ascii="宋体" w:hAnsi="宋体" w:cs="宋体" w:eastAsia="宋体" w:hint="default"/>
          <w:sz w:val="14"/>
          <w:szCs w:val="14"/>
        </w:rPr>
      </w:pPr>
    </w:p>
    <w:p>
      <w:pPr>
        <w:pStyle w:val="BodyText"/>
        <w:spacing w:line="408" w:lineRule="auto" w:before="0"/>
        <w:ind w:right="1123"/>
        <w:jc w:val="left"/>
      </w:pPr>
      <w:r>
        <w:rPr/>
        <w:t>金</w:t>
      </w:r>
      <w:r>
        <w:rPr>
          <w:spacing w:val="-45"/>
        </w:rPr>
        <w:t> </w:t>
      </w:r>
      <w:r>
        <w:rPr>
          <w:rFonts w:ascii="宋体" w:hAnsi="宋体" w:cs="宋体" w:eastAsia="宋体" w:hint="default"/>
        </w:rPr>
        <w:t>13,186,026.27</w:t>
      </w:r>
      <w:r>
        <w:rPr>
          <w:rFonts w:ascii="宋体" w:hAnsi="宋体" w:cs="宋体" w:eastAsia="宋体" w:hint="default"/>
          <w:spacing w:val="-44"/>
        </w:rPr>
        <w:t> </w:t>
      </w:r>
      <w:r>
        <w:rPr/>
        <w:t>元，剩余未分配利润结转以后年度，并于</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11</w:t>
      </w:r>
      <w:r>
        <w:rPr>
          <w:rFonts w:ascii="宋体" w:hAnsi="宋体" w:cs="宋体" w:eastAsia="宋体" w:hint="default"/>
          <w:spacing w:val="-44"/>
        </w:rPr>
        <w:t> </w:t>
      </w:r>
      <w:r>
        <w:rPr/>
        <w:t>日召开的</w:t>
      </w:r>
      <w:r>
        <w:rPr>
          <w:spacing w:val="-46"/>
        </w:rPr>
        <w:t> </w:t>
      </w:r>
      <w:r>
        <w:rPr>
          <w:rFonts w:ascii="宋体" w:hAnsi="宋体" w:cs="宋体" w:eastAsia="宋体" w:hint="default"/>
        </w:rPr>
        <w:t>2017</w:t>
      </w:r>
      <w:r>
        <w:rPr>
          <w:rFonts w:ascii="宋体" w:hAnsi="宋体" w:cs="宋体" w:eastAsia="宋体" w:hint="default"/>
          <w:spacing w:val="-45"/>
        </w:rPr>
        <w:t> </w:t>
      </w:r>
      <w:r>
        <w:rPr/>
        <w:t>年年度股东大 会审议通过。</w:t>
      </w: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t>日</w:t>
      </w:r>
      <w:r>
        <w:rPr>
          <w:spacing w:val="-8"/>
        </w:rPr>
        <w:t>，</w:t>
      </w:r>
      <w:r>
        <w:rPr/>
        <w:t>公司</w:t>
      </w:r>
      <w:r>
        <w:rPr>
          <w:spacing w:val="-2"/>
        </w:rPr>
        <w:t>在</w:t>
      </w:r>
      <w:r>
        <w:rPr/>
        <w:t>中国证监会指定信息披露网站刊登</w:t>
      </w:r>
      <w:r>
        <w:rPr>
          <w:spacing w:val="-8"/>
        </w:rPr>
        <w:t>了</w:t>
      </w:r>
      <w:r>
        <w:rPr/>
        <w:t>《</w:t>
      </w:r>
      <w:r>
        <w:rPr>
          <w:rFonts w:ascii="宋体" w:hAnsi="宋体" w:cs="宋体" w:eastAsia="宋体" w:hint="default"/>
        </w:rPr>
        <w:t>2017</w:t>
      </w:r>
      <w:r>
        <w:rPr>
          <w:rFonts w:ascii="宋体" w:hAnsi="宋体" w:cs="宋体" w:eastAsia="宋体" w:hint="default"/>
          <w:spacing w:val="-51"/>
        </w:rPr>
        <w:t> </w:t>
      </w:r>
      <w:r>
        <w:rPr>
          <w:spacing w:val="-2"/>
        </w:rPr>
        <w:t>年</w:t>
      </w:r>
      <w:r>
        <w:rPr/>
        <w:t>度权益分派实施公告</w:t>
      </w:r>
      <w:r>
        <w:rPr>
          <w:spacing w:val="-105"/>
        </w:rPr>
        <w:t>》</w:t>
      </w:r>
      <w:r>
        <w:rPr>
          <w:spacing w:val="-9"/>
        </w:rPr>
        <w:t>，</w:t>
      </w:r>
      <w:r>
        <w:rPr/>
        <w:t>股权</w:t>
      </w:r>
    </w:p>
    <w:p>
      <w:pPr>
        <w:spacing w:line="240" w:lineRule="auto" w:before="10"/>
        <w:rPr>
          <w:rFonts w:ascii="宋体" w:hAnsi="宋体" w:cs="宋体" w:eastAsia="宋体" w:hint="default"/>
          <w:sz w:val="14"/>
          <w:szCs w:val="14"/>
        </w:rPr>
      </w:pPr>
    </w:p>
    <w:p>
      <w:pPr>
        <w:pStyle w:val="BodyText"/>
        <w:spacing w:line="408" w:lineRule="auto" w:before="0"/>
        <w:ind w:right="1130"/>
        <w:jc w:val="left"/>
      </w:pPr>
      <w:r>
        <w:rPr/>
        <w:t>登记日为</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spacing w:val="-4"/>
        </w:rPr>
        <w:t>日，除权除息日为</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11</w:t>
      </w:r>
      <w:r>
        <w:rPr>
          <w:rFonts w:ascii="宋体" w:hAnsi="宋体" w:cs="宋体" w:eastAsia="宋体" w:hint="default"/>
          <w:spacing w:val="-52"/>
        </w:rPr>
        <w:t> </w:t>
      </w:r>
      <w:r>
        <w:rPr>
          <w:spacing w:val="-4"/>
        </w:rPr>
        <w:t>日。截至报告期末，</w:t>
      </w:r>
      <w:r>
        <w:rPr>
          <w:rFonts w:ascii="宋体" w:hAnsi="宋体" w:cs="宋体" w:eastAsia="宋体" w:hint="default"/>
          <w:spacing w:val="-4"/>
        </w:rPr>
        <w:t>2017</w:t>
      </w:r>
      <w:r>
        <w:rPr>
          <w:rFonts w:ascii="宋体" w:hAnsi="宋体" w:cs="宋体" w:eastAsia="宋体" w:hint="default"/>
          <w:spacing w:val="-54"/>
        </w:rPr>
        <w:t> </w:t>
      </w:r>
      <w:r>
        <w:rPr/>
        <w:t>年度权益分派已经实 施完成。</w:t>
      </w:r>
    </w:p>
    <w:tbl>
      <w:tblPr>
        <w:tblW w:w="0" w:type="auto"/>
        <w:jc w:val="left"/>
        <w:tblInd w:w="160" w:type="dxa"/>
        <w:tblLayout w:type="fixed"/>
        <w:tblCellMar>
          <w:top w:w="0" w:type="dxa"/>
          <w:left w:w="0" w:type="dxa"/>
          <w:bottom w:w="0" w:type="dxa"/>
          <w:right w:w="0" w:type="dxa"/>
        </w:tblCellMar>
        <w:tblLook w:val="01E0"/>
      </w:tblPr>
      <w:tblGrid>
        <w:gridCol w:w="6357"/>
        <w:gridCol w:w="3201"/>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396"/>
        <w:gridCol w:w="5173"/>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293,022,806</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4,395,342.09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4"/>
        <w:gridCol w:w="5184"/>
      </w:tblGrid>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4,395,342.09</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232,197,519.93</w:t>
            </w:r>
          </w:p>
        </w:tc>
      </w:tr>
      <w:tr>
        <w:trPr>
          <w:trHeight w:val="407"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w:t>
            </w:r>
            <w:r>
              <w:rPr>
                <w:rFonts w:ascii="宋体" w:hAnsi="宋体" w:cs="宋体" w:eastAsia="宋体" w:hint="default"/>
                <w:spacing w:val="1"/>
                <w:sz w:val="18"/>
                <w:szCs w:val="18"/>
              </w:rPr>
              <w:t>股</w:t>
            </w:r>
            <w:r>
              <w:rPr>
                <w:rFonts w:ascii="宋体" w:hAnsi="宋体" w:cs="宋体" w:eastAsia="宋体" w:hint="default"/>
                <w:sz w:val="18"/>
                <w:szCs w:val="18"/>
              </w:rPr>
              <w:t>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293,022,806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合计派发现金</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4,395,342.09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元。此方案尚需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408" w:lineRule="auto" w:before="155"/>
        <w:ind w:left="574" w:right="1092"/>
        <w:jc w:val="left"/>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3"/>
        </w:rPr>
        <w:t> </w:t>
      </w:r>
      <w:r>
        <w:rPr/>
        <w:t>年度权益分派情况 结合公司实际情况，与全体股东分享公司成长的经营成果，根据《公司法》和《公司章程》的规定，</w:t>
      </w:r>
    </w:p>
    <w:p>
      <w:pPr>
        <w:pStyle w:val="BodyText"/>
        <w:spacing w:line="240" w:lineRule="auto"/>
        <w:ind w:right="0"/>
        <w:jc w:val="left"/>
      </w:pPr>
      <w:r>
        <w:rPr>
          <w:rFonts w:ascii="宋体" w:hAnsi="宋体" w:cs="宋体" w:eastAsia="宋体" w:hint="default"/>
        </w:rPr>
        <w:t>2019</w:t>
      </w:r>
      <w:r>
        <w:rPr>
          <w:rFonts w:ascii="宋体" w:hAnsi="宋体" w:cs="宋体" w:eastAsia="宋体" w:hint="default"/>
          <w:spacing w:val="-50"/>
        </w:rPr>
        <w:t> </w:t>
      </w:r>
      <w:r>
        <w:rPr/>
        <w:t>年</w:t>
      </w:r>
      <w:r>
        <w:rPr>
          <w:spacing w:val="-49"/>
        </w:rPr>
        <w:t> </w:t>
      </w:r>
      <w:r>
        <w:rPr>
          <w:rFonts w:ascii="宋体" w:hAnsi="宋体" w:cs="宋体" w:eastAsia="宋体" w:hint="default"/>
        </w:rPr>
        <w:t>3</w:t>
      </w:r>
      <w:r>
        <w:rPr>
          <w:rFonts w:ascii="宋体" w:hAnsi="宋体" w:cs="宋体" w:eastAsia="宋体" w:hint="default"/>
          <w:spacing w:val="-50"/>
        </w:rPr>
        <w:t> </w:t>
      </w:r>
      <w:r>
        <w:rPr/>
        <w:t>月</w:t>
      </w:r>
      <w:r>
        <w:rPr>
          <w:spacing w:val="-51"/>
        </w:rPr>
        <w:t> </w:t>
      </w:r>
      <w:r>
        <w:rPr>
          <w:rFonts w:ascii="宋体" w:hAnsi="宋体" w:cs="宋体" w:eastAsia="宋体" w:hint="default"/>
        </w:rPr>
        <w:t>27</w:t>
      </w:r>
      <w:r>
        <w:rPr>
          <w:rFonts w:ascii="宋体" w:hAnsi="宋体" w:cs="宋体" w:eastAsia="宋体" w:hint="default"/>
          <w:spacing w:val="-49"/>
        </w:rPr>
        <w:t> </w:t>
      </w:r>
      <w:r>
        <w:rPr>
          <w:spacing w:val="-3"/>
        </w:rPr>
        <w:t>日，公司第四届董事会第二十二次会议、第四届监事会第十一次会议审议通过</w:t>
      </w:r>
      <w:r>
        <w:rPr>
          <w:spacing w:val="-49"/>
        </w:rPr>
        <w:t> </w:t>
      </w:r>
      <w:r>
        <w:rPr>
          <w:rFonts w:ascii="宋体" w:hAnsi="宋体" w:cs="宋体" w:eastAsia="宋体" w:hint="default"/>
        </w:rPr>
        <w:t>2018</w:t>
      </w:r>
      <w:r>
        <w:rPr>
          <w:rFonts w:ascii="宋体" w:hAnsi="宋体" w:cs="宋体" w:eastAsia="宋体" w:hint="default"/>
          <w:spacing w:val="-50"/>
        </w:rPr>
        <w:t> </w:t>
      </w:r>
      <w:r>
        <w:rPr/>
        <w:t>年度权</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益分派方案。公司以</w:t>
      </w:r>
      <w:r>
        <w:rPr>
          <w:spacing w:val="-55"/>
        </w:rPr>
        <w:t> </w:t>
      </w:r>
      <w:r>
        <w:rPr>
          <w:rFonts w:ascii="宋体" w:hAnsi="宋体" w:cs="宋体" w:eastAsia="宋体" w:hint="default"/>
        </w:rPr>
        <w:t>2018</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日总股本</w:t>
      </w:r>
      <w:r>
        <w:rPr>
          <w:spacing w:val="-55"/>
        </w:rPr>
        <w:t> </w:t>
      </w:r>
      <w:r>
        <w:rPr>
          <w:rFonts w:ascii="宋体" w:hAnsi="宋体" w:cs="宋体" w:eastAsia="宋体" w:hint="default"/>
        </w:rPr>
        <w:t>293,022,806</w:t>
      </w:r>
      <w:r>
        <w:rPr>
          <w:rFonts w:ascii="宋体" w:hAnsi="宋体" w:cs="宋体" w:eastAsia="宋体" w:hint="default"/>
          <w:spacing w:val="-55"/>
        </w:rPr>
        <w:t> </w:t>
      </w:r>
      <w:r>
        <w:rPr/>
        <w:t>股为基数，向全体股东每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股派发现金红利</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0.15</w:t>
      </w:r>
      <w:r>
        <w:rPr>
          <w:rFonts w:ascii="宋体" w:hAnsi="宋体" w:cs="宋体" w:eastAsia="宋体" w:hint="default"/>
          <w:spacing w:val="-51"/>
        </w:rPr>
        <w:t> </w:t>
      </w:r>
      <w:r>
        <w:rPr/>
        <w:t>元（</w:t>
      </w:r>
      <w:r>
        <w:rPr>
          <w:spacing w:val="-2"/>
        </w:rPr>
        <w:t>含</w:t>
      </w:r>
      <w:r>
        <w:rPr/>
        <w:t>税</w:t>
      </w:r>
      <w:r>
        <w:rPr>
          <w:spacing w:val="-105"/>
        </w:rPr>
        <w:t>）</w:t>
      </w:r>
      <w:r>
        <w:rPr/>
        <w:t>，合计</w:t>
      </w:r>
      <w:r>
        <w:rPr>
          <w:spacing w:val="-2"/>
        </w:rPr>
        <w:t>派</w:t>
      </w:r>
      <w:r>
        <w:rPr/>
        <w:t>发现金</w:t>
      </w:r>
      <w:r>
        <w:rPr>
          <w:spacing w:val="-52"/>
        </w:rPr>
        <w:t> </w:t>
      </w:r>
      <w:r>
        <w:rPr>
          <w:rFonts w:ascii="宋体" w:hAnsi="宋体" w:cs="宋体" w:eastAsia="宋体" w:hint="default"/>
        </w:rPr>
        <w:t>4,395,342.09</w:t>
      </w:r>
      <w:r>
        <w:rPr>
          <w:rFonts w:ascii="宋体" w:hAnsi="宋体" w:cs="宋体" w:eastAsia="宋体" w:hint="default"/>
          <w:spacing w:val="-52"/>
        </w:rPr>
        <w:t> </w:t>
      </w:r>
      <w:r>
        <w:rPr/>
        <w:t>元</w:t>
      </w:r>
      <w:r>
        <w:rPr>
          <w:spacing w:val="-2"/>
        </w:rPr>
        <w:t>。</w:t>
      </w:r>
      <w:r>
        <w:rPr/>
        <w:t>本次方案尚需</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2"/>
        </w:rPr>
        <w:t>年</w:t>
      </w:r>
      <w:r>
        <w:rPr/>
        <w:t>度股东大会审议通过。</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4"/>
        </w:rPr>
        <w:t> </w:t>
      </w:r>
      <w:r>
        <w:rPr/>
        <w:t>年度权益分派情况</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公司第四届董事会第十三次会议、第四届监事会第五次会议及</w:t>
      </w:r>
      <w:r>
        <w:rPr>
          <w:spacing w:val="-59"/>
        </w:rPr>
        <w:t> </w:t>
      </w:r>
      <w:r>
        <w:rPr>
          <w:rFonts w:ascii="宋体" w:hAnsi="宋体" w:cs="宋体" w:eastAsia="宋体" w:hint="default"/>
        </w:rPr>
        <w:t>2017</w:t>
      </w:r>
      <w:r>
        <w:rPr>
          <w:rFonts w:ascii="宋体" w:hAnsi="宋体" w:cs="宋体" w:eastAsia="宋体" w:hint="default"/>
          <w:spacing w:val="-59"/>
        </w:rPr>
        <w:t> </w:t>
      </w:r>
      <w:r>
        <w:rPr/>
        <w:t>年年度股东大会审议通过</w:t>
      </w:r>
      <w:r>
        <w:rPr>
          <w:spacing w:val="-59"/>
        </w:rPr>
        <w:t> </w:t>
      </w:r>
      <w:r>
        <w:rPr>
          <w:rFonts w:ascii="宋体" w:hAnsi="宋体" w:cs="宋体" w:eastAsia="宋体" w:hint="default"/>
        </w:rPr>
        <w:t>2017</w:t>
      </w:r>
      <w:r>
        <w:rPr>
          <w:rFonts w:ascii="宋体" w:hAnsi="宋体" w:cs="宋体" w:eastAsia="宋体" w:hint="default"/>
          <w:spacing w:val="-59"/>
        </w:rPr>
        <w:t> </w:t>
      </w:r>
      <w:r>
        <w:rPr/>
        <w:t>年</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度权益分派方案。公司以</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日总股本</w:t>
      </w:r>
      <w:r>
        <w:rPr>
          <w:spacing w:val="-56"/>
        </w:rPr>
        <w:t> </w:t>
      </w:r>
      <w:r>
        <w:rPr>
          <w:rFonts w:ascii="宋体" w:hAnsi="宋体" w:cs="宋体" w:eastAsia="宋体" w:hint="default"/>
        </w:rPr>
        <w:t>293,022,806</w:t>
      </w:r>
      <w:r>
        <w:rPr>
          <w:rFonts w:ascii="宋体" w:hAnsi="宋体" w:cs="宋体" w:eastAsia="宋体" w:hint="default"/>
          <w:spacing w:val="-55"/>
        </w:rPr>
        <w:t> </w:t>
      </w:r>
      <w:r>
        <w:rPr/>
        <w:t>股为基数，向全体股东每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w:t>
      </w:r>
    </w:p>
    <w:p>
      <w:pPr>
        <w:spacing w:line="240" w:lineRule="auto" w:before="10"/>
        <w:rPr>
          <w:rFonts w:ascii="宋体" w:hAnsi="宋体" w:cs="宋体" w:eastAsia="宋体" w:hint="default"/>
          <w:sz w:val="14"/>
          <w:szCs w:val="14"/>
        </w:rPr>
      </w:pPr>
    </w:p>
    <w:p>
      <w:pPr>
        <w:pStyle w:val="BodyText"/>
        <w:spacing w:line="408" w:lineRule="auto" w:before="0"/>
        <w:ind w:left="574" w:right="2652" w:hanging="420"/>
        <w:jc w:val="left"/>
      </w:pPr>
      <w:r>
        <w:rPr/>
        <w:t>红利</w:t>
      </w:r>
      <w:r>
        <w:rPr>
          <w:rFonts w:ascii="宋体" w:hAnsi="宋体" w:cs="宋体" w:eastAsia="宋体" w:hint="default"/>
        </w:rPr>
        <w:t>0.45</w:t>
      </w:r>
      <w:r>
        <w:rPr>
          <w:rFonts w:ascii="宋体" w:hAnsi="宋体" w:cs="宋体" w:eastAsia="宋体" w:hint="default"/>
          <w:spacing w:val="-44"/>
        </w:rPr>
        <w:t> </w:t>
      </w:r>
      <w:r>
        <w:rPr>
          <w:spacing w:val="-10"/>
        </w:rPr>
        <w:t>元（含税），合计派发现金</w:t>
      </w:r>
      <w:r>
        <w:rPr>
          <w:spacing w:val="-45"/>
        </w:rPr>
        <w:t> </w:t>
      </w:r>
      <w:r>
        <w:rPr>
          <w:rFonts w:ascii="宋体" w:hAnsi="宋体" w:cs="宋体" w:eastAsia="宋体" w:hint="default"/>
          <w:spacing w:val="-1"/>
        </w:rPr>
        <w:t>13,186,026.27</w:t>
      </w:r>
      <w:r>
        <w:rPr>
          <w:rFonts w:ascii="宋体" w:hAnsi="宋体" w:cs="宋体" w:eastAsia="宋体" w:hint="default"/>
          <w:spacing w:val="-44"/>
        </w:rPr>
        <w:t> </w:t>
      </w:r>
      <w:r>
        <w:rPr>
          <w:spacing w:val="-1"/>
        </w:rPr>
        <w:t>元，其余未分配利润结转下年。</w:t>
      </w:r>
      <w:r>
        <w:rPr>
          <w:spacing w:val="-96"/>
        </w:rPr>
        <w:t> </w:t>
      </w:r>
      <w:r>
        <w:rPr>
          <w:spacing w:val="-96"/>
        </w:rPr>
      </w:r>
      <w:r>
        <w:rPr>
          <w:rFonts w:ascii="宋体" w:hAnsi="宋体" w:cs="宋体" w:eastAsia="宋体" w:hint="default"/>
        </w:rPr>
        <w:t>3</w:t>
      </w:r>
      <w:r>
        <w:rPr/>
        <w:t>、</w:t>
      </w:r>
      <w:r>
        <w:rPr>
          <w:rFonts w:ascii="宋体" w:hAnsi="宋体" w:cs="宋体" w:eastAsia="宋体" w:hint="default"/>
        </w:rPr>
        <w:t>2016</w:t>
      </w:r>
      <w:r>
        <w:rPr>
          <w:rFonts w:ascii="宋体" w:hAnsi="宋体" w:cs="宋体" w:eastAsia="宋体" w:hint="default"/>
          <w:spacing w:val="-54"/>
        </w:rPr>
        <w:t> </w:t>
      </w:r>
      <w:r>
        <w:rPr/>
        <w:t>年度权益分派情况</w:t>
      </w:r>
    </w:p>
    <w:p>
      <w:pPr>
        <w:pStyle w:val="BodyText"/>
        <w:spacing w:line="240" w:lineRule="auto"/>
        <w:ind w:left="574" w:right="0"/>
        <w:jc w:val="left"/>
      </w:pPr>
      <w:r>
        <w:rPr/>
        <w:t>公司第四届董事会第五次会议、第四届监事会第二次会议及</w:t>
      </w:r>
      <w:r>
        <w:rPr>
          <w:spacing w:val="-59"/>
        </w:rPr>
        <w:t> </w:t>
      </w:r>
      <w:r>
        <w:rPr>
          <w:rFonts w:ascii="宋体" w:hAnsi="宋体" w:cs="宋体" w:eastAsia="宋体" w:hint="default"/>
        </w:rPr>
        <w:t>2016</w:t>
      </w:r>
      <w:r>
        <w:rPr>
          <w:rFonts w:ascii="宋体" w:hAnsi="宋体" w:cs="宋体" w:eastAsia="宋体" w:hint="default"/>
          <w:spacing w:val="-59"/>
        </w:rPr>
        <w:t> </w:t>
      </w:r>
      <w:r>
        <w:rPr/>
        <w:t>年年度股东大会审议通过</w:t>
      </w:r>
      <w:r>
        <w:rPr>
          <w:spacing w:val="-59"/>
        </w:rPr>
        <w:t> </w:t>
      </w:r>
      <w:r>
        <w:rPr>
          <w:rFonts w:ascii="宋体" w:hAnsi="宋体" w:cs="宋体" w:eastAsia="宋体" w:hint="default"/>
        </w:rPr>
        <w:t>2016</w:t>
      </w:r>
      <w:r>
        <w:rPr>
          <w:rFonts w:ascii="宋体" w:hAnsi="宋体" w:cs="宋体" w:eastAsia="宋体" w:hint="default"/>
          <w:spacing w:val="-59"/>
        </w:rPr>
        <w:t> </w:t>
      </w:r>
      <w:r>
        <w:rPr/>
        <w:t>年度</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权益分派方案</w:t>
      </w:r>
      <w:r>
        <w:rPr>
          <w:spacing w:val="-105"/>
        </w:rPr>
        <w:t>，</w:t>
      </w:r>
      <w:r>
        <w:rPr/>
        <w:t>以</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60"/>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60"/>
        </w:rPr>
        <w:t> </w:t>
      </w:r>
      <w:r>
        <w:rPr/>
        <w:t>日总股本</w:t>
      </w:r>
      <w:r>
        <w:rPr>
          <w:spacing w:val="-59"/>
        </w:rPr>
        <w:t> </w:t>
      </w:r>
      <w:r>
        <w:rPr>
          <w:rFonts w:ascii="宋体" w:hAnsi="宋体" w:cs="宋体" w:eastAsia="宋体" w:hint="default"/>
        </w:rPr>
        <w:t>2</w:t>
      </w:r>
      <w:r>
        <w:rPr>
          <w:rFonts w:ascii="宋体" w:hAnsi="宋体" w:cs="宋体" w:eastAsia="宋体" w:hint="default"/>
          <w:spacing w:val="1"/>
        </w:rPr>
        <w:t>9</w:t>
      </w:r>
      <w:r>
        <w:rPr>
          <w:rFonts w:ascii="宋体" w:hAnsi="宋体" w:cs="宋体" w:eastAsia="宋体" w:hint="default"/>
        </w:rPr>
        <w:t>3,022,806</w:t>
      </w:r>
      <w:r>
        <w:rPr>
          <w:rFonts w:ascii="宋体" w:hAnsi="宋体" w:cs="宋体" w:eastAsia="宋体" w:hint="default"/>
          <w:spacing w:val="-59"/>
        </w:rPr>
        <w:t> </w:t>
      </w:r>
      <w:r>
        <w:rPr>
          <w:spacing w:val="-2"/>
        </w:rPr>
        <w:t>股</w:t>
      </w:r>
      <w:r>
        <w:rPr/>
        <w:t>为基数</w:t>
      </w:r>
      <w:r>
        <w:rPr>
          <w:spacing w:val="-105"/>
        </w:rPr>
        <w:t>，</w:t>
      </w:r>
      <w:r>
        <w:rPr/>
        <w:t>向</w:t>
      </w:r>
      <w:r>
        <w:rPr>
          <w:spacing w:val="-2"/>
        </w:rPr>
        <w:t>全</w:t>
      </w:r>
      <w:r>
        <w:rPr/>
        <w:t>体股东每</w:t>
      </w:r>
      <w:r>
        <w:rPr>
          <w:spacing w:val="-59"/>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w:t>
      </w:r>
      <w:r>
        <w:rPr>
          <w:rFonts w:ascii="宋体" w:hAnsi="宋体" w:cs="宋体" w:eastAsia="宋体" w:hint="default"/>
          <w:spacing w:val="1"/>
        </w:rPr>
        <w:t>.</w:t>
      </w:r>
      <w:r>
        <w:rPr>
          <w:rFonts w:ascii="宋体" w:hAnsi="宋体" w:cs="宋体" w:eastAsia="宋体" w:hint="default"/>
        </w:rPr>
        <w:t>35</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元（含税</w:t>
      </w:r>
      <w:r>
        <w:rPr>
          <w:spacing w:val="-105"/>
        </w:rPr>
        <w:t>）</w:t>
      </w:r>
      <w:r>
        <w:rPr>
          <w:spacing w:val="-2"/>
        </w:rPr>
        <w:t>，</w:t>
      </w:r>
      <w:r>
        <w:rPr/>
        <w:t>合计派发现金</w:t>
      </w:r>
      <w:r>
        <w:rPr>
          <w:spacing w:val="-52"/>
        </w:rPr>
        <w:t> </w:t>
      </w:r>
      <w:r>
        <w:rPr>
          <w:rFonts w:ascii="宋体" w:hAnsi="宋体" w:cs="宋体" w:eastAsia="宋体" w:hint="default"/>
        </w:rPr>
        <w:t>10,255,798.21</w:t>
      </w:r>
      <w:r>
        <w:rPr>
          <w:rFonts w:ascii="宋体" w:hAnsi="宋体" w:cs="宋体" w:eastAsia="宋体" w:hint="default"/>
          <w:spacing w:val="-52"/>
        </w:rPr>
        <w:t> </w:t>
      </w:r>
      <w:r>
        <w:rPr/>
        <w:t>元，</w:t>
      </w:r>
      <w:r>
        <w:rPr>
          <w:spacing w:val="-2"/>
        </w:rPr>
        <w:t>其</w:t>
      </w:r>
      <w:r>
        <w:rPr/>
        <w:t>余未分配利润结转下年。</w:t>
      </w:r>
    </w:p>
    <w:p>
      <w:pPr>
        <w:spacing w:line="240" w:lineRule="auto" w:before="6"/>
        <w:rPr>
          <w:rFonts w:ascii="宋体" w:hAnsi="宋体" w:cs="宋体" w:eastAsia="宋体" w:hint="default"/>
          <w:sz w:val="10"/>
          <w:szCs w:val="1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98"/>
        <w:gridCol w:w="1134"/>
        <w:gridCol w:w="1276"/>
        <w:gridCol w:w="1418"/>
        <w:gridCol w:w="851"/>
        <w:gridCol w:w="1406"/>
        <w:gridCol w:w="1146"/>
        <w:gridCol w:w="1630"/>
      </w:tblGrid>
      <w:tr>
        <w:trPr>
          <w:trHeight w:val="161" w:hRule="exact"/>
        </w:trPr>
        <w:tc>
          <w:tcPr>
            <w:tcW w:w="698"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62"/>
              <w:jc w:val="center"/>
              <w:rPr>
                <w:rFonts w:ascii="宋体" w:hAnsi="宋体" w:cs="宋体" w:eastAsia="宋体" w:hint="default"/>
                <w:sz w:val="18"/>
                <w:szCs w:val="18"/>
              </w:rPr>
            </w:pPr>
            <w:r>
              <w:rPr>
                <w:rFonts w:ascii="宋体" w:hAnsi="宋体" w:cs="宋体" w:eastAsia="宋体" w:hint="default"/>
                <w:sz w:val="18"/>
                <w:szCs w:val="18"/>
              </w:rPr>
              <w:t>以其他方式现金 分红金额占合并 报表中归属于上 市公司普通股股 东的净利润的比 例</w:t>
            </w:r>
          </w:p>
        </w:tc>
        <w:tc>
          <w:tcPr>
            <w:tcW w:w="1146" w:type="dxa"/>
            <w:vMerge w:val="restart"/>
            <w:tcBorders>
              <w:top w:val="single" w:sz="4" w:space="0" w:color="000000"/>
              <w:left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69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3" w:right="72"/>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406"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16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6"/>
                <w:sz w:val="18"/>
                <w:szCs w:val="18"/>
              </w:rPr>
              <w:t>现金分红总额（含其</w:t>
            </w:r>
            <w:r>
              <w:rPr>
                <w:rFonts w:ascii="宋体" w:hAnsi="宋体" w:cs="宋体" w:eastAsia="宋体" w:hint="default"/>
                <w:sz w:val="18"/>
                <w:szCs w:val="18"/>
              </w:rPr>
              <w:t> </w:t>
            </w:r>
            <w:r>
              <w:rPr>
                <w:rFonts w:ascii="宋体" w:hAnsi="宋体" w:cs="宋体" w:eastAsia="宋体" w:hint="default"/>
                <w:spacing w:val="-6"/>
                <w:sz w:val="18"/>
                <w:szCs w:val="18"/>
              </w:rPr>
              <w:t>他方式）占合并报表</w:t>
            </w:r>
            <w:r>
              <w:rPr>
                <w:rFonts w:ascii="宋体" w:hAnsi="宋体" w:cs="宋体" w:eastAsia="宋体" w:hint="default"/>
                <w:sz w:val="18"/>
                <w:szCs w:val="18"/>
              </w:rPr>
              <w:t> 中归属于上市公司 普通股股东的净利 润的比率</w:t>
            </w:r>
          </w:p>
        </w:tc>
      </w:tr>
      <w:tr>
        <w:trPr>
          <w:trHeight w:val="156" w:hRule="exact"/>
        </w:trPr>
        <w:tc>
          <w:tcPr>
            <w:tcW w:w="69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4" w:right="22" w:hanging="1"/>
              <w:jc w:val="center"/>
              <w:rPr>
                <w:rFonts w:ascii="宋体" w:hAnsi="宋体" w:cs="宋体" w:eastAsia="宋体" w:hint="default"/>
                <w:sz w:val="18"/>
                <w:szCs w:val="18"/>
              </w:rPr>
            </w:pPr>
            <w:r>
              <w:rPr>
                <w:rFonts w:ascii="宋体" w:hAnsi="宋体" w:cs="宋体" w:eastAsia="宋体" w:hint="default"/>
                <w:sz w:val="18"/>
                <w:szCs w:val="18"/>
              </w:rPr>
              <w:t>现金分红总 额（含其他方 式）</w:t>
            </w:r>
          </w:p>
        </w:tc>
        <w:tc>
          <w:tcPr>
            <w:tcW w:w="1630" w:type="dxa"/>
            <w:vMerge/>
            <w:tcBorders>
              <w:left w:val="single" w:sz="4" w:space="0" w:color="000000"/>
              <w:right w:val="single" w:sz="4" w:space="0" w:color="000000"/>
            </w:tcBorders>
            <w:shd w:val="clear" w:color="auto" w:fill="D2D2D2"/>
          </w:tcPr>
          <w:p>
            <w:pPr/>
          </w:p>
        </w:tc>
      </w:tr>
      <w:tr>
        <w:trPr>
          <w:trHeight w:val="704" w:hRule="exact"/>
        </w:trPr>
        <w:tc>
          <w:tcPr>
            <w:tcW w:w="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47" w:right="78"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156" w:hRule="exact"/>
        </w:trPr>
        <w:tc>
          <w:tcPr>
            <w:tcW w:w="698"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2" w:hRule="exact"/>
        </w:trPr>
        <w:tc>
          <w:tcPr>
            <w:tcW w:w="69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406"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
        </w:tc>
        <w:tc>
          <w:tcPr>
            <w:tcW w:w="163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9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6" w:type="dxa"/>
            <w:vMerge/>
            <w:tcBorders>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4,395,342.09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61,657,351.15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4,395,342.09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13,186,026.27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110,320,925.94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13,186,026.27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11.95%</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10,255,798.21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90,629,460.02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10,255,798.21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shape style="position:absolute;margin-left:265pt;margin-top:372.019989pt;width:167.2pt;height:70.25pt;mso-position-horizontal-relative:page;mso-position-vertical-relative:page;z-index:-10115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确定承诺期业绩补偿履行完毕后，</w:t>
                  </w:r>
                </w:p>
              </w:txbxContent>
            </v:textbox>
            <w10:wrap type="none"/>
          </v:shape>
        </w:pict>
      </w: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851"/>
        <w:gridCol w:w="2976"/>
        <w:gridCol w:w="710"/>
        <w:gridCol w:w="709"/>
        <w:gridCol w:w="1345"/>
      </w:tblGrid>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1"/>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0"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34"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4" w:lineRule="auto"/>
              <w:ind w:left="22" w:right="23"/>
              <w:jc w:val="left"/>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 孔兴</w:t>
            </w:r>
            <w:r>
              <w:rPr>
                <w:rFonts w:ascii="Times New Roman" w:hAnsi="Times New Roman" w:cs="Times New Roman" w:eastAsia="Times New Roman" w:hint="default"/>
                <w:sz w:val="18"/>
                <w:szCs w:val="18"/>
              </w:rPr>
              <w:t>;</w:t>
            </w:r>
            <w:r>
              <w:rPr>
                <w:rFonts w:ascii="宋体" w:hAnsi="宋体" w:cs="宋体" w:eastAsia="宋体" w:hint="default"/>
                <w:sz w:val="18"/>
                <w:szCs w:val="18"/>
              </w:rPr>
              <w:t>刘智良</w:t>
            </w:r>
            <w:r>
              <w:rPr>
                <w:rFonts w:ascii="Times New Roman" w:hAnsi="Times New Roman" w:cs="Times New Roman" w:eastAsia="Times New Roman" w:hint="default"/>
                <w:sz w:val="18"/>
                <w:szCs w:val="18"/>
              </w:rPr>
              <w:t>;</w:t>
            </w:r>
            <w:r>
              <w:rPr>
                <w:rFonts w:ascii="宋体" w:hAnsi="宋体" w:cs="宋体" w:eastAsia="宋体" w:hint="default"/>
                <w:sz w:val="18"/>
                <w:szCs w:val="18"/>
              </w:rPr>
              <w:t>黄开</w:t>
            </w:r>
            <w:r>
              <w:rPr>
                <w:rFonts w:ascii="宋体" w:hAnsi="宋体" w:cs="宋体" w:eastAsia="宋体" w:hint="default"/>
                <w:spacing w:val="-2"/>
                <w:sz w:val="18"/>
                <w:szCs w:val="18"/>
              </w:rPr>
              <w:t> </w:t>
            </w:r>
            <w:r>
              <w:rPr>
                <w:rFonts w:ascii="宋体" w:hAnsi="宋体" w:cs="宋体" w:eastAsia="宋体" w:hint="default"/>
                <w:sz w:val="18"/>
                <w:szCs w:val="18"/>
              </w:rPr>
              <w:t>坚</w:t>
            </w:r>
            <w:r>
              <w:rPr>
                <w:rFonts w:ascii="Times New Roman" w:hAnsi="Times New Roman" w:cs="Times New Roman" w:eastAsia="Times New Roman" w:hint="default"/>
                <w:sz w:val="18"/>
                <w:szCs w:val="18"/>
              </w:rPr>
              <w:t>;</w:t>
            </w:r>
            <w:r>
              <w:rPr>
                <w:rFonts w:ascii="宋体" w:hAnsi="宋体" w:cs="宋体" w:eastAsia="宋体" w:hint="default"/>
                <w:sz w:val="18"/>
                <w:szCs w:val="18"/>
              </w:rPr>
              <w:t>许金炉</w:t>
            </w:r>
            <w:r>
              <w:rPr>
                <w:rFonts w:ascii="Times New Roman" w:hAnsi="Times New Roman" w:cs="Times New Roman" w:eastAsia="Times New Roman" w:hint="default"/>
                <w:sz w:val="18"/>
                <w:szCs w:val="18"/>
              </w:rPr>
              <w:t>;</w:t>
            </w:r>
            <w:r>
              <w:rPr>
                <w:rFonts w:ascii="宋体" w:hAnsi="宋体" w:cs="宋体" w:eastAsia="宋体" w:hint="default"/>
                <w:sz w:val="18"/>
                <w:szCs w:val="18"/>
              </w:rPr>
              <w:t>芜湖华 顺置业投资有限 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承诺通过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年汉威电子重大资产 重组获得的上市公司股份，自股份发 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个月且第一年度利 润补偿承诺已经履行完毕后，所持股 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可以对外转让；在第二年度 利润承诺专项审核报告公告且第一、 二年度利润补偿承诺已经履行完毕 后，所持股份增加解锁比例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 第三年度利润承诺专项审核报告公 告、 剩余部分解锁，在此之后按中国证监 会及证券交易所的有关规定执行。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1404" w:lineRule="exact"/>
              <w:ind w:right="-50"/>
              <w:jc w:val="left"/>
              <w:rPr>
                <w:rFonts w:ascii="宋体" w:hAnsi="宋体" w:cs="宋体" w:eastAsia="宋体" w:hint="default"/>
                <w:sz w:val="20"/>
                <w:szCs w:val="20"/>
              </w:rPr>
            </w:pPr>
            <w:r>
              <w:rPr>
                <w:rFonts w:ascii="宋体" w:hAnsi="宋体" w:cs="宋体" w:eastAsia="宋体" w:hint="default"/>
                <w:position w:val="-27"/>
                <w:sz w:val="20"/>
                <w:szCs w:val="20"/>
              </w:rPr>
              <w:pict>
                <v:group style="width:35pt;height:70.25pt;mso-position-horizontal-relative:char;mso-position-vertical-relative:line" coordorigin="0,0" coordsize="700,1405">
                  <v:group style="position:absolute;left:0;top:0;width:700;height:1405" coordorigin="0,0" coordsize="700,1405">
                    <v:shape style="position:absolute;left:0;top:0;width:700;height:1405" coordorigin="0,0" coordsize="700,1405" path="m0,1404l700,1404,700,0,0,0,0,1404xe" filled="true" fillcolor="#ffffff" stroked="false">
                      <v:path arrowok="t"/>
                      <v:fill type="solid"/>
                    </v:shape>
                  </v:group>
                </v:group>
              </w:pict>
            </w:r>
            <w:r>
              <w:rPr>
                <w:rFonts w:ascii="宋体" w:hAnsi="宋体" w:cs="宋体" w:eastAsia="宋体" w:hint="default"/>
                <w:position w:val="-27"/>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230"/>
              <w:jc w:val="left"/>
              <w:rPr>
                <w:rFonts w:ascii="宋体" w:hAnsi="宋体" w:cs="宋体" w:eastAsia="宋体" w:hint="default"/>
                <w:sz w:val="18"/>
                <w:szCs w:val="18"/>
              </w:rPr>
            </w:pPr>
            <w:r>
              <w:rPr>
                <w:rFonts w:ascii="宋体" w:hAnsi="宋体" w:cs="宋体" w:eastAsia="宋体" w:hint="default"/>
                <w:sz w:val="18"/>
                <w:szCs w:val="18"/>
              </w:rPr>
              <w:t>承诺正在履行 中。</w:t>
            </w:r>
          </w:p>
        </w:tc>
      </w:tr>
      <w:tr>
        <w:trPr>
          <w:trHeight w:val="922"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4" w:lineRule="auto"/>
              <w:ind w:left="16" w:right="23"/>
              <w:jc w:val="left"/>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 孔兴</w:t>
            </w:r>
            <w:r>
              <w:rPr>
                <w:rFonts w:ascii="Times New Roman" w:hAnsi="Times New Roman" w:cs="Times New Roman" w:eastAsia="Times New Roman" w:hint="default"/>
                <w:sz w:val="18"/>
                <w:szCs w:val="18"/>
              </w:rPr>
              <w:t>;</w:t>
            </w:r>
            <w:r>
              <w:rPr>
                <w:rFonts w:ascii="宋体" w:hAnsi="宋体" w:cs="宋体" w:eastAsia="宋体" w:hint="default"/>
                <w:sz w:val="18"/>
                <w:szCs w:val="18"/>
              </w:rPr>
              <w:t>黄开坚</w:t>
            </w:r>
            <w:r>
              <w:rPr>
                <w:rFonts w:ascii="Times New Roman" w:hAnsi="Times New Roman" w:cs="Times New Roman" w:eastAsia="Times New Roman" w:hint="default"/>
                <w:sz w:val="18"/>
                <w:szCs w:val="18"/>
              </w:rPr>
              <w:t>;</w:t>
            </w:r>
            <w:r>
              <w:rPr>
                <w:rFonts w:ascii="宋体" w:hAnsi="宋体" w:cs="宋体" w:eastAsia="宋体" w:hint="default"/>
                <w:sz w:val="18"/>
                <w:szCs w:val="18"/>
              </w:rPr>
              <w:t>许金</w:t>
            </w:r>
            <w:r>
              <w:rPr>
                <w:rFonts w:ascii="宋体" w:hAnsi="宋体" w:cs="宋体" w:eastAsia="宋体" w:hint="default"/>
                <w:spacing w:val="-2"/>
                <w:sz w:val="18"/>
                <w:szCs w:val="18"/>
              </w:rPr>
              <w:t> </w:t>
            </w:r>
            <w:r>
              <w:rPr>
                <w:rFonts w:ascii="宋体" w:hAnsi="宋体" w:cs="宋体" w:eastAsia="宋体" w:hint="default"/>
                <w:sz w:val="18"/>
                <w:szCs w:val="18"/>
              </w:rPr>
              <w:t>炉</w:t>
            </w:r>
            <w:r>
              <w:rPr>
                <w:rFonts w:ascii="Times New Roman" w:hAnsi="Times New Roman" w:cs="Times New Roman" w:eastAsia="Times New Roman" w:hint="default"/>
                <w:sz w:val="18"/>
                <w:szCs w:val="18"/>
              </w:rPr>
              <w:t>;</w:t>
            </w:r>
            <w:r>
              <w:rPr>
                <w:rFonts w:ascii="宋体" w:hAnsi="宋体" w:cs="宋体" w:eastAsia="宋体" w:hint="default"/>
                <w:sz w:val="18"/>
                <w:szCs w:val="18"/>
              </w:rPr>
              <w:t>刘智良</w:t>
            </w:r>
            <w:r>
              <w:rPr>
                <w:rFonts w:ascii="Times New Roman" w:hAnsi="Times New Roman" w:cs="Times New Roman" w:eastAsia="Times New Roman" w:hint="default"/>
                <w:sz w:val="18"/>
                <w:szCs w:val="18"/>
              </w:rPr>
              <w:t>;</w:t>
            </w:r>
            <w:r>
              <w:rPr>
                <w:rFonts w:ascii="宋体" w:hAnsi="宋体" w:cs="宋体" w:eastAsia="宋体" w:hint="default"/>
                <w:sz w:val="18"/>
                <w:szCs w:val="18"/>
              </w:rPr>
              <w:t>芜湖华 顺置业投资有限 责任公司</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976" w:type="dxa"/>
            <w:vMerge w:val="restart"/>
            <w:tcBorders>
              <w:top w:val="single" w:sz="4" w:space="0" w:color="000000"/>
              <w:left w:val="single" w:sz="4" w:space="0" w:color="000000"/>
              <w:right w:val="single" w:sz="9" w:space="0" w:color="FFFFFF"/>
            </w:tcBorders>
          </w:tcPr>
          <w:p>
            <w:pPr>
              <w:pStyle w:val="TableParagraph"/>
              <w:spacing w:line="31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交易对方陈泽枝、李泽清、高孔兴、 芜湖华顺置业投资有限责任公司、许 金炉、刘智良、黄开坚承诺：嘉园环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 扣除非经常性损益前后归属于母公司 所有者净利润孰低数不低于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3,353.20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4,289.34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5,252.41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如嘉园环保实际净利润低于上述承诺 金额，则由上述交易对方按照《利润 承诺补偿协议》的约定负责向上市公 司进行补偿。</w:t>
            </w:r>
          </w:p>
        </w:tc>
        <w:tc>
          <w:tcPr>
            <w:tcW w:w="710"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6"/>
              <w:jc w:val="left"/>
              <w:rPr>
                <w:rFonts w:ascii="宋体" w:hAnsi="宋体" w:cs="宋体" w:eastAsia="宋体" w:hint="default"/>
                <w:sz w:val="18"/>
                <w:szCs w:val="18"/>
              </w:rPr>
            </w:pPr>
            <w:r>
              <w:rPr>
                <w:rFonts w:ascii="宋体" w:hAnsi="宋体" w:cs="宋体" w:eastAsia="宋体" w:hint="default"/>
                <w:sz w:val="18"/>
                <w:szCs w:val="18"/>
              </w:rPr>
              <w:t>截至报告期末， 上述承诺人已缴 付部分补偿款， 剩余部分补偿款 正在积极筹备 中。具体情况详 见巨潮资讯网 </w:t>
            </w:r>
            <w:r>
              <w:rPr>
                <w:rFonts w:ascii="Times New Roman" w:hAnsi="Times New Roman" w:cs="Times New Roman" w:eastAsia="Times New Roman" w:hint="default"/>
                <w:sz w:val="18"/>
                <w:szCs w:val="18"/>
              </w:rPr>
              <w:t>2018-051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r>
        <w:trPr>
          <w:trHeight w:val="70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417"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2976" w:type="dxa"/>
            <w:vMerge/>
            <w:tcBorders>
              <w:left w:val="single" w:sz="4" w:space="0" w:color="000000"/>
              <w:right w:val="single" w:sz="9" w:space="0" w:color="FFFFFF"/>
            </w:tcBorders>
          </w:tcPr>
          <w:p>
            <w:pPr/>
          </w:p>
        </w:tc>
        <w:tc>
          <w:tcPr>
            <w:tcW w:w="710" w:type="dxa"/>
            <w:vMerge/>
            <w:tcBorders>
              <w:left w:val="single" w:sz="9" w:space="0" w:color="FFFFFF"/>
              <w:right w:val="single" w:sz="4" w:space="0" w:color="000000"/>
            </w:tcBorders>
          </w:tcPr>
          <w:p>
            <w:pPr/>
          </w:p>
        </w:tc>
        <w:tc>
          <w:tcPr>
            <w:tcW w:w="709"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897"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9" w:space="0" w:color="FFFFFF"/>
            </w:tcBorders>
          </w:tcPr>
          <w:p>
            <w:pPr/>
          </w:p>
        </w:tc>
        <w:tc>
          <w:tcPr>
            <w:tcW w:w="710" w:type="dxa"/>
            <w:vMerge/>
            <w:tcBorders>
              <w:left w:val="single" w:sz="9" w:space="0" w:color="FFFFFF"/>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285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为充分保护上市公司的利益，作为汉 威电子的控股股东及实际控制人，任 </w:t>
            </w:r>
            <w:r>
              <w:rPr>
                <w:rFonts w:ascii="宋体" w:hAnsi="宋体" w:cs="宋体" w:eastAsia="宋体" w:hint="default"/>
                <w:spacing w:val="-6"/>
                <w:sz w:val="18"/>
                <w:szCs w:val="18"/>
              </w:rPr>
              <w:t>红军先生、钟超女士承诺：（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）将采</w:t>
            </w:r>
            <w:r>
              <w:rPr>
                <w:rFonts w:ascii="宋体" w:hAnsi="宋体" w:cs="宋体" w:eastAsia="宋体" w:hint="default"/>
                <w:spacing w:val="-78"/>
                <w:sz w:val="18"/>
                <w:szCs w:val="18"/>
              </w:rPr>
              <w:t> </w:t>
            </w:r>
            <w:r>
              <w:rPr>
                <w:rFonts w:ascii="宋体" w:hAnsi="宋体" w:cs="宋体" w:eastAsia="宋体" w:hint="default"/>
                <w:sz w:val="18"/>
                <w:szCs w:val="18"/>
              </w:rPr>
              <w:t>取有效措施尽量避免任红军、钟超及 其控制的其他子公司、分公司、合营 或联营公司与汉威电子及其子公司之 </w:t>
            </w:r>
            <w:r>
              <w:rPr>
                <w:rFonts w:ascii="宋体" w:hAnsi="宋体" w:cs="宋体" w:eastAsia="宋体" w:hint="default"/>
                <w:spacing w:val="-6"/>
                <w:sz w:val="18"/>
                <w:szCs w:val="18"/>
              </w:rPr>
              <w:t>间发生关联交易。（</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）不利用自身作</w:t>
            </w:r>
            <w:r>
              <w:rPr>
                <w:rFonts w:ascii="宋体" w:hAnsi="宋体" w:cs="宋体" w:eastAsia="宋体" w:hint="default"/>
                <w:spacing w:val="-78"/>
                <w:sz w:val="18"/>
                <w:szCs w:val="18"/>
              </w:rPr>
              <w:t> </w:t>
            </w:r>
            <w:r>
              <w:rPr>
                <w:rFonts w:ascii="宋体" w:hAnsi="宋体" w:cs="宋体" w:eastAsia="宋体" w:hint="default"/>
                <w:sz w:val="18"/>
                <w:szCs w:val="18"/>
              </w:rPr>
              <w:t>为汉威电子控股股东之地位为任红 军、钟超及其控制的其他子公司、分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50"/>
              <w:jc w:val="left"/>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9pt;margin-top:72.47998pt;width:113.2pt;height:672.9pt;mso-position-horizontal-relative:page;mso-position-vertical-relative:page;z-index:-1011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spacing w:before="0"/>
                    <w:ind w:left="0" w:right="0" w:firstLine="144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不直接或间接从事、</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851"/>
        <w:gridCol w:w="2976"/>
        <w:gridCol w:w="710"/>
        <w:gridCol w:w="709"/>
        <w:gridCol w:w="1348"/>
      </w:tblGrid>
      <w:tr>
        <w:trPr>
          <w:trHeight w:val="13468"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公司、合营或联营公司谋求与汉威电 子在业务合作等方面给予优于市场其 </w:t>
            </w:r>
            <w:r>
              <w:rPr>
                <w:rFonts w:ascii="宋体" w:hAnsi="宋体" w:cs="宋体" w:eastAsia="宋体" w:hint="default"/>
                <w:spacing w:val="-6"/>
                <w:sz w:val="18"/>
                <w:szCs w:val="18"/>
              </w:rPr>
              <w:t>他第三方的权利；（</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）不利用自身作</w:t>
            </w:r>
            <w:r>
              <w:rPr>
                <w:rFonts w:ascii="宋体" w:hAnsi="宋体" w:cs="宋体" w:eastAsia="宋体" w:hint="default"/>
                <w:spacing w:val="-78"/>
                <w:sz w:val="18"/>
                <w:szCs w:val="18"/>
              </w:rPr>
              <w:t> </w:t>
            </w:r>
            <w:r>
              <w:rPr>
                <w:rFonts w:ascii="宋体" w:hAnsi="宋体" w:cs="宋体" w:eastAsia="宋体" w:hint="default"/>
                <w:sz w:val="18"/>
                <w:szCs w:val="18"/>
              </w:rPr>
              <w:t>为汉威电子控股股东之地位为任红 军、钟超及其控制的其他子公司、分 公司、合营或联营公司谋求与汉威电 </w:t>
            </w:r>
            <w:r>
              <w:rPr>
                <w:rFonts w:ascii="宋体" w:hAnsi="宋体" w:cs="宋体" w:eastAsia="宋体" w:hint="default"/>
                <w:spacing w:val="-6"/>
                <w:sz w:val="18"/>
                <w:szCs w:val="18"/>
              </w:rPr>
              <w:t>子优先达成交易的权利；（</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）在进行</w:t>
            </w:r>
            <w:r>
              <w:rPr>
                <w:rFonts w:ascii="宋体" w:hAnsi="宋体" w:cs="宋体" w:eastAsia="宋体" w:hint="default"/>
                <w:spacing w:val="-78"/>
                <w:sz w:val="18"/>
                <w:szCs w:val="18"/>
              </w:rPr>
              <w:t> </w:t>
            </w:r>
            <w:r>
              <w:rPr>
                <w:rFonts w:ascii="宋体" w:hAnsi="宋体" w:cs="宋体" w:eastAsia="宋体" w:hint="default"/>
                <w:sz w:val="18"/>
                <w:szCs w:val="18"/>
              </w:rPr>
              <w:t>确有必要且无法避免的关联交易时， 保证按市场化原则和公允价格进行公 平操作，并按相关法律法规、规范性 文件及汉威电子的公司章程的规定履 行相应审批程序及信息披露义务。为 充分保护上市公司的利益，作为汉威 电子的控股股东及实际控制人，任红 </w:t>
            </w:r>
            <w:r>
              <w:rPr>
                <w:rFonts w:ascii="宋体" w:hAnsi="宋体" w:cs="宋体" w:eastAsia="宋体" w:hint="default"/>
                <w:spacing w:val="-6"/>
                <w:sz w:val="18"/>
                <w:szCs w:val="18"/>
              </w:rPr>
              <w:t>军先生、钟超女士承诺：（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）承诺人</w:t>
            </w:r>
            <w:r>
              <w:rPr>
                <w:rFonts w:ascii="宋体" w:hAnsi="宋体" w:cs="宋体" w:eastAsia="宋体" w:hint="default"/>
                <w:spacing w:val="-78"/>
                <w:sz w:val="18"/>
                <w:szCs w:val="18"/>
              </w:rPr>
              <w:t> </w:t>
            </w:r>
            <w:r>
              <w:rPr>
                <w:rFonts w:ascii="宋体" w:hAnsi="宋体" w:cs="宋体" w:eastAsia="宋体" w:hint="default"/>
                <w:sz w:val="18"/>
                <w:szCs w:val="18"/>
              </w:rPr>
              <w:t>及承诺人所控制的其他子公司、分公 司、合营或联营公司及其他任何类型 企业（以下统称为</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相关企业</w:t>
            </w:r>
            <w:r>
              <w:rPr>
                <w:rFonts w:ascii="Times New Roman" w:hAnsi="Times New Roman" w:cs="Times New Roman" w:eastAsia="Times New Roman" w:hint="default"/>
                <w:sz w:val="18"/>
                <w:szCs w:val="18"/>
              </w:rPr>
              <w:t>"</w:t>
            </w:r>
            <w:r>
              <w:rPr>
                <w:rFonts w:ascii="宋体" w:hAnsi="宋体" w:cs="宋体" w:eastAsia="宋体" w:hint="default"/>
                <w:sz w:val="18"/>
                <w:szCs w:val="18"/>
              </w:rPr>
              <w:t>）目前 均未从事任何与汉威电子及其子公 司、嘉园环保、沈阳金建构成直接或 </w:t>
            </w:r>
            <w:r>
              <w:rPr>
                <w:rFonts w:ascii="宋体" w:hAnsi="宋体" w:cs="宋体" w:eastAsia="宋体" w:hint="default"/>
                <w:spacing w:val="-9"/>
                <w:sz w:val="18"/>
                <w:szCs w:val="18"/>
              </w:rPr>
              <w:t>间接竞争的生产经营业务或活动。（</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承诺人及相关企业将来亦不直接或间 接从事任何与汉威电子及其子公司相 同或类似的业务， 参与或进行与汉威电子及其子公司的 生产经营构成竞争的任何生产经营业 务或活动，且不再对具有与汉威电子 及其子公司有相同或类似业务的企业 </w:t>
            </w:r>
            <w:r>
              <w:rPr>
                <w:rFonts w:ascii="宋体" w:hAnsi="宋体" w:cs="宋体" w:eastAsia="宋体" w:hint="default"/>
                <w:spacing w:val="-6"/>
                <w:sz w:val="18"/>
                <w:szCs w:val="18"/>
              </w:rPr>
              <w:t>进行投资。（</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）承诺人将对自身及相</w:t>
            </w:r>
            <w:r>
              <w:rPr>
                <w:rFonts w:ascii="宋体" w:hAnsi="宋体" w:cs="宋体" w:eastAsia="宋体" w:hint="default"/>
                <w:spacing w:val="-78"/>
                <w:sz w:val="18"/>
                <w:szCs w:val="18"/>
              </w:rPr>
              <w:t> </w:t>
            </w:r>
            <w:r>
              <w:rPr>
                <w:rFonts w:ascii="宋体" w:hAnsi="宋体" w:cs="宋体" w:eastAsia="宋体" w:hint="default"/>
                <w:sz w:val="18"/>
                <w:szCs w:val="18"/>
              </w:rPr>
              <w:t>关企业的生产经营活动进行监督和约 束，如果将来承诺人及相关企业的产 品或业务与汉威电子及其子公司的产 品或业务出现相同或类似的情况，承 </w:t>
            </w:r>
            <w:r>
              <w:rPr>
                <w:rFonts w:ascii="宋体" w:hAnsi="宋体" w:cs="宋体" w:eastAsia="宋体" w:hint="default"/>
                <w:spacing w:val="-4"/>
                <w:sz w:val="18"/>
                <w:szCs w:val="18"/>
              </w:rPr>
              <w:t>诺人承诺将采取以下措施解决：①</w:t>
            </w:r>
            <w:r>
              <w:rPr>
                <w:rFonts w:ascii="宋体" w:hAnsi="宋体" w:cs="宋体" w:eastAsia="宋体" w:hint="default"/>
                <w:spacing w:val="7"/>
                <w:sz w:val="18"/>
                <w:szCs w:val="18"/>
              </w:rPr>
              <w:t> </w:t>
            </w:r>
            <w:r>
              <w:rPr>
                <w:rFonts w:ascii="宋体" w:hAnsi="宋体" w:cs="宋体" w:eastAsia="宋体" w:hint="default"/>
                <w:sz w:val="18"/>
                <w:szCs w:val="18"/>
              </w:rPr>
              <w:t>汉</w:t>
            </w:r>
            <w:r>
              <w:rPr>
                <w:rFonts w:ascii="宋体" w:hAnsi="宋体" w:cs="宋体" w:eastAsia="宋体" w:hint="default"/>
                <w:sz w:val="18"/>
                <w:szCs w:val="18"/>
              </w:rPr>
              <w:t> 威电子认为必要时，承诺人及相关企 业将减持直至全部转让所持有的有关 资产和业务；② 汉威电子认为必要 时，可以通过适当方式优先收购承诺 人及相关企业持有的有关资产和业 </w:t>
            </w:r>
            <w:r>
              <w:rPr>
                <w:rFonts w:ascii="宋体" w:hAnsi="宋体" w:cs="宋体" w:eastAsia="宋体" w:hint="default"/>
                <w:spacing w:val="-17"/>
                <w:sz w:val="18"/>
                <w:szCs w:val="18"/>
              </w:rPr>
              <w:t>务；③</w:t>
            </w:r>
            <w:r>
              <w:rPr>
                <w:rFonts w:ascii="宋体" w:hAnsi="宋体" w:cs="宋体" w:eastAsia="宋体" w:hint="default"/>
                <w:sz w:val="18"/>
                <w:szCs w:val="18"/>
              </w:rPr>
              <w:t> 如承诺人及相关企业与汉威电</w:t>
            </w:r>
            <w:r>
              <w:rPr>
                <w:rFonts w:ascii="宋体" w:hAnsi="宋体" w:cs="宋体" w:eastAsia="宋体" w:hint="default"/>
                <w:sz w:val="18"/>
                <w:szCs w:val="18"/>
              </w:rPr>
              <w:t> 子及其子公司因同业竞争产生利益冲 突，则无条件将相关利益让与汉威电 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345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35pt;height:672.9pt;mso-position-horizontal-relative:char;mso-position-vertical-relative:line" coordorigin="0,0" coordsize="700,13458">
                  <v:group style="position:absolute;left:0;top:0;width:700;height:13458" coordorigin="0,0" coordsize="700,13458">
                    <v:shape style="position:absolute;left:0;top:0;width:700;height:13458" coordorigin="0,0" coordsize="700,13458" path="m0,13458l700,13458,700,0,0,0,0,13458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尚剑红承诺自标的资产交割日起，仍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截至报告期末，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pt;margin-top:105.719986pt;width:41.2pt;height:265.25pt;mso-position-horizontal-relative:page;mso-position-vertical-relative:page;z-index:-1011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64pt;margin-top:371.419983pt;width:68.2pt;height:140.450pt;mso-position-horizontal-relative:page;mso-position-vertical-relative:page;z-index:-101147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李泽清、</w:t>
                  </w:r>
                </w:p>
              </w:txbxContent>
            </v:textbox>
            <w10:wrap type="none"/>
          </v:shape>
        </w:pict>
      </w:r>
      <w:r>
        <w:rPr/>
        <w:pict>
          <v:group style="position:absolute;margin-left:397.179993pt;margin-top:105.719986pt;width:35pt;height:406.15pt;mso-position-horizontal-relative:page;mso-position-vertical-relative:page;z-index:-1011448" coordorigin="7944,2114" coordsize="700,8123">
            <v:group style="position:absolute;left:7944;top:2114;width:700;height:5305" coordorigin="7944,2114" coordsize="700,5305">
              <v:shape style="position:absolute;left:7944;top:2114;width:700;height:5305" coordorigin="7944,2114" coordsize="700,5305" path="m7944,7419l8644,7419,8644,2114,7944,2114,7944,7419xe" filled="true" fillcolor="#ffffff" stroked="false">
                <v:path arrowok="t"/>
                <v:fill type="solid"/>
              </v:shape>
            </v:group>
            <v:group style="position:absolute;left:7944;top:7428;width:700;height:2809" coordorigin="7944,7428" coordsize="700,2809">
              <v:shape style="position:absolute;left:7944;top:7428;width:700;height:2809" coordorigin="7944,7428" coordsize="700,2809" path="m7944,10237l8644,10237,8644,7428,7944,7428,7944,102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851"/>
        <w:gridCol w:w="2976"/>
        <w:gridCol w:w="710"/>
        <w:gridCol w:w="709"/>
        <w:gridCol w:w="1345"/>
      </w:tblGrid>
      <w:tr>
        <w:trPr>
          <w:trHeight w:val="5979"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需至少在沈阳金建或上市公司任职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个月，并承诺在沈阳金建和上市公司 任职期间及离职后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8"/>
                <w:sz w:val="18"/>
                <w:szCs w:val="18"/>
              </w:rPr>
              <w:t>个月内，不从事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与沈阳金建生产或者经营同类产品或 从事同类业务的、有竞争关系的其他 用人单位工作或提供劳务，或者自己 开业生产或者经营同类产品、从事同 </w:t>
            </w:r>
            <w:r>
              <w:rPr>
                <w:rFonts w:ascii="宋体" w:hAnsi="宋体" w:cs="宋体" w:eastAsia="宋体" w:hint="default"/>
                <w:spacing w:val="-6"/>
                <w:sz w:val="18"/>
                <w:szCs w:val="18"/>
              </w:rPr>
              <w:t>类业务。如违反上述承诺，则：（</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自交割日起任职期限不满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个月的， 违约方应将其于本交易中已获对价的 </w:t>
            </w:r>
            <w:r>
              <w:rPr>
                <w:rFonts w:ascii="Times New Roman" w:hAnsi="Times New Roman" w:cs="Times New Roman" w:eastAsia="Times New Roman" w:hint="default"/>
                <w:sz w:val="18"/>
                <w:szCs w:val="18"/>
              </w:rPr>
              <w:t>50%</w:t>
            </w:r>
            <w:r>
              <w:rPr>
                <w:rFonts w:ascii="宋体" w:hAnsi="宋体" w:cs="宋体" w:eastAsia="宋体" w:hint="default"/>
                <w:sz w:val="18"/>
                <w:szCs w:val="18"/>
              </w:rPr>
              <w:t>作为赔偿金返还给上市公司，上 </w:t>
            </w:r>
            <w:r>
              <w:rPr>
                <w:rFonts w:ascii="宋体" w:hAnsi="宋体" w:cs="宋体" w:eastAsia="宋体" w:hint="default"/>
                <w:spacing w:val="-9"/>
                <w:sz w:val="18"/>
                <w:szCs w:val="18"/>
              </w:rPr>
              <w:t>市公司尚未支付的对价无需支付；（</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自交割日起任职期限已满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个月不</w:t>
            </w:r>
          </w:p>
          <w:p>
            <w:pPr>
              <w:pStyle w:val="TableParagraph"/>
              <w:spacing w:line="307"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个月的，违约方应将其于本交易</w:t>
            </w:r>
            <w:r>
              <w:rPr>
                <w:rFonts w:ascii="宋体" w:hAnsi="宋体" w:cs="宋体" w:eastAsia="宋体" w:hint="default"/>
                <w:sz w:val="18"/>
                <w:szCs w:val="18"/>
              </w:rPr>
              <w:t> 中所获对价的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作为赔偿金支付给 </w:t>
            </w:r>
            <w:r>
              <w:rPr>
                <w:rFonts w:ascii="宋体" w:hAnsi="宋体" w:cs="宋体" w:eastAsia="宋体" w:hint="default"/>
                <w:spacing w:val="-12"/>
                <w:sz w:val="18"/>
                <w:szCs w:val="18"/>
              </w:rPr>
              <w:t>上市公司；（</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）自离职后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个月内违 反竞业禁止义务的，违约方还应向上 市公司支付相当于其上一年度报酬总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倍的违约金。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上述承诺人均遵 守了所做的承 诺。</w:t>
            </w:r>
          </w:p>
        </w:tc>
      </w:tr>
      <w:tr>
        <w:trPr>
          <w:trHeight w:val="664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8"/>
              <w:ind w:left="22" w:right="23"/>
              <w:jc w:val="left"/>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 孔兴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嘉园环保管理层股东陈泽枝、 高孔兴承诺自标的资产交割日起，仍 需至少在嘉园环保任职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个月，并承</w:t>
            </w: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诺在嘉园环保任职期间及离职后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个月内，不从事与嘉园环保生产或者 经营同类产品或从事同类业务的、有 竞争关系的其他用人单位工作或提供 劳务，或者自己开业生产或者经营同 类产品、从事同类业务。如违反上述 </w:t>
            </w:r>
            <w:r>
              <w:rPr>
                <w:rFonts w:ascii="宋体" w:hAnsi="宋体" w:cs="宋体" w:eastAsia="宋体" w:hint="default"/>
                <w:spacing w:val="-6"/>
                <w:sz w:val="18"/>
                <w:szCs w:val="18"/>
              </w:rPr>
              <w:t>承诺，则：（</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）自交割日起任职期限</w:t>
            </w:r>
            <w:r>
              <w:rPr>
                <w:rFonts w:ascii="宋体" w:hAnsi="宋体" w:cs="宋体" w:eastAsia="宋体" w:hint="default"/>
                <w:spacing w:val="-78"/>
                <w:sz w:val="18"/>
                <w:szCs w:val="18"/>
              </w:rPr>
              <w:t> </w:t>
            </w:r>
            <w:r>
              <w:rPr>
                <w:rFonts w:ascii="宋体" w:hAnsi="宋体" w:cs="宋体" w:eastAsia="宋体" w:hint="default"/>
                <w:sz w:val="18"/>
                <w:szCs w:val="18"/>
              </w:rPr>
              <w:t>不满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个月的，违约方应将其于本交</w:t>
            </w:r>
            <w:r>
              <w:rPr>
                <w:rFonts w:ascii="宋体" w:hAnsi="宋体" w:cs="宋体" w:eastAsia="宋体" w:hint="default"/>
                <w:sz w:val="18"/>
                <w:szCs w:val="18"/>
              </w:rPr>
              <w:t> 易中已获对价的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作为赔偿金返还 给上市公司，上市公司尚未支付的对 </w:t>
            </w:r>
            <w:r>
              <w:rPr>
                <w:rFonts w:ascii="宋体" w:hAnsi="宋体" w:cs="宋体" w:eastAsia="宋体" w:hint="default"/>
                <w:spacing w:val="-6"/>
                <w:sz w:val="18"/>
                <w:szCs w:val="18"/>
              </w:rPr>
              <w:t>价无需支付；（</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）自交割日起任职期</w:t>
            </w:r>
            <w:r>
              <w:rPr>
                <w:rFonts w:ascii="宋体" w:hAnsi="宋体" w:cs="宋体" w:eastAsia="宋体" w:hint="default"/>
                <w:spacing w:val="-78"/>
                <w:sz w:val="18"/>
                <w:szCs w:val="18"/>
              </w:rPr>
              <w:t> </w:t>
            </w:r>
            <w:r>
              <w:rPr>
                <w:rFonts w:ascii="宋体" w:hAnsi="宋体" w:cs="宋体" w:eastAsia="宋体" w:hint="default"/>
                <w:sz w:val="18"/>
                <w:szCs w:val="18"/>
              </w:rPr>
              <w:t>限已满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个月的，违约</w:t>
            </w:r>
          </w:p>
          <w:p>
            <w:pPr>
              <w:pStyle w:val="TableParagraph"/>
              <w:spacing w:line="304" w:lineRule="auto" w:before="5"/>
              <w:ind w:left="22" w:right="47"/>
              <w:jc w:val="left"/>
              <w:rPr>
                <w:rFonts w:ascii="宋体" w:hAnsi="宋体" w:cs="宋体" w:eastAsia="宋体" w:hint="default"/>
                <w:sz w:val="18"/>
                <w:szCs w:val="18"/>
              </w:rPr>
            </w:pPr>
            <w:r>
              <w:rPr>
                <w:rFonts w:ascii="宋体" w:hAnsi="宋体" w:cs="宋体" w:eastAsia="宋体" w:hint="default"/>
                <w:sz w:val="18"/>
                <w:szCs w:val="18"/>
              </w:rPr>
              <w:t>方应将其于本交易中所获对价的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6"/>
                <w:sz w:val="18"/>
                <w:szCs w:val="18"/>
              </w:rPr>
              <w:t>作为赔偿金支付给上市公司；（</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）自</w:t>
            </w:r>
            <w:r>
              <w:rPr>
                <w:rFonts w:ascii="宋体" w:hAnsi="宋体" w:cs="宋体" w:eastAsia="宋体" w:hint="default"/>
                <w:spacing w:val="-78"/>
                <w:sz w:val="18"/>
                <w:szCs w:val="18"/>
              </w:rPr>
              <w:t> </w:t>
            </w: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个月内违反竞业禁止义务 的，违约方还应向上市公司支付相当 于其上一年度报酬总额的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倍的违约 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 诺。</w:t>
            </w:r>
          </w:p>
        </w:tc>
      </w:tr>
      <w:tr>
        <w:trPr>
          <w:trHeight w:val="129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8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公司控股股东、实际控制人任红军先 生、钟超女士作出以下承诺：不越权 干预公司经营管理活动，不侵占公司 利益。若违反上述承诺给公司或者股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0"/>
              <w:jc w:val="both"/>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9.993988pt;margin-top:250.639984pt;width:122.2pt;height:93.6pt;mso-position-horizontal-relative:page;mso-position-vertical-relative:page;z-index:-101142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续推出股权激励政策，</w:t>
                  </w:r>
                </w:p>
              </w:txbxContent>
            </v:textbox>
            <w10:wrap type="none"/>
          </v:shape>
        </w:pict>
      </w:r>
      <w:r>
        <w:rPr/>
        <w:pict>
          <v:shape style="position:absolute;margin-left:391pt;margin-top:540.940002pt;width:41.2pt;height:31.2pt;mso-position-horizontal-relative:page;mso-position-vertical-relative:page;z-index:-10114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7.179993pt;margin-top:250.639984pt;width:35pt;height:93.6pt;mso-position-horizontal-relative:page;mso-position-vertical-relative:page;z-index:-1011376" coordorigin="7944,5013" coordsize="700,1872">
            <v:shape style="position:absolute;left:7944;top:5013;width:700;height:1872" coordorigin="7944,5013" coordsize="700,1872" path="m7944,6885l8644,6885,8644,5013,7944,5013,7944,6885xe" filled="true" fillcolor="#ffffff" stroked="false">
              <v:path arrowok="t"/>
              <v:fill type="solid"/>
            </v:shape>
            <w10:wrap type="none"/>
          </v:group>
        </w:pict>
      </w:r>
      <w:r>
        <w:rPr/>
        <w:pict>
          <v:group style="position:absolute;margin-left:398.320007pt;margin-top:499.419983pt;width:32.7pt;height:17.650pt;mso-position-horizontal-relative:page;mso-position-vertical-relative:page;z-index:-1011352" coordorigin="7966,9988" coordsize="654,353">
            <v:shape style="position:absolute;left:7966;top:9988;width:654;height:353" coordorigin="7966,9988" coordsize="654,353" path="m7966,10341l8620,10341,8620,9988,7966,9988,7966,10341xe" filled="true" fillcolor="#ffffff" stroked="false">
              <v:path arrowok="t"/>
              <v:fill type="solid"/>
            </v:shape>
            <w10:wrap type="none"/>
          </v:group>
        </w:pict>
      </w:r>
      <w:r>
        <w:rPr/>
        <w:pict>
          <v:group style="position:absolute;margin-left:397.179993pt;margin-top:540.940002pt;width:35pt;height:48.8pt;mso-position-horizontal-relative:page;mso-position-vertical-relative:page;z-index:-1011328" coordorigin="7944,10819" coordsize="700,976">
            <v:group style="position:absolute;left:7944;top:10819;width:700;height:624" coordorigin="7944,10819" coordsize="700,624">
              <v:shape style="position:absolute;left:7944;top:10819;width:700;height:624" coordorigin="7944,10819" coordsize="700,624" path="m7944,11443l8644,11443,8644,10819,7944,10819,7944,11443xe" filled="true" fillcolor="#ffffff" stroked="false">
                <v:path arrowok="t"/>
                <v:fill type="solid"/>
              </v:shape>
            </v:group>
            <v:group style="position:absolute;left:7966;top:11443;width:654;height:352" coordorigin="7966,11443" coordsize="654,352">
              <v:shape style="position:absolute;left:7966;top:11443;width:654;height:352" coordorigin="7966,11443" coordsize="654,352" path="m7966,11794l8620,11794,8620,11443,7966,11443,7966,1179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851"/>
        <w:gridCol w:w="2976"/>
        <w:gridCol w:w="710"/>
        <w:gridCol w:w="709"/>
        <w:gridCol w:w="1345"/>
      </w:tblGrid>
      <w:tr>
        <w:trPr>
          <w:trHeight w:val="674"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东造成损失的，本人将依法承担相应 责任。</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4770"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高天增</w:t>
            </w:r>
            <w:r>
              <w:rPr>
                <w:rFonts w:ascii="Times New Roman" w:hAnsi="Times New Roman" w:cs="Times New Roman" w:eastAsia="Times New Roman" w:hint="default"/>
                <w:sz w:val="18"/>
                <w:szCs w:val="18"/>
              </w:rPr>
              <w:t>;</w:t>
            </w:r>
            <w:r>
              <w:rPr>
                <w:rFonts w:ascii="宋体" w:hAnsi="宋体" w:cs="宋体" w:eastAsia="宋体" w:hint="default"/>
                <w:sz w:val="18"/>
                <w:szCs w:val="18"/>
              </w:rPr>
              <w:t>焦 桂东</w:t>
            </w:r>
            <w:r>
              <w:rPr>
                <w:rFonts w:ascii="Times New Roman" w:hAnsi="Times New Roman" w:cs="Times New Roman" w:eastAsia="Times New Roman" w:hint="default"/>
                <w:sz w:val="18"/>
                <w:szCs w:val="18"/>
              </w:rPr>
              <w:t>;</w:t>
            </w:r>
            <w:r>
              <w:rPr>
                <w:rFonts w:ascii="宋体" w:hAnsi="宋体" w:cs="宋体" w:eastAsia="宋体" w:hint="default"/>
                <w:sz w:val="18"/>
                <w:szCs w:val="18"/>
              </w:rPr>
              <w:t>李颖江</w:t>
            </w:r>
            <w:r>
              <w:rPr>
                <w:rFonts w:ascii="Times New Roman" w:hAnsi="Times New Roman" w:cs="Times New Roman" w:eastAsia="Times New Roman" w:hint="default"/>
                <w:sz w:val="18"/>
                <w:szCs w:val="18"/>
              </w:rPr>
              <w:t>;</w:t>
            </w:r>
            <w:r>
              <w:rPr>
                <w:rFonts w:ascii="宋体" w:hAnsi="宋体" w:cs="宋体" w:eastAsia="宋体" w:hint="default"/>
                <w:sz w:val="18"/>
                <w:szCs w:val="18"/>
              </w:rPr>
              <w:t>刘瑞</w:t>
            </w:r>
            <w:r>
              <w:rPr>
                <w:rFonts w:ascii="宋体" w:hAnsi="宋体" w:cs="宋体" w:eastAsia="宋体" w:hint="default"/>
                <w:spacing w:val="-2"/>
                <w:sz w:val="18"/>
                <w:szCs w:val="18"/>
              </w:rPr>
              <w:t> </w:t>
            </w:r>
            <w:r>
              <w:rPr>
                <w:rFonts w:ascii="宋体" w:hAnsi="宋体" w:cs="宋体" w:eastAsia="宋体" w:hint="default"/>
                <w:sz w:val="18"/>
                <w:szCs w:val="18"/>
              </w:rPr>
              <w:t>玲</w:t>
            </w:r>
            <w:r>
              <w:rPr>
                <w:rFonts w:ascii="Times New Roman" w:hAnsi="Times New Roman" w:cs="Times New Roman" w:eastAsia="Times New Roman" w:hint="default"/>
                <w:sz w:val="18"/>
                <w:szCs w:val="18"/>
              </w:rPr>
              <w:t>;</w:t>
            </w:r>
            <w:r>
              <w:rPr>
                <w:rFonts w:ascii="宋体" w:hAnsi="宋体" w:cs="宋体" w:eastAsia="宋体" w:hint="default"/>
                <w:sz w:val="18"/>
                <w:szCs w:val="18"/>
              </w:rPr>
              <w:t>刘威</w:t>
            </w:r>
            <w:r>
              <w:rPr>
                <w:rFonts w:ascii="Times New Roman" w:hAnsi="Times New Roman" w:cs="Times New Roman" w:eastAsia="Times New Roman" w:hint="default"/>
                <w:sz w:val="18"/>
                <w:szCs w:val="18"/>
              </w:rPr>
              <w:t>;</w:t>
            </w:r>
            <w:r>
              <w:rPr>
                <w:rFonts w:ascii="宋体" w:hAnsi="宋体" w:cs="宋体" w:eastAsia="宋体" w:hint="default"/>
                <w:sz w:val="18"/>
                <w:szCs w:val="18"/>
              </w:rPr>
              <w:t>尚剑红</w:t>
            </w:r>
            <w:r>
              <w:rPr>
                <w:rFonts w:ascii="Times New Roman" w:hAnsi="Times New Roman" w:cs="Times New Roman" w:eastAsia="Times New Roman" w:hint="default"/>
                <w:sz w:val="18"/>
                <w:szCs w:val="18"/>
              </w:rPr>
              <w:t>; </w:t>
            </w:r>
            <w:r>
              <w:rPr>
                <w:rFonts w:ascii="宋体" w:hAnsi="宋体" w:cs="宋体" w:eastAsia="宋体" w:hint="default"/>
                <w:sz w:val="18"/>
                <w:szCs w:val="18"/>
              </w:rPr>
              <w:t>肖锋</w:t>
            </w:r>
            <w:r>
              <w:rPr>
                <w:rFonts w:ascii="Times New Roman" w:hAnsi="Times New Roman" w:cs="Times New Roman" w:eastAsia="Times New Roman" w:hint="default"/>
                <w:sz w:val="18"/>
                <w:szCs w:val="18"/>
              </w:rPr>
              <w:t>;</w:t>
            </w:r>
            <w:r>
              <w:rPr>
                <w:rFonts w:ascii="宋体" w:hAnsi="宋体" w:cs="宋体" w:eastAsia="宋体" w:hint="default"/>
                <w:sz w:val="18"/>
                <w:szCs w:val="18"/>
              </w:rPr>
              <w:t>徐克</w:t>
            </w:r>
            <w:r>
              <w:rPr>
                <w:rFonts w:ascii="Times New Roman" w:hAnsi="Times New Roman" w:cs="Times New Roman" w:eastAsia="Times New Roman" w:hint="default"/>
                <w:sz w:val="18"/>
                <w:szCs w:val="18"/>
              </w:rPr>
              <w:t>;</w:t>
            </w:r>
            <w:r>
              <w:rPr>
                <w:rFonts w:ascii="宋体" w:hAnsi="宋体" w:cs="宋体" w:eastAsia="宋体" w:hint="default"/>
                <w:sz w:val="18"/>
                <w:szCs w:val="18"/>
              </w:rPr>
              <w:t>张潇 君</w:t>
            </w:r>
            <w:r>
              <w:rPr>
                <w:rFonts w:ascii="Times New Roman" w:hAnsi="Times New Roman" w:cs="Times New Roman" w:eastAsia="Times New Roman" w:hint="default"/>
                <w:sz w:val="18"/>
                <w:szCs w:val="18"/>
              </w:rPr>
              <w:t>;</w:t>
            </w:r>
            <w:r>
              <w:rPr>
                <w:rFonts w:ascii="宋体" w:hAnsi="宋体" w:cs="宋体" w:eastAsia="宋体" w:hint="default"/>
                <w:sz w:val="18"/>
                <w:szCs w:val="18"/>
              </w:rPr>
              <w:t>张小水</w:t>
            </w:r>
            <w:r>
              <w:rPr>
                <w:rFonts w:ascii="Times New Roman" w:hAnsi="Times New Roman" w:cs="Times New Roman" w:eastAsia="Times New Roman" w:hint="default"/>
                <w:sz w:val="18"/>
                <w:szCs w:val="18"/>
              </w:rPr>
              <w:t>;</w:t>
            </w:r>
            <w:r>
              <w:rPr>
                <w:rFonts w:ascii="宋体" w:hAnsi="宋体" w:cs="宋体" w:eastAsia="宋体" w:hint="default"/>
                <w:sz w:val="18"/>
                <w:szCs w:val="18"/>
              </w:rPr>
              <w:t>赵向阳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公司全体董事、高级管理人员作出以 </w:t>
            </w:r>
            <w:r>
              <w:rPr>
                <w:rFonts w:ascii="宋体" w:hAnsi="宋体" w:cs="宋体" w:eastAsia="宋体" w:hint="default"/>
                <w:spacing w:val="-4"/>
                <w:sz w:val="18"/>
                <w:szCs w:val="18"/>
              </w:rPr>
              <w:t>下承诺：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、承诺不无偿或以不公平条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件向其他单位或者个人输送利益，也 </w:t>
            </w:r>
            <w:r>
              <w:rPr>
                <w:rFonts w:ascii="宋体" w:hAnsi="宋体" w:cs="宋体" w:eastAsia="宋体" w:hint="default"/>
                <w:spacing w:val="-5"/>
                <w:sz w:val="18"/>
                <w:szCs w:val="18"/>
              </w:rPr>
              <w:t>不采用其他方式损害公司利益；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、承</w:t>
            </w:r>
            <w:r>
              <w:rPr>
                <w:rFonts w:ascii="宋体" w:hAnsi="宋体" w:cs="宋体" w:eastAsia="宋体" w:hint="default"/>
                <w:spacing w:val="-83"/>
                <w:sz w:val="18"/>
                <w:szCs w:val="18"/>
              </w:rPr>
              <w:t> </w:t>
            </w:r>
            <w:r>
              <w:rPr>
                <w:rFonts w:ascii="宋体" w:hAnsi="宋体" w:cs="宋体" w:eastAsia="宋体" w:hint="default"/>
                <w:sz w:val="18"/>
                <w:szCs w:val="18"/>
              </w:rPr>
              <w:t>诺对个人职务消费行为进行约束；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 承诺不动用公司资产从事与其履行职 </w:t>
            </w:r>
            <w:r>
              <w:rPr>
                <w:rFonts w:ascii="宋体" w:hAnsi="宋体" w:cs="宋体" w:eastAsia="宋体" w:hint="default"/>
                <w:spacing w:val="-3"/>
                <w:sz w:val="18"/>
                <w:szCs w:val="18"/>
              </w:rPr>
              <w:t>责无关的投资、消费活动；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、承诺由</w:t>
            </w:r>
            <w:r>
              <w:rPr>
                <w:rFonts w:ascii="宋体" w:hAnsi="宋体" w:cs="宋体" w:eastAsia="宋体" w:hint="default"/>
                <w:sz w:val="18"/>
                <w:szCs w:val="18"/>
              </w:rPr>
              <w:t> 董事会或薪酬委员会制定的薪酬制度 与公司填补回报措施的执行情况相挂 </w:t>
            </w:r>
            <w:r>
              <w:rPr>
                <w:rFonts w:ascii="宋体" w:hAnsi="宋体" w:cs="宋体" w:eastAsia="宋体" w:hint="default"/>
                <w:spacing w:val="-18"/>
                <w:sz w:val="18"/>
                <w:szCs w:val="18"/>
              </w:rPr>
              <w:t>钩；</w:t>
            </w: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、若公司后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承诺拟公布的公司股权激励的行权条 件与公司填补回报措施的执行情况相 挂钩。若违反上述承诺给公司或者股 东造成损失的，本人将依法承担相应 责任。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50"/>
              <w:jc w:val="left"/>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 诺。</w:t>
            </w:r>
          </w:p>
        </w:tc>
      </w:tr>
      <w:tr>
        <w:trPr>
          <w:trHeight w:val="1962"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上市前，公司实际控制人任红军、钟 超承诺，承诺将尽量避免与公司进行 关联交易，对于因生产经营需要而发 生的关联交易，将严格按照公司章程 及相关法律法规进行操作。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0"/>
              <w:jc w:val="left"/>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 诺。</w:t>
            </w:r>
          </w:p>
        </w:tc>
      </w:tr>
      <w:tr>
        <w:trPr>
          <w:trHeight w:val="1962"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刘瑞玲</w:t>
            </w:r>
            <w:r>
              <w:rPr>
                <w:rFonts w:ascii="Times New Roman" w:hAnsi="Times New Roman" w:cs="Times New Roman" w:eastAsia="Times New Roman" w:hint="default"/>
                <w:sz w:val="18"/>
                <w:szCs w:val="18"/>
              </w:rPr>
              <w:t>;</w:t>
            </w:r>
            <w:r>
              <w:rPr>
                <w:rFonts w:ascii="宋体" w:hAnsi="宋体" w:cs="宋体" w:eastAsia="宋体" w:hint="default"/>
                <w:sz w:val="18"/>
                <w:szCs w:val="18"/>
              </w:rPr>
              <w:t>张 小水</w:t>
            </w:r>
            <w:r>
              <w:rPr>
                <w:rFonts w:ascii="Times New Roman" w:hAnsi="Times New Roman" w:cs="Times New Roman" w:eastAsia="Times New Roman" w:hint="default"/>
                <w:sz w:val="18"/>
                <w:szCs w:val="18"/>
              </w:rPr>
              <w:t>;</w:t>
            </w:r>
            <w:r>
              <w:rPr>
                <w:rFonts w:ascii="宋体" w:hAnsi="宋体" w:cs="宋体" w:eastAsia="宋体" w:hint="default"/>
                <w:sz w:val="18"/>
                <w:szCs w:val="18"/>
              </w:rPr>
              <w:t>焦桂东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9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9"/>
              <w:jc w:val="both"/>
              <w:rPr>
                <w:rFonts w:ascii="宋体" w:hAnsi="宋体" w:cs="宋体" w:eastAsia="宋体" w:hint="default"/>
                <w:sz w:val="18"/>
                <w:szCs w:val="18"/>
              </w:rPr>
            </w:pPr>
            <w:r>
              <w:rPr>
                <w:rFonts w:ascii="宋体" w:hAnsi="宋体" w:cs="宋体" w:eastAsia="宋体" w:hint="default"/>
                <w:sz w:val="18"/>
                <w:szCs w:val="18"/>
              </w:rPr>
              <w:t>上市前，公司董事承诺涉及关联交易 事项时，将严格按照公司章程及相关 </w:t>
            </w:r>
            <w:r>
              <w:rPr>
                <w:rFonts w:ascii="宋体" w:hAnsi="宋体" w:cs="宋体" w:eastAsia="宋体" w:hint="default"/>
                <w:spacing w:val="-5"/>
                <w:sz w:val="18"/>
                <w:szCs w:val="18"/>
              </w:rPr>
              <w:t>法律法规规定，严格履行董事的职责。</w:t>
            </w:r>
            <w:r>
              <w:rPr>
                <w:rFonts w:ascii="宋体" w:hAnsi="宋体" w:cs="宋体" w:eastAsia="宋体" w:hint="default"/>
                <w:sz w:val="18"/>
                <w:szCs w:val="18"/>
              </w:rPr>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0"/>
              <w:jc w:val="left"/>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 诺。</w:t>
            </w:r>
          </w:p>
        </w:tc>
      </w:tr>
      <w:tr>
        <w:trPr>
          <w:trHeight w:val="2274"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23"/>
              <w:jc w:val="both"/>
              <w:rPr>
                <w:rFonts w:ascii="宋体" w:hAnsi="宋体" w:cs="宋体" w:eastAsia="宋体" w:hint="default"/>
                <w:sz w:val="18"/>
                <w:szCs w:val="18"/>
              </w:rPr>
            </w:pPr>
            <w:r>
              <w:rPr>
                <w:rFonts w:ascii="宋体" w:hAnsi="宋体" w:cs="宋体" w:eastAsia="宋体" w:hint="default"/>
                <w:sz w:val="18"/>
                <w:szCs w:val="18"/>
              </w:rPr>
              <w:t>刘瑞玲</w:t>
            </w:r>
            <w:r>
              <w:rPr>
                <w:rFonts w:ascii="Times New Roman" w:hAnsi="Times New Roman" w:cs="Times New Roman" w:eastAsia="Times New Roman" w:hint="default"/>
                <w:sz w:val="18"/>
                <w:szCs w:val="18"/>
              </w:rPr>
              <w:t>;</w:t>
            </w:r>
            <w:r>
              <w:rPr>
                <w:rFonts w:ascii="宋体" w:hAnsi="宋体" w:cs="宋体" w:eastAsia="宋体" w:hint="default"/>
                <w:sz w:val="18"/>
                <w:szCs w:val="18"/>
              </w:rPr>
              <w:t>张小水</w:t>
            </w:r>
            <w:r>
              <w:rPr>
                <w:rFonts w:ascii="Times New Roman" w:hAnsi="Times New Roman" w:cs="Times New Roman" w:eastAsia="Times New Roman" w:hint="default"/>
                <w:sz w:val="18"/>
                <w:szCs w:val="18"/>
              </w:rPr>
              <w:t>;</w:t>
            </w:r>
            <w:r>
              <w:rPr>
                <w:rFonts w:ascii="宋体" w:hAnsi="宋体" w:cs="宋体" w:eastAsia="宋体" w:hint="default"/>
                <w:sz w:val="18"/>
                <w:szCs w:val="18"/>
              </w:rPr>
              <w:t>焦 桂东</w:t>
            </w:r>
            <w:r>
              <w:rPr>
                <w:rFonts w:ascii="Times New Roman" w:hAnsi="Times New Roman" w:cs="Times New Roman" w:eastAsia="Times New Roman" w:hint="default"/>
                <w:sz w:val="18"/>
                <w:szCs w:val="18"/>
              </w:rPr>
              <w:t>;</w:t>
            </w:r>
            <w:r>
              <w:rPr>
                <w:rFonts w:ascii="宋体" w:hAnsi="宋体" w:cs="宋体" w:eastAsia="宋体" w:hint="default"/>
                <w:sz w:val="18"/>
                <w:szCs w:val="18"/>
              </w:rPr>
              <w:t>张艳丽</w:t>
            </w:r>
            <w:r>
              <w:rPr>
                <w:rFonts w:ascii="Times New Roman" w:hAnsi="Times New Roman" w:cs="Times New Roman" w:eastAsia="Times New Roman" w:hint="default"/>
                <w:sz w:val="18"/>
                <w:szCs w:val="18"/>
              </w:rPr>
              <w:t>;</w:t>
            </w:r>
            <w:r>
              <w:rPr>
                <w:rFonts w:ascii="宋体" w:hAnsi="宋体" w:cs="宋体" w:eastAsia="宋体" w:hint="default"/>
                <w:sz w:val="18"/>
                <w:szCs w:val="18"/>
              </w:rPr>
              <w:t>尚中</w:t>
            </w:r>
            <w:r>
              <w:rPr>
                <w:rFonts w:ascii="宋体" w:hAnsi="宋体" w:cs="宋体" w:eastAsia="宋体" w:hint="default"/>
                <w:spacing w:val="-2"/>
                <w:sz w:val="18"/>
                <w:szCs w:val="18"/>
              </w:rPr>
              <w:t> </w:t>
            </w: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任红军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976"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39"/>
              <w:jc w:val="left"/>
              <w:rPr>
                <w:rFonts w:ascii="宋体" w:hAnsi="宋体" w:cs="宋体" w:eastAsia="宋体" w:hint="default"/>
                <w:sz w:val="18"/>
                <w:szCs w:val="18"/>
              </w:rPr>
            </w:pPr>
            <w:r>
              <w:rPr>
                <w:rFonts w:ascii="宋体" w:hAnsi="宋体" w:cs="宋体" w:eastAsia="宋体" w:hint="default"/>
                <w:spacing w:val="-11"/>
                <w:sz w:val="18"/>
                <w:szCs w:val="18"/>
              </w:rPr>
              <w:t>上市前，公司董事、监事、高管承诺</w:t>
            </w:r>
            <w:r>
              <w:rPr>
                <w:rFonts w:ascii="Times New Roman" w:hAnsi="Times New Roman" w:cs="Times New Roman" w:eastAsia="Times New Roman" w:hint="default"/>
                <w:spacing w:val="-11"/>
                <w:sz w:val="18"/>
                <w:szCs w:val="18"/>
              </w:rPr>
              <w:t>:1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不存在自营或为他人经营与公司同类 </w:t>
            </w:r>
            <w:r>
              <w:rPr>
                <w:rFonts w:ascii="宋体" w:hAnsi="宋体" w:cs="宋体" w:eastAsia="宋体" w:hint="default"/>
                <w:spacing w:val="-10"/>
                <w:sz w:val="18"/>
                <w:szCs w:val="18"/>
              </w:rPr>
              <w:t>业务的情况；</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、在担任公司职务期间，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不在任何地域以任何形式从事可能与</w:t>
            </w:r>
            <w:r>
              <w:rPr>
                <w:rFonts w:ascii="宋体" w:hAnsi="宋体" w:cs="宋体" w:eastAsia="宋体" w:hint="default"/>
                <w:sz w:val="18"/>
                <w:szCs w:val="18"/>
              </w:rPr>
              <w:t> 公司构成同业竞争关系的活动，同时 督促其本人的配偶、成年子女及其配 偶等主要亲属遵守上述承诺的约束。</w:t>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0"/>
              <w:jc w:val="left"/>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 诺。</w:t>
            </w:r>
          </w:p>
        </w:tc>
      </w:tr>
      <w:tr>
        <w:trPr>
          <w:trHeight w:val="223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5"/>
                <w:sz w:val="18"/>
                <w:szCs w:val="18"/>
              </w:rPr>
              <w:t>上市前，公司实际控制人及持股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w:t>
            </w:r>
            <w:r>
              <w:rPr>
                <w:rFonts w:ascii="宋体" w:hAnsi="宋体" w:cs="宋体" w:eastAsia="宋体" w:hint="default"/>
                <w:spacing w:val="-3"/>
                <w:sz w:val="18"/>
                <w:szCs w:val="18"/>
              </w:rPr>
              <w:t>上股东任红军、钟超承诺：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、在其持</w:t>
            </w:r>
            <w:r>
              <w:rPr>
                <w:rFonts w:ascii="宋体" w:hAnsi="宋体" w:cs="宋体" w:eastAsia="宋体" w:hint="default"/>
                <w:sz w:val="18"/>
                <w:szCs w:val="18"/>
              </w:rPr>
              <w:t> 有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以上股份期间，</w:t>
            </w:r>
            <w:r>
              <w:rPr>
                <w:rFonts w:ascii="宋体" w:hAnsi="宋体" w:cs="宋体" w:eastAsia="宋体" w:hint="default"/>
                <w:spacing w:val="-46"/>
                <w:sz w:val="18"/>
                <w:szCs w:val="18"/>
              </w:rPr>
              <w:t> </w:t>
            </w:r>
            <w:r>
              <w:rPr>
                <w:rFonts w:ascii="宋体" w:hAnsi="宋体" w:cs="宋体" w:eastAsia="宋体" w:hint="default"/>
                <w:sz w:val="18"/>
                <w:szCs w:val="18"/>
              </w:rPr>
              <w:t>不在任何地域 以任何形式从事可能与公司构成同业 </w:t>
            </w:r>
            <w:r>
              <w:rPr>
                <w:rFonts w:ascii="宋体" w:hAnsi="宋体" w:cs="宋体" w:eastAsia="宋体" w:hint="default"/>
                <w:spacing w:val="-4"/>
                <w:sz w:val="18"/>
                <w:szCs w:val="18"/>
              </w:rPr>
              <w:t>竞争关系的活动；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、从第三方获得的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商业机会如果属于公司主要业务范围 之内的，将告知公司并尽可能协助公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50"/>
              <w:jc w:val="left"/>
              <w:rPr>
                <w:rFonts w:ascii="宋体" w:hAnsi="宋体" w:cs="宋体" w:eastAsia="宋体" w:hint="default"/>
                <w:sz w:val="18"/>
                <w:szCs w:val="18"/>
              </w:rPr>
            </w:pPr>
            <w:r>
              <w:rPr>
                <w:rFonts w:ascii="宋体" w:hAnsi="宋体" w:cs="宋体" w:eastAsia="宋体" w:hint="default"/>
                <w:sz w:val="18"/>
                <w:szCs w:val="18"/>
              </w:rPr>
              <w:t>截至报告期末， 上述承诺人均遵 守了所做的承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851"/>
        <w:gridCol w:w="2976"/>
        <w:gridCol w:w="710"/>
        <w:gridCol w:w="709"/>
        <w:gridCol w:w="1345"/>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both"/>
              <w:rPr>
                <w:rFonts w:ascii="宋体" w:hAnsi="宋体" w:cs="宋体" w:eastAsia="宋体" w:hint="default"/>
                <w:sz w:val="18"/>
                <w:szCs w:val="18"/>
              </w:rPr>
            </w:pPr>
            <w:r>
              <w:rPr>
                <w:rFonts w:ascii="宋体" w:hAnsi="宋体" w:cs="宋体" w:eastAsia="宋体" w:hint="default"/>
                <w:spacing w:val="-4"/>
                <w:sz w:val="18"/>
                <w:szCs w:val="18"/>
              </w:rPr>
              <w:t>司取得该机会；</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、不以任何形式从事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可能影响公司经营和发展的业务或活 动。</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周志刚</w:t>
            </w:r>
            <w:r>
              <w:rPr>
                <w:rFonts w:ascii="Times New Roman" w:hAnsi="Times New Roman" w:cs="Times New Roman" w:eastAsia="Times New Roman" w:hint="default"/>
                <w:sz w:val="18"/>
                <w:szCs w:val="18"/>
              </w:rPr>
              <w:t>;</w:t>
            </w:r>
            <w:r>
              <w:rPr>
                <w:rFonts w:ascii="宋体" w:hAnsi="宋体" w:cs="宋体" w:eastAsia="宋体" w:hint="default"/>
                <w:sz w:val="18"/>
                <w:szCs w:val="18"/>
              </w:rPr>
              <w:t>王家豪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广东龙泉交易对方周志刚、王家豪承 诺：</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年实现净利润不低于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年实现净利润不低于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年实现净利润不低于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年实现净利润不低于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年的业绩承 </w:t>
            </w:r>
            <w:r>
              <w:rPr>
                <w:rFonts w:ascii="宋体" w:hAnsi="宋体" w:cs="宋体" w:eastAsia="宋体" w:hint="default"/>
                <w:spacing w:val="-9"/>
                <w:sz w:val="18"/>
                <w:szCs w:val="18"/>
              </w:rPr>
              <w:t>诺水平。（上述净利润均以经审计确认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的扣除非经常性损益前后孰低值为 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2" w:right="50"/>
              <w:jc w:val="left"/>
              <w:rPr>
                <w:rFonts w:ascii="宋体" w:hAnsi="宋体" w:cs="宋体" w:eastAsia="宋体" w:hint="default"/>
                <w:sz w:val="18"/>
                <w:szCs w:val="18"/>
              </w:rPr>
            </w:pPr>
            <w:r>
              <w:rPr>
                <w:rFonts w:ascii="宋体" w:hAnsi="宋体" w:cs="宋体" w:eastAsia="宋体" w:hint="default"/>
                <w:sz w:val="18"/>
                <w:szCs w:val="18"/>
              </w:rPr>
              <w:t>根据原股权转让 协议，截止报告 期末，广东龙泉 已完成承诺期内 累计业绩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1,787 </w:t>
            </w:r>
            <w:r>
              <w:rPr>
                <w:rFonts w:ascii="宋体" w:hAnsi="宋体" w:cs="宋体" w:eastAsia="宋体" w:hint="default"/>
                <w:sz w:val="18"/>
                <w:szCs w:val="18"/>
              </w:rPr>
              <w:t>万元。</w:t>
            </w:r>
          </w:p>
        </w:tc>
      </w:tr>
      <w:tr>
        <w:trPr>
          <w:trHeight w:val="664"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16" w:right="23"/>
              <w:jc w:val="left"/>
              <w:rPr>
                <w:rFonts w:ascii="宋体" w:hAnsi="宋体" w:cs="宋体" w:eastAsia="宋体" w:hint="default"/>
                <w:sz w:val="18"/>
                <w:szCs w:val="18"/>
              </w:rPr>
            </w:pPr>
            <w:r>
              <w:rPr>
                <w:rFonts w:ascii="宋体" w:hAnsi="宋体" w:cs="宋体" w:eastAsia="宋体" w:hint="default"/>
                <w:sz w:val="18"/>
                <w:szCs w:val="18"/>
              </w:rPr>
              <w:t>王明慧</w:t>
            </w:r>
            <w:r>
              <w:rPr>
                <w:rFonts w:ascii="Times New Roman" w:hAnsi="Times New Roman" w:cs="Times New Roman" w:eastAsia="Times New Roman" w:hint="default"/>
                <w:sz w:val="18"/>
                <w:szCs w:val="18"/>
              </w:rPr>
              <w:t>;</w:t>
            </w:r>
            <w:r>
              <w:rPr>
                <w:rFonts w:ascii="宋体" w:hAnsi="宋体" w:cs="宋体" w:eastAsia="宋体" w:hint="default"/>
                <w:sz w:val="18"/>
                <w:szCs w:val="18"/>
              </w:rPr>
              <w:t>张连富</w:t>
            </w:r>
            <w:r>
              <w:rPr>
                <w:rFonts w:ascii="Times New Roman" w:hAnsi="Times New Roman" w:cs="Times New Roman" w:eastAsia="Times New Roman" w:hint="default"/>
                <w:sz w:val="18"/>
                <w:szCs w:val="18"/>
              </w:rPr>
              <w:t>;</w:t>
            </w:r>
            <w:r>
              <w:rPr>
                <w:rFonts w:ascii="宋体" w:hAnsi="宋体" w:cs="宋体" w:eastAsia="宋体" w:hint="default"/>
                <w:sz w:val="18"/>
                <w:szCs w:val="18"/>
              </w:rPr>
              <w:t>韩 晓东</w:t>
            </w:r>
            <w:r>
              <w:rPr>
                <w:rFonts w:ascii="Times New Roman" w:hAnsi="Times New Roman" w:cs="Times New Roman" w:eastAsia="Times New Roman" w:hint="default"/>
                <w:sz w:val="18"/>
                <w:szCs w:val="18"/>
              </w:rPr>
              <w:t>;</w:t>
            </w:r>
            <w:r>
              <w:rPr>
                <w:rFonts w:ascii="宋体" w:hAnsi="宋体" w:cs="宋体" w:eastAsia="宋体" w:hint="default"/>
                <w:sz w:val="18"/>
                <w:szCs w:val="18"/>
              </w:rPr>
              <w:t>吴世伟</w:t>
            </w:r>
            <w:r>
              <w:rPr>
                <w:rFonts w:ascii="Times New Roman" w:hAnsi="Times New Roman" w:cs="Times New Roman" w:eastAsia="Times New Roman" w:hint="default"/>
                <w:sz w:val="18"/>
                <w:szCs w:val="18"/>
              </w:rPr>
              <w:t>;</w:t>
            </w:r>
            <w:r>
              <w:rPr>
                <w:rFonts w:ascii="宋体" w:hAnsi="宋体" w:cs="宋体" w:eastAsia="宋体" w:hint="default"/>
                <w:sz w:val="18"/>
                <w:szCs w:val="18"/>
              </w:rPr>
              <w:t>邢洪</w:t>
            </w:r>
            <w:r>
              <w:rPr>
                <w:rFonts w:ascii="宋体" w:hAnsi="宋体" w:cs="宋体" w:eastAsia="宋体" w:hint="default"/>
                <w:spacing w:val="-2"/>
                <w:sz w:val="18"/>
                <w:szCs w:val="18"/>
              </w:rPr>
              <w:t> </w:t>
            </w:r>
            <w:r>
              <w:rPr>
                <w:rFonts w:ascii="宋体" w:hAnsi="宋体" w:cs="宋体" w:eastAsia="宋体" w:hint="default"/>
                <w:sz w:val="18"/>
                <w:szCs w:val="18"/>
              </w:rPr>
              <w:t>杰</w:t>
            </w:r>
            <w:r>
              <w:rPr>
                <w:rFonts w:ascii="Times New Roman" w:hAnsi="Times New Roman" w:cs="Times New Roman" w:eastAsia="Times New Roman" w:hint="default"/>
                <w:sz w:val="18"/>
                <w:szCs w:val="18"/>
              </w:rPr>
              <w:t>;</w:t>
            </w:r>
            <w:r>
              <w:rPr>
                <w:rFonts w:ascii="宋体" w:hAnsi="宋体" w:cs="宋体" w:eastAsia="宋体" w:hint="default"/>
                <w:sz w:val="18"/>
                <w:szCs w:val="18"/>
              </w:rPr>
              <w:t>高伟</w:t>
            </w:r>
            <w:r>
              <w:rPr>
                <w:rFonts w:ascii="Times New Roman" w:hAnsi="Times New Roman" w:cs="Times New Roman" w:eastAsia="Times New Roman" w:hint="default"/>
                <w:sz w:val="18"/>
                <w:szCs w:val="18"/>
              </w:rPr>
              <w:t>;</w:t>
            </w:r>
            <w:r>
              <w:rPr>
                <w:rFonts w:ascii="宋体" w:hAnsi="宋体" w:cs="宋体" w:eastAsia="宋体" w:hint="default"/>
                <w:sz w:val="18"/>
                <w:szCs w:val="18"/>
              </w:rPr>
              <w:t>李世铭</w:t>
            </w:r>
            <w:r>
              <w:rPr>
                <w:rFonts w:ascii="Times New Roman" w:hAnsi="Times New Roman" w:cs="Times New Roman" w:eastAsia="Times New Roman" w:hint="default"/>
                <w:sz w:val="18"/>
                <w:szCs w:val="18"/>
              </w:rPr>
              <w:t>; </w:t>
            </w:r>
            <w:r>
              <w:rPr>
                <w:rFonts w:ascii="宋体" w:hAnsi="宋体" w:cs="宋体" w:eastAsia="宋体" w:hint="default"/>
                <w:sz w:val="18"/>
                <w:szCs w:val="18"/>
              </w:rPr>
              <w:t>王铭岩</w:t>
            </w:r>
            <w:r>
              <w:rPr>
                <w:rFonts w:ascii="Times New Roman" w:hAnsi="Times New Roman" w:cs="Times New Roman" w:eastAsia="Times New Roman" w:hint="default"/>
                <w:sz w:val="18"/>
                <w:szCs w:val="18"/>
              </w:rPr>
              <w:t>;</w:t>
            </w:r>
            <w:r>
              <w:rPr>
                <w:rFonts w:ascii="宋体" w:hAnsi="宋体" w:cs="宋体" w:eastAsia="宋体" w:hint="default"/>
                <w:sz w:val="18"/>
                <w:szCs w:val="18"/>
              </w:rPr>
              <w:t>赵东阳</w:t>
            </w:r>
            <w:r>
              <w:rPr>
                <w:rFonts w:ascii="Times New Roman" w:hAnsi="Times New Roman" w:cs="Times New Roman" w:eastAsia="Times New Roman" w:hint="default"/>
                <w:sz w:val="18"/>
                <w:szCs w:val="18"/>
              </w:rPr>
              <w:t>;</w:t>
            </w:r>
            <w:r>
              <w:rPr>
                <w:rFonts w:ascii="宋体" w:hAnsi="宋体" w:cs="宋体" w:eastAsia="宋体" w:hint="default"/>
                <w:sz w:val="18"/>
                <w:szCs w:val="18"/>
              </w:rPr>
              <w:t>曲 兴瑞</w:t>
            </w:r>
            <w:r>
              <w:rPr>
                <w:rFonts w:ascii="Times New Roman" w:hAnsi="Times New Roman" w:cs="Times New Roman" w:eastAsia="Times New Roman" w:hint="default"/>
                <w:sz w:val="18"/>
                <w:szCs w:val="18"/>
              </w:rPr>
              <w:t>;</w:t>
            </w:r>
            <w:r>
              <w:rPr>
                <w:rFonts w:ascii="宋体" w:hAnsi="宋体" w:cs="宋体" w:eastAsia="宋体" w:hint="default"/>
                <w:sz w:val="18"/>
                <w:szCs w:val="18"/>
              </w:rPr>
              <w:t>李想</w:t>
            </w:r>
            <w:r>
              <w:rPr>
                <w:rFonts w:ascii="Times New Roman" w:hAnsi="Times New Roman" w:cs="Times New Roman" w:eastAsia="Times New Roman" w:hint="default"/>
                <w:sz w:val="18"/>
                <w:szCs w:val="18"/>
              </w:rPr>
              <w:t>;</w:t>
            </w:r>
            <w:r>
              <w:rPr>
                <w:rFonts w:ascii="宋体" w:hAnsi="宋体" w:cs="宋体" w:eastAsia="宋体" w:hint="default"/>
                <w:sz w:val="18"/>
                <w:szCs w:val="18"/>
              </w:rPr>
              <w:t>杨金龙</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22" w:right="23"/>
              <w:jc w:val="left"/>
              <w:rPr>
                <w:rFonts w:ascii="宋体" w:hAnsi="宋体" w:cs="宋体" w:eastAsia="宋体" w:hint="default"/>
                <w:sz w:val="18"/>
                <w:szCs w:val="18"/>
              </w:rPr>
            </w:pPr>
            <w:r>
              <w:rPr>
                <w:rFonts w:ascii="宋体" w:hAnsi="宋体" w:cs="宋体" w:eastAsia="宋体" w:hint="default"/>
                <w:sz w:val="18"/>
                <w:szCs w:val="18"/>
              </w:rPr>
              <w:t>鞍山易兴交易对方王明慧、张连富、 韩晓东等承诺：鞍山易兴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年实现的净 利润扣除非经常性损益后孰低值不低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750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1000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年分别不低于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年的承诺水平。</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截至报告期末， 鞍山易兴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年实现的净利润 未达到承诺水 平，但根据原股 权转让暨增资协 议中业绩承诺条 款的相关约定， 鞍山易兴已完成 承诺期内累积业 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859"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40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41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68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276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196"/>
        <w:gridCol w:w="966"/>
        <w:gridCol w:w="850"/>
        <w:gridCol w:w="1134"/>
        <w:gridCol w:w="1134"/>
        <w:gridCol w:w="1844"/>
        <w:gridCol w:w="850"/>
        <w:gridCol w:w="1597"/>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7" w:right="26"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5" w:right="22" w:hanging="713"/>
              <w:jc w:val="left"/>
              <w:rPr>
                <w:rFonts w:ascii="宋体" w:hAnsi="宋体" w:cs="宋体" w:eastAsia="宋体" w:hint="default"/>
                <w:sz w:val="18"/>
                <w:szCs w:val="18"/>
              </w:rPr>
            </w:pPr>
            <w:r>
              <w:rPr>
                <w:rFonts w:ascii="宋体" w:hAnsi="宋体" w:cs="宋体" w:eastAsia="宋体" w:hint="default"/>
                <w:spacing w:val="-2"/>
                <w:sz w:val="18"/>
                <w:szCs w:val="18"/>
              </w:rPr>
              <w:t>未达预测的原因（如适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z w:val="18"/>
                <w:szCs w:val="18"/>
              </w:rPr>
              <w:t>根据原股权转让协议， 截止报告期末，广东龙 泉已完成承诺期内累 计业绩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业绩承诺的完成情况及其对商誉减值测试的影响</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94" w:right="1131" w:firstLine="420"/>
        <w:jc w:val="both"/>
      </w:pPr>
      <w:r>
        <w:rPr/>
        <w:t>根据原股权转让协议，截止报告期末，广东龙泉完成承诺期</w:t>
      </w:r>
      <w:r>
        <w:rPr>
          <w:spacing w:val="-59"/>
        </w:rPr>
        <w:t> </w:t>
      </w:r>
      <w:r>
        <w:rPr>
          <w:rFonts w:ascii="宋体" w:hAnsi="宋体" w:cs="宋体" w:eastAsia="宋体" w:hint="default"/>
        </w:rPr>
        <w:t>2016</w:t>
      </w:r>
      <w:r>
        <w:rPr>
          <w:rFonts w:ascii="宋体" w:hAnsi="宋体" w:cs="宋体" w:eastAsia="宋体" w:hint="default"/>
          <w:spacing w:val="-60"/>
        </w:rPr>
        <w:t> </w:t>
      </w:r>
      <w:r>
        <w:rPr/>
        <w:t>年、</w:t>
      </w:r>
      <w:r>
        <w:rPr>
          <w:rFonts w:ascii="宋体" w:hAnsi="宋体" w:cs="宋体" w:eastAsia="宋体" w:hint="default"/>
        </w:rPr>
        <w:t>2017</w:t>
      </w:r>
      <w:r>
        <w:rPr>
          <w:rFonts w:ascii="宋体" w:hAnsi="宋体" w:cs="宋体" w:eastAsia="宋体" w:hint="default"/>
          <w:spacing w:val="-58"/>
        </w:rPr>
        <w:t> </w:t>
      </w:r>
      <w:r>
        <w:rPr/>
        <w:t>年、</w:t>
      </w:r>
      <w:r>
        <w:rPr>
          <w:rFonts w:ascii="宋体" w:hAnsi="宋体" w:cs="宋体" w:eastAsia="宋体" w:hint="default"/>
        </w:rPr>
        <w:t>2018</w:t>
      </w:r>
      <w:r>
        <w:rPr>
          <w:rFonts w:ascii="宋体" w:hAnsi="宋体" w:cs="宋体" w:eastAsia="宋体" w:hint="default"/>
          <w:spacing w:val="-60"/>
        </w:rPr>
        <w:t> </w:t>
      </w:r>
      <w:r>
        <w:rPr/>
        <w:t>年三年累计净利 润</w:t>
      </w:r>
      <w:r>
        <w:rPr>
          <w:spacing w:val="-32"/>
        </w:rPr>
        <w:t> </w:t>
      </w:r>
      <w:r>
        <w:rPr>
          <w:rFonts w:ascii="宋体" w:hAnsi="宋体" w:cs="宋体" w:eastAsia="宋体" w:hint="default"/>
        </w:rPr>
        <w:t>1,787</w:t>
      </w:r>
      <w:r>
        <w:rPr>
          <w:rFonts w:ascii="宋体" w:hAnsi="宋体" w:cs="宋体" w:eastAsia="宋体" w:hint="default"/>
          <w:spacing w:val="-31"/>
        </w:rPr>
        <w:t> </w:t>
      </w:r>
      <w:r>
        <w:rPr/>
        <w:t>万元；德析检测完成</w:t>
      </w:r>
      <w:r>
        <w:rPr>
          <w:spacing w:val="-32"/>
        </w:rPr>
        <w:t> </w:t>
      </w:r>
      <w:r>
        <w:rPr>
          <w:rFonts w:ascii="宋体" w:hAnsi="宋体" w:cs="宋体" w:eastAsia="宋体" w:hint="default"/>
        </w:rPr>
        <w:t>2018</w:t>
      </w:r>
      <w:r>
        <w:rPr>
          <w:rFonts w:ascii="宋体" w:hAnsi="宋体" w:cs="宋体" w:eastAsia="宋体" w:hint="default"/>
          <w:spacing w:val="-33"/>
        </w:rPr>
        <w:t> </w:t>
      </w:r>
      <w:r>
        <w:rPr/>
        <w:t>年业绩承诺。公司按照企业会计准则规定，于资产负债表日进行了商 誉减值测试，经过测试，收购广东龙泉和德析检测时形成的商誉未发生减值。</w:t>
      </w:r>
    </w:p>
    <w:p>
      <w:pPr>
        <w:spacing w:line="240" w:lineRule="auto" w:before="11"/>
        <w:rPr>
          <w:rFonts w:ascii="宋体" w:hAnsi="宋体" w:cs="宋体" w:eastAsia="宋体" w:hint="default"/>
          <w:sz w:val="18"/>
          <w:szCs w:val="18"/>
        </w:rPr>
      </w:pPr>
    </w:p>
    <w:p>
      <w:pPr>
        <w:pStyle w:val="Heading2"/>
        <w:spacing w:line="240" w:lineRule="auto"/>
        <w:ind w:left="194"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9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left="194"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94"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94"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4"/>
        <w:ind w:left="194" w:right="1131" w:firstLine="420"/>
        <w:jc w:val="both"/>
      </w:pPr>
      <w:r>
        <w:rPr/>
        <w:t>财政部于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spacing w:val="-8"/>
        </w:rPr>
        <w:t>日发布了《财政部关于修订印发</w:t>
      </w:r>
      <w:r>
        <w:rPr>
          <w:spacing w:val="-55"/>
        </w:rPr>
        <w:t> </w:t>
      </w:r>
      <w:r>
        <w:rPr>
          <w:rFonts w:ascii="宋体" w:hAnsi="宋体" w:cs="宋体" w:eastAsia="宋体" w:hint="default"/>
        </w:rPr>
        <w:t>2018</w:t>
      </w:r>
      <w:r>
        <w:rPr>
          <w:rFonts w:ascii="宋体" w:hAnsi="宋体" w:cs="宋体" w:eastAsia="宋体" w:hint="default"/>
          <w:spacing w:val="-56"/>
        </w:rPr>
        <w:t> </w:t>
      </w:r>
      <w:r>
        <w:rPr>
          <w:spacing w:val="-12"/>
        </w:rPr>
        <w:t>年度一般企业财务报表格式的通知》（财</w:t>
      </w:r>
      <w:r>
        <w:rPr/>
        <w:t> </w:t>
      </w:r>
      <w:r>
        <w:rPr>
          <w:spacing w:val="-6"/>
        </w:rPr>
        <w:t>会〔</w:t>
      </w:r>
      <w:r>
        <w:rPr>
          <w:rFonts w:ascii="宋体" w:hAnsi="宋体" w:cs="宋体" w:eastAsia="宋体" w:hint="default"/>
          <w:spacing w:val="-6"/>
        </w:rPr>
        <w:t>2018</w:t>
      </w:r>
      <w:r>
        <w:rPr>
          <w:spacing w:val="-6"/>
        </w:rPr>
        <w:t>〕</w:t>
      </w:r>
      <w:r>
        <w:rPr>
          <w:rFonts w:ascii="宋体" w:hAnsi="宋体" w:cs="宋体" w:eastAsia="宋体" w:hint="default"/>
          <w:spacing w:val="-6"/>
        </w:rPr>
        <w:t>15</w:t>
      </w:r>
      <w:r>
        <w:rPr>
          <w:rFonts w:ascii="宋体" w:hAnsi="宋体" w:cs="宋体" w:eastAsia="宋体" w:hint="default"/>
          <w:spacing w:val="-44"/>
        </w:rPr>
        <w:t> </w:t>
      </w:r>
      <w:r>
        <w:rPr>
          <w:spacing w:val="-5"/>
        </w:rPr>
        <w:t>号），执行企业会计准则的企业应按照企业会计准则和该通知要求编制</w:t>
      </w:r>
      <w:r>
        <w:rPr>
          <w:spacing w:val="-44"/>
        </w:rPr>
        <w:t> </w:t>
      </w:r>
      <w:r>
        <w:rPr>
          <w:rFonts w:ascii="宋体" w:hAnsi="宋体" w:cs="宋体" w:eastAsia="宋体" w:hint="default"/>
        </w:rPr>
        <w:t>2018</w:t>
      </w:r>
      <w:r>
        <w:rPr>
          <w:rFonts w:ascii="宋体" w:hAnsi="宋体" w:cs="宋体" w:eastAsia="宋体" w:hint="default"/>
          <w:spacing w:val="-45"/>
        </w:rPr>
        <w:t> </w:t>
      </w:r>
      <w:r>
        <w:rPr>
          <w:spacing w:val="-1"/>
        </w:rPr>
        <w:t>年度及以后期间</w:t>
      </w:r>
      <w:r>
        <w:rPr>
          <w:spacing w:val="-103"/>
        </w:rPr>
        <w:t> </w:t>
      </w:r>
      <w:r>
        <w:rPr>
          <w:spacing w:val="-103"/>
        </w:rPr>
      </w:r>
      <w:r>
        <w:rPr/>
        <w:t>的财务报表。</w:t>
      </w:r>
    </w:p>
    <w:p>
      <w:pPr>
        <w:pStyle w:val="BodyText"/>
        <w:spacing w:line="240" w:lineRule="auto"/>
        <w:ind w:left="614" w:right="0"/>
        <w:jc w:val="left"/>
      </w:pPr>
      <w:r>
        <w:rPr/>
        <w:t>本公司执行财会〔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54"/>
        </w:rPr>
        <w:t> </w:t>
      </w:r>
      <w:r>
        <w:rPr/>
        <w:t>号的主要影响如下：</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763"/>
        <w:gridCol w:w="1418"/>
        <w:gridCol w:w="1559"/>
        <w:gridCol w:w="1560"/>
        <w:gridCol w:w="2476"/>
      </w:tblGrid>
      <w:tr>
        <w:trPr>
          <w:trHeight w:val="798"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24" w:right="833" w:hanging="90"/>
              <w:jc w:val="left"/>
              <w:rPr>
                <w:rFonts w:ascii="宋体" w:hAnsi="宋体" w:cs="宋体" w:eastAsia="宋体" w:hint="default"/>
                <w:sz w:val="18"/>
                <w:szCs w:val="18"/>
              </w:rPr>
            </w:pPr>
            <w:r>
              <w:rPr>
                <w:rFonts w:ascii="宋体" w:hAnsi="宋体" w:cs="宋体" w:eastAsia="宋体" w:hint="default"/>
                <w:sz w:val="18"/>
                <w:szCs w:val="18"/>
              </w:rPr>
              <w:t>会计政策变更 内容和原因</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0" w:right="70"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11" w:right="50" w:hanging="360"/>
              <w:jc w:val="left"/>
              <w:rPr>
                <w:rFonts w:ascii="宋体" w:hAnsi="宋体" w:cs="宋体" w:eastAsia="宋体" w:hint="default"/>
                <w:sz w:val="18"/>
                <w:szCs w:val="18"/>
              </w:rPr>
            </w:pPr>
            <w:r>
              <w:rPr>
                <w:rFonts w:ascii="宋体" w:hAnsi="宋体" w:cs="宋体" w:eastAsia="宋体" w:hint="default"/>
                <w:sz w:val="18"/>
                <w:szCs w:val="18"/>
              </w:rPr>
              <w:t>本期受影响的报表 项目金额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60" w:right="419" w:hanging="540"/>
              <w:jc w:val="left"/>
              <w:rPr>
                <w:rFonts w:ascii="宋体" w:hAnsi="宋体" w:cs="宋体" w:eastAsia="宋体" w:hint="default"/>
                <w:sz w:val="18"/>
                <w:szCs w:val="18"/>
              </w:rPr>
            </w:pPr>
            <w:r>
              <w:rPr>
                <w:rFonts w:ascii="宋体" w:hAnsi="宋体" w:cs="宋体" w:eastAsia="宋体" w:hint="default"/>
                <w:sz w:val="18"/>
                <w:szCs w:val="18"/>
              </w:rPr>
              <w:t>上期列报的报表项目 及金额</w:t>
            </w:r>
          </w:p>
        </w:tc>
      </w:tr>
      <w:tr>
        <w:trPr>
          <w:trHeight w:val="710"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应收票据和应收账款合并列示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0" w:right="70" w:hanging="450"/>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pacing w:val="-1"/>
                <w:sz w:val="18"/>
              </w:rPr>
              <w:t>493,694,433.77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Times New Roman"/>
                <w:spacing w:val="-1"/>
                <w:sz w:val="18"/>
              </w:rPr>
              <w:t>537,131,462.74</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31"/>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39,704,670.68 </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497,426,792.06</w:t>
            </w:r>
          </w:p>
        </w:tc>
      </w:tr>
      <w:tr>
        <w:trPr>
          <w:trHeight w:val="1132"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应收利息、应收股利并入其他应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收款项目列示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9"/>
              <w:jc w:val="right"/>
              <w:rPr>
                <w:rFonts w:ascii="Times New Roman" w:hAnsi="Times New Roman" w:cs="Times New Roman" w:eastAsia="Times New Roman" w:hint="default"/>
                <w:sz w:val="18"/>
                <w:szCs w:val="18"/>
              </w:rPr>
            </w:pPr>
            <w:r>
              <w:rPr>
                <w:rFonts w:ascii="Times New Roman"/>
                <w:spacing w:val="-1"/>
                <w:sz w:val="18"/>
              </w:rPr>
              <w:t>60,781,183.38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0"/>
              <w:jc w:val="right"/>
              <w:rPr>
                <w:rFonts w:ascii="Times New Roman" w:hAnsi="Times New Roman" w:cs="Times New Roman" w:eastAsia="Times New Roman" w:hint="default"/>
                <w:sz w:val="18"/>
                <w:szCs w:val="18"/>
              </w:rPr>
            </w:pPr>
            <w:r>
              <w:rPr>
                <w:rFonts w:ascii="Times New Roman"/>
                <w:spacing w:val="-1"/>
                <w:sz w:val="18"/>
              </w:rPr>
              <w:t>60,384,415.96</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341"/>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0.00 </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0.00 </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60,384,415.96</w:t>
            </w:r>
          </w:p>
        </w:tc>
      </w:tr>
      <w:tr>
        <w:trPr>
          <w:trHeight w:val="850"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固定资产清理并入固定资产列示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pacing w:val="-1"/>
                <w:sz w:val="18"/>
              </w:rPr>
              <w:t>857,714,936.00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Times New Roman"/>
                <w:spacing w:val="-1"/>
                <w:sz w:val="18"/>
              </w:rPr>
              <w:t>799,922,706.75</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799,922,706.75</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0.00</w:t>
            </w:r>
          </w:p>
        </w:tc>
      </w:tr>
      <w:tr>
        <w:trPr>
          <w:trHeight w:val="849"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工程物资并入在建工程列示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pacing w:val="-1"/>
                <w:sz w:val="18"/>
              </w:rPr>
              <w:t>225,049,799.70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Times New Roman"/>
                <w:spacing w:val="-1"/>
                <w:sz w:val="18"/>
              </w:rPr>
              <w:t>219,844,574.70</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219,844,574.70</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0.00</w:t>
            </w:r>
          </w:p>
        </w:tc>
      </w:tr>
      <w:tr>
        <w:trPr>
          <w:trHeight w:val="720"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应付票据和应付账款合并列示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0" w:right="70" w:hanging="450"/>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pacing w:val="-1"/>
                <w:sz w:val="18"/>
              </w:rPr>
              <w:t>384,124,466.00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Times New Roman"/>
                <w:spacing w:val="-1"/>
                <w:sz w:val="18"/>
              </w:rPr>
              <w:t>406,397,950.77</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31"/>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0.00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406,397,950.77</w:t>
            </w:r>
          </w:p>
        </w:tc>
      </w:tr>
    </w:tbl>
    <w:p>
      <w:pPr>
        <w:spacing w:after="0" w:line="300" w:lineRule="auto"/>
        <w:jc w:val="left"/>
        <w:rPr>
          <w:rFonts w:ascii="Times New Roman" w:hAnsi="Times New Roman" w:cs="Times New Roman" w:eastAsia="Times New Roman" w:hint="default"/>
          <w:sz w:val="18"/>
          <w:szCs w:val="18"/>
        </w:rPr>
        <w:sectPr>
          <w:pgSz w:w="11910" w:h="16840"/>
          <w:pgMar w:header="747"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763"/>
        <w:gridCol w:w="1418"/>
        <w:gridCol w:w="1559"/>
        <w:gridCol w:w="1560"/>
        <w:gridCol w:w="2476"/>
      </w:tblGrid>
      <w:tr>
        <w:trPr>
          <w:trHeight w:val="971"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应付利息、应付股利计入其他应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付款项目列示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pacing w:val="-1"/>
                <w:sz w:val="18"/>
              </w:rPr>
              <w:t>244,099,422.73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Times New Roman"/>
                <w:spacing w:val="-1"/>
                <w:sz w:val="18"/>
              </w:rPr>
              <w:t>268,089,047.58</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51"/>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201,425.31 </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0.00 </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267,887,622.27</w:t>
            </w:r>
          </w:p>
        </w:tc>
      </w:tr>
      <w:tr>
        <w:trPr>
          <w:trHeight w:val="734"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专项应付款计入长期应付款列示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pacing w:val="-1"/>
                <w:sz w:val="18"/>
              </w:rPr>
              <w:t>49,119,554.46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Times New Roman"/>
                <w:spacing w:val="-1"/>
                <w:sz w:val="18"/>
              </w:rPr>
              <w:t>48,954,665.06</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41"/>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48,954,665.06 </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0.00</w:t>
            </w:r>
          </w:p>
        </w:tc>
      </w:tr>
      <w:tr>
        <w:trPr>
          <w:trHeight w:val="572"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管理费用列报调整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pacing w:val="-1"/>
                <w:sz w:val="18"/>
              </w:rPr>
              <w:t>164,677,451.44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Times New Roman" w:hAnsi="Times New Roman" w:cs="Times New Roman" w:eastAsia="Times New Roman" w:hint="default"/>
                <w:sz w:val="18"/>
                <w:szCs w:val="18"/>
              </w:rPr>
            </w:pPr>
            <w:r>
              <w:rPr>
                <w:rFonts w:ascii="Times New Roman"/>
                <w:spacing w:val="-1"/>
                <w:sz w:val="18"/>
              </w:rPr>
              <w:t>148,369,316.45</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239,466,692.72</w:t>
            </w:r>
          </w:p>
        </w:tc>
      </w:tr>
      <w:tr>
        <w:trPr>
          <w:trHeight w:val="580" w:hRule="exact"/>
        </w:trPr>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研发费用单独列示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9"/>
              <w:jc w:val="right"/>
              <w:rPr>
                <w:rFonts w:ascii="Times New Roman" w:hAnsi="Times New Roman" w:cs="Times New Roman" w:eastAsia="Times New Roman" w:hint="default"/>
                <w:sz w:val="18"/>
                <w:szCs w:val="18"/>
              </w:rPr>
            </w:pPr>
            <w:r>
              <w:rPr>
                <w:rFonts w:ascii="Times New Roman"/>
                <w:spacing w:val="-1"/>
                <w:sz w:val="18"/>
              </w:rPr>
              <w:t>106,686,836.36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0"/>
              <w:jc w:val="right"/>
              <w:rPr>
                <w:rFonts w:ascii="Times New Roman" w:hAnsi="Times New Roman" w:cs="Times New Roman" w:eastAsia="Times New Roman" w:hint="default"/>
                <w:sz w:val="18"/>
                <w:szCs w:val="18"/>
              </w:rPr>
            </w:pPr>
            <w:r>
              <w:rPr>
                <w:rFonts w:ascii="Times New Roman"/>
                <w:spacing w:val="-1"/>
                <w:sz w:val="18"/>
              </w:rPr>
              <w:t>91,097,376.27</w:t>
            </w:r>
          </w:p>
        </w:tc>
        <w:tc>
          <w:tcPr>
            <w:tcW w:w="2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94"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614" w:right="0"/>
        <w:jc w:val="left"/>
      </w:pPr>
      <w:r>
        <w:rPr/>
        <w:t>报告期内合并范围新增</w:t>
      </w:r>
      <w:r>
        <w:rPr>
          <w:rFonts w:ascii="Times New Roman" w:hAnsi="Times New Roman" w:cs="Times New Roman" w:eastAsia="Times New Roman" w:hint="default"/>
        </w:rPr>
        <w:t>1</w:t>
      </w:r>
      <w:r>
        <w:rPr/>
        <w:t>家，为汉威智慧消防。</w:t>
      </w:r>
    </w:p>
    <w:p>
      <w:pPr>
        <w:spacing w:line="240" w:lineRule="auto" w:before="12"/>
        <w:rPr>
          <w:rFonts w:ascii="宋体" w:hAnsi="宋体" w:cs="宋体" w:eastAsia="宋体" w:hint="default"/>
          <w:sz w:val="22"/>
          <w:szCs w:val="22"/>
        </w:rPr>
      </w:pPr>
    </w:p>
    <w:p>
      <w:pPr>
        <w:pStyle w:val="Heading2"/>
        <w:spacing w:line="240" w:lineRule="auto"/>
        <w:ind w:left="194"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9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4792"/>
        <w:gridCol w:w="4778"/>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郝东升、熊建辉</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before="51"/>
        <w:ind w:left="19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9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94"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94"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9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left="194"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9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after="0" w:line="338" w:lineRule="auto"/>
        <w:jc w:val="left"/>
        <w:rPr>
          <w:rFonts w:ascii="宋体" w:hAnsi="宋体" w:cs="宋体" w:eastAsia="宋体" w:hint="default"/>
          <w:sz w:val="18"/>
          <w:szCs w:val="18"/>
        </w:rPr>
        <w:sectPr>
          <w:pgSz w:w="11910" w:h="16840"/>
          <w:pgMar w:header="747" w:footer="979" w:top="1060" w:bottom="1160" w:left="94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15" w:firstLine="420"/>
        <w:jc w:val="left"/>
      </w:pPr>
      <w:r>
        <w:rPr>
          <w:spacing w:val="-1"/>
        </w:rPr>
        <w:t>报告期内公司及其控股股东、实际控制人不存在未履行法院生效判决、所负数额较大的债务到期未清</w:t>
      </w:r>
      <w:r>
        <w:rPr/>
        <w:t> 偿等情况。</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5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40" w:lineRule="auto" w:before="17"/>
        <w:ind w:left="454" w:right="0"/>
        <w:jc w:val="left"/>
      </w:pPr>
      <w:r>
        <w:rPr/>
        <w:t>报告期内，公司充分利用闲置资产，将部分闲置房产对外进行出租，提高了资产使用效率。</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10"/>
        <w:gridCol w:w="1332"/>
        <w:gridCol w:w="918"/>
        <w:gridCol w:w="1296"/>
        <w:gridCol w:w="1063"/>
        <w:gridCol w:w="1036"/>
        <w:gridCol w:w="1052"/>
        <w:gridCol w:w="790"/>
        <w:gridCol w:w="779"/>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3" w:hRule="exact"/>
        </w:trPr>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33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211" w:right="29"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91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9"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 w:right="195"/>
              <w:jc w:val="left"/>
              <w:rPr>
                <w:rFonts w:ascii="宋体" w:hAnsi="宋体" w:cs="宋体" w:eastAsia="宋体" w:hint="default"/>
                <w:sz w:val="18"/>
                <w:szCs w:val="18"/>
              </w:rPr>
            </w:pPr>
            <w:r>
              <w:rPr>
                <w:rFonts w:ascii="宋体" w:hAnsi="宋体" w:cs="宋体" w:eastAsia="宋体" w:hint="default"/>
                <w:sz w:val="18"/>
                <w:szCs w:val="18"/>
              </w:rPr>
              <w:t>郑州高新梧桐 水务有限公司</w:t>
            </w:r>
          </w:p>
        </w:tc>
        <w:tc>
          <w:tcPr>
            <w:tcW w:w="133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6,500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4" w:right="8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87"/>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6,600</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310"/>
        <w:gridCol w:w="1320"/>
        <w:gridCol w:w="922"/>
        <w:gridCol w:w="1305"/>
        <w:gridCol w:w="1054"/>
        <w:gridCol w:w="1045"/>
        <w:gridCol w:w="1046"/>
        <w:gridCol w:w="791"/>
        <w:gridCol w:w="784"/>
      </w:tblGrid>
      <w:tr>
        <w:trPr>
          <w:trHeight w:val="714" w:hRule="exact"/>
        </w:trPr>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0"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6"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2"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2,850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1"/>
              <w:jc w:val="right"/>
              <w:rPr>
                <w:rFonts w:ascii="Times New Roman" w:hAnsi="Times New Roman" w:cs="Times New Roman" w:eastAsia="Times New Roman" w:hint="default"/>
                <w:sz w:val="18"/>
                <w:szCs w:val="18"/>
              </w:rPr>
            </w:pPr>
            <w:r>
              <w:rPr>
                <w:rFonts w:ascii="Times New Roman"/>
                <w:sz w:val="18"/>
              </w:rPr>
              <w:t>2,850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z w:val="18"/>
              </w:rPr>
              <w:t>2,850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2,850</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4,850</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3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03" w:right="24"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2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3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3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61" w:hRule="exact"/>
        </w:trPr>
        <w:tc>
          <w:tcPr>
            <w:tcW w:w="13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光山嘉园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8"/>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9"/>
              <w:jc w:val="right"/>
              <w:rPr>
                <w:rFonts w:ascii="Times New Roman" w:hAnsi="Times New Roman" w:cs="Times New Roman" w:eastAsia="Times New Roman" w:hint="default"/>
                <w:sz w:val="18"/>
                <w:szCs w:val="18"/>
              </w:rPr>
            </w:pPr>
            <w:r>
              <w:rPr>
                <w:rFonts w:ascii="Times New Roman"/>
                <w:sz w:val="18"/>
              </w:rPr>
              <w:t>5,000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2,400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2,400</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9,900</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9,201.01</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2610"/>
        <w:gridCol w:w="2235"/>
        <w:gridCol w:w="2087"/>
        <w:gridCol w:w="2632"/>
      </w:tblGrid>
      <w:tr>
        <w:trPr>
          <w:trHeight w:val="714"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5,250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5,250</w:t>
            </w:r>
          </w:p>
        </w:tc>
      </w:tr>
      <w:tr>
        <w:trPr>
          <w:trHeight w:val="714"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21,350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18,151.01</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1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69"/>
        <w:gridCol w:w="1962"/>
        <w:gridCol w:w="1981"/>
        <w:gridCol w:w="1910"/>
        <w:gridCol w:w="1847"/>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50,651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50,651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6"/>
        <w:ind w:left="154"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3612" w:hanging="420"/>
        <w:jc w:val="left"/>
        <w:rPr>
          <w:rFonts w:ascii="宋体" w:hAnsi="宋体" w:cs="宋体" w:eastAsia="宋体" w:hint="default"/>
          <w:sz w:val="21"/>
          <w:szCs w:val="21"/>
        </w:rPr>
      </w:pPr>
      <w:bookmarkStart w:name="1、履行社会责任情况" w:id="97"/>
      <w:bookmarkEnd w:id="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21"/>
          <w:szCs w:val="21"/>
        </w:rPr>
        <w:t>具体内容请查看公司于在巨潮资讯网刊登的《</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年度社会责任报告》。</w:t>
      </w:r>
    </w:p>
    <w:p>
      <w:pPr>
        <w:spacing w:line="568" w:lineRule="auto" w:before="64"/>
        <w:ind w:left="574" w:right="4242" w:hanging="420"/>
        <w:jc w:val="left"/>
        <w:rPr>
          <w:rFonts w:ascii="宋体" w:hAnsi="宋体" w:cs="宋体" w:eastAsia="宋体" w:hint="default"/>
          <w:sz w:val="21"/>
          <w:szCs w:val="21"/>
        </w:rPr>
      </w:pPr>
      <w:bookmarkStart w:name="2、履行精准扶贫社会责任情况" w:id="98"/>
      <w:bookmarkEnd w:id="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t>公司报告年度暂未开展精准扶贫工作，也暂无后续精准扶贫计划。</w:t>
      </w:r>
    </w:p>
    <w:p>
      <w:pPr>
        <w:pStyle w:val="Heading4"/>
        <w:spacing w:line="240" w:lineRule="auto" w:before="128"/>
        <w:ind w:right="0"/>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15" w:type="dxa"/>
        <w:tblLayout w:type="fixed"/>
        <w:tblCellMar>
          <w:top w:w="0" w:type="dxa"/>
          <w:left w:w="0" w:type="dxa"/>
          <w:bottom w:w="0" w:type="dxa"/>
          <w:right w:w="0" w:type="dxa"/>
        </w:tblCellMar>
        <w:tblLook w:val="01E0"/>
      </w:tblPr>
      <w:tblGrid>
        <w:gridCol w:w="962"/>
        <w:gridCol w:w="955"/>
        <w:gridCol w:w="958"/>
        <w:gridCol w:w="703"/>
        <w:gridCol w:w="1209"/>
        <w:gridCol w:w="778"/>
        <w:gridCol w:w="1559"/>
        <w:gridCol w:w="850"/>
        <w:gridCol w:w="851"/>
        <w:gridCol w:w="749"/>
      </w:tblGrid>
      <w:tr>
        <w:trPr>
          <w:trHeight w:val="1026" w:hRule="exact"/>
        </w:trPr>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5"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6" w:right="74" w:hanging="90"/>
              <w:jc w:val="left"/>
              <w:rPr>
                <w:rFonts w:ascii="宋体" w:hAnsi="宋体" w:cs="宋体" w:eastAsia="宋体" w:hint="default"/>
                <w:sz w:val="18"/>
                <w:szCs w:val="18"/>
              </w:rPr>
            </w:pPr>
            <w:r>
              <w:rPr>
                <w:rFonts w:ascii="宋体" w:hAnsi="宋体" w:cs="宋体" w:eastAsia="宋体" w:hint="default"/>
                <w:sz w:val="18"/>
                <w:szCs w:val="18"/>
              </w:rPr>
              <w:t>排放口 数量</w:t>
            </w:r>
          </w:p>
        </w:tc>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0" w:right="57" w:hanging="451"/>
              <w:jc w:val="left"/>
              <w:rPr>
                <w:rFonts w:ascii="宋体" w:hAnsi="宋体" w:cs="宋体" w:eastAsia="宋体" w:hint="default"/>
                <w:sz w:val="18"/>
                <w:szCs w:val="18"/>
              </w:rPr>
            </w:pPr>
            <w:r>
              <w:rPr>
                <w:rFonts w:ascii="宋体" w:hAnsi="宋体" w:cs="宋体" w:eastAsia="宋体" w:hint="default"/>
                <w:sz w:val="18"/>
                <w:szCs w:val="18"/>
              </w:rPr>
              <w:t>排放口分布情 况</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3" w:right="53" w:hanging="540"/>
              <w:jc w:val="left"/>
              <w:rPr>
                <w:rFonts w:ascii="宋体" w:hAnsi="宋体" w:cs="宋体" w:eastAsia="宋体" w:hint="default"/>
                <w:sz w:val="18"/>
                <w:szCs w:val="18"/>
              </w:rPr>
            </w:pPr>
            <w:r>
              <w:rPr>
                <w:rFonts w:ascii="宋体" w:hAnsi="宋体" w:cs="宋体" w:eastAsia="宋体" w:hint="default"/>
                <w:sz w:val="18"/>
                <w:szCs w:val="18"/>
              </w:rPr>
              <w:t>执行的污染物排放 标准</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9" w:right="59" w:hanging="90"/>
              <w:jc w:val="left"/>
              <w:rPr>
                <w:rFonts w:ascii="宋体" w:hAnsi="宋体" w:cs="宋体" w:eastAsia="宋体" w:hint="default"/>
                <w:sz w:val="18"/>
                <w:szCs w:val="18"/>
              </w:rPr>
            </w:pPr>
            <w:r>
              <w:rPr>
                <w:rFonts w:ascii="宋体" w:hAnsi="宋体" w:cs="宋体" w:eastAsia="宋体" w:hint="default"/>
                <w:sz w:val="18"/>
                <w:szCs w:val="18"/>
              </w:rPr>
              <w:t>核定的排 放总量</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超标排 放情况</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东山双东污水 处理厂总排口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58"/>
              <w:jc w:val="left"/>
              <w:rPr>
                <w:rFonts w:ascii="Times New Roman" w:hAnsi="Times New Roman" w:cs="Times New Roman" w:eastAsia="Times New Roman" w:hint="default"/>
                <w:sz w:val="18"/>
                <w:szCs w:val="18"/>
              </w:rPr>
            </w:pPr>
            <w:r>
              <w:rPr>
                <w:rFonts w:ascii="Times New Roman"/>
                <w:sz w:val="18"/>
              </w:rPr>
              <w:t>21.77mg/ 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9"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2"/>
                <w:sz w:val="18"/>
                <w:szCs w:val="18"/>
              </w:rPr>
              <w:t>物排放标准》一级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113362kg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113362kg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BOD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东山双东污水 处理厂总排口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8.45mg/L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9"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2"/>
                <w:sz w:val="18"/>
                <w:szCs w:val="18"/>
              </w:rPr>
              <w:t>物排放标准》一级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43854kg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43854kg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SS</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东山双东污水 处理厂总排口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11mg/L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9"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2"/>
                <w:sz w:val="18"/>
                <w:szCs w:val="18"/>
              </w:rPr>
              <w:t>物排放标准》一级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56419kg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56419kg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东山双东污水 处理厂总排口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3.23mg/L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9"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2"/>
                <w:sz w:val="18"/>
                <w:szCs w:val="18"/>
              </w:rPr>
              <w:t>物排放标准》一级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16722kg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16722kg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TN</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东山双东污水 处理厂总排口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9.0mg/L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9"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2"/>
                <w:sz w:val="18"/>
                <w:szCs w:val="18"/>
              </w:rPr>
              <w:t>物排放标准》一级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45893kg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45893kg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TP</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东山双东污水 处理厂总排口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362" w:lineRule="auto"/>
              <w:ind w:left="22" w:right="58"/>
              <w:jc w:val="left"/>
              <w:rPr>
                <w:rFonts w:ascii="Times New Roman" w:hAnsi="Times New Roman" w:cs="Times New Roman" w:eastAsia="Times New Roman" w:hint="default"/>
                <w:sz w:val="18"/>
                <w:szCs w:val="18"/>
              </w:rPr>
            </w:pPr>
            <w:r>
              <w:rPr>
                <w:rFonts w:ascii="Times New Roman"/>
                <w:sz w:val="18"/>
              </w:rPr>
              <w:t>0.825mg/ 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9" w:lineRule="auto" w:before="62"/>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2"/>
                <w:sz w:val="18"/>
                <w:szCs w:val="18"/>
              </w:rPr>
              <w:t>物排放标准》一级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4253kg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4253kg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14.84mg/</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GB16889-2008-199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1339.47kg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1339.47kg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962"/>
        <w:gridCol w:w="955"/>
        <w:gridCol w:w="958"/>
        <w:gridCol w:w="703"/>
        <w:gridCol w:w="1209"/>
        <w:gridCol w:w="778"/>
        <w:gridCol w:w="1559"/>
        <w:gridCol w:w="850"/>
        <w:gridCol w:w="851"/>
        <w:gridCol w:w="749"/>
      </w:tblGrid>
      <w:tr>
        <w:trPr>
          <w:trHeight w:val="986" w:hRule="exact"/>
        </w:trPr>
        <w:tc>
          <w:tcPr>
            <w:tcW w:w="962"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《生活垃圾填埋场</w:t>
            </w:r>
            <w:r>
              <w:rPr>
                <w:rFonts w:ascii="宋体" w:hAnsi="宋体" w:cs="宋体" w:eastAsia="宋体" w:hint="default"/>
                <w:spacing w:val="-82"/>
                <w:sz w:val="18"/>
                <w:szCs w:val="18"/>
              </w:rPr>
              <w:t> </w:t>
            </w:r>
            <w:r>
              <w:rPr>
                <w:rFonts w:ascii="宋体" w:hAnsi="宋体" w:cs="宋体" w:eastAsia="宋体" w:hint="default"/>
                <w:sz w:val="18"/>
                <w:szCs w:val="18"/>
              </w:rPr>
              <w:t>污染物控制标准》 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58"/>
              <w:jc w:val="left"/>
              <w:rPr>
                <w:rFonts w:ascii="Times New Roman" w:hAnsi="Times New Roman" w:cs="Times New Roman" w:eastAsia="Times New Roman" w:hint="default"/>
                <w:sz w:val="18"/>
                <w:szCs w:val="18"/>
              </w:rPr>
            </w:pPr>
            <w:r>
              <w:rPr>
                <w:rFonts w:ascii="Times New Roman"/>
                <w:sz w:val="18"/>
              </w:rPr>
              <w:t>4.023mg/ 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GB16889-2008-199</w:t>
            </w:r>
          </w:p>
          <w:p>
            <w:pPr>
              <w:pStyle w:val="TableParagraph"/>
              <w:spacing w:line="309" w:lineRule="auto" w:before="64"/>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《生活垃圾填埋场</w:t>
            </w:r>
            <w:r>
              <w:rPr>
                <w:rFonts w:ascii="宋体" w:hAnsi="宋体" w:cs="宋体" w:eastAsia="宋体" w:hint="default"/>
                <w:spacing w:val="-82"/>
                <w:sz w:val="18"/>
                <w:szCs w:val="18"/>
              </w:rPr>
              <w:t> </w:t>
            </w:r>
            <w:r>
              <w:rPr>
                <w:rFonts w:ascii="宋体" w:hAnsi="宋体" w:cs="宋体" w:eastAsia="宋体" w:hint="default"/>
                <w:sz w:val="18"/>
                <w:szCs w:val="18"/>
              </w:rPr>
              <w:t>污染物控制标准》 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353.96kg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353.96kg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58"/>
              <w:jc w:val="left"/>
              <w:rPr>
                <w:rFonts w:ascii="Times New Roman" w:hAnsi="Times New Roman" w:cs="Times New Roman" w:eastAsia="Times New Roman" w:hint="default"/>
                <w:sz w:val="18"/>
                <w:szCs w:val="18"/>
              </w:rPr>
            </w:pPr>
            <w:r>
              <w:rPr>
                <w:rFonts w:ascii="Times New Roman"/>
                <w:sz w:val="18"/>
              </w:rPr>
              <w:t>0.098mg/ 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GB16889-2008-199</w:t>
            </w:r>
          </w:p>
          <w:p>
            <w:pPr>
              <w:pStyle w:val="TableParagraph"/>
              <w:spacing w:line="309" w:lineRule="auto" w:before="64"/>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《生活垃圾填埋场</w:t>
            </w:r>
            <w:r>
              <w:rPr>
                <w:rFonts w:ascii="宋体" w:hAnsi="宋体" w:cs="宋体" w:eastAsia="宋体" w:hint="default"/>
                <w:spacing w:val="-82"/>
                <w:sz w:val="18"/>
                <w:szCs w:val="18"/>
              </w:rPr>
              <w:t> </w:t>
            </w:r>
            <w:r>
              <w:rPr>
                <w:rFonts w:ascii="宋体" w:hAnsi="宋体" w:cs="宋体" w:eastAsia="宋体" w:hint="default"/>
                <w:sz w:val="18"/>
                <w:szCs w:val="18"/>
              </w:rPr>
              <w:t>污染物控制标准》 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8.71kg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8.71kg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合肥嘉园污水 处理总排口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58"/>
              <w:jc w:val="left"/>
              <w:rPr>
                <w:rFonts w:ascii="Times New Roman" w:hAnsi="Times New Roman" w:cs="Times New Roman" w:eastAsia="Times New Roman" w:hint="default"/>
                <w:sz w:val="18"/>
                <w:szCs w:val="18"/>
              </w:rPr>
            </w:pPr>
            <w:r>
              <w:rPr>
                <w:rFonts w:ascii="Times New Roman"/>
                <w:sz w:val="18"/>
              </w:rPr>
              <w:t>42.82mg/ 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8505.29kg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8505.29kg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合肥嘉园污水 处理总排口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3.58mg/L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711.09kg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711.09kg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合肥嘉园污水 处理总排口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58"/>
              <w:jc w:val="left"/>
              <w:rPr>
                <w:rFonts w:ascii="Times New Roman" w:hAnsi="Times New Roman" w:cs="Times New Roman" w:eastAsia="Times New Roman" w:hint="default"/>
                <w:sz w:val="18"/>
                <w:szCs w:val="18"/>
              </w:rPr>
            </w:pPr>
            <w:r>
              <w:rPr>
                <w:rFonts w:ascii="Times New Roman"/>
                <w:sz w:val="18"/>
              </w:rPr>
              <w:t>21.12mg/ 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4195.04kg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4195.04kg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合肥嘉园污水 处理总排口</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58"/>
              <w:jc w:val="left"/>
              <w:rPr>
                <w:rFonts w:ascii="Times New Roman" w:hAnsi="Times New Roman" w:cs="Times New Roman" w:eastAsia="Times New Roman" w:hint="default"/>
                <w:sz w:val="18"/>
                <w:szCs w:val="18"/>
              </w:rPr>
            </w:pPr>
            <w:r>
              <w:rPr>
                <w:rFonts w:ascii="Times New Roman"/>
                <w:sz w:val="18"/>
              </w:rPr>
              <w:t>0.186mg/ 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36.94kg</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36.94kg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3"/>
        <w:ind w:left="574" w:right="0"/>
        <w:jc w:val="left"/>
      </w:pPr>
      <w:r>
        <w:rPr/>
        <w:t>防治污染设施的建设和运行情况</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1</w:t>
      </w:r>
      <w:r>
        <w:rPr/>
        <w:t>、东山嘉园主要采用卡鲁塞尔改良型氧化沟工艺，现有</w:t>
      </w:r>
      <w:r>
        <w:rPr>
          <w:spacing w:val="-33"/>
        </w:rPr>
        <w:t> </w:t>
      </w:r>
      <w:r>
        <w:rPr>
          <w:rFonts w:ascii="宋体" w:hAnsi="宋体" w:cs="宋体" w:eastAsia="宋体" w:hint="default"/>
        </w:rPr>
        <w:t>3</w:t>
      </w:r>
      <w:r>
        <w:rPr>
          <w:rFonts w:ascii="宋体" w:hAnsi="宋体" w:cs="宋体" w:eastAsia="宋体" w:hint="default"/>
          <w:spacing w:val="-33"/>
        </w:rPr>
        <w:t> </w:t>
      </w:r>
      <w:r>
        <w:rPr/>
        <w:t>条设计日处理量</w:t>
      </w:r>
      <w:r>
        <w:rPr>
          <w:spacing w:val="-33"/>
        </w:rPr>
        <w:t> </w:t>
      </w:r>
      <w:r>
        <w:rPr>
          <w:rFonts w:ascii="宋体" w:hAnsi="宋体" w:cs="宋体" w:eastAsia="宋体" w:hint="default"/>
        </w:rPr>
        <w:t>1</w:t>
      </w:r>
      <w:r>
        <w:rPr>
          <w:rFonts w:ascii="宋体" w:hAnsi="宋体" w:cs="宋体" w:eastAsia="宋体" w:hint="default"/>
          <w:spacing w:val="-33"/>
        </w:rPr>
        <w:t> </w:t>
      </w:r>
      <w:r>
        <w:rPr/>
        <w:t>万吨的生产线，总处理</w:t>
      </w:r>
    </w:p>
    <w:p>
      <w:pPr>
        <w:spacing w:line="240" w:lineRule="auto" w:before="10"/>
        <w:rPr>
          <w:rFonts w:ascii="宋体" w:hAnsi="宋体" w:cs="宋体" w:eastAsia="宋体" w:hint="default"/>
          <w:sz w:val="14"/>
          <w:szCs w:val="14"/>
        </w:rPr>
      </w:pPr>
    </w:p>
    <w:p>
      <w:pPr>
        <w:pStyle w:val="BodyText"/>
        <w:spacing w:line="408" w:lineRule="auto" w:before="0"/>
        <w:ind w:right="1023"/>
        <w:jc w:val="left"/>
      </w:pPr>
      <w:r>
        <w:rPr/>
        <w:t>规模达到 </w:t>
      </w:r>
      <w:r>
        <w:rPr>
          <w:rFonts w:ascii="宋体" w:hAnsi="宋体" w:cs="宋体" w:eastAsia="宋体" w:hint="default"/>
        </w:rPr>
        <w:t>3</w:t>
      </w:r>
      <w:r>
        <w:rPr>
          <w:rFonts w:ascii="宋体" w:hAnsi="宋体" w:cs="宋体" w:eastAsia="宋体" w:hint="default"/>
          <w:spacing w:val="-24"/>
        </w:rPr>
        <w:t> </w:t>
      </w:r>
      <w:r>
        <w:rPr/>
        <w:t>万吨</w:t>
      </w:r>
      <w:r>
        <w:rPr>
          <w:rFonts w:ascii="宋体" w:hAnsi="宋体" w:cs="宋体" w:eastAsia="宋体" w:hint="default"/>
        </w:rPr>
        <w:t>/</w:t>
      </w:r>
      <w:r>
        <w:rPr/>
        <w:t>日。主要生产设施有：西埔泵站、沉砂池、粗格栅及提升泵井、分配井、细格栅及旋流 </w:t>
      </w:r>
      <w:r>
        <w:rPr>
          <w:spacing w:val="-5"/>
        </w:rPr>
        <w:t>除砂池（</w:t>
      </w:r>
      <w:r>
        <w:rPr>
          <w:rFonts w:ascii="宋体" w:hAnsi="宋体" w:cs="宋体" w:eastAsia="宋体" w:hint="default"/>
          <w:spacing w:val="-5"/>
        </w:rPr>
        <w:t>2</w:t>
      </w:r>
      <w:r>
        <w:rPr>
          <w:rFonts w:ascii="宋体" w:hAnsi="宋体" w:cs="宋体" w:eastAsia="宋体" w:hint="default"/>
          <w:spacing w:val="-48"/>
        </w:rPr>
        <w:t> </w:t>
      </w:r>
      <w:r>
        <w:rPr>
          <w:spacing w:val="-5"/>
        </w:rPr>
        <w:t>座）、水解酸化池及厌氧池（</w:t>
      </w:r>
      <w:r>
        <w:rPr>
          <w:rFonts w:ascii="宋体" w:hAnsi="宋体" w:cs="宋体" w:eastAsia="宋体" w:hint="default"/>
          <w:spacing w:val="-5"/>
        </w:rPr>
        <w:t>1</w:t>
      </w:r>
      <w:r>
        <w:rPr>
          <w:rFonts w:ascii="宋体" w:hAnsi="宋体" w:cs="宋体" w:eastAsia="宋体" w:hint="default"/>
          <w:spacing w:val="-48"/>
        </w:rPr>
        <w:t> </w:t>
      </w:r>
      <w:r>
        <w:rPr>
          <w:spacing w:val="-9"/>
        </w:rPr>
        <w:t>座）、氧化沟（</w:t>
      </w:r>
      <w:r>
        <w:rPr>
          <w:rFonts w:ascii="宋体" w:hAnsi="宋体" w:cs="宋体" w:eastAsia="宋体" w:hint="default"/>
          <w:spacing w:val="-9"/>
        </w:rPr>
        <w:t>3</w:t>
      </w:r>
      <w:r>
        <w:rPr>
          <w:rFonts w:ascii="宋体" w:hAnsi="宋体" w:cs="宋体" w:eastAsia="宋体" w:hint="default"/>
          <w:spacing w:val="-48"/>
        </w:rPr>
        <w:t> </w:t>
      </w:r>
      <w:r>
        <w:rPr>
          <w:spacing w:val="-9"/>
        </w:rPr>
        <w:t>座）、二沉池（</w:t>
      </w:r>
      <w:r>
        <w:rPr>
          <w:rFonts w:ascii="宋体" w:hAnsi="宋体" w:cs="宋体" w:eastAsia="宋体" w:hint="default"/>
          <w:spacing w:val="-9"/>
        </w:rPr>
        <w:t>3</w:t>
      </w:r>
      <w:r>
        <w:rPr>
          <w:rFonts w:ascii="宋体" w:hAnsi="宋体" w:cs="宋体" w:eastAsia="宋体" w:hint="default"/>
          <w:spacing w:val="-49"/>
        </w:rPr>
        <w:t> </w:t>
      </w:r>
      <w:r>
        <w:rPr>
          <w:spacing w:val="-6"/>
        </w:rPr>
        <w:t>座）、二次提升泵房（</w:t>
      </w:r>
      <w:r>
        <w:rPr>
          <w:rFonts w:ascii="宋体" w:hAnsi="宋体" w:cs="宋体" w:eastAsia="宋体" w:hint="default"/>
          <w:spacing w:val="-6"/>
        </w:rPr>
        <w:t>1</w:t>
      </w:r>
      <w:r>
        <w:rPr>
          <w:rFonts w:ascii="宋体" w:hAnsi="宋体" w:cs="宋体" w:eastAsia="宋体" w:hint="default"/>
          <w:spacing w:val="-48"/>
        </w:rPr>
        <w:t> </w:t>
      </w:r>
      <w:r>
        <w:rPr>
          <w:spacing w:val="-8"/>
        </w:rPr>
        <w:t>座）、</w:t>
      </w:r>
      <w:r>
        <w:rPr>
          <w:spacing w:val="-103"/>
        </w:rPr>
        <w:t> </w:t>
      </w:r>
      <w:r>
        <w:rPr>
          <w:spacing w:val="-103"/>
        </w:rPr>
      </w:r>
      <w:r>
        <w:rPr/>
        <w:t>高密度澄清池（</w:t>
      </w:r>
      <w:r>
        <w:rPr>
          <w:rFonts w:ascii="宋体" w:hAnsi="宋体" w:cs="宋体" w:eastAsia="宋体" w:hint="default"/>
        </w:rPr>
        <w:t>1</w:t>
      </w:r>
      <w:r>
        <w:rPr>
          <w:rFonts w:ascii="宋体" w:hAnsi="宋体" w:cs="宋体" w:eastAsia="宋体" w:hint="default"/>
          <w:spacing w:val="-33"/>
        </w:rPr>
        <w:t> </w:t>
      </w:r>
      <w:r>
        <w:rPr/>
        <w:t>座）、纤维转盘滤池（</w:t>
      </w:r>
      <w:r>
        <w:rPr>
          <w:rFonts w:ascii="宋体" w:hAnsi="宋体" w:cs="宋体" w:eastAsia="宋体" w:hint="default"/>
        </w:rPr>
        <w:t>1</w:t>
      </w:r>
      <w:r>
        <w:rPr>
          <w:rFonts w:ascii="宋体" w:hAnsi="宋体" w:cs="宋体" w:eastAsia="宋体" w:hint="default"/>
          <w:spacing w:val="-33"/>
        </w:rPr>
        <w:t> </w:t>
      </w:r>
      <w:r>
        <w:rPr/>
        <w:t>座）、接触消毒池（</w:t>
      </w:r>
      <w:r>
        <w:rPr>
          <w:rFonts w:ascii="宋体" w:hAnsi="宋体" w:cs="宋体" w:eastAsia="宋体" w:hint="default"/>
        </w:rPr>
        <w:t>1</w:t>
      </w:r>
      <w:r>
        <w:rPr>
          <w:rFonts w:ascii="宋体" w:hAnsi="宋体" w:cs="宋体" w:eastAsia="宋体" w:hint="default"/>
          <w:spacing w:val="-33"/>
        </w:rPr>
        <w:t> </w:t>
      </w:r>
      <w:r>
        <w:rPr/>
        <w:t>座）、污泥池（</w:t>
      </w:r>
      <w:r>
        <w:rPr>
          <w:rFonts w:ascii="宋体" w:hAnsi="宋体" w:cs="宋体" w:eastAsia="宋体" w:hint="default"/>
        </w:rPr>
        <w:t>2</w:t>
      </w:r>
      <w:r>
        <w:rPr>
          <w:rFonts w:ascii="宋体" w:hAnsi="宋体" w:cs="宋体" w:eastAsia="宋体" w:hint="default"/>
          <w:spacing w:val="-33"/>
        </w:rPr>
        <w:t> </w:t>
      </w:r>
      <w:r>
        <w:rPr/>
        <w:t>座）、污泥浓缩池（</w:t>
      </w:r>
      <w:r>
        <w:rPr>
          <w:rFonts w:ascii="宋体" w:hAnsi="宋体" w:cs="宋体" w:eastAsia="宋体" w:hint="default"/>
        </w:rPr>
        <w:t>2 </w:t>
      </w:r>
      <w:r>
        <w:rPr/>
        <w:t>座）、污泥脱水车间以及巴氏计量槽。其中一期</w:t>
      </w:r>
      <w:r>
        <w:rPr>
          <w:spacing w:val="-55"/>
        </w:rPr>
        <w:t> </w:t>
      </w:r>
      <w:r>
        <w:rPr>
          <w:rFonts w:ascii="宋体" w:hAnsi="宋体" w:cs="宋体" w:eastAsia="宋体" w:hint="default"/>
        </w:rPr>
        <w:t>2008</w:t>
      </w:r>
      <w:r>
        <w:rPr>
          <w:rFonts w:ascii="宋体" w:hAnsi="宋体" w:cs="宋体" w:eastAsia="宋体" w:hint="default"/>
          <w:spacing w:val="-57"/>
        </w:rPr>
        <w:t> </w:t>
      </w:r>
      <w:r>
        <w:rPr/>
        <w:t>年</w:t>
      </w:r>
      <w:r>
        <w:rPr>
          <w:spacing w:val="-57"/>
        </w:rPr>
        <w:t> </w:t>
      </w:r>
      <w:r>
        <w:rPr>
          <w:rFonts w:ascii="宋体" w:hAnsi="宋体" w:cs="宋体" w:eastAsia="宋体" w:hint="default"/>
        </w:rPr>
        <w:t>09</w:t>
      </w:r>
      <w:r>
        <w:rPr>
          <w:rFonts w:ascii="宋体" w:hAnsi="宋体" w:cs="宋体" w:eastAsia="宋体" w:hint="default"/>
          <w:spacing w:val="-56"/>
        </w:rPr>
        <w:t> </w:t>
      </w:r>
      <w:r>
        <w:rPr/>
        <w:t>月投建于</w:t>
      </w:r>
      <w:r>
        <w:rPr>
          <w:spacing w:val="-58"/>
        </w:rPr>
        <w:t> </w:t>
      </w:r>
      <w:r>
        <w:rPr>
          <w:rFonts w:ascii="宋体" w:hAnsi="宋体" w:cs="宋体" w:eastAsia="宋体" w:hint="default"/>
        </w:rPr>
        <w:t>2009</w:t>
      </w:r>
      <w:r>
        <w:rPr>
          <w:rFonts w:ascii="宋体" w:hAnsi="宋体" w:cs="宋体" w:eastAsia="宋体" w:hint="default"/>
          <w:spacing w:val="-57"/>
        </w:rPr>
        <w:t> </w:t>
      </w:r>
      <w:r>
        <w:rPr/>
        <w:t>年</w:t>
      </w:r>
      <w:r>
        <w:rPr>
          <w:spacing w:val="-57"/>
        </w:rPr>
        <w:t> </w:t>
      </w:r>
      <w:r>
        <w:rPr>
          <w:rFonts w:ascii="宋体" w:hAnsi="宋体" w:cs="宋体" w:eastAsia="宋体" w:hint="default"/>
        </w:rPr>
        <w:t>06</w:t>
      </w:r>
      <w:r>
        <w:rPr>
          <w:rFonts w:ascii="宋体" w:hAnsi="宋体" w:cs="宋体" w:eastAsia="宋体" w:hint="default"/>
          <w:spacing w:val="-56"/>
        </w:rPr>
        <w:t> </w:t>
      </w:r>
      <w:r>
        <w:rPr/>
        <w:t>建成投产，设计日处理量</w:t>
      </w: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52"/>
        </w:rPr>
        <w:t> </w:t>
      </w:r>
      <w:r>
        <w:rPr/>
        <w:t>万吨；二期</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2"/>
        </w:rPr>
        <w:t> </w:t>
      </w:r>
      <w:r>
        <w:rPr>
          <w:rFonts w:ascii="宋体" w:hAnsi="宋体" w:cs="宋体" w:eastAsia="宋体" w:hint="default"/>
        </w:rPr>
        <w:t>08</w:t>
      </w:r>
      <w:r>
        <w:rPr>
          <w:rFonts w:ascii="宋体" w:hAnsi="宋体" w:cs="宋体" w:eastAsia="宋体" w:hint="default"/>
          <w:spacing w:val="-52"/>
        </w:rPr>
        <w:t> </w:t>
      </w:r>
      <w:r>
        <w:rPr/>
        <w:t>月投建于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03</w:t>
      </w:r>
      <w:r>
        <w:rPr>
          <w:rFonts w:ascii="宋体" w:hAnsi="宋体" w:cs="宋体" w:eastAsia="宋体" w:hint="default"/>
          <w:spacing w:val="-52"/>
        </w:rPr>
        <w:t> </w:t>
      </w:r>
      <w:r>
        <w:rPr/>
        <w:t>月建成投产，设计日处理量</w:t>
      </w:r>
      <w:r>
        <w:rPr>
          <w:spacing w:val="-52"/>
        </w:rPr>
        <w:t> </w:t>
      </w:r>
      <w:r>
        <w:rPr>
          <w:rFonts w:ascii="宋体" w:hAnsi="宋体" w:cs="宋体" w:eastAsia="宋体" w:hint="default"/>
        </w:rPr>
        <w:t>1</w:t>
      </w:r>
      <w:r>
        <w:rPr>
          <w:rFonts w:ascii="宋体" w:hAnsi="宋体" w:cs="宋体" w:eastAsia="宋体" w:hint="default"/>
          <w:spacing w:val="-52"/>
        </w:rPr>
        <w:t> </w:t>
      </w:r>
      <w:r>
        <w:rPr/>
        <w:t>万吨；三期</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08</w:t>
      </w:r>
      <w:r>
        <w:rPr>
          <w:rFonts w:ascii="宋体" w:hAnsi="宋体" w:cs="宋体" w:eastAsia="宋体" w:hint="default"/>
          <w:spacing w:val="-52"/>
        </w:rPr>
        <w:t> </w:t>
      </w:r>
      <w:r>
        <w:rPr/>
        <w:t>月投建</w:t>
      </w:r>
    </w:p>
    <w:p>
      <w:pPr>
        <w:spacing w:line="240" w:lineRule="auto" w:before="10"/>
        <w:rPr>
          <w:rFonts w:ascii="宋体" w:hAnsi="宋体" w:cs="宋体" w:eastAsia="宋体" w:hint="default"/>
          <w:sz w:val="14"/>
          <w:szCs w:val="14"/>
        </w:rPr>
      </w:pPr>
    </w:p>
    <w:p>
      <w:pPr>
        <w:pStyle w:val="BodyText"/>
        <w:spacing w:line="408" w:lineRule="auto" w:before="0"/>
        <w:ind w:right="1128"/>
        <w:jc w:val="left"/>
      </w:pPr>
      <w:r>
        <w:rPr/>
        <w:t>于</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05</w:t>
      </w:r>
      <w:r>
        <w:rPr>
          <w:rFonts w:ascii="宋体" w:hAnsi="宋体" w:cs="宋体" w:eastAsia="宋体" w:hint="default"/>
          <w:spacing w:val="-51"/>
        </w:rPr>
        <w:t> </w:t>
      </w:r>
      <w:r>
        <w:rPr/>
        <w:t>月建成投产，设计日处理量</w:t>
      </w:r>
      <w:r>
        <w:rPr>
          <w:spacing w:val="-51"/>
        </w:rPr>
        <w:t> </w:t>
      </w:r>
      <w:r>
        <w:rPr>
          <w:rFonts w:ascii="宋体" w:hAnsi="宋体" w:cs="宋体" w:eastAsia="宋体" w:hint="default"/>
        </w:rPr>
        <w:t>1</w:t>
      </w:r>
      <w:r>
        <w:rPr>
          <w:rFonts w:ascii="宋体" w:hAnsi="宋体" w:cs="宋体" w:eastAsia="宋体" w:hint="default"/>
          <w:spacing w:val="-51"/>
        </w:rPr>
        <w:t> </w:t>
      </w:r>
      <w:r>
        <w:rPr/>
        <w:t>万吨。</w:t>
      </w: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11</w:t>
      </w:r>
      <w:r>
        <w:rPr>
          <w:rFonts w:ascii="宋体" w:hAnsi="宋体" w:cs="宋体" w:eastAsia="宋体" w:hint="default"/>
          <w:spacing w:val="-52"/>
        </w:rPr>
        <w:t> </w:t>
      </w:r>
      <w:r>
        <w:rPr/>
        <w:t>月一级</w:t>
      </w:r>
      <w:r>
        <w:rPr>
          <w:spacing w:val="-51"/>
        </w:rPr>
        <w:t> </w:t>
      </w:r>
      <w:r>
        <w:rPr>
          <w:rFonts w:ascii="宋体" w:hAnsi="宋体" w:cs="宋体" w:eastAsia="宋体" w:hint="default"/>
        </w:rPr>
        <w:t>A</w:t>
      </w:r>
      <w:r>
        <w:rPr>
          <w:rFonts w:ascii="宋体" w:hAnsi="宋体" w:cs="宋体" w:eastAsia="宋体" w:hint="default"/>
          <w:spacing w:val="-51"/>
        </w:rPr>
        <w:t> </w:t>
      </w:r>
      <w:r>
        <w:rPr/>
        <w:t>提标改造工程投入正式使用。东山 嘉园投入运营以来，各生产设施稳定正常运行，出水达标排放。</w:t>
      </w:r>
    </w:p>
    <w:p>
      <w:pPr>
        <w:pStyle w:val="BodyText"/>
        <w:spacing w:line="240" w:lineRule="auto"/>
        <w:ind w:left="574" w:right="0"/>
        <w:jc w:val="left"/>
      </w:pPr>
      <w:r>
        <w:rPr>
          <w:rFonts w:ascii="宋体" w:hAnsi="宋体" w:cs="宋体" w:eastAsia="宋体" w:hint="default"/>
        </w:rPr>
        <w:t>2</w:t>
      </w:r>
      <w:r>
        <w:rPr/>
        <w:t>、福安垃圾填埋场渗滤液处理主要采用</w:t>
      </w:r>
      <w:r>
        <w:rPr>
          <w:rFonts w:ascii="宋体" w:hAnsi="宋体" w:cs="宋体" w:eastAsia="宋体" w:hint="default"/>
        </w:rPr>
        <w:t>:</w:t>
      </w:r>
      <w:r>
        <w:rPr/>
        <w:t>水质均衡池</w:t>
      </w:r>
      <w:r>
        <w:rPr>
          <w:rFonts w:ascii="宋体" w:hAnsi="宋体" w:cs="宋体" w:eastAsia="宋体" w:hint="default"/>
        </w:rPr>
        <w:t>+MBR(</w:t>
      </w:r>
      <w:r>
        <w:rPr/>
        <w:t>两级</w:t>
      </w:r>
      <w:r>
        <w:rPr>
          <w:spacing w:val="-60"/>
        </w:rPr>
        <w:t> </w:t>
      </w:r>
      <w:r>
        <w:rPr>
          <w:rFonts w:ascii="宋体" w:hAnsi="宋体" w:cs="宋体" w:eastAsia="宋体" w:hint="default"/>
          <w:spacing w:val="-3"/>
        </w:rPr>
        <w:t>A/O)+NF/RO</w:t>
      </w:r>
      <w:r>
        <w:rPr>
          <w:spacing w:val="-3"/>
        </w:rPr>
        <w:t>。一期工程于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开工，工艺设计处理能力进水</w:t>
      </w:r>
      <w:r>
        <w:rPr>
          <w:spacing w:val="-50"/>
        </w:rPr>
        <w:t> </w:t>
      </w:r>
      <w:r>
        <w:rPr>
          <w:rFonts w:ascii="宋体" w:hAnsi="宋体" w:cs="宋体" w:eastAsia="宋体" w:hint="default"/>
        </w:rPr>
        <w:t>250</w:t>
      </w:r>
      <w:r>
        <w:rPr>
          <w:rFonts w:ascii="宋体" w:hAnsi="宋体" w:cs="宋体" w:eastAsia="宋体" w:hint="default"/>
          <w:spacing w:val="-51"/>
        </w:rPr>
        <w:t> </w:t>
      </w:r>
      <w:r>
        <w:rPr/>
        <w:t>吨</w:t>
      </w:r>
      <w:r>
        <w:rPr>
          <w:rFonts w:ascii="宋体" w:hAnsi="宋体" w:cs="宋体" w:eastAsia="宋体" w:hint="default"/>
        </w:rPr>
        <w:t>/</w:t>
      </w:r>
      <w:r>
        <w:rPr/>
        <w:t>天；扩容项目于</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0"/>
        </w:rPr>
        <w:t> </w:t>
      </w:r>
      <w:r>
        <w:rPr>
          <w:rFonts w:ascii="宋体" w:hAnsi="宋体" w:cs="宋体" w:eastAsia="宋体" w:hint="default"/>
        </w:rPr>
        <w:t>1</w:t>
      </w:r>
      <w:r>
        <w:rPr>
          <w:rFonts w:ascii="宋体" w:hAnsi="宋体" w:cs="宋体" w:eastAsia="宋体" w:hint="default"/>
          <w:spacing w:val="-49"/>
        </w:rPr>
        <w:t> </w:t>
      </w:r>
      <w:r>
        <w:rPr/>
        <w:t>月开始施工，两次建设总处理进水量</w:t>
      </w:r>
      <w:r>
        <w:rPr>
          <w:spacing w:val="-50"/>
        </w:rPr>
        <w:t> </w:t>
      </w:r>
      <w:r>
        <w:rPr>
          <w:rFonts w:ascii="宋体" w:hAnsi="宋体" w:cs="宋体" w:eastAsia="宋体" w:hint="default"/>
        </w:rPr>
        <w:t>670</w:t>
      </w:r>
    </w:p>
    <w:p>
      <w:pPr>
        <w:spacing w:line="240" w:lineRule="auto" w:before="10"/>
        <w:rPr>
          <w:rFonts w:ascii="宋体" w:hAnsi="宋体" w:cs="宋体" w:eastAsia="宋体" w:hint="default"/>
          <w:sz w:val="14"/>
          <w:szCs w:val="14"/>
        </w:rPr>
      </w:pPr>
    </w:p>
    <w:p>
      <w:pPr>
        <w:pStyle w:val="BodyText"/>
        <w:spacing w:line="408" w:lineRule="auto" w:before="0"/>
        <w:ind w:right="1122"/>
        <w:jc w:val="left"/>
      </w:pPr>
      <w:r>
        <w:rPr/>
        <w:t>吨</w:t>
      </w:r>
      <w:r>
        <w:rPr>
          <w:rFonts w:ascii="宋体" w:hAnsi="宋体" w:cs="宋体" w:eastAsia="宋体" w:hint="default"/>
        </w:rPr>
        <w:t>/</w:t>
      </w:r>
      <w:r>
        <w:rPr/>
        <w:t>天，出水量 </w:t>
      </w:r>
      <w:r>
        <w:rPr>
          <w:rFonts w:ascii="宋体" w:hAnsi="宋体" w:cs="宋体" w:eastAsia="宋体" w:hint="default"/>
        </w:rPr>
        <w:t>500</w:t>
      </w:r>
      <w:r>
        <w:rPr>
          <w:rFonts w:ascii="宋体" w:hAnsi="宋体" w:cs="宋体" w:eastAsia="宋体" w:hint="default"/>
          <w:spacing w:val="-30"/>
        </w:rPr>
        <w:t> </w:t>
      </w:r>
      <w:r>
        <w:rPr/>
        <w:t>吨</w:t>
      </w:r>
      <w:r>
        <w:rPr>
          <w:rFonts w:ascii="宋体" w:hAnsi="宋体" w:cs="宋体" w:eastAsia="宋体" w:hint="default"/>
        </w:rPr>
        <w:t>/</w:t>
      </w:r>
      <w:r>
        <w:rPr/>
        <w:t>天。污泥处理工艺：剩余污泥</w:t>
      </w:r>
      <w:r>
        <w:rPr>
          <w:rFonts w:ascii="宋体" w:hAnsi="宋体" w:cs="宋体" w:eastAsia="宋体" w:hint="default"/>
        </w:rPr>
        <w:t>+</w:t>
      </w:r>
      <w:r>
        <w:rPr/>
        <w:t>污泥浓缩</w:t>
      </w:r>
      <w:r>
        <w:rPr>
          <w:rFonts w:ascii="宋体" w:hAnsi="宋体" w:cs="宋体" w:eastAsia="宋体" w:hint="default"/>
        </w:rPr>
        <w:t>+</w:t>
      </w:r>
      <w:r>
        <w:rPr/>
        <w:t>离心脱水</w:t>
      </w:r>
      <w:r>
        <w:rPr>
          <w:rFonts w:ascii="宋体" w:hAnsi="宋体" w:cs="宋体" w:eastAsia="宋体" w:hint="default"/>
        </w:rPr>
        <w:t>+</w:t>
      </w:r>
      <w:r>
        <w:rPr/>
        <w:t>填埋场填埋。福安垃圾填埋场 渗滤液处理站投入运营以来，各生产设施稳定正常运行，出水达标排放。</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rFonts w:ascii="宋体" w:hAnsi="宋体" w:cs="宋体" w:eastAsia="宋体" w:hint="default"/>
          <w:spacing w:val="5"/>
        </w:rPr>
        <w:t>3</w:t>
      </w:r>
      <w:r>
        <w:rPr>
          <w:spacing w:val="5"/>
        </w:rPr>
        <w:t>、合肥嘉园龙泉山垃圾渗滤液处理项目位于安徽省合肥市肥东县桥头集镇龙泉山，厂区占地面积</w:t>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rFonts w:ascii="宋体" w:hAnsi="宋体" w:cs="宋体" w:eastAsia="宋体" w:hint="default"/>
        </w:rPr>
        <w:t>29.36</w:t>
      </w:r>
      <w:r>
        <w:rPr>
          <w:rFonts w:ascii="宋体" w:hAnsi="宋体" w:cs="宋体" w:eastAsia="宋体" w:hint="default"/>
          <w:spacing w:val="-52"/>
        </w:rPr>
        <w:t> </w:t>
      </w:r>
      <w:r>
        <w:rPr>
          <w:spacing w:val="-4"/>
        </w:rPr>
        <w:t>亩，总投资</w:t>
      </w:r>
      <w:r>
        <w:rPr>
          <w:spacing w:val="-53"/>
        </w:rPr>
        <w:t> </w:t>
      </w:r>
      <w:r>
        <w:rPr>
          <w:rFonts w:ascii="宋体" w:hAnsi="宋体" w:cs="宋体" w:eastAsia="宋体" w:hint="default"/>
        </w:rPr>
        <w:t>1.2</w:t>
      </w:r>
      <w:r>
        <w:rPr>
          <w:rFonts w:ascii="宋体" w:hAnsi="宋体" w:cs="宋体" w:eastAsia="宋体" w:hint="default"/>
          <w:spacing w:val="-52"/>
        </w:rPr>
        <w:t> </w:t>
      </w:r>
      <w:r>
        <w:rPr/>
        <w:t>亿。渗滤液处理规模为</w:t>
      </w:r>
      <w:r>
        <w:rPr>
          <w:spacing w:val="-52"/>
        </w:rPr>
        <w:t> </w:t>
      </w:r>
      <w:r>
        <w:rPr>
          <w:rFonts w:ascii="宋体" w:hAnsi="宋体" w:cs="宋体" w:eastAsia="宋体" w:hint="default"/>
        </w:rPr>
        <w:t>1400</w:t>
      </w:r>
      <w:r>
        <w:rPr>
          <w:rFonts w:ascii="宋体" w:hAnsi="宋体" w:cs="宋体" w:eastAsia="宋体" w:hint="default"/>
          <w:spacing w:val="-53"/>
        </w:rPr>
        <w:t> </w:t>
      </w:r>
      <w:r>
        <w:rPr>
          <w:spacing w:val="-3"/>
        </w:rPr>
        <w:t>吨</w:t>
      </w:r>
      <w:r>
        <w:rPr>
          <w:rFonts w:ascii="宋体" w:hAnsi="宋体" w:cs="宋体" w:eastAsia="宋体" w:hint="default"/>
          <w:spacing w:val="-3"/>
        </w:rPr>
        <w:t>/</w:t>
      </w:r>
      <w:r>
        <w:rPr>
          <w:spacing w:val="-3"/>
        </w:rPr>
        <w:t>天，年处理量为</w:t>
      </w:r>
      <w:r>
        <w:rPr>
          <w:spacing w:val="-52"/>
        </w:rPr>
        <w:t> </w:t>
      </w:r>
      <w:r>
        <w:rPr>
          <w:rFonts w:ascii="宋体" w:hAnsi="宋体" w:cs="宋体" w:eastAsia="宋体" w:hint="default"/>
        </w:rPr>
        <w:t>51.1</w:t>
      </w:r>
      <w:r>
        <w:rPr>
          <w:rFonts w:ascii="宋体" w:hAnsi="宋体" w:cs="宋体" w:eastAsia="宋体" w:hint="default"/>
          <w:spacing w:val="-53"/>
        </w:rPr>
        <w:t> </w:t>
      </w:r>
      <w:r>
        <w:rPr>
          <w:spacing w:val="-3"/>
        </w:rPr>
        <w:t>万吨左右，出水水质达到《生</w:t>
      </w:r>
      <w:r>
        <w:rPr/>
        <w:t> 活垃圾填埋场污染控制标准》</w:t>
      </w:r>
      <w:r>
        <w:rPr>
          <w:rFonts w:ascii="宋体" w:hAnsi="宋体" w:cs="宋体" w:eastAsia="宋体" w:hint="default"/>
        </w:rPr>
        <w:t>(GB16889-2008)</w:t>
      </w:r>
      <w:r>
        <w:rPr/>
        <w:t>中的表 </w:t>
      </w:r>
      <w:r>
        <w:rPr>
          <w:rFonts w:ascii="宋体" w:hAnsi="宋体" w:cs="宋体" w:eastAsia="宋体" w:hint="default"/>
        </w:rPr>
        <w:t>2 </w:t>
      </w:r>
      <w:r>
        <w:rPr/>
        <w:t>标准及《再生水水质标准》（</w:t>
      </w:r>
      <w:r>
        <w:rPr>
          <w:rFonts w:ascii="宋体" w:hAnsi="宋体" w:cs="宋体" w:eastAsia="宋体" w:hint="default"/>
        </w:rPr>
        <w:t>SL</w:t>
      </w:r>
      <w:r>
        <w:rPr>
          <w:rFonts w:ascii="宋体" w:hAnsi="宋体" w:cs="宋体" w:eastAsia="宋体" w:hint="default"/>
          <w:spacing w:val="-25"/>
        </w:rPr>
        <w:t> </w:t>
      </w:r>
      <w:r>
        <w:rPr>
          <w:rFonts w:ascii="宋体" w:hAnsi="宋体" w:cs="宋体" w:eastAsia="宋体" w:hint="default"/>
        </w:rPr>
        <w:t>368-2006</w:t>
      </w:r>
      <w:r>
        <w:rPr/>
        <w:t>）。渗 滤液主要处理工艺</w:t>
      </w:r>
      <w:r>
        <w:rPr>
          <w:rFonts w:ascii="宋体" w:hAnsi="宋体" w:cs="宋体" w:eastAsia="宋体" w:hint="default"/>
        </w:rPr>
        <w:t>:</w:t>
      </w:r>
      <w:r>
        <w:rPr/>
        <w:t>调节池</w:t>
      </w:r>
      <w:r>
        <w:rPr>
          <w:rFonts w:ascii="宋体" w:hAnsi="宋体" w:cs="宋体" w:eastAsia="宋体" w:hint="default"/>
        </w:rPr>
        <w:t>+</w:t>
      </w:r>
      <w:r>
        <w:rPr/>
        <w:t>配水槽</w:t>
      </w:r>
      <w:r>
        <w:rPr>
          <w:rFonts w:ascii="宋体" w:hAnsi="宋体" w:cs="宋体" w:eastAsia="宋体" w:hint="default"/>
        </w:rPr>
        <w:t>+</w:t>
      </w:r>
      <w:r>
        <w:rPr/>
        <w:t>水解酸化池</w:t>
      </w:r>
      <w:r>
        <w:rPr>
          <w:rFonts w:ascii="宋体" w:hAnsi="宋体" w:cs="宋体" w:eastAsia="宋体" w:hint="default"/>
        </w:rPr>
        <w:t>+A/O2+A/O+</w:t>
      </w:r>
      <w:r>
        <w:rPr/>
        <w:t>超滤</w:t>
      </w:r>
      <w:r>
        <w:rPr>
          <w:rFonts w:ascii="宋体" w:hAnsi="宋体" w:cs="宋体" w:eastAsia="宋体" w:hint="default"/>
        </w:rPr>
        <w:t>+</w:t>
      </w:r>
      <w:r>
        <w:rPr/>
        <w:t>纳滤</w:t>
      </w:r>
      <w:r>
        <w:rPr>
          <w:rFonts w:ascii="宋体" w:hAnsi="宋体" w:cs="宋体" w:eastAsia="宋体" w:hint="default"/>
        </w:rPr>
        <w:t>+</w:t>
      </w:r>
      <w:r>
        <w:rPr/>
        <w:t>反渗透系统，经厂区污水外排口排</w:t>
      </w:r>
      <w:r>
        <w:rPr>
          <w:spacing w:val="-33"/>
        </w:rPr>
        <w:t> </w:t>
      </w:r>
      <w:r>
        <w:rPr>
          <w:spacing w:val="-33"/>
        </w:rPr>
      </w:r>
      <w:r>
        <w:rPr/>
        <w:t>出排至店埠河。</w:t>
      </w:r>
      <w:r>
        <w:rPr>
          <w:rFonts w:ascii="宋体" w:hAnsi="宋体" w:cs="宋体" w:eastAsia="宋体" w:hint="default"/>
        </w:rPr>
        <w:t>2018</w:t>
      </w:r>
      <w:r>
        <w:rPr>
          <w:rFonts w:ascii="宋体" w:hAnsi="宋体" w:cs="宋体" w:eastAsia="宋体" w:hint="default"/>
          <w:spacing w:val="-53"/>
        </w:rPr>
        <w:t> </w:t>
      </w:r>
      <w:r>
        <w:rPr/>
        <w:t>年度计划运营</w:t>
      </w:r>
      <w:r>
        <w:rPr>
          <w:spacing w:val="-55"/>
        </w:rPr>
        <w:t> </w:t>
      </w:r>
      <w:r>
        <w:rPr>
          <w:rFonts w:ascii="宋体" w:hAnsi="宋体" w:cs="宋体" w:eastAsia="宋体" w:hint="default"/>
        </w:rPr>
        <w:t>365</w:t>
      </w:r>
      <w:r>
        <w:rPr>
          <w:rFonts w:ascii="宋体" w:hAnsi="宋体" w:cs="宋体" w:eastAsia="宋体" w:hint="default"/>
          <w:spacing w:val="-54"/>
        </w:rPr>
        <w:t> </w:t>
      </w:r>
      <w:r>
        <w:rPr/>
        <w:t>天，实际运营</w:t>
      </w:r>
      <w:r>
        <w:rPr>
          <w:spacing w:val="-54"/>
        </w:rPr>
        <w:t> </w:t>
      </w:r>
      <w:r>
        <w:rPr>
          <w:rFonts w:ascii="宋体" w:hAnsi="宋体" w:cs="宋体" w:eastAsia="宋体" w:hint="default"/>
        </w:rPr>
        <w:t>365</w:t>
      </w:r>
      <w:r>
        <w:rPr>
          <w:rFonts w:ascii="宋体" w:hAnsi="宋体" w:cs="宋体" w:eastAsia="宋体" w:hint="default"/>
          <w:spacing w:val="-54"/>
        </w:rPr>
        <w:t> </w:t>
      </w:r>
      <w:r>
        <w:rPr/>
        <w:t>天。</w:t>
      </w:r>
    </w:p>
    <w:p>
      <w:pPr>
        <w:pStyle w:val="BodyText"/>
        <w:spacing w:line="408" w:lineRule="auto"/>
        <w:ind w:left="574" w:right="5502"/>
        <w:jc w:val="left"/>
      </w:pPr>
      <w:r>
        <w:rPr/>
        <w:t>建设项目环境影响评价及其他环境保护行政许可情况 </w:t>
      </w:r>
      <w:r>
        <w:rPr>
          <w:rFonts w:ascii="宋体" w:hAnsi="宋体" w:cs="宋体" w:eastAsia="宋体" w:hint="default"/>
        </w:rPr>
        <w:t>1</w:t>
      </w:r>
      <w:r>
        <w:rPr/>
        <w:t>、东山嘉园</w:t>
      </w:r>
    </w:p>
    <w:p>
      <w:pPr>
        <w:pStyle w:val="BodyText"/>
        <w:spacing w:line="240" w:lineRule="auto"/>
        <w:ind w:left="574" w:right="0"/>
        <w:jc w:val="left"/>
      </w:pP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52"/>
        </w:rPr>
        <w:t> </w:t>
      </w:r>
      <w:r>
        <w:rPr/>
        <w:t>日</w:t>
      </w:r>
      <w:r>
        <w:rPr>
          <w:spacing w:val="-95"/>
        </w:rPr>
        <w:t>，</w:t>
      </w:r>
      <w:r>
        <w:rPr>
          <w:spacing w:val="-2"/>
        </w:rPr>
        <w:t>东</w:t>
      </w:r>
      <w:r>
        <w:rPr/>
        <w:t>山双东污水处理厂及配套污水收集管网工程通过环评审批</w:t>
      </w:r>
      <w:r>
        <w:rPr>
          <w:rFonts w:ascii="宋体" w:hAnsi="宋体" w:cs="宋体" w:eastAsia="宋体" w:hint="default"/>
          <w:spacing w:val="-1"/>
        </w:rPr>
        <w:t>,</w:t>
      </w:r>
      <w:r>
        <w:rPr/>
        <w:t>编号</w:t>
      </w:r>
      <w:r>
        <w:rPr>
          <w:spacing w:val="-95"/>
        </w:rPr>
        <w:t>：</w:t>
      </w:r>
      <w:r>
        <w:rPr/>
        <w:t>东环</w:t>
      </w:r>
      <w:r>
        <w:rPr>
          <w:spacing w:val="-95"/>
        </w:rPr>
        <w:t>审</w:t>
      </w:r>
      <w:r>
        <w:rPr>
          <w:spacing w:val="-1"/>
        </w:rPr>
        <w:t>【</w:t>
      </w:r>
      <w:r>
        <w:rPr>
          <w:rFonts w:ascii="宋体" w:hAnsi="宋体" w:cs="宋体" w:eastAsia="宋体" w:hint="default"/>
        </w:rPr>
        <w:t>201</w:t>
      </w:r>
      <w:r>
        <w:rPr>
          <w:rFonts w:ascii="宋体" w:hAnsi="宋体" w:cs="宋体" w:eastAsia="宋体" w:hint="default"/>
          <w:spacing w:val="1"/>
        </w:rPr>
        <w:t>3</w:t>
      </w:r>
      <w:r>
        <w:rPr/>
        <w:t>】</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68</w:t>
      </w:r>
      <w:r>
        <w:rPr>
          <w:rFonts w:ascii="宋体" w:hAnsi="宋体" w:cs="宋体" w:eastAsia="宋体" w:hint="default"/>
          <w:spacing w:val="-52"/>
        </w:rPr>
        <w:t> </w:t>
      </w:r>
      <w:r>
        <w:rPr/>
        <w:t>号；</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日，东山双东污水处理厂第三期工程通过环评审批，编号：东环审【</w:t>
      </w:r>
      <w:r>
        <w:rPr>
          <w:rFonts w:ascii="宋体" w:hAnsi="宋体" w:cs="宋体" w:eastAsia="宋体" w:hint="default"/>
        </w:rPr>
        <w:t>2015</w:t>
      </w:r>
      <w:r>
        <w:rPr/>
        <w:t>】</w:t>
      </w:r>
      <w:r>
        <w:rPr>
          <w:rFonts w:ascii="宋体" w:hAnsi="宋体" w:cs="宋体" w:eastAsia="宋体" w:hint="default"/>
        </w:rPr>
        <w:t>05</w:t>
      </w:r>
      <w:r>
        <w:rPr>
          <w:rFonts w:ascii="宋体" w:hAnsi="宋体" w:cs="宋体" w:eastAsia="宋体" w:hint="default"/>
          <w:spacing w:val="-54"/>
        </w:rPr>
        <w:t> </w:t>
      </w:r>
      <w:r>
        <w:rPr/>
        <w:t>号；</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6</w:t>
      </w:r>
      <w:r>
        <w:rPr>
          <w:rFonts w:ascii="宋体" w:hAnsi="宋体" w:cs="宋体" w:eastAsia="宋体" w:hint="default"/>
          <w:spacing w:val="-54"/>
        </w:rPr>
        <w:t> </w:t>
      </w:r>
      <w:r>
        <w:rPr/>
        <w:t>日，东山双东污水处理厂提标改造工程通过环评审批，编号：东环审【</w:t>
      </w:r>
      <w:r>
        <w:rPr>
          <w:rFonts w:ascii="宋体" w:hAnsi="宋体" w:cs="宋体" w:eastAsia="宋体" w:hint="default"/>
        </w:rPr>
        <w:t>2017</w:t>
      </w:r>
      <w:r>
        <w:rPr/>
        <w:t>】</w:t>
      </w:r>
      <w:r>
        <w:rPr>
          <w:rFonts w:ascii="宋体" w:hAnsi="宋体" w:cs="宋体" w:eastAsia="宋体" w:hint="default"/>
        </w:rPr>
        <w:t>15</w:t>
      </w:r>
      <w:r>
        <w:rPr>
          <w:rFonts w:ascii="宋体" w:hAnsi="宋体" w:cs="宋体" w:eastAsia="宋体" w:hint="default"/>
          <w:spacing w:val="-54"/>
        </w:rPr>
        <w:t> </w:t>
      </w:r>
      <w:r>
        <w:rPr/>
        <w:t>号。</w:t>
      </w:r>
    </w:p>
    <w:p>
      <w:pPr>
        <w:spacing w:line="240" w:lineRule="auto" w:before="10"/>
        <w:rPr>
          <w:rFonts w:ascii="宋体" w:hAnsi="宋体" w:cs="宋体" w:eastAsia="宋体" w:hint="default"/>
          <w:sz w:val="14"/>
          <w:szCs w:val="14"/>
        </w:rPr>
      </w:pPr>
    </w:p>
    <w:p>
      <w:pPr>
        <w:pStyle w:val="BodyText"/>
        <w:spacing w:line="408" w:lineRule="auto" w:before="0"/>
        <w:ind w:left="574" w:right="2159"/>
        <w:jc w:val="left"/>
      </w:pPr>
      <w:r>
        <w:rPr/>
        <w:t>排污许可证编号：</w:t>
      </w:r>
      <w:r>
        <w:rPr>
          <w:rFonts w:ascii="宋体" w:hAnsi="宋体" w:cs="宋体" w:eastAsia="宋体" w:hint="default"/>
        </w:rPr>
        <w:t>3506262015000026</w:t>
      </w:r>
      <w:r>
        <w:rPr/>
        <w:t>，有效期限</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日至</w:t>
      </w:r>
      <w:r>
        <w:rPr>
          <w:spacing w:val="-55"/>
        </w:rPr>
        <w:t> </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w:t>
      </w:r>
      <w:r>
        <w:rPr>
          <w:spacing w:val="-2"/>
        </w:rPr>
        <w:t> </w:t>
      </w:r>
      <w:r>
        <w:rPr>
          <w:rFonts w:ascii="宋体" w:hAnsi="宋体" w:cs="宋体" w:eastAsia="宋体" w:hint="default"/>
        </w:rPr>
        <w:t>2</w:t>
      </w:r>
      <w:r>
        <w:rPr/>
        <w:t>、福安嘉园</w:t>
      </w:r>
    </w:p>
    <w:p>
      <w:pPr>
        <w:pStyle w:val="BodyText"/>
        <w:spacing w:line="240" w:lineRule="auto"/>
        <w:ind w:left="574" w:right="0"/>
        <w:jc w:val="left"/>
      </w:pPr>
      <w:r>
        <w:rPr/>
        <w:t>建设项目环境保护竣工验收监测报告</w:t>
      </w:r>
      <w:r>
        <w:rPr>
          <w:rFonts w:ascii="宋体" w:hAnsi="宋体" w:cs="宋体" w:eastAsia="宋体" w:hint="default"/>
        </w:rPr>
        <w:t>----</w:t>
      </w:r>
      <w:r>
        <w:rPr/>
        <w:t>安环监站验字（</w:t>
      </w:r>
      <w:r>
        <w:rPr>
          <w:rFonts w:ascii="宋体" w:hAnsi="宋体" w:cs="宋体" w:eastAsia="宋体" w:hint="default"/>
        </w:rPr>
        <w:t>2017</w:t>
      </w:r>
      <w:r>
        <w:rPr/>
        <w:t>）第</w:t>
      </w:r>
      <w:r>
        <w:rPr>
          <w:spacing w:val="-55"/>
        </w:rPr>
        <w:t> </w:t>
      </w:r>
      <w:r>
        <w:rPr>
          <w:rFonts w:ascii="宋体" w:hAnsi="宋体" w:cs="宋体" w:eastAsia="宋体" w:hint="default"/>
        </w:rPr>
        <w:t>012</w:t>
      </w:r>
      <w:r>
        <w:rPr>
          <w:rFonts w:ascii="宋体" w:hAnsi="宋体" w:cs="宋体" w:eastAsia="宋体" w:hint="default"/>
          <w:spacing w:val="-55"/>
        </w:rPr>
        <w:t> </w:t>
      </w:r>
      <w:r>
        <w:rPr/>
        <w:t>号；</w:t>
      </w:r>
    </w:p>
    <w:p>
      <w:pPr>
        <w:spacing w:line="240" w:lineRule="auto" w:before="10"/>
        <w:rPr>
          <w:rFonts w:ascii="宋体" w:hAnsi="宋体" w:cs="宋体" w:eastAsia="宋体" w:hint="default"/>
          <w:sz w:val="14"/>
          <w:szCs w:val="14"/>
        </w:rPr>
      </w:pPr>
    </w:p>
    <w:p>
      <w:pPr>
        <w:pStyle w:val="BodyText"/>
        <w:spacing w:line="408" w:lineRule="auto" w:before="0"/>
        <w:ind w:left="574" w:right="1738"/>
        <w:jc w:val="left"/>
      </w:pPr>
      <w:r>
        <w:rPr/>
        <w:t>排污许可证编号：</w:t>
      </w:r>
      <w:r>
        <w:rPr>
          <w:rFonts w:ascii="宋体" w:hAnsi="宋体" w:cs="宋体" w:eastAsia="宋体" w:hint="default"/>
        </w:rPr>
        <w:t>350981-2017-000052</w:t>
      </w:r>
      <w:r>
        <w:rPr/>
        <w:t>，有效期限</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日至</w:t>
      </w:r>
      <w:r>
        <w:rPr>
          <w:spacing w:val="-54"/>
        </w:rPr>
        <w:t> </w:t>
      </w:r>
      <w:r>
        <w:rPr>
          <w:rFonts w:ascii="宋体" w:hAnsi="宋体" w:cs="宋体" w:eastAsia="宋体" w:hint="default"/>
        </w:rPr>
        <w:t>2022</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 </w:t>
      </w:r>
      <w:r>
        <w:rPr>
          <w:rFonts w:ascii="宋体" w:hAnsi="宋体" w:cs="宋体" w:eastAsia="宋体" w:hint="default"/>
        </w:rPr>
        <w:t>3</w:t>
      </w:r>
      <w:r>
        <w:rPr/>
        <w:t>、合肥嘉园</w:t>
      </w:r>
    </w:p>
    <w:p>
      <w:pPr>
        <w:pStyle w:val="BodyText"/>
        <w:spacing w:line="408" w:lineRule="auto"/>
        <w:ind w:right="1121" w:firstLine="420"/>
        <w:jc w:val="left"/>
      </w:pPr>
      <w:r>
        <w:rPr>
          <w:rFonts w:ascii="宋体" w:hAnsi="宋体" w:cs="宋体" w:eastAsia="宋体" w:hint="default"/>
        </w:rPr>
        <w:t>2010</w:t>
      </w:r>
      <w:r>
        <w:rPr>
          <w:rFonts w:ascii="宋体" w:hAnsi="宋体" w:cs="宋体" w:eastAsia="宋体" w:hint="default"/>
          <w:spacing w:val="-46"/>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10</w:t>
      </w:r>
      <w:r>
        <w:rPr>
          <w:rFonts w:ascii="宋体" w:hAnsi="宋体" w:cs="宋体" w:eastAsia="宋体" w:hint="default"/>
          <w:spacing w:val="-46"/>
        </w:rPr>
        <w:t> </w:t>
      </w:r>
      <w:r>
        <w:rPr>
          <w:spacing w:val="-3"/>
        </w:rPr>
        <w:t>日关于《合肥市龙泉山生活垃圾处理厂二期工程项目的环境影响评价报告书》通过合</w:t>
      </w:r>
      <w:r>
        <w:rPr/>
        <w:t> 肥市环保局审批：环建审【</w:t>
      </w:r>
      <w:r>
        <w:rPr>
          <w:rFonts w:ascii="宋体" w:hAnsi="宋体" w:cs="宋体" w:eastAsia="宋体" w:hint="default"/>
        </w:rPr>
        <w:t>2010</w:t>
      </w:r>
      <w:r>
        <w:rPr/>
        <w:t>】</w:t>
      </w:r>
      <w:r>
        <w:rPr>
          <w:rFonts w:ascii="宋体" w:hAnsi="宋体" w:cs="宋体" w:eastAsia="宋体" w:hint="default"/>
        </w:rPr>
        <w:t>70</w:t>
      </w:r>
      <w:r>
        <w:rPr>
          <w:rFonts w:ascii="宋体" w:hAnsi="宋体" w:cs="宋体" w:eastAsia="宋体" w:hint="default"/>
          <w:spacing w:val="-54"/>
        </w:rPr>
        <w:t> </w:t>
      </w:r>
      <w:r>
        <w:rPr/>
        <w:t>号。</w:t>
      </w:r>
    </w:p>
    <w:p>
      <w:pPr>
        <w:pStyle w:val="BodyText"/>
        <w:spacing w:line="240" w:lineRule="auto"/>
        <w:ind w:left="574" w:right="0"/>
        <w:jc w:val="left"/>
      </w:pPr>
      <w:r>
        <w:rPr>
          <w:rFonts w:ascii="宋体" w:hAnsi="宋体" w:cs="宋体" w:eastAsia="宋体" w:hint="default"/>
        </w:rPr>
        <w:t>2013</w:t>
      </w:r>
      <w:r>
        <w:rPr>
          <w:rFonts w:ascii="宋体" w:hAnsi="宋体" w:cs="宋体" w:eastAsia="宋体" w:hint="default"/>
          <w:spacing w:val="-67"/>
        </w:rPr>
        <w:t> </w:t>
      </w:r>
      <w:r>
        <w:rPr/>
        <w:t>年</w:t>
      </w:r>
      <w:r>
        <w:rPr>
          <w:spacing w:val="-68"/>
        </w:rPr>
        <w:t> </w:t>
      </w:r>
      <w:r>
        <w:rPr>
          <w:rFonts w:ascii="宋体" w:hAnsi="宋体" w:cs="宋体" w:eastAsia="宋体" w:hint="default"/>
        </w:rPr>
        <w:t>6</w:t>
      </w:r>
      <w:r>
        <w:rPr>
          <w:rFonts w:ascii="宋体" w:hAnsi="宋体" w:cs="宋体" w:eastAsia="宋体" w:hint="default"/>
          <w:spacing w:val="-68"/>
        </w:rPr>
        <w:t> </w:t>
      </w:r>
      <w:r>
        <w:rPr/>
        <w:t>月</w:t>
      </w:r>
      <w:r>
        <w:rPr>
          <w:spacing w:val="-68"/>
        </w:rPr>
        <w:t> </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68"/>
        </w:rPr>
        <w:t> </w:t>
      </w:r>
      <w:r>
        <w:rPr/>
        <w:t>日通过合肥市环保局关于合肥嘉园龙泉山垃圾渗滤液处理站的环保验</w:t>
      </w:r>
      <w:r>
        <w:rPr>
          <w:spacing w:val="-105"/>
        </w:rPr>
        <w:t>收</w:t>
      </w:r>
      <w:r>
        <w:rPr/>
        <w:t>《合环</w:t>
      </w:r>
      <w:r>
        <w:rPr>
          <w:spacing w:val="-105"/>
        </w:rPr>
        <w:t>验</w:t>
      </w:r>
      <w:r>
        <w:rPr>
          <w:spacing w:val="-1"/>
        </w:rPr>
        <w:t>（</w:t>
      </w:r>
      <w:r>
        <w:rPr>
          <w:rFonts w:ascii="宋体" w:hAnsi="宋体" w:cs="宋体" w:eastAsia="宋体" w:hint="default"/>
        </w:rPr>
        <w:t>2013</w:t>
      </w:r>
      <w:r>
        <w:rPr/>
        <w:t>）</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119</w:t>
      </w:r>
      <w:r>
        <w:rPr>
          <w:rFonts w:ascii="宋体" w:hAnsi="宋体" w:cs="宋体" w:eastAsia="宋体" w:hint="default"/>
          <w:spacing w:val="-52"/>
        </w:rPr>
        <w:t> </w:t>
      </w:r>
      <w:r>
        <w:rPr/>
        <w:t>号》</w:t>
      </w:r>
    </w:p>
    <w:p>
      <w:pPr>
        <w:spacing w:line="240" w:lineRule="auto" w:before="10"/>
        <w:rPr>
          <w:rFonts w:ascii="宋体" w:hAnsi="宋体" w:cs="宋体" w:eastAsia="宋体" w:hint="default"/>
          <w:sz w:val="14"/>
          <w:szCs w:val="14"/>
        </w:rPr>
      </w:pPr>
    </w:p>
    <w:p>
      <w:pPr>
        <w:pStyle w:val="BodyText"/>
        <w:spacing w:line="408" w:lineRule="auto" w:before="0"/>
        <w:ind w:right="1115" w:firstLine="420"/>
        <w:jc w:val="left"/>
      </w:pPr>
      <w:r>
        <w:rPr>
          <w:spacing w:val="-3"/>
        </w:rPr>
        <w:t>安徽省主要污染物排污许可证证书编号：</w:t>
      </w:r>
      <w:r>
        <w:rPr>
          <w:rFonts w:ascii="宋体" w:hAnsi="宋体" w:cs="宋体" w:eastAsia="宋体" w:hint="default"/>
          <w:spacing w:val="-3"/>
        </w:rPr>
        <w:t>34012220160006</w:t>
      </w:r>
      <w:r>
        <w:rPr>
          <w:spacing w:val="-3"/>
        </w:rPr>
        <w:t>；有效期</w:t>
      </w:r>
      <w:r>
        <w:rPr>
          <w:spacing w:val="-51"/>
        </w:rPr>
        <w:t> </w:t>
      </w:r>
      <w:r>
        <w:rPr>
          <w:rFonts w:ascii="宋体" w:hAnsi="宋体" w:cs="宋体" w:eastAsia="宋体" w:hint="default"/>
        </w:rPr>
        <w:t>2016</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日至</w:t>
      </w:r>
      <w:r>
        <w:rPr>
          <w:spacing w:val="-52"/>
        </w:rPr>
        <w:t> </w:t>
      </w:r>
      <w:r>
        <w:rPr>
          <w:rFonts w:ascii="宋体" w:hAnsi="宋体" w:cs="宋体" w:eastAsia="宋体" w:hint="default"/>
        </w:rPr>
        <w:t>2021</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2"/>
        </w:rPr>
        <w:t> </w:t>
      </w:r>
      <w:r>
        <w:rPr>
          <w:rFonts w:ascii="宋体" w:hAnsi="宋体" w:cs="宋体" w:eastAsia="宋体" w:hint="default"/>
        </w:rPr>
        <w:t>30 </w:t>
      </w:r>
      <w:r>
        <w:rPr/>
        <w:t>日。</w:t>
      </w:r>
    </w:p>
    <w:p>
      <w:pPr>
        <w:pStyle w:val="BodyText"/>
        <w:spacing w:line="408" w:lineRule="auto"/>
        <w:ind w:left="574" w:right="8232"/>
        <w:jc w:val="left"/>
      </w:pPr>
      <w:r>
        <w:rPr/>
        <w:t>突发环境事件应急预案 </w:t>
      </w:r>
      <w:r>
        <w:rPr>
          <w:rFonts w:ascii="宋体" w:hAnsi="宋体" w:cs="宋体" w:eastAsia="宋体" w:hint="default"/>
        </w:rPr>
        <w:t>1</w:t>
      </w:r>
      <w:r>
        <w:rPr/>
        <w:t>、东山嘉园</w:t>
      </w:r>
    </w:p>
    <w:p>
      <w:pPr>
        <w:pStyle w:val="BodyText"/>
        <w:spacing w:line="408" w:lineRule="auto"/>
        <w:ind w:right="1026" w:firstLine="420"/>
        <w:jc w:val="left"/>
      </w:pPr>
      <w:r>
        <w:rPr>
          <w:spacing w:val="-9"/>
        </w:rPr>
        <w:t>《嘉园（东山）水处理有限公司东山双东污水处理厂突发环境事件应急预案》；版本号：</w:t>
      </w:r>
      <w:r>
        <w:rPr>
          <w:rFonts w:ascii="宋体" w:hAnsi="宋体" w:cs="宋体" w:eastAsia="宋体" w:hint="default"/>
          <w:spacing w:val="-9"/>
        </w:rPr>
        <w:t>JYDS-2017-002</w:t>
      </w:r>
      <w:r>
        <w:rPr>
          <w:spacing w:val="-9"/>
        </w:rPr>
        <w:t>；</w:t>
      </w:r>
      <w:r>
        <w:rPr/>
        <w:t> 备案号：</w:t>
      </w:r>
      <w:r>
        <w:rPr>
          <w:rFonts w:ascii="宋体" w:hAnsi="宋体" w:cs="宋体" w:eastAsia="宋体" w:hint="default"/>
        </w:rPr>
        <w:t>350626-2017-005-C</w:t>
      </w:r>
      <w:r>
        <w:rPr/>
        <w:t>。</w:t>
      </w:r>
    </w:p>
    <w:p>
      <w:pPr>
        <w:pStyle w:val="BodyText"/>
        <w:spacing w:line="240" w:lineRule="auto"/>
        <w:ind w:left="574" w:right="0"/>
        <w:jc w:val="left"/>
      </w:pPr>
      <w:r>
        <w:rPr>
          <w:rFonts w:ascii="宋体" w:hAnsi="宋体" w:cs="宋体" w:eastAsia="宋体" w:hint="default"/>
        </w:rPr>
        <w:t>2</w:t>
      </w:r>
      <w:r>
        <w:rPr/>
        <w:t>、福安嘉园</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left"/>
      </w:pPr>
      <w:r>
        <w:rPr/>
        <w:t>《福安市城区生活垃圾卫生填埋场渗滤液处理站突发环境事件应急预案》；版本号：</w:t>
      </w:r>
      <w:r>
        <w:rPr>
          <w:rFonts w:ascii="宋体" w:hAnsi="宋体" w:cs="宋体" w:eastAsia="宋体" w:hint="default"/>
        </w:rPr>
        <w:t>FAJY--02(</w:t>
      </w:r>
      <w:r>
        <w:rPr/>
        <w:t>总第</w:t>
      </w:r>
      <w:r>
        <w:rPr>
          <w:spacing w:val="2"/>
        </w:rPr>
        <w:t> </w:t>
      </w:r>
      <w:r>
        <w:rPr/>
        <w:t>二版）；备案编号：</w:t>
      </w:r>
      <w:r>
        <w:rPr>
          <w:rFonts w:ascii="宋体" w:hAnsi="宋体" w:cs="宋体" w:eastAsia="宋体" w:hint="default"/>
        </w:rPr>
        <w:t>350981-2017-009-L</w:t>
      </w:r>
      <w:r>
        <w:rPr/>
        <w:t>。</w:t>
      </w:r>
    </w:p>
    <w:p>
      <w:pPr>
        <w:pStyle w:val="BodyText"/>
        <w:spacing w:line="240" w:lineRule="auto"/>
        <w:ind w:left="574" w:right="0"/>
        <w:jc w:val="left"/>
      </w:pPr>
      <w:r>
        <w:rPr>
          <w:rFonts w:ascii="宋体" w:hAnsi="宋体" w:cs="宋体" w:eastAsia="宋体" w:hint="default"/>
        </w:rPr>
        <w:t>3</w:t>
      </w:r>
      <w:r>
        <w:rPr/>
        <w:t>、合肥嘉园</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0"/>
        <w:jc w:val="left"/>
      </w:pPr>
      <w:r>
        <w:rPr>
          <w:spacing w:val="25"/>
        </w:rPr>
        <w:t>《合肥嘉园水处理投资有限公司突发环境事件应急预案》；版本号：</w:t>
      </w:r>
      <w:r>
        <w:rPr>
          <w:spacing w:val="-78"/>
        </w:rPr>
        <w:t> </w:t>
      </w:r>
      <w:r>
        <w:rPr>
          <w:rFonts w:ascii="宋体" w:hAnsi="宋体" w:cs="宋体" w:eastAsia="宋体" w:hint="default"/>
        </w:rPr>
        <w:t>JYHBYJ-01</w:t>
      </w:r>
      <w:r>
        <w:rPr>
          <w:rFonts w:ascii="宋体" w:hAnsi="宋体" w:cs="宋体" w:eastAsia="宋体" w:hint="default"/>
          <w:spacing w:val="-78"/>
        </w:rPr>
        <w:t> </w:t>
      </w:r>
      <w:r>
        <w:rPr/>
        <w:t>；</w:t>
      </w:r>
      <w:r>
        <w:rPr>
          <w:spacing w:val="-80"/>
        </w:rPr>
        <w:t> </w:t>
      </w:r>
      <w:r>
        <w:rPr/>
        <w:t>备</w:t>
      </w:r>
      <w:r>
        <w:rPr>
          <w:spacing w:val="-79"/>
        </w:rPr>
        <w:t> </w:t>
      </w:r>
      <w:r>
        <w:rPr/>
        <w:t>案</w:t>
      </w:r>
      <w:r>
        <w:rPr>
          <w:spacing w:val="-79"/>
        </w:rPr>
        <w:t> </w:t>
      </w:r>
      <w:r>
        <w:rPr/>
        <w:t>号</w:t>
      </w:r>
      <w:r>
        <w:rPr>
          <w:spacing w:val="-79"/>
        </w:rPr>
        <w:t> </w:t>
      </w:r>
      <w:r>
        <w:rPr/>
        <w:t>：</w:t>
      </w:r>
      <w:r>
        <w:rPr/>
        <w:t> </w:t>
      </w:r>
      <w:r>
        <w:rPr>
          <w:rFonts w:ascii="宋体" w:hAnsi="宋体" w:cs="宋体" w:eastAsia="宋体" w:hint="default"/>
        </w:rPr>
        <w:t>34012220130030016</w:t>
      </w:r>
      <w:r>
        <w:rPr/>
        <w:t>。</w:t>
      </w:r>
    </w:p>
    <w:p>
      <w:pPr>
        <w:pStyle w:val="BodyText"/>
        <w:spacing w:line="408" w:lineRule="auto"/>
        <w:ind w:left="574" w:right="8652"/>
        <w:jc w:val="left"/>
      </w:pPr>
      <w:r>
        <w:rPr/>
        <w:t>环境自行监测方案 </w:t>
      </w:r>
      <w:r>
        <w:rPr>
          <w:rFonts w:ascii="宋体" w:hAnsi="宋体" w:cs="宋体" w:eastAsia="宋体" w:hint="default"/>
        </w:rPr>
        <w:t>1</w:t>
      </w:r>
      <w:r>
        <w:rPr/>
        <w:t>、东山嘉园</w:t>
      </w:r>
    </w:p>
    <w:p>
      <w:pPr>
        <w:pStyle w:val="BodyText"/>
        <w:spacing w:line="408" w:lineRule="auto"/>
        <w:ind w:left="574" w:right="1092"/>
        <w:jc w:val="left"/>
      </w:pPr>
      <w:r>
        <w:rPr/>
        <w:t>《嘉园（东山）水处理有限公司自行监测方案》，版本号：</w:t>
      </w:r>
      <w:r>
        <w:rPr>
          <w:rFonts w:ascii="宋体" w:hAnsi="宋体" w:cs="宋体" w:eastAsia="宋体" w:hint="default"/>
        </w:rPr>
        <w:t>0417104309</w:t>
      </w:r>
      <w:r>
        <w:rPr/>
        <w:t>，备案号：</w:t>
      </w:r>
      <w:r>
        <w:rPr>
          <w:rFonts w:ascii="宋体" w:hAnsi="宋体" w:cs="宋体" w:eastAsia="宋体" w:hint="default"/>
        </w:rPr>
        <w:t>35062620170001</w:t>
      </w:r>
      <w:r>
        <w:rPr/>
        <w:t>。 </w:t>
      </w:r>
      <w:r>
        <w:rPr>
          <w:rFonts w:ascii="宋体" w:hAnsi="宋体" w:cs="宋体" w:eastAsia="宋体" w:hint="default"/>
        </w:rPr>
        <w:t>2</w:t>
      </w:r>
      <w:r>
        <w:rPr/>
        <w:t>、福安嘉园</w:t>
      </w:r>
    </w:p>
    <w:p>
      <w:pPr>
        <w:pStyle w:val="BodyText"/>
        <w:spacing w:line="408" w:lineRule="auto"/>
        <w:ind w:left="574" w:right="7392"/>
        <w:jc w:val="left"/>
      </w:pPr>
      <w:r>
        <w:rPr/>
        <w:t>委托第三方有资质的公司检测。 </w:t>
      </w:r>
      <w:r>
        <w:rPr>
          <w:rFonts w:ascii="宋体" w:hAnsi="宋体" w:cs="宋体" w:eastAsia="宋体" w:hint="default"/>
        </w:rPr>
        <w:t>3</w:t>
      </w:r>
      <w:r>
        <w:rPr/>
        <w:t>、合肥嘉园 委托第三方有资质的公司检测。 其他应当公开的环境信息 合肥嘉园</w:t>
      </w:r>
    </w:p>
    <w:p>
      <w:pPr>
        <w:pStyle w:val="BodyText"/>
        <w:spacing w:line="240" w:lineRule="auto"/>
        <w:ind w:left="574" w:right="0"/>
        <w:jc w:val="left"/>
      </w:pPr>
      <w:r>
        <w:rPr>
          <w:rFonts w:ascii="宋体" w:hAnsi="宋体" w:cs="宋体" w:eastAsia="宋体" w:hint="default"/>
        </w:rPr>
        <w:t>1</w:t>
      </w:r>
      <w:r>
        <w:rPr/>
        <w:t>、废水各监测断面、各监测项目半年监测均持续达标，半年共监测</w:t>
      </w:r>
      <w:r>
        <w:rPr>
          <w:spacing w:val="-53"/>
        </w:rPr>
        <w:t> </w:t>
      </w:r>
      <w:r>
        <w:rPr>
          <w:rFonts w:ascii="宋体" w:hAnsi="宋体" w:cs="宋体" w:eastAsia="宋体" w:hint="default"/>
        </w:rPr>
        <w:t>625</w:t>
      </w:r>
      <w:r>
        <w:rPr>
          <w:rFonts w:ascii="宋体" w:hAnsi="宋体" w:cs="宋体" w:eastAsia="宋体" w:hint="default"/>
          <w:spacing w:val="-53"/>
        </w:rPr>
        <w:t> </w:t>
      </w:r>
      <w:r>
        <w:rPr/>
        <w:t>项次，达标</w:t>
      </w:r>
      <w:r>
        <w:rPr>
          <w:spacing w:val="-54"/>
        </w:rPr>
        <w:t> </w:t>
      </w:r>
      <w:r>
        <w:rPr>
          <w:rFonts w:ascii="宋体" w:hAnsi="宋体" w:cs="宋体" w:eastAsia="宋体" w:hint="default"/>
        </w:rPr>
        <w:t>625</w:t>
      </w:r>
      <w:r>
        <w:rPr>
          <w:rFonts w:ascii="宋体" w:hAnsi="宋体" w:cs="宋体" w:eastAsia="宋体" w:hint="default"/>
          <w:spacing w:val="-53"/>
        </w:rPr>
        <w:t> </w:t>
      </w:r>
      <w:r>
        <w:rPr/>
        <w:t>次；</w:t>
      </w:r>
    </w:p>
    <w:p>
      <w:pPr>
        <w:spacing w:line="240" w:lineRule="auto" w:before="10"/>
        <w:rPr>
          <w:rFonts w:ascii="宋体" w:hAnsi="宋体" w:cs="宋体" w:eastAsia="宋体" w:hint="default"/>
          <w:sz w:val="14"/>
          <w:szCs w:val="14"/>
        </w:rPr>
      </w:pPr>
    </w:p>
    <w:p>
      <w:pPr>
        <w:pStyle w:val="BodyText"/>
        <w:spacing w:line="408" w:lineRule="auto" w:before="0"/>
        <w:ind w:right="1116" w:firstLine="420"/>
        <w:jc w:val="left"/>
      </w:pPr>
      <w:r>
        <w:rPr>
          <w:rFonts w:ascii="宋体" w:hAnsi="宋体" w:cs="宋体" w:eastAsia="宋体" w:hint="default"/>
        </w:rPr>
        <w:t>2</w:t>
      </w:r>
      <w:r>
        <w:rPr/>
        <w:t>、噪声各监测点半年监测 </w:t>
      </w:r>
      <w:r>
        <w:rPr>
          <w:rFonts w:ascii="宋体" w:hAnsi="宋体" w:cs="宋体" w:eastAsia="宋体" w:hint="default"/>
        </w:rPr>
        <w:t>2 </w:t>
      </w:r>
      <w:r>
        <w:rPr/>
        <w:t>次，即每季度一次监测、经监测，半年噪声污染控制均达标，共达标</w:t>
      </w:r>
      <w:r>
        <w:rPr>
          <w:spacing w:val="-24"/>
        </w:rPr>
        <w:t> </w:t>
      </w:r>
      <w:r>
        <w:rPr>
          <w:rFonts w:ascii="宋体" w:hAnsi="宋体" w:cs="宋体" w:eastAsia="宋体" w:hint="default"/>
        </w:rPr>
        <w:t>2 </w:t>
      </w:r>
      <w:r>
        <w:rPr/>
        <w:t>次；</w:t>
      </w:r>
    </w:p>
    <w:p>
      <w:pPr>
        <w:pStyle w:val="BodyText"/>
        <w:spacing w:line="408" w:lineRule="auto"/>
        <w:ind w:right="0" w:firstLine="420"/>
        <w:jc w:val="left"/>
      </w:pPr>
      <w:r>
        <w:rPr>
          <w:rFonts w:ascii="宋体" w:hAnsi="宋体" w:cs="宋体" w:eastAsia="宋体" w:hint="default"/>
        </w:rPr>
        <w:t>3</w:t>
      </w:r>
      <w:r>
        <w:rPr/>
        <w:t>、固体废物主要为生化系统产生的剩余污泥，该部分剩余污泥均经过污泥脱水系统后，将脱水后的 干污泥经车辆运送到龙泉山垃圾库区填埋；</w:t>
      </w:r>
    </w:p>
    <w:p>
      <w:pPr>
        <w:pStyle w:val="BodyText"/>
        <w:spacing w:line="408" w:lineRule="auto"/>
        <w:ind w:right="0" w:firstLine="420"/>
        <w:jc w:val="left"/>
      </w:pPr>
      <w:r>
        <w:rPr>
          <w:rFonts w:ascii="宋体" w:hAnsi="宋体" w:cs="宋体" w:eastAsia="宋体" w:hint="default"/>
        </w:rPr>
        <w:t>4</w:t>
      </w:r>
      <w:r>
        <w:rPr/>
        <w:t>、对外公布方式：合肥市环保局网站国控企业自行监测平台；公布时限：①手工监测数据于每次监 测完成后的次日公布；②自动监测数据实时公布监</w:t>
      </w:r>
    </w:p>
    <w:p>
      <w:pPr>
        <w:pStyle w:val="BodyText"/>
        <w:spacing w:line="408" w:lineRule="auto"/>
        <w:ind w:left="574" w:right="5713"/>
        <w:jc w:val="left"/>
      </w:pPr>
      <w:r>
        <w:rPr/>
        <w:t>测结果，其中废水自动监测设备为每</w:t>
      </w:r>
      <w:r>
        <w:rPr>
          <w:spacing w:val="-53"/>
        </w:rPr>
        <w:t> </w:t>
      </w:r>
      <w:r>
        <w:rPr>
          <w:rFonts w:ascii="宋体" w:hAnsi="宋体" w:cs="宋体" w:eastAsia="宋体" w:hint="default"/>
        </w:rPr>
        <w:t>2</w:t>
      </w:r>
      <w:r>
        <w:rPr>
          <w:rFonts w:ascii="宋体" w:hAnsi="宋体" w:cs="宋体" w:eastAsia="宋体" w:hint="default"/>
          <w:spacing w:val="-53"/>
        </w:rPr>
        <w:t> </w:t>
      </w:r>
      <w:r>
        <w:rPr/>
        <w:t>小时均值。 其他环保相关信息</w:t>
      </w:r>
    </w:p>
    <w:p>
      <w:pPr>
        <w:pStyle w:val="BodyText"/>
        <w:spacing w:line="240" w:lineRule="auto"/>
        <w:ind w:left="574" w:right="0"/>
        <w:jc w:val="left"/>
      </w:pPr>
      <w:r>
        <w:rPr/>
        <w:t>无</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rFonts w:ascii="宋体" w:hAnsi="宋体" w:cs="宋体" w:eastAsia="宋体" w:hint="default"/>
        </w:rPr>
        <w:t>1</w:t>
      </w:r>
      <w:r>
        <w:rPr/>
        <w:t>、回购前提下的股权融资</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8</w:t>
      </w:r>
      <w:r>
        <w:rPr>
          <w:rFonts w:ascii="宋体" w:hAnsi="宋体" w:cs="宋体" w:eastAsia="宋体" w:hint="default"/>
          <w:spacing w:val="-52"/>
        </w:rPr>
        <w:t> </w:t>
      </w:r>
      <w:r>
        <w:rPr/>
        <w:t>日</w:t>
      </w:r>
      <w:r>
        <w:rPr>
          <w:spacing w:val="-91"/>
        </w:rPr>
        <w:t>，</w:t>
      </w:r>
      <w:r>
        <w:rPr/>
        <w:t>公司</w:t>
      </w:r>
      <w:r>
        <w:rPr>
          <w:spacing w:val="-2"/>
        </w:rPr>
        <w:t>在</w:t>
      </w:r>
      <w:r>
        <w:rPr/>
        <w:t>股权回购前提下通过向招商证券资产管理有限公</w:t>
      </w:r>
      <w:r>
        <w:rPr>
          <w:spacing w:val="-91"/>
        </w:rPr>
        <w:t>司</w:t>
      </w:r>
      <w:r>
        <w:rPr/>
        <w:t>（以下简</w:t>
      </w:r>
      <w:r>
        <w:rPr>
          <w:spacing w:val="1"/>
        </w:rPr>
        <w:t>称</w:t>
      </w:r>
      <w:r>
        <w:rPr/>
        <w:t>“招商资管</w:t>
      </w:r>
      <w:r>
        <w:rPr>
          <w:spacing w:val="1"/>
        </w:rPr>
        <w:t>”</w:t>
      </w:r>
      <w:r>
        <w:rPr/>
        <w:t>）</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转让公司持有的嘉园环保</w:t>
      </w:r>
      <w:r>
        <w:rPr>
          <w:spacing w:val="-48"/>
        </w:rPr>
        <w:t> </w:t>
      </w:r>
      <w:r>
        <w:rPr>
          <w:rFonts w:ascii="宋体" w:hAnsi="宋体" w:cs="宋体" w:eastAsia="宋体" w:hint="default"/>
        </w:rPr>
        <w:t>29%</w:t>
      </w:r>
      <w:r>
        <w:rPr/>
        <w:t>股权的方式向其申请融资</w:t>
      </w:r>
      <w:r>
        <w:rPr>
          <w:spacing w:val="-48"/>
        </w:rPr>
        <w:t> </w:t>
      </w:r>
      <w:r>
        <w:rPr>
          <w:rFonts w:ascii="宋体" w:hAnsi="宋体" w:cs="宋体" w:eastAsia="宋体" w:hint="default"/>
        </w:rPr>
        <w:t>30,000</w:t>
      </w:r>
      <w:r>
        <w:rPr>
          <w:rFonts w:ascii="宋体" w:hAnsi="宋体" w:cs="宋体" w:eastAsia="宋体" w:hint="default"/>
          <w:spacing w:val="-49"/>
        </w:rPr>
        <w:t> </w:t>
      </w:r>
      <w:r>
        <w:rPr/>
        <w:t>万元，期限为</w:t>
      </w:r>
      <w:r>
        <w:rPr>
          <w:spacing w:val="-48"/>
        </w:rPr>
        <w:t> </w:t>
      </w:r>
      <w:r>
        <w:rPr>
          <w:rFonts w:ascii="宋体" w:hAnsi="宋体" w:cs="宋体" w:eastAsia="宋体" w:hint="default"/>
        </w:rPr>
        <w:t>36</w:t>
      </w:r>
      <w:r>
        <w:rPr>
          <w:rFonts w:ascii="宋体" w:hAnsi="宋体" w:cs="宋体" w:eastAsia="宋体" w:hint="default"/>
          <w:spacing w:val="-48"/>
        </w:rPr>
        <w:t> </w:t>
      </w:r>
      <w:r>
        <w:rPr/>
        <w:t>个月，此笔融资主要用于</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补充公司流动资金。</w:t>
      </w:r>
      <w:r>
        <w:rPr>
          <w:rFonts w:ascii="宋体" w:hAnsi="宋体" w:cs="宋体" w:eastAsia="宋体" w:hint="default"/>
        </w:rPr>
        <w:t>2018</w:t>
      </w:r>
      <w:r>
        <w:rPr>
          <w:rFonts w:ascii="宋体" w:hAnsi="宋体" w:cs="宋体" w:eastAsia="宋体" w:hint="default"/>
          <w:spacing w:val="-48"/>
        </w:rPr>
        <w:t> </w:t>
      </w:r>
      <w:r>
        <w:rPr/>
        <w:t>年</w:t>
      </w:r>
      <w:r>
        <w:rPr>
          <w:spacing w:val="-49"/>
        </w:rPr>
        <w:t> </w:t>
      </w:r>
      <w:r>
        <w:rPr>
          <w:rFonts w:ascii="宋体" w:hAnsi="宋体" w:cs="宋体" w:eastAsia="宋体" w:hint="default"/>
        </w:rPr>
        <w:t>2</w:t>
      </w:r>
      <w:r>
        <w:rPr>
          <w:rFonts w:ascii="宋体" w:hAnsi="宋体" w:cs="宋体" w:eastAsia="宋体" w:hint="default"/>
          <w:spacing w:val="-47"/>
        </w:rPr>
        <w:t> </w:t>
      </w:r>
      <w:r>
        <w:rPr/>
        <w:t>月</w:t>
      </w:r>
      <w:r>
        <w:rPr>
          <w:spacing w:val="-48"/>
        </w:rPr>
        <w:t> </w:t>
      </w:r>
      <w:r>
        <w:rPr>
          <w:rFonts w:ascii="宋体" w:hAnsi="宋体" w:cs="宋体" w:eastAsia="宋体" w:hint="default"/>
        </w:rPr>
        <w:t>14</w:t>
      </w:r>
      <w:r>
        <w:rPr>
          <w:rFonts w:ascii="宋体" w:hAnsi="宋体" w:cs="宋体" w:eastAsia="宋体" w:hint="default"/>
          <w:spacing w:val="-48"/>
        </w:rPr>
        <w:t> </w:t>
      </w:r>
      <w:r>
        <w:rPr/>
        <w:t>日，根据资金划拨的实际情况，公司与招商资管就股权转让款的支付</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时间及公司的股权回购义务签订了补充协议。</w:t>
      </w:r>
      <w:r>
        <w:rPr>
          <w:rFonts w:ascii="宋体" w:hAnsi="宋体" w:cs="宋体" w:eastAsia="宋体" w:hint="default"/>
        </w:rPr>
        <w:t>2018</w:t>
      </w:r>
      <w:r>
        <w:rPr>
          <w:rFonts w:ascii="宋体" w:hAnsi="宋体" w:cs="宋体" w:eastAsia="宋体" w:hint="default"/>
          <w:spacing w:val="-48"/>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8"/>
        </w:rPr>
        <w:t> </w:t>
      </w:r>
      <w:r>
        <w:rPr>
          <w:rFonts w:ascii="宋体" w:hAnsi="宋体" w:cs="宋体" w:eastAsia="宋体" w:hint="default"/>
        </w:rPr>
        <w:t>29</w:t>
      </w:r>
      <w:r>
        <w:rPr>
          <w:rFonts w:ascii="宋体" w:hAnsi="宋体" w:cs="宋体" w:eastAsia="宋体" w:hint="default"/>
          <w:spacing w:val="-47"/>
        </w:rPr>
        <w:t> </w:t>
      </w:r>
      <w:r>
        <w:rPr/>
        <w:t>日，受金融市场融资成本上升的影响，公司</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spacing w:val="-5"/>
        </w:rPr>
        <w:t>与招商资管进一步协商，就股权维持费率签订了补充协议。具体信息请查阅公司于</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10</w:t>
      </w:r>
      <w:r>
        <w:rPr>
          <w:rFonts w:ascii="宋体" w:hAnsi="宋体" w:cs="宋体" w:eastAsia="宋体" w:hint="default"/>
          <w:spacing w:val="-49"/>
        </w:rPr>
        <w:t> </w:t>
      </w:r>
      <w:r>
        <w:rPr>
          <w:spacing w:val="-13"/>
        </w:rPr>
        <w:t>日、</w:t>
      </w:r>
      <w:r>
        <w:rPr>
          <w:rFonts w:ascii="宋体" w:hAnsi="宋体" w:cs="宋体" w:eastAsia="宋体" w:hint="default"/>
          <w:spacing w:val="-13"/>
        </w:rPr>
        <w:t>2018</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5250" w:hanging="420"/>
        <w:jc w:val="left"/>
      </w:pP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日在巨潮资讯网刊登的公告。 </w:t>
      </w:r>
      <w:r>
        <w:rPr>
          <w:rFonts w:ascii="宋体" w:hAnsi="宋体" w:cs="宋体" w:eastAsia="宋体" w:hint="default"/>
        </w:rPr>
        <w:t>2</w:t>
      </w:r>
      <w:r>
        <w:rPr/>
        <w:t>、公司控股子公司雪城软件增加注册资本</w:t>
      </w: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w:t>
      </w:r>
      <w:r>
        <w:rPr>
          <w:spacing w:val="-47"/>
        </w:rPr>
        <w:t> </w:t>
      </w:r>
      <w:r>
        <w:rPr>
          <w:rFonts w:ascii="宋体" w:hAnsi="宋体" w:cs="宋体" w:eastAsia="宋体" w:hint="default"/>
        </w:rPr>
        <w:t>1</w:t>
      </w:r>
      <w:r>
        <w:rPr>
          <w:rFonts w:ascii="宋体" w:hAnsi="宋体" w:cs="宋体" w:eastAsia="宋体" w:hint="default"/>
          <w:spacing w:val="-45"/>
        </w:rPr>
        <w:t> </w:t>
      </w:r>
      <w:r>
        <w:rPr>
          <w:spacing w:val="-3"/>
        </w:rPr>
        <w:t>日，公司与雪城软件签署了《汉威科技集团股份有限公司与河南雪城软件有限公司关于</w:t>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spacing w:val="-5"/>
        </w:rPr>
        <w:t>河南雪城软件有限公司增资协议书》。公司以自有资金</w:t>
      </w:r>
      <w:r>
        <w:rPr>
          <w:spacing w:val="-28"/>
        </w:rPr>
        <w:t> </w:t>
      </w:r>
      <w:r>
        <w:rPr>
          <w:rFonts w:ascii="宋体" w:hAnsi="宋体" w:cs="宋体" w:eastAsia="宋体" w:hint="default"/>
        </w:rPr>
        <w:t>990</w:t>
      </w:r>
      <w:r>
        <w:rPr>
          <w:rFonts w:ascii="宋体" w:hAnsi="宋体" w:cs="宋体" w:eastAsia="宋体" w:hint="default"/>
          <w:spacing w:val="-30"/>
        </w:rPr>
        <w:t> </w:t>
      </w:r>
      <w:r>
        <w:rPr/>
        <w:t>万元认缴雪城软件新增注册资本</w:t>
      </w:r>
      <w:r>
        <w:rPr>
          <w:spacing w:val="-29"/>
        </w:rPr>
        <w:t> </w:t>
      </w:r>
      <w:r>
        <w:rPr>
          <w:rFonts w:ascii="宋体" w:hAnsi="宋体" w:cs="宋体" w:eastAsia="宋体" w:hint="default"/>
        </w:rPr>
        <w:t>990</w:t>
      </w:r>
      <w:r>
        <w:rPr>
          <w:rFonts w:ascii="宋体" w:hAnsi="宋体" w:cs="宋体" w:eastAsia="宋体" w:hint="default"/>
          <w:spacing w:val="-29"/>
        </w:rPr>
        <w:t> </w:t>
      </w:r>
      <w:r>
        <w:rPr/>
        <w:t>万元，增 资完成后，公司持有雪城软件</w:t>
      </w:r>
      <w:r>
        <w:rPr>
          <w:spacing w:val="-52"/>
        </w:rPr>
        <w:t> </w:t>
      </w:r>
      <w:r>
        <w:rPr>
          <w:rFonts w:ascii="宋体" w:hAnsi="宋体" w:cs="宋体" w:eastAsia="宋体" w:hint="default"/>
        </w:rPr>
        <w:t>99.09%</w:t>
      </w:r>
      <w:r>
        <w:rPr/>
        <w:t>股权。</w:t>
      </w:r>
    </w:p>
    <w:p>
      <w:pPr>
        <w:pStyle w:val="BodyText"/>
        <w:spacing w:line="240" w:lineRule="auto"/>
        <w:ind w:left="574" w:right="0"/>
        <w:jc w:val="left"/>
      </w:pPr>
      <w:r>
        <w:rPr>
          <w:rFonts w:ascii="宋体" w:hAnsi="宋体" w:cs="宋体" w:eastAsia="宋体" w:hint="default"/>
        </w:rPr>
        <w:t>3</w:t>
      </w:r>
      <w:r>
        <w:rPr/>
        <w:t>、设立河南汉威智慧消防科技有限责任公司</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2018</w:t>
      </w:r>
      <w:r>
        <w:rPr>
          <w:rFonts w:ascii="宋体" w:hAnsi="宋体" w:cs="宋体" w:eastAsia="宋体" w:hint="default"/>
          <w:spacing w:val="-46"/>
        </w:rPr>
        <w:t> </w:t>
      </w:r>
      <w:r>
        <w:rPr/>
        <w:t>年</w:t>
      </w:r>
      <w:r>
        <w:rPr>
          <w:spacing w:val="-49"/>
        </w:rPr>
        <w:t> </w:t>
      </w:r>
      <w:r>
        <w:rPr>
          <w:rFonts w:ascii="宋体" w:hAnsi="宋体" w:cs="宋体" w:eastAsia="宋体" w:hint="default"/>
        </w:rPr>
        <w:t>2</w:t>
      </w:r>
      <w:r>
        <w:rPr>
          <w:rFonts w:ascii="宋体" w:hAnsi="宋体" w:cs="宋体" w:eastAsia="宋体" w:hint="default"/>
          <w:spacing w:val="-47"/>
        </w:rPr>
        <w:t> </w:t>
      </w:r>
      <w:r>
        <w:rPr/>
        <w:t>月</w:t>
      </w:r>
      <w:r>
        <w:rPr>
          <w:spacing w:val="-49"/>
        </w:rPr>
        <w:t> </w:t>
      </w:r>
      <w:r>
        <w:rPr>
          <w:rFonts w:ascii="宋体" w:hAnsi="宋体" w:cs="宋体" w:eastAsia="宋体" w:hint="default"/>
        </w:rPr>
        <w:t>27</w:t>
      </w:r>
      <w:r>
        <w:rPr>
          <w:rFonts w:ascii="宋体" w:hAnsi="宋体" w:cs="宋体" w:eastAsia="宋体" w:hint="default"/>
          <w:spacing w:val="-47"/>
        </w:rPr>
        <w:t> </w:t>
      </w:r>
      <w:r>
        <w:rPr/>
        <w:t>日，公司与河南华夏海纳创业投资集团有限公司合资成立河南汉威智慧消防科技有限</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公司</w:t>
      </w:r>
      <w:r>
        <w:rPr>
          <w:spacing w:val="-19"/>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18</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52"/>
        </w:rPr>
        <w:t> </w:t>
      </w:r>
      <w:r>
        <w:rPr>
          <w:spacing w:val="-2"/>
        </w:rPr>
        <w:t>日</w:t>
      </w:r>
      <w:r>
        <w:rPr>
          <w:spacing w:val="-20"/>
        </w:rPr>
        <w:t>，</w:t>
      </w:r>
      <w:r>
        <w:rPr/>
        <w:t>公司与其他股东签</w:t>
      </w:r>
      <w:r>
        <w:rPr>
          <w:spacing w:val="-20"/>
        </w:rPr>
        <w:t>署</w:t>
      </w:r>
      <w:r>
        <w:rPr/>
        <w:t>《关于河南汉威智慧消防科技有限公司之增资协议书</w:t>
      </w:r>
      <w:r>
        <w:rPr>
          <w:spacing w:val="-105"/>
        </w:rPr>
        <w:t>》</w:t>
      </w:r>
      <w:r>
        <w:rPr>
          <w:spacing w:val="-19"/>
        </w:rPr>
        <w:t>，</w:t>
      </w:r>
      <w:r>
        <w:rPr/>
        <w:t>增</w:t>
      </w:r>
    </w:p>
    <w:p>
      <w:pPr>
        <w:spacing w:line="240" w:lineRule="auto" w:before="10"/>
        <w:rPr>
          <w:rFonts w:ascii="宋体" w:hAnsi="宋体" w:cs="宋体" w:eastAsia="宋体" w:hint="default"/>
          <w:sz w:val="14"/>
          <w:szCs w:val="14"/>
        </w:rPr>
      </w:pPr>
    </w:p>
    <w:p>
      <w:pPr>
        <w:pStyle w:val="BodyText"/>
        <w:spacing w:line="408" w:lineRule="auto" w:before="0"/>
        <w:ind w:right="1110"/>
        <w:jc w:val="both"/>
      </w:pPr>
      <w:r>
        <w:rPr>
          <w:spacing w:val="-3"/>
        </w:rPr>
        <w:t>资完成后，河南汉威智慧消防科技有限公司注册资本增加至</w:t>
      </w:r>
      <w:r>
        <w:rPr>
          <w:spacing w:val="-49"/>
        </w:rPr>
        <w:t> </w:t>
      </w:r>
      <w:r>
        <w:rPr>
          <w:rFonts w:ascii="宋体" w:hAnsi="宋体" w:cs="宋体" w:eastAsia="宋体" w:hint="default"/>
        </w:rPr>
        <w:t>1,250</w:t>
      </w:r>
      <w:r>
        <w:rPr>
          <w:rFonts w:ascii="宋体" w:hAnsi="宋体" w:cs="宋体" w:eastAsia="宋体" w:hint="default"/>
          <w:spacing w:val="-49"/>
        </w:rPr>
        <w:t> </w:t>
      </w:r>
      <w:r>
        <w:rPr>
          <w:spacing w:val="-7"/>
        </w:rPr>
        <w:t>万元，其中公司出资</w:t>
      </w:r>
      <w:r>
        <w:rPr>
          <w:spacing w:val="-49"/>
        </w:rPr>
        <w:t> </w:t>
      </w:r>
      <w:r>
        <w:rPr>
          <w:rFonts w:ascii="宋体" w:hAnsi="宋体" w:cs="宋体" w:eastAsia="宋体" w:hint="default"/>
        </w:rPr>
        <w:t>600</w:t>
      </w:r>
      <w:r>
        <w:rPr>
          <w:rFonts w:ascii="宋体" w:hAnsi="宋体" w:cs="宋体" w:eastAsia="宋体" w:hint="default"/>
          <w:spacing w:val="-49"/>
        </w:rPr>
        <w:t> </w:t>
      </w:r>
      <w:r>
        <w:rPr>
          <w:spacing w:val="-13"/>
        </w:rPr>
        <w:t>万元，持有</w:t>
      </w:r>
      <w:r>
        <w:rPr>
          <w:spacing w:val="-50"/>
        </w:rPr>
        <w:t> </w:t>
      </w:r>
      <w:r>
        <w:rPr>
          <w:rFonts w:ascii="宋体" w:hAnsi="宋体" w:cs="宋体" w:eastAsia="宋体" w:hint="default"/>
        </w:rPr>
        <w:t>48%</w:t>
      </w:r>
      <w:r>
        <w:rPr>
          <w:rFonts w:ascii="宋体" w:hAnsi="宋体" w:cs="宋体" w:eastAsia="宋体" w:hint="default"/>
          <w:spacing w:val="-103"/>
        </w:rPr>
        <w:t> </w:t>
      </w:r>
      <w:r>
        <w:rPr>
          <w:spacing w:val="-1"/>
        </w:rPr>
        <w:t>股权。根据深圳证券交易所《创业板股票上市规则》，公司设立及增资河南汉威智慧消防科技有限公司的</w:t>
      </w:r>
      <w:r>
        <w:rPr>
          <w:spacing w:val="-94"/>
        </w:rPr>
        <w:t> </w:t>
      </w:r>
      <w:r>
        <w:rPr>
          <w:spacing w:val="-94"/>
        </w:rPr>
      </w:r>
      <w:r>
        <w:rPr/>
        <w:t>投资金额对公司影响较小，未达到公司董事会审议和披露标准。按照公司《对外投资管理制度》的规定， 上述投资事项在董事长权限范围内，经由总经理会议讨论后由董事长批准执行。</w:t>
      </w:r>
    </w:p>
    <w:p>
      <w:pPr>
        <w:pStyle w:val="BodyText"/>
        <w:spacing w:line="240" w:lineRule="auto"/>
        <w:ind w:left="574" w:right="0"/>
        <w:jc w:val="left"/>
      </w:pPr>
      <w:r>
        <w:rPr>
          <w:rFonts w:ascii="宋体" w:hAnsi="宋体" w:cs="宋体" w:eastAsia="宋体" w:hint="default"/>
        </w:rPr>
        <w:t>4</w:t>
      </w:r>
      <w:r>
        <w:rPr/>
        <w:t>、设立汉威科技集团（香港）有限公司</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w:t>
      </w:r>
      <w:r>
        <w:rPr>
          <w:spacing w:val="-49"/>
        </w:rPr>
        <w:t> </w:t>
      </w:r>
      <w:r>
        <w:rPr>
          <w:rFonts w:ascii="宋体" w:hAnsi="宋体" w:cs="宋体" w:eastAsia="宋体" w:hint="default"/>
        </w:rPr>
        <w:t>15</w:t>
      </w:r>
      <w:r>
        <w:rPr>
          <w:rFonts w:ascii="宋体" w:hAnsi="宋体" w:cs="宋体" w:eastAsia="宋体" w:hint="default"/>
          <w:spacing w:val="-47"/>
        </w:rPr>
        <w:t> </w:t>
      </w:r>
      <w:r>
        <w:rPr/>
        <w:t>日，公司召开的第四届董事会第十五次会议审议通过《关于拟在香港投资设立全资子 </w:t>
      </w:r>
      <w:r>
        <w:rPr>
          <w:spacing w:val="-1"/>
        </w:rPr>
        <w:t>公司的议案》。为充分利用香港独特的区位优势，推动公司国际化战略的落地，公司拟以自有资金投资设</w:t>
      </w:r>
      <w:r>
        <w:rPr>
          <w:spacing w:val="-94"/>
        </w:rPr>
        <w:t> </w:t>
      </w:r>
      <w:r>
        <w:rPr>
          <w:spacing w:val="-94"/>
        </w:rPr>
      </w:r>
      <w:r>
        <w:rPr/>
        <w:t>立香港全资子公司：汉威科技集团（香港）有限公司，注册资本</w:t>
      </w:r>
      <w:r>
        <w:rPr>
          <w:spacing w:val="-48"/>
        </w:rPr>
        <w:t> </w:t>
      </w:r>
      <w:r>
        <w:rPr>
          <w:rFonts w:ascii="宋体" w:hAnsi="宋体" w:cs="宋体" w:eastAsia="宋体" w:hint="default"/>
        </w:rPr>
        <w:t>100</w:t>
      </w:r>
      <w:r>
        <w:rPr>
          <w:rFonts w:ascii="宋体" w:hAnsi="宋体" w:cs="宋体" w:eastAsia="宋体" w:hint="default"/>
          <w:spacing w:val="-50"/>
        </w:rPr>
        <w:t> </w:t>
      </w:r>
      <w:r>
        <w:rPr/>
        <w:t>万港元。</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8"/>
        </w:rPr>
        <w:t> </w:t>
      </w:r>
      <w:r>
        <w:rPr/>
        <w:t>月</w:t>
      </w:r>
      <w:r>
        <w:rPr>
          <w:spacing w:val="-49"/>
        </w:rPr>
        <w:t> </w:t>
      </w:r>
      <w:r>
        <w:rPr>
          <w:rFonts w:ascii="宋体" w:hAnsi="宋体" w:cs="宋体" w:eastAsia="宋体" w:hint="default"/>
        </w:rPr>
        <w:t>28</w:t>
      </w:r>
      <w:r>
        <w:rPr>
          <w:rFonts w:ascii="宋体" w:hAnsi="宋体" w:cs="宋体" w:eastAsia="宋体" w:hint="default"/>
          <w:spacing w:val="-48"/>
        </w:rPr>
        <w:t> </w:t>
      </w:r>
      <w:r>
        <w:rPr/>
        <w:t>日，公司已 </w:t>
      </w:r>
      <w:r>
        <w:rPr>
          <w:spacing w:val="-5"/>
        </w:rPr>
        <w:t>完成香港全资子公司的注册登记手续，并取得香港特别行政区公司注册处签发的《公司注册证明书》和《商</w:t>
      </w:r>
      <w:r>
        <w:rPr>
          <w:spacing w:val="-102"/>
        </w:rPr>
        <w:t> </w:t>
      </w:r>
      <w:r>
        <w:rPr>
          <w:spacing w:val="-102"/>
        </w:rPr>
      </w:r>
      <w:r>
        <w:rPr>
          <w:spacing w:val="-7"/>
        </w:rPr>
        <w:t>业登记证》。具体信息请查阅公司于</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5</w:t>
      </w:r>
      <w:r>
        <w:rPr>
          <w:rFonts w:ascii="宋体" w:hAnsi="宋体" w:cs="宋体" w:eastAsia="宋体" w:hint="default"/>
          <w:spacing w:val="-50"/>
        </w:rPr>
        <w:t> </w:t>
      </w:r>
      <w:r>
        <w:rPr/>
        <w:t>月</w:t>
      </w:r>
      <w:r>
        <w:rPr>
          <w:spacing w:val="-52"/>
        </w:rPr>
        <w:t> </w:t>
      </w:r>
      <w:r>
        <w:rPr>
          <w:rFonts w:ascii="宋体" w:hAnsi="宋体" w:cs="宋体" w:eastAsia="宋体" w:hint="default"/>
          <w:spacing w:val="-1"/>
        </w:rPr>
        <w:t>16</w:t>
      </w:r>
      <w:r>
        <w:rPr>
          <w:rFonts w:ascii="宋体" w:hAnsi="宋体" w:cs="宋体" w:eastAsia="宋体" w:hint="default"/>
          <w:spacing w:val="-50"/>
        </w:rPr>
        <w:t> </w:t>
      </w:r>
      <w:r>
        <w:rPr>
          <w:spacing w:val="-1"/>
        </w:rPr>
        <w:t>日在巨潮资讯网刊登的公告。</w:t>
      </w:r>
    </w:p>
    <w:p>
      <w:pPr>
        <w:pStyle w:val="BodyText"/>
        <w:spacing w:line="408" w:lineRule="auto"/>
        <w:ind w:left="574" w:right="0"/>
        <w:jc w:val="left"/>
      </w:pPr>
      <w:r>
        <w:rPr>
          <w:rFonts w:ascii="宋体" w:hAnsi="宋体" w:cs="宋体" w:eastAsia="宋体" w:hint="default"/>
        </w:rPr>
        <w:t>5</w:t>
      </w:r>
      <w:r>
        <w:rPr/>
        <w:t>、注销北京威果智能科技有限公司 </w:t>
      </w:r>
      <w:r>
        <w:rPr>
          <w:spacing w:val="-1"/>
        </w:rPr>
        <w:t>公司基于进一步提升集团化管控效率的考虑，拟将居家智能与健康业务板块旗下公司北京威果实施清</w:t>
      </w:r>
    </w:p>
    <w:p>
      <w:pPr>
        <w:pStyle w:val="BodyText"/>
        <w:spacing w:line="408" w:lineRule="auto"/>
        <w:ind w:right="1139"/>
        <w:jc w:val="both"/>
      </w:pPr>
      <w:r>
        <w:rPr/>
        <w:t>算、</w:t>
      </w:r>
      <w:r>
        <w:rPr>
          <w:spacing w:val="65"/>
        </w:rPr>
        <w:t> </w:t>
      </w:r>
      <w:r>
        <w:rPr/>
        <w:t>注销。清算、注销完成后，居家智能与健康业务将由北京威果下属子公司河南威果继续运营。具体</w:t>
      </w:r>
      <w:r>
        <w:rPr>
          <w:spacing w:val="-100"/>
        </w:rPr>
        <w:t> </w:t>
      </w:r>
      <w:r>
        <w:rPr>
          <w:spacing w:val="-100"/>
        </w:rPr>
      </w:r>
      <w:r>
        <w:rPr/>
        <w:t>信息请查阅公司于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日在巨潮资讯网刊登的公告。</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rFonts w:ascii="宋体" w:hAnsi="宋体" w:cs="宋体" w:eastAsia="宋体" w:hint="default"/>
        </w:rPr>
        <w:t>1</w:t>
      </w:r>
      <w:r>
        <w:rPr/>
        <w:t>、高新热力处置资产暨签署拆迁补偿协议</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8</w:t>
      </w:r>
      <w:r>
        <w:rPr>
          <w:rFonts w:ascii="宋体" w:hAnsi="宋体" w:cs="宋体" w:eastAsia="宋体" w:hint="default"/>
          <w:spacing w:val="-46"/>
        </w:rPr>
        <w:t> </w:t>
      </w:r>
      <w:r>
        <w:rPr>
          <w:spacing w:val="-3"/>
        </w:rPr>
        <w:t>日，高新热力与郑州高新区梧桐办事处秦庄村拆迁改造指挥部（以下称“拆迁改造指挥</w:t>
      </w:r>
      <w:r>
        <w:rPr/>
        <w:t> </w:t>
      </w:r>
      <w:r>
        <w:rPr>
          <w:spacing w:val="-1"/>
        </w:rPr>
        <w:t>部”）签署《拆迁补偿协议》。根据郑州市高新区新型城镇化建设总体工作部署，高新热力拥有的位于郑</w:t>
      </w:r>
      <w:r>
        <w:rPr>
          <w:spacing w:val="-94"/>
        </w:rPr>
        <w:t> </w:t>
      </w:r>
      <w:r>
        <w:rPr>
          <w:spacing w:val="-94"/>
        </w:rPr>
      </w:r>
      <w:r>
        <w:rPr>
          <w:spacing w:val="-1"/>
        </w:rPr>
        <w:t>州市高新区冬青街石楠路的一处厂院，在郑州市秦庄片区项目改造的范围之内，经过友好协商，高新热力</w:t>
      </w:r>
      <w:r>
        <w:rPr>
          <w:spacing w:val="-83"/>
        </w:rPr>
        <w:t> </w:t>
      </w:r>
      <w:r>
        <w:rPr>
          <w:spacing w:val="-83"/>
        </w:rPr>
      </w:r>
      <w:r>
        <w:rPr/>
        <w:t>与拆迁改造指挥部确认本次拆迁的补偿金额为</w:t>
      </w:r>
      <w:r>
        <w:rPr>
          <w:spacing w:val="-56"/>
        </w:rPr>
        <w:t> </w:t>
      </w:r>
      <w:r>
        <w:rPr>
          <w:rFonts w:ascii="宋体" w:hAnsi="宋体" w:cs="宋体" w:eastAsia="宋体" w:hint="default"/>
        </w:rPr>
        <w:t>2,486</w:t>
      </w:r>
      <w:r>
        <w:rPr>
          <w:rFonts w:ascii="宋体" w:hAnsi="宋体" w:cs="宋体" w:eastAsia="宋体" w:hint="default"/>
          <w:spacing w:val="-56"/>
        </w:rPr>
        <w:t> </w:t>
      </w:r>
      <w:r>
        <w:rPr/>
        <w:t>万元。具体信息请查阅公司于</w:t>
      </w:r>
      <w:r>
        <w:rPr>
          <w:spacing w:val="-56"/>
        </w:rPr>
        <w:t> </w:t>
      </w:r>
      <w:r>
        <w:rPr>
          <w:rFonts w:ascii="宋体" w:hAnsi="宋体" w:cs="宋体" w:eastAsia="宋体" w:hint="default"/>
        </w:rPr>
        <w:t>2018</w:t>
      </w:r>
      <w:r>
        <w:rPr>
          <w:rFonts w:ascii="宋体" w:hAnsi="宋体" w:cs="宋体" w:eastAsia="宋体" w:hint="default"/>
          <w:spacing w:val="-57"/>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10</w:t>
      </w:r>
      <w:r>
        <w:rPr>
          <w:rFonts w:ascii="宋体" w:hAnsi="宋体" w:cs="宋体" w:eastAsia="宋体" w:hint="default"/>
          <w:spacing w:val="-56"/>
        </w:rPr>
        <w:t> </w:t>
      </w:r>
      <w:r>
        <w:rPr/>
        <w:t>日在巨</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7707" w:hanging="420"/>
        <w:jc w:val="left"/>
      </w:pPr>
      <w:r>
        <w:rPr/>
        <w:t>潮资讯网刊登的公告。 </w:t>
      </w:r>
      <w:r>
        <w:rPr>
          <w:rFonts w:ascii="宋体" w:hAnsi="宋体" w:cs="宋体" w:eastAsia="宋体" w:hint="default"/>
        </w:rPr>
        <w:t>2</w:t>
      </w:r>
      <w:r>
        <w:rPr/>
        <w:t>、子公司收到政府专项资金</w:t>
      </w: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7"/>
        </w:rPr>
        <w:t> </w:t>
      </w:r>
      <w:r>
        <w:rPr>
          <w:rFonts w:ascii="宋体" w:hAnsi="宋体" w:cs="宋体" w:eastAsia="宋体" w:hint="default"/>
        </w:rPr>
        <w:t>8</w:t>
      </w:r>
      <w:r>
        <w:rPr>
          <w:rFonts w:ascii="宋体" w:hAnsi="宋体" w:cs="宋体" w:eastAsia="宋体" w:hint="default"/>
          <w:spacing w:val="-55"/>
        </w:rPr>
        <w:t> </w:t>
      </w:r>
      <w:r>
        <w:rPr/>
        <w:t>日、</w:t>
      </w:r>
      <w:r>
        <w:rPr>
          <w:rFonts w:ascii="宋体" w:hAnsi="宋体" w:cs="宋体" w:eastAsia="宋体" w:hint="default"/>
        </w:rPr>
        <w:t>2018</w:t>
      </w:r>
      <w:r>
        <w:rPr>
          <w:rFonts w:ascii="宋体" w:hAnsi="宋体" w:cs="宋体" w:eastAsia="宋体" w:hint="default"/>
          <w:spacing w:val="-57"/>
        </w:rPr>
        <w:t> </w:t>
      </w:r>
      <w:r>
        <w:rPr/>
        <w:t>年</w:t>
      </w:r>
      <w:r>
        <w:rPr>
          <w:spacing w:val="-56"/>
        </w:rPr>
        <w:t> </w:t>
      </w:r>
      <w:r>
        <w:rPr>
          <w:rFonts w:ascii="宋体" w:hAnsi="宋体" w:cs="宋体" w:eastAsia="宋体" w:hint="default"/>
        </w:rPr>
        <w:t>6</w:t>
      </w:r>
      <w:r>
        <w:rPr>
          <w:rFonts w:ascii="宋体" w:hAnsi="宋体" w:cs="宋体" w:eastAsia="宋体" w:hint="default"/>
          <w:spacing w:val="-55"/>
        </w:rPr>
        <w:t> </w:t>
      </w:r>
      <w:r>
        <w:rPr/>
        <w:t>月</w:t>
      </w:r>
      <w:r>
        <w:rPr>
          <w:spacing w:val="-57"/>
        </w:rPr>
        <w:t> </w:t>
      </w:r>
      <w:r>
        <w:rPr>
          <w:rFonts w:ascii="宋体" w:hAnsi="宋体" w:cs="宋体" w:eastAsia="宋体" w:hint="default"/>
        </w:rPr>
        <w:t>28</w:t>
      </w:r>
      <w:r>
        <w:rPr>
          <w:rFonts w:ascii="宋体" w:hAnsi="宋体" w:cs="宋体" w:eastAsia="宋体" w:hint="default"/>
          <w:spacing w:val="-55"/>
        </w:rPr>
        <w:t> </w:t>
      </w:r>
      <w:r>
        <w:rPr/>
        <w:t>日，汉威智源及汉威公用下属子公司分别收到了政府专项资金，共</w:t>
      </w:r>
    </w:p>
    <w:p>
      <w:pPr>
        <w:spacing w:line="240" w:lineRule="auto" w:before="10"/>
        <w:rPr>
          <w:rFonts w:ascii="宋体" w:hAnsi="宋体" w:cs="宋体" w:eastAsia="宋体" w:hint="default"/>
          <w:sz w:val="14"/>
          <w:szCs w:val="14"/>
        </w:rPr>
      </w:pPr>
    </w:p>
    <w:p>
      <w:pPr>
        <w:pStyle w:val="BodyText"/>
        <w:spacing w:line="408" w:lineRule="auto" w:before="0"/>
        <w:ind w:left="574" w:right="1023" w:hanging="420"/>
        <w:jc w:val="left"/>
      </w:pPr>
      <w:r>
        <w:rPr/>
        <w:t>计</w:t>
      </w:r>
      <w:r>
        <w:rPr>
          <w:spacing w:val="-51"/>
        </w:rPr>
        <w:t> </w:t>
      </w:r>
      <w:r>
        <w:rPr>
          <w:rFonts w:ascii="宋体" w:hAnsi="宋体" w:cs="宋体" w:eastAsia="宋体" w:hint="default"/>
        </w:rPr>
        <w:t>36,537.63</w:t>
      </w:r>
      <w:r>
        <w:rPr>
          <w:rFonts w:ascii="宋体" w:hAnsi="宋体" w:cs="宋体" w:eastAsia="宋体" w:hint="default"/>
          <w:spacing w:val="-50"/>
        </w:rPr>
        <w:t> </w:t>
      </w:r>
      <w:r>
        <w:rPr>
          <w:spacing w:val="-8"/>
        </w:rPr>
        <w:t>万元。具体信息请查阅公司于</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1"/>
        </w:rPr>
        <w:t> </w:t>
      </w:r>
      <w:r>
        <w:rPr>
          <w:rFonts w:ascii="宋体" w:hAnsi="宋体" w:cs="宋体" w:eastAsia="宋体" w:hint="default"/>
        </w:rPr>
        <w:t>2</w:t>
      </w:r>
      <w:r>
        <w:rPr>
          <w:rFonts w:ascii="宋体" w:hAnsi="宋体" w:cs="宋体" w:eastAsia="宋体" w:hint="default"/>
          <w:spacing w:val="-50"/>
        </w:rPr>
        <w:t> </w:t>
      </w:r>
      <w:r>
        <w:rPr/>
        <w:t>月</w:t>
      </w:r>
      <w:r>
        <w:rPr>
          <w:spacing w:val="-52"/>
        </w:rPr>
        <w:t> </w:t>
      </w:r>
      <w:r>
        <w:rPr>
          <w:rFonts w:ascii="宋体" w:hAnsi="宋体" w:cs="宋体" w:eastAsia="宋体" w:hint="default"/>
          <w:spacing w:val="-1"/>
        </w:rPr>
        <w:t>26</w:t>
      </w:r>
      <w:r>
        <w:rPr>
          <w:rFonts w:ascii="宋体" w:hAnsi="宋体" w:cs="宋体" w:eastAsia="宋体" w:hint="default"/>
          <w:spacing w:val="-50"/>
        </w:rPr>
        <w:t> </w:t>
      </w:r>
      <w:r>
        <w:rPr>
          <w:spacing w:val="-16"/>
        </w:rPr>
        <w:t>日、</w:t>
      </w:r>
      <w:r>
        <w:rPr>
          <w:rFonts w:ascii="宋体" w:hAnsi="宋体" w:cs="宋体" w:eastAsia="宋体" w:hint="default"/>
          <w:spacing w:val="-16"/>
        </w:rPr>
        <w:t>2018</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3</w:t>
      </w:r>
      <w:r>
        <w:rPr>
          <w:rFonts w:ascii="宋体" w:hAnsi="宋体" w:cs="宋体" w:eastAsia="宋体" w:hint="default"/>
          <w:spacing w:val="-50"/>
        </w:rPr>
        <w:t> </w:t>
      </w:r>
      <w:r>
        <w:rPr>
          <w:spacing w:val="-1"/>
        </w:rPr>
        <w:t>日在巨潮资讯网刊登的公告。</w:t>
      </w:r>
      <w:r>
        <w:rPr/>
        <w:t> </w:t>
      </w:r>
      <w:r>
        <w:rPr>
          <w:rFonts w:ascii="宋体" w:hAnsi="宋体" w:cs="宋体" w:eastAsia="宋体" w:hint="default"/>
        </w:rPr>
        <w:t>3</w:t>
      </w:r>
      <w:r>
        <w:rPr/>
        <w:t>、汉威智慧安全引进战略投资者</w:t>
      </w: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46"/>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22</w:t>
      </w:r>
      <w:r>
        <w:rPr>
          <w:rFonts w:ascii="宋体" w:hAnsi="宋体" w:cs="宋体" w:eastAsia="宋体" w:hint="default"/>
          <w:spacing w:val="-47"/>
        </w:rPr>
        <w:t> </w:t>
      </w:r>
      <w:r>
        <w:rPr/>
        <w:t>日，汉威智慧安全以增资扩股的方式引进战略投资者郑州创耀企业管理咨询中心（有</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spacing w:val="4"/>
        </w:rPr>
        <w:t>限合伙</w:t>
      </w:r>
      <w:r>
        <w:rPr>
          <w:spacing w:val="-100"/>
        </w:rPr>
        <w:t>）</w:t>
      </w:r>
      <w:r>
        <w:rPr>
          <w:spacing w:val="4"/>
        </w:rPr>
        <w:t>、陈丽英及刘</w:t>
      </w:r>
      <w:r>
        <w:rPr>
          <w:spacing w:val="5"/>
        </w:rPr>
        <w:t>晓</w:t>
      </w:r>
      <w:r>
        <w:rPr>
          <w:spacing w:val="4"/>
        </w:rPr>
        <w:t>君，注册</w:t>
      </w:r>
      <w:r>
        <w:rPr>
          <w:spacing w:val="5"/>
        </w:rPr>
        <w:t>资</w:t>
      </w:r>
      <w:r>
        <w:rPr>
          <w:spacing w:val="4"/>
        </w:rPr>
        <w:t>本由人民</w:t>
      </w:r>
      <w:r>
        <w:rPr/>
        <w:t>币</w:t>
      </w:r>
      <w:r>
        <w:rPr>
          <w:spacing w:val="9"/>
        </w:rPr>
        <w:t> </w:t>
      </w:r>
      <w:r>
        <w:rPr>
          <w:rFonts w:ascii="宋体" w:hAnsi="宋体" w:cs="宋体" w:eastAsia="宋体" w:hint="default"/>
        </w:rPr>
        <w:t>4,200</w:t>
      </w:r>
      <w:r>
        <w:rPr>
          <w:rFonts w:ascii="宋体" w:hAnsi="宋体" w:cs="宋体" w:eastAsia="宋体" w:hint="default"/>
          <w:spacing w:val="6"/>
        </w:rPr>
        <w:t> </w:t>
      </w:r>
      <w:r>
        <w:rPr>
          <w:spacing w:val="4"/>
        </w:rPr>
        <w:t>万</w:t>
      </w:r>
      <w:r>
        <w:rPr>
          <w:spacing w:val="3"/>
        </w:rPr>
        <w:t>元</w:t>
      </w:r>
      <w:r>
        <w:rPr>
          <w:spacing w:val="4"/>
        </w:rPr>
        <w:t>增加至人</w:t>
      </w:r>
      <w:r>
        <w:rPr>
          <w:spacing w:val="5"/>
        </w:rPr>
        <w:t>民</w:t>
      </w:r>
      <w:r>
        <w:rPr/>
        <w:t>币</w:t>
      </w:r>
      <w:r>
        <w:rPr>
          <w:spacing w:val="6"/>
        </w:rPr>
        <w:t> </w:t>
      </w:r>
      <w:r>
        <w:rPr>
          <w:rFonts w:ascii="宋体" w:hAnsi="宋体" w:cs="宋体" w:eastAsia="宋体" w:hint="default"/>
        </w:rPr>
        <w:t>5,350.25</w:t>
      </w:r>
      <w:r>
        <w:rPr>
          <w:rFonts w:ascii="宋体" w:hAnsi="宋体" w:cs="宋体" w:eastAsia="宋体" w:hint="default"/>
          <w:spacing w:val="5"/>
        </w:rPr>
        <w:t> </w:t>
      </w:r>
      <w:r>
        <w:rPr>
          <w:spacing w:val="4"/>
        </w:rPr>
        <w:t>万元，增资金额为</w:t>
      </w:r>
      <w:r>
        <w:rPr/>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rPr>
        <w:t>3,172.39 </w:t>
      </w:r>
      <w:r>
        <w:rPr/>
        <w:t>万元。公司放弃对此次汉威智慧安全新增注册资本的优先认缴权。具体信息请查阅公司于</w:t>
      </w:r>
      <w:r>
        <w:rPr>
          <w:spacing w:val="-22"/>
        </w:rPr>
        <w:t> </w:t>
      </w:r>
      <w:r>
        <w:rPr>
          <w:rFonts w:ascii="宋体" w:hAnsi="宋体" w:cs="宋体" w:eastAsia="宋体" w:hint="default"/>
        </w:rPr>
        <w:t>2018</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日在巨潮资讯网刊登的公告。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53"/>
        <w:gridCol w:w="1004"/>
        <w:gridCol w:w="851"/>
        <w:gridCol w:w="850"/>
        <w:gridCol w:w="568"/>
        <w:gridCol w:w="992"/>
        <w:gridCol w:w="850"/>
        <w:gridCol w:w="852"/>
        <w:gridCol w:w="991"/>
        <w:gridCol w:w="750"/>
      </w:tblGrid>
      <w:tr>
        <w:trPr>
          <w:trHeight w:val="206" w:hRule="exact"/>
        </w:trPr>
        <w:tc>
          <w:tcPr>
            <w:tcW w:w="1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853"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112" w:type="dxa"/>
            <w:gridSpan w:val="5"/>
            <w:vMerge/>
            <w:tcBorders>
              <w:left w:val="single" w:sz="4" w:space="0" w:color="000000"/>
              <w:bottom w:val="single" w:sz="4" w:space="0" w:color="000000"/>
              <w:right w:val="single" w:sz="4" w:space="0" w:color="000000"/>
            </w:tcBorders>
            <w:shd w:val="clear" w:color="auto" w:fill="D2D2D2"/>
          </w:tcPr>
          <w:p>
            <w:pPr/>
          </w:p>
        </w:tc>
        <w:tc>
          <w:tcPr>
            <w:tcW w:w="17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53"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68,765,996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-2,658,580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-2,658,580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66,107,416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68,765,996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-2,658,580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-2,658,580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66,107,416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1,717,106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-1,717,106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-1,717,106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67,048,890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-941,474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-941,474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66,107,416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224,256,810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2,658,580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2,658,580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226,915,390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77.44%</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224,256,810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2,658,580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2,658,580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226,915,390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77.44%</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293,022,806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293,022,806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20" w:firstLine="420"/>
        <w:jc w:val="left"/>
      </w:pPr>
      <w:r>
        <w:rPr>
          <w:rFonts w:ascii="宋体" w:hAnsi="宋体" w:cs="宋体" w:eastAsia="宋体" w:hint="default"/>
          <w:spacing w:val="-3"/>
        </w:rPr>
        <w:t>1</w:t>
      </w:r>
      <w:r>
        <w:rPr>
          <w:spacing w:val="-3"/>
        </w:rPr>
        <w:t>、报告期内，公司董事、监事、高级管理人员所持股份按照</w:t>
      </w:r>
      <w:r>
        <w:rPr>
          <w:spacing w:val="-52"/>
        </w:rPr>
        <w:t> </w:t>
      </w:r>
      <w:r>
        <w:rPr>
          <w:rFonts w:ascii="宋体" w:hAnsi="宋体" w:cs="宋体" w:eastAsia="宋体" w:hint="default"/>
        </w:rPr>
        <w:t>25%</w:t>
      </w:r>
      <w:r>
        <w:rPr/>
        <w:t>自动解除锁定，离任高管所持股份半 年后自动解除锁定。</w:t>
      </w:r>
    </w:p>
    <w:p>
      <w:pPr>
        <w:pStyle w:val="BodyText"/>
        <w:spacing w:line="408" w:lineRule="auto"/>
        <w:ind w:right="1023" w:firstLine="420"/>
        <w:jc w:val="left"/>
      </w:pPr>
      <w:r>
        <w:rPr>
          <w:rFonts w:ascii="宋体" w:hAnsi="宋体" w:cs="宋体" w:eastAsia="宋体" w:hint="default"/>
        </w:rPr>
        <w:t>2</w:t>
      </w:r>
      <w:r>
        <w:rPr/>
        <w:t>、经中国证券监督管理委员会《关于核准河南汉威电子股份有限公司向陈泽枝等发行股份购买资产 </w:t>
      </w:r>
      <w:r>
        <w:rPr>
          <w:spacing w:val="-5"/>
        </w:rPr>
        <w:t>并募集配套资金的批复》（证监许可</w:t>
      </w:r>
      <w:r>
        <w:rPr>
          <w:rFonts w:ascii="宋体" w:hAnsi="宋体" w:cs="宋体" w:eastAsia="宋体" w:hint="default"/>
          <w:spacing w:val="-5"/>
        </w:rPr>
        <w:t>[2014]937</w:t>
      </w:r>
      <w:r>
        <w:rPr>
          <w:rFonts w:ascii="宋体" w:hAnsi="宋体" w:cs="宋体" w:eastAsia="宋体" w:hint="default"/>
          <w:spacing w:val="-46"/>
        </w:rPr>
        <w:t> </w:t>
      </w:r>
      <w:r>
        <w:rPr>
          <w:spacing w:val="-3"/>
        </w:rPr>
        <w:t>号）核准，公司向交易对方陈泽枝、李泽清、高孔兴、芜湖</w:t>
      </w:r>
      <w:r>
        <w:rPr>
          <w:spacing w:val="-91"/>
        </w:rPr>
        <w:t> </w:t>
      </w:r>
      <w:r>
        <w:rPr>
          <w:spacing w:val="-91"/>
        </w:rPr>
      </w:r>
      <w:r>
        <w:rPr>
          <w:spacing w:val="-3"/>
        </w:rPr>
        <w:t>华顺置业投资有限责任公司、许金炉、刘智良、黄开坚、尚剑红、缪品章、李扬、叶明、梁一红、刘光江、</w:t>
      </w:r>
      <w:r>
        <w:rPr>
          <w:spacing w:val="-97"/>
        </w:rPr>
        <w:t> </w:t>
      </w:r>
      <w:r>
        <w:rPr>
          <w:spacing w:val="-97"/>
        </w:rPr>
      </w:r>
      <w:r>
        <w:rPr/>
        <w:t>邱宇、王锐共计发行股份</w:t>
      </w:r>
      <w:r>
        <w:rPr>
          <w:spacing w:val="-33"/>
        </w:rPr>
        <w:t> </w:t>
      </w:r>
      <w:r>
        <w:rPr>
          <w:rFonts w:ascii="宋体" w:hAnsi="宋体" w:cs="宋体" w:eastAsia="宋体" w:hint="default"/>
        </w:rPr>
        <w:t>22,820,347</w:t>
      </w:r>
      <w:r>
        <w:rPr>
          <w:rFonts w:ascii="宋体" w:hAnsi="宋体" w:cs="宋体" w:eastAsia="宋体" w:hint="default"/>
          <w:spacing w:val="-33"/>
        </w:rPr>
        <w:t> </w:t>
      </w:r>
      <w:r>
        <w:rPr/>
        <w:t>股，并向其他特定投资者发行</w:t>
      </w:r>
      <w:r>
        <w:rPr>
          <w:spacing w:val="-33"/>
        </w:rPr>
        <w:t> </w:t>
      </w:r>
      <w:r>
        <w:rPr>
          <w:rFonts w:ascii="宋体" w:hAnsi="宋体" w:cs="宋体" w:eastAsia="宋体" w:hint="default"/>
        </w:rPr>
        <w:t>5,691,056</w:t>
      </w:r>
      <w:r>
        <w:rPr>
          <w:rFonts w:ascii="宋体" w:hAnsi="宋体" w:cs="宋体" w:eastAsia="宋体" w:hint="default"/>
          <w:spacing w:val="-32"/>
        </w:rPr>
        <w:t> </w:t>
      </w:r>
      <w:r>
        <w:rPr/>
        <w:t>股募集配套资金。报告期 内，根据重大资产重组非公开发行股票解锁条件，上述部分股东所持有的限售股票已逐步解除锁定。具体</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信息请查阅公司于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日在巨潮资讯网刊登的公告。</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38" w:lineRule="auto" w:before="40"/>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2"/>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64"/>
        <w:gridCol w:w="1223"/>
        <w:gridCol w:w="1134"/>
        <w:gridCol w:w="1134"/>
        <w:gridCol w:w="991"/>
        <w:gridCol w:w="1134"/>
        <w:gridCol w:w="2591"/>
      </w:tblGrid>
      <w:tr>
        <w:trPr>
          <w:trHeight w:val="71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47,767,972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47,767,972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在任期间按照每年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在任期间按照每年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在任期间按照每年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2,061,126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2,061,126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在任期间按照每年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在任期间按照每年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在任期间按照每年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5,112,906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5,112,906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根据资产重大重组非公开发行股 票解锁条件分三次进行解锁</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根据资产重大重组非公开发行股 票解锁条件分三次进行解锁</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1,476,789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1,476,789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根据资产重大重组非公开发行股 票解锁条件分三次进行解锁</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许金炉</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401,202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401,202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根据资产重大重组非公开发行股 票解锁条件分三次进行解锁</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刘智良</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942,074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942,074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根据资产重大重组非公开发行股 票解锁条件分三次进行解锁</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芜湖华顺置业投 资有限责任公司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1,717,106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1,717,106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根据资产重大重组非公开发行股 票解锁条件分三次进行解锁</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1354"/>
        <w:gridCol w:w="1235"/>
        <w:gridCol w:w="1134"/>
        <w:gridCol w:w="1134"/>
        <w:gridCol w:w="992"/>
        <w:gridCol w:w="1133"/>
        <w:gridCol w:w="2591"/>
      </w:tblGrid>
      <w:tr>
        <w:trPr>
          <w:trHeight w:val="402" w:hRule="exact"/>
        </w:trPr>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68,765,996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2,659,180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66,106,816</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162"/>
        <w:gridCol w:w="726"/>
        <w:gridCol w:w="698"/>
        <w:gridCol w:w="709"/>
        <w:gridCol w:w="555"/>
        <w:gridCol w:w="436"/>
        <w:gridCol w:w="437"/>
        <w:gridCol w:w="521"/>
        <w:gridCol w:w="1169"/>
        <w:gridCol w:w="130"/>
        <w:gridCol w:w="648"/>
        <w:gridCol w:w="497"/>
        <w:gridCol w:w="851"/>
        <w:gridCol w:w="414"/>
        <w:gridCol w:w="614"/>
      </w:tblGrid>
      <w:tr>
        <w:trPr>
          <w:trHeight w:val="161" w:hRule="exact"/>
        </w:trPr>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24,349</w:t>
            </w:r>
          </w:p>
        </w:tc>
        <w:tc>
          <w:tcPr>
            <w:tcW w:w="196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873"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24,401</w:t>
            </w:r>
          </w:p>
        </w:tc>
        <w:tc>
          <w:tcPr>
            <w:tcW w:w="182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7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19"/>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614"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11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26" w:type="dxa"/>
            <w:vMerge/>
            <w:tcBorders>
              <w:left w:val="single" w:sz="9" w:space="0" w:color="D2D2D2"/>
              <w:right w:val="single" w:sz="9" w:space="0" w:color="D2D2D2"/>
            </w:tcBorders>
          </w:tcPr>
          <w:p>
            <w:pPr/>
          </w:p>
        </w:tc>
        <w:tc>
          <w:tcPr>
            <w:tcW w:w="196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39"/>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873" w:type="dxa"/>
            <w:gridSpan w:val="2"/>
            <w:vMerge/>
            <w:tcBorders>
              <w:left w:val="single" w:sz="9" w:space="0" w:color="D2D2D2"/>
              <w:right w:val="single" w:sz="10" w:space="0" w:color="D2D2D2"/>
            </w:tcBorders>
          </w:tcPr>
          <w:p>
            <w:pPr/>
          </w:p>
        </w:tc>
        <w:tc>
          <w:tcPr>
            <w:tcW w:w="1820"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2" w:right="176"/>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648" w:type="dxa"/>
            <w:vMerge/>
            <w:tcBorders>
              <w:left w:val="single" w:sz="9" w:space="0" w:color="D2D2D2"/>
              <w:right w:val="single" w:sz="9" w:space="0" w:color="D2D2D2"/>
            </w:tcBorders>
          </w:tcPr>
          <w:p>
            <w:pPr/>
          </w:p>
        </w:tc>
        <w:tc>
          <w:tcPr>
            <w:tcW w:w="1762" w:type="dxa"/>
            <w:gridSpan w:val="3"/>
            <w:vMerge/>
            <w:tcBorders>
              <w:left w:val="single" w:sz="4" w:space="0" w:color="000000"/>
              <w:right w:val="single" w:sz="4" w:space="0" w:color="000000"/>
            </w:tcBorders>
            <w:shd w:val="clear" w:color="auto" w:fill="D2D2D2"/>
          </w:tcPr>
          <w:p>
            <w:pPr/>
          </w:p>
        </w:tc>
        <w:tc>
          <w:tcPr>
            <w:tcW w:w="614" w:type="dxa"/>
            <w:vMerge/>
            <w:tcBorders>
              <w:left w:val="single" w:sz="13" w:space="0" w:color="D2D2D2"/>
              <w:right w:val="single" w:sz="4" w:space="0" w:color="000000"/>
            </w:tcBorders>
          </w:tcPr>
          <w:p>
            <w:pPr/>
          </w:p>
        </w:tc>
      </w:tr>
      <w:tr>
        <w:trPr>
          <w:trHeight w:val="166" w:hRule="exact"/>
        </w:trPr>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6" w:type="dxa"/>
            <w:vMerge/>
            <w:tcBorders>
              <w:left w:val="single" w:sz="9" w:space="0" w:color="D2D2D2"/>
              <w:bottom w:val="single" w:sz="4" w:space="0" w:color="000000"/>
              <w:right w:val="single" w:sz="9" w:space="0" w:color="D2D2D2"/>
            </w:tcBorders>
          </w:tcPr>
          <w:p>
            <w:pPr/>
          </w:p>
        </w:tc>
        <w:tc>
          <w:tcPr>
            <w:tcW w:w="196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73" w:type="dxa"/>
            <w:gridSpan w:val="2"/>
            <w:vMerge/>
            <w:tcBorders>
              <w:left w:val="single" w:sz="9" w:space="0" w:color="D2D2D2"/>
              <w:bottom w:val="single" w:sz="4" w:space="0" w:color="000000"/>
              <w:right w:val="single" w:sz="10" w:space="0" w:color="D2D2D2"/>
            </w:tcBorders>
          </w:tcPr>
          <w:p>
            <w:pPr/>
          </w:p>
        </w:tc>
        <w:tc>
          <w:tcPr>
            <w:tcW w:w="182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9" w:space="0" w:color="D2D2D2"/>
              <w:bottom w:val="single" w:sz="4" w:space="0" w:color="000000"/>
              <w:right w:val="single" w:sz="9" w:space="0" w:color="D2D2D2"/>
            </w:tcBorders>
          </w:tcPr>
          <w:p>
            <w:pPr/>
          </w:p>
        </w:tc>
        <w:tc>
          <w:tcPr>
            <w:tcW w:w="1762" w:type="dxa"/>
            <w:gridSpan w:val="3"/>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0"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 w:right="2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8" w:right="38"/>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8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2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58" w:type="dxa"/>
            <w:gridSpan w:val="2"/>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18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162" w:type="dxa"/>
            <w:vMerge/>
            <w:tcBorders>
              <w:left w:val="single" w:sz="4" w:space="0" w:color="000000"/>
              <w:bottom w:val="nil" w:sz="6" w:space="0" w:color="auto"/>
              <w:right w:val="single" w:sz="4" w:space="0" w:color="000000"/>
            </w:tcBorders>
            <w:shd w:val="clear" w:color="auto" w:fill="D2D2D2"/>
          </w:tcPr>
          <w:p>
            <w:pPr/>
          </w:p>
        </w:tc>
        <w:tc>
          <w:tcPr>
            <w:tcW w:w="1424"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58" w:type="dxa"/>
            <w:gridSpan w:val="2"/>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3" w:hRule="exact"/>
        </w:trPr>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58" w:type="dxa"/>
            <w:gridSpan w:val="2"/>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276" w:type="dxa"/>
            <w:gridSpan w:val="3"/>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028" w:type="dxa"/>
            <w:gridSpan w:val="2"/>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21.12%</w:t>
            </w:r>
          </w:p>
        </w:tc>
        <w:tc>
          <w:tcPr>
            <w:tcW w:w="992"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61,890,629</w:t>
            </w:r>
          </w:p>
        </w:tc>
        <w:tc>
          <w:tcPr>
            <w:tcW w:w="958"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-1800000</w:t>
            </w:r>
          </w:p>
        </w:tc>
        <w:tc>
          <w:tcPr>
            <w:tcW w:w="1169"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47,767,972</w:t>
            </w:r>
          </w:p>
        </w:tc>
        <w:tc>
          <w:tcPr>
            <w:tcW w:w="1276"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14,122,657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5" w:right="0"/>
              <w:jc w:val="left"/>
              <w:rPr>
                <w:rFonts w:ascii="Times New Roman" w:hAnsi="Times New Roman" w:cs="Times New Roman" w:eastAsia="Times New Roman" w:hint="default"/>
                <w:sz w:val="18"/>
                <w:szCs w:val="18"/>
              </w:rPr>
            </w:pPr>
            <w:r>
              <w:rPr>
                <w:rFonts w:ascii="Times New Roman"/>
                <w:sz w:val="18"/>
              </w:rPr>
              <w:t>52,700,000</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15,154,280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15,154,280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2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11,067,706</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-1895200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5,112,906</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5,954,800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11,012,901</w:t>
            </w:r>
          </w:p>
        </w:tc>
      </w:tr>
      <w:tr>
        <w:trPr>
          <w:trHeight w:val="71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中创前海资本 有限公司</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5,529,100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5529100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5,529,100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2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5,221,826</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2,364,200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2,857,626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2,857,226</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4,010,134</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3,007,600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1,002,534</w:t>
            </w:r>
          </w:p>
        </w:tc>
        <w:tc>
          <w:tcPr>
            <w:tcW w:w="851" w:type="dxa"/>
            <w:tcBorders>
              <w:top w:val="single" w:sz="4" w:space="0" w:color="000000"/>
              <w:left w:val="single" w:sz="4" w:space="0" w:color="000000"/>
              <w:bottom w:val="single" w:sz="4" w:space="0" w:color="000000"/>
              <w:right w:val="single" w:sz="4" w:space="0" w:color="000000"/>
            </w:tcBorders>
          </w:tcPr>
          <w:p>
            <w:pPr/>
          </w:p>
        </w:tc>
        <w:tc>
          <w:tcPr>
            <w:tcW w:w="102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3,574,630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1,476,789</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2,097,841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2,030,000</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3,497,320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3,497,320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2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3,127,560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2,345,670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781,890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2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2,748,168</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2,061,126</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687,042</w:t>
            </w:r>
          </w:p>
        </w:tc>
        <w:tc>
          <w:tcPr>
            <w:tcW w:w="851" w:type="dxa"/>
            <w:tcBorders>
              <w:top w:val="single" w:sz="4" w:space="0" w:color="000000"/>
              <w:left w:val="single" w:sz="4" w:space="0" w:color="000000"/>
              <w:bottom w:val="single" w:sz="4" w:space="0" w:color="000000"/>
              <w:right w:val="single" w:sz="4" w:space="0" w:color="000000"/>
            </w:tcBorders>
          </w:tcPr>
          <w:p>
            <w:pPr/>
          </w:p>
        </w:tc>
        <w:tc>
          <w:tcPr>
            <w:tcW w:w="102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3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98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85.720001pt;margin-top:369.499969pt;width:346.4pt;height:17.650pt;mso-position-horizontal-relative:page;mso-position-vertical-relative:page;z-index:-1011304" coordorigin="3714,7390" coordsize="6928,353">
            <v:shape style="position:absolute;left:3714;top:7390;width:6928;height:353" coordorigin="3714,7390" coordsize="6928,353" path="m3714,7743l10642,7743,10642,7390,3714,7390,3714,7743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580"/>
        <w:gridCol w:w="3833"/>
        <w:gridCol w:w="1844"/>
        <w:gridCol w:w="1312"/>
      </w:tblGrid>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6" w:right="109"/>
              <w:jc w:val="left"/>
              <w:rPr>
                <w:rFonts w:ascii="宋体" w:hAnsi="宋体" w:cs="宋体" w:eastAsia="宋体" w:hint="default"/>
                <w:sz w:val="18"/>
                <w:szCs w:val="18"/>
              </w:rPr>
            </w:pPr>
            <w:r>
              <w:rPr>
                <w:rFonts w:ascii="宋体" w:hAnsi="宋体" w:cs="宋体" w:eastAsia="宋体" w:hint="default"/>
                <w:sz w:val="18"/>
                <w:szCs w:val="18"/>
              </w:rPr>
              <w:t>任红军与钟超系夫妻关系，钟超与钟克创系姐弟关系，公司未知前十名其他股东之间是 否存在关联关系，也未知是否属于《上市公司收购管理办法》规定的一致行动人。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5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8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5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580" w:type="dxa"/>
            <w:vMerge/>
            <w:tcBorders>
              <w:left w:val="single" w:sz="4" w:space="0" w:color="000000"/>
              <w:bottom w:val="nil" w:sz="6" w:space="0" w:color="auto"/>
              <w:right w:val="single" w:sz="4" w:space="0" w:color="000000"/>
            </w:tcBorders>
            <w:shd w:val="clear" w:color="auto" w:fill="D2D2D2"/>
          </w:tcPr>
          <w:p>
            <w:pPr/>
          </w:p>
        </w:tc>
        <w:tc>
          <w:tcPr>
            <w:tcW w:w="3833" w:type="dxa"/>
            <w:vMerge/>
            <w:tcBorders>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15,154,280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15,154,280</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14,122,657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14,122,657</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5,954,800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5,954,800</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中创前海资本有限公司</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5,529,100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5,529,100</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3,497,320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3,497,320</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2,857,626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2,857,626</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肖延岭</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2,097,841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2,097,841</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史晓玲</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1,798,000</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中信建投基金－广发银行－钟超</w:t>
            </w:r>
          </w:p>
        </w:tc>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1,647,300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1,647,300</w:t>
            </w:r>
          </w:p>
        </w:tc>
      </w:tr>
      <w:tr>
        <w:trPr>
          <w:trHeight w:val="1338" w:hRule="exact"/>
        </w:trPr>
        <w:tc>
          <w:tcPr>
            <w:tcW w:w="25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2" w:lineRule="auto" w:before="63"/>
              <w:ind w:left="24" w:right="107"/>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6988" w:type="dxa"/>
            <w:gridSpan w:val="3"/>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任红军与钟超系夫妻关系，钟超与钟克创系姐弟关系，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中信建投基金－广发银行－钟超</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资产管理计划的资产委托人为钟超，肖延岭与史晓玲系夫妻关系，公司未知前十名其他 股东之间是否存在关联关系，也未知是否属于《上市公司收购管理办法》规定的一致行 动人。</w:t>
            </w:r>
          </w:p>
        </w:tc>
      </w:tr>
      <w:tr>
        <w:trPr>
          <w:trHeight w:val="1026"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9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公司股东中创前海资本有限公司除通过普通证券账户持有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股外，还通过第一创</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业证券股份有限公司客户信用交易担保证券账户持有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3,729,100 </w:t>
            </w:r>
            <w:r>
              <w:rPr>
                <w:rFonts w:ascii="宋体" w:hAnsi="宋体" w:cs="宋体" w:eastAsia="宋体" w:hint="default"/>
                <w:sz w:val="18"/>
                <w:szCs w:val="18"/>
              </w:rPr>
              <w:t>股，实际合计持有</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5,529,100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5" w:type="dxa"/>
        <w:tblLayout w:type="fixed"/>
        <w:tblCellMar>
          <w:top w:w="0" w:type="dxa"/>
          <w:left w:w="0" w:type="dxa"/>
          <w:bottom w:w="0" w:type="dxa"/>
          <w:right w:w="0" w:type="dxa"/>
        </w:tblCellMar>
        <w:tblLook w:val="01E0"/>
      </w:tblPr>
      <w:tblGrid>
        <w:gridCol w:w="4430"/>
        <w:gridCol w:w="1559"/>
        <w:gridCol w:w="3580"/>
      </w:tblGrid>
      <w:tr>
        <w:trPr>
          <w:trHeight w:val="402" w:hRule="exact"/>
        </w:trPr>
        <w:tc>
          <w:tcPr>
            <w:tcW w:w="4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5" w:type="dxa"/>
        <w:tblLayout w:type="fixed"/>
        <w:tblCellMar>
          <w:top w:w="0" w:type="dxa"/>
          <w:left w:w="0" w:type="dxa"/>
          <w:bottom w:w="0" w:type="dxa"/>
          <w:right w:w="0" w:type="dxa"/>
        </w:tblCellMar>
        <w:tblLook w:val="01E0"/>
      </w:tblPr>
      <w:tblGrid>
        <w:gridCol w:w="1736"/>
        <w:gridCol w:w="3050"/>
        <w:gridCol w:w="2393"/>
        <w:gridCol w:w="2392"/>
      </w:tblGrid>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30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83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任红军先生与钟超女士系夫妻关系。任红军先生目前任职公司董事长；钟超女士不担任公司任何职 务。</w:t>
            </w: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 内外上市公司情况</w:t>
            </w:r>
          </w:p>
        </w:tc>
        <w:tc>
          <w:tcPr>
            <w:tcW w:w="78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7"/>
        <w:rPr>
          <w:rFonts w:ascii="宋体" w:hAnsi="宋体" w:cs="宋体" w:eastAsia="宋体" w:hint="default"/>
          <w:sz w:val="18"/>
          <w:szCs w:val="18"/>
        </w:rPr>
      </w:pPr>
    </w:p>
    <w:p>
      <w:pPr>
        <w:spacing w:line="3329" w:lineRule="exact"/>
        <w:ind w:left="209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674736" cy="211397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3674736" cy="2113978"/>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0"/>
        <w:rPr>
          <w:rFonts w:ascii="宋体" w:hAnsi="宋体" w:cs="宋体" w:eastAsia="宋体" w:hint="default"/>
          <w:sz w:val="15"/>
          <w:szCs w:val="15"/>
        </w:rPr>
      </w:pPr>
    </w:p>
    <w:p>
      <w:pPr>
        <w:pStyle w:val="Heading3"/>
        <w:spacing w:line="240" w:lineRule="auto"/>
        <w:ind w:left="154" w:right="0"/>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602"/>
        <w:gridCol w:w="995"/>
        <w:gridCol w:w="565"/>
        <w:gridCol w:w="566"/>
        <w:gridCol w:w="568"/>
        <w:gridCol w:w="992"/>
        <w:gridCol w:w="851"/>
        <w:gridCol w:w="851"/>
        <w:gridCol w:w="991"/>
        <w:gridCol w:w="998"/>
        <w:gridCol w:w="798"/>
        <w:gridCol w:w="798"/>
      </w:tblGrid>
      <w:tr>
        <w:trPr>
          <w:trHeight w:val="713" w:hRule="exact"/>
        </w:trPr>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7"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3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4"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33" w:firstLine="20"/>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63,690,62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61,890,62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张潇君</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both"/>
              <w:rPr>
                <w:rFonts w:ascii="宋体" w:hAnsi="宋体" w:cs="宋体" w:eastAsia="宋体" w:hint="default"/>
                <w:sz w:val="18"/>
                <w:szCs w:val="18"/>
              </w:rPr>
            </w:pPr>
            <w:r>
              <w:rPr>
                <w:rFonts w:ascii="宋体" w:hAnsi="宋体" w:cs="宋体" w:eastAsia="宋体" w:hint="default"/>
                <w:sz w:val="18"/>
                <w:szCs w:val="18"/>
              </w:rPr>
              <w:t>董事、副总 经理、财务 负责人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3,127,560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3,127,560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2,748,168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2,748,168</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1,860,000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董事、总工 程师</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232,468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232,468</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4,010,134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4,010,134</w:t>
            </w:r>
          </w:p>
        </w:tc>
      </w:tr>
      <w:tr>
        <w:trPr>
          <w:trHeight w:val="71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陈凌飞</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601"/>
        <w:gridCol w:w="995"/>
        <w:gridCol w:w="565"/>
        <w:gridCol w:w="566"/>
        <w:gridCol w:w="568"/>
        <w:gridCol w:w="992"/>
        <w:gridCol w:w="850"/>
        <w:gridCol w:w="851"/>
        <w:gridCol w:w="991"/>
        <w:gridCol w:w="998"/>
        <w:gridCol w:w="798"/>
        <w:gridCol w:w="798"/>
      </w:tblGrid>
      <w:tr>
        <w:trPr>
          <w:trHeight w:val="714" w:hRule="exact"/>
        </w:trPr>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75,669,95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1,800,000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73,869,95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330"/>
        <w:gridCol w:w="1330"/>
        <w:gridCol w:w="1331"/>
        <w:gridCol w:w="2423"/>
        <w:gridCol w:w="3155"/>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陈凌飞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职务调整</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2"/>
          <w:szCs w:val="12"/>
        </w:rPr>
      </w:pPr>
    </w:p>
    <w:p>
      <w:pPr>
        <w:pStyle w:val="BodyText"/>
        <w:spacing w:line="240" w:lineRule="auto" w:before="0"/>
        <w:ind w:left="574" w:right="0"/>
        <w:jc w:val="left"/>
      </w:pPr>
      <w:r>
        <w:rPr>
          <w:rFonts w:ascii="宋体" w:hAnsi="宋体" w:cs="宋体" w:eastAsia="宋体" w:hint="default"/>
        </w:rPr>
        <w:t>1</w:t>
      </w:r>
      <w:r>
        <w:rPr/>
        <w:t>、第四届董事会成员</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spacing w:val="-2"/>
        </w:rPr>
        <w:t>任红军，男，</w:t>
      </w:r>
      <w:r>
        <w:rPr>
          <w:rFonts w:ascii="宋体" w:hAnsi="宋体" w:cs="宋体" w:eastAsia="宋体" w:hint="default"/>
          <w:spacing w:val="-2"/>
        </w:rPr>
        <w:t>1967</w:t>
      </w:r>
      <w:r>
        <w:rPr>
          <w:rFonts w:ascii="宋体" w:hAnsi="宋体" w:cs="宋体" w:eastAsia="宋体" w:hint="default"/>
          <w:spacing w:val="-40"/>
        </w:rPr>
        <w:t> </w:t>
      </w:r>
      <w:r>
        <w:rPr>
          <w:spacing w:val="-2"/>
        </w:rPr>
        <w:t>年出生，中国国籍，</w:t>
      </w:r>
      <w:r>
        <w:rPr>
          <w:rFonts w:ascii="宋体" w:hAnsi="宋体" w:cs="宋体" w:eastAsia="宋体" w:hint="default"/>
          <w:spacing w:val="-2"/>
        </w:rPr>
        <w:t>EMBA</w:t>
      </w:r>
      <w:r>
        <w:rPr>
          <w:spacing w:val="-2"/>
        </w:rPr>
        <w:t>，高级工程师，历任郑州晶体管厂技术员、工程师，郑州</w:t>
      </w:r>
      <w:r>
        <w:rPr/>
        <w:t> </w:t>
      </w:r>
      <w:r>
        <w:rPr>
          <w:spacing w:val="-2"/>
        </w:rPr>
        <w:t>汽车客运总公司下属科达电子厂高级工程师、副厂长，</w:t>
      </w:r>
      <w:r>
        <w:rPr>
          <w:rFonts w:ascii="宋体" w:hAnsi="宋体" w:cs="宋体" w:eastAsia="宋体" w:hint="default"/>
          <w:spacing w:val="-2"/>
        </w:rPr>
        <w:t>1998</w:t>
      </w:r>
      <w:r>
        <w:rPr>
          <w:rFonts w:ascii="宋体" w:hAnsi="宋体" w:cs="宋体" w:eastAsia="宋体" w:hint="default"/>
          <w:spacing w:val="-38"/>
        </w:rPr>
        <w:t> </w:t>
      </w:r>
      <w:r>
        <w:rPr>
          <w:spacing w:val="-2"/>
        </w:rPr>
        <w:t>年创立公司前身河南汉威电子有限公司，现为</w:t>
      </w:r>
      <w:r>
        <w:rPr>
          <w:spacing w:val="-103"/>
        </w:rPr>
        <w:t> </w:t>
      </w:r>
      <w:r>
        <w:rPr>
          <w:spacing w:val="-103"/>
        </w:rPr>
      </w:r>
      <w:r>
        <w:rPr/>
        <w:t>公司第四届董事会董事长。</w:t>
      </w:r>
    </w:p>
    <w:p>
      <w:pPr>
        <w:pStyle w:val="BodyText"/>
        <w:spacing w:line="408" w:lineRule="auto"/>
        <w:ind w:right="1130" w:firstLine="420"/>
        <w:jc w:val="both"/>
      </w:pPr>
      <w:r>
        <w:rPr>
          <w:spacing w:val="-3"/>
        </w:rPr>
        <w:t>张潇君，男，</w:t>
      </w:r>
      <w:r>
        <w:rPr>
          <w:rFonts w:ascii="宋体" w:hAnsi="宋体" w:cs="宋体" w:eastAsia="宋体" w:hint="default"/>
          <w:spacing w:val="-3"/>
        </w:rPr>
        <w:t>1965</w:t>
      </w:r>
      <w:r>
        <w:rPr>
          <w:rFonts w:ascii="宋体" w:hAnsi="宋体" w:cs="宋体" w:eastAsia="宋体" w:hint="default"/>
          <w:spacing w:val="-29"/>
        </w:rPr>
        <w:t> </w:t>
      </w:r>
      <w:r>
        <w:rPr>
          <w:spacing w:val="-2"/>
        </w:rPr>
        <w:t>年出生，硕士研究生学历，中共党员，工程师。历任河南能源化工集团有限责任公</w:t>
      </w:r>
      <w:r>
        <w:rPr/>
        <w:t> </w:t>
      </w:r>
      <w:r>
        <w:rPr>
          <w:spacing w:val="-1"/>
        </w:rPr>
        <w:t>司董事，河南省煤气集团有限公司董事长、党委书记，开封空分集团有限责任公司董事长、党委书记，洛</w:t>
      </w:r>
      <w:r>
        <w:rPr>
          <w:spacing w:val="-83"/>
        </w:rPr>
        <w:t> </w:t>
      </w:r>
      <w:r>
        <w:rPr>
          <w:spacing w:val="-83"/>
        </w:rPr>
      </w:r>
      <w:r>
        <w:rPr/>
        <w:t>阳</w:t>
      </w:r>
      <w:r>
        <w:rPr>
          <w:spacing w:val="-48"/>
        </w:rPr>
        <w:t> </w:t>
      </w:r>
      <w:r>
        <w:rPr>
          <w:rFonts w:ascii="宋体" w:hAnsi="宋体" w:cs="宋体" w:eastAsia="宋体" w:hint="default"/>
        </w:rPr>
        <w:t>LYC</w:t>
      </w:r>
      <w:r>
        <w:rPr>
          <w:rFonts w:ascii="宋体" w:hAnsi="宋体" w:cs="宋体" w:eastAsia="宋体" w:hint="default"/>
          <w:spacing w:val="-47"/>
        </w:rPr>
        <w:t> </w:t>
      </w:r>
      <w:r>
        <w:rPr/>
        <w:t>轴承有限公司董事长、党委书记，</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月起就职于公司。现任公司第四届董事会董事、公司 总经理。</w:t>
      </w:r>
    </w:p>
    <w:p>
      <w:pPr>
        <w:pStyle w:val="BodyText"/>
        <w:spacing w:line="408" w:lineRule="auto"/>
        <w:ind w:right="1058" w:firstLine="420"/>
        <w:jc w:val="both"/>
      </w:pPr>
      <w:r>
        <w:rPr>
          <w:spacing w:val="-3"/>
        </w:rPr>
        <w:t>刘瑞玲，女，</w:t>
      </w:r>
      <w:r>
        <w:rPr>
          <w:rFonts w:ascii="宋体" w:hAnsi="宋体" w:cs="宋体" w:eastAsia="宋体" w:hint="default"/>
          <w:spacing w:val="-3"/>
        </w:rPr>
        <w:t>1972</w:t>
      </w:r>
      <w:r>
        <w:rPr>
          <w:rFonts w:ascii="宋体" w:hAnsi="宋体" w:cs="宋体" w:eastAsia="宋体" w:hint="default"/>
          <w:spacing w:val="-71"/>
        </w:rPr>
        <w:t> </w:t>
      </w:r>
      <w:r>
        <w:rPr/>
        <w:t>年出生，中国国籍，</w:t>
      </w:r>
      <w:r>
        <w:rPr>
          <w:rFonts w:ascii="宋体" w:hAnsi="宋体" w:cs="宋体" w:eastAsia="宋体" w:hint="default"/>
        </w:rPr>
        <w:t>EMBA</w:t>
      </w:r>
      <w:r>
        <w:rPr/>
        <w:t>，曾任职于郑州晶体管厂核算处、郑州汽车客运总公司下 属科达电子厂会计科，</w:t>
      </w:r>
      <w:r>
        <w:rPr>
          <w:rFonts w:ascii="宋体" w:hAnsi="宋体" w:cs="宋体" w:eastAsia="宋体" w:hint="default"/>
        </w:rPr>
        <w:t>1998</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月起就职于公司。现任公司第四届董事会董事、副总经理、财务负责人。</w:t>
      </w:r>
    </w:p>
    <w:p>
      <w:pPr>
        <w:pStyle w:val="BodyText"/>
        <w:spacing w:line="408" w:lineRule="auto"/>
        <w:ind w:right="1132" w:firstLine="420"/>
        <w:jc w:val="both"/>
      </w:pPr>
      <w:r>
        <w:rPr/>
        <w:t>尚中锋，男，</w:t>
      </w:r>
      <w:r>
        <w:rPr>
          <w:rFonts w:ascii="宋体" w:hAnsi="宋体" w:cs="宋体" w:eastAsia="宋体" w:hint="default"/>
        </w:rPr>
        <w:t>1972 </w:t>
      </w:r>
      <w:r>
        <w:rPr/>
        <w:t>年出生，中国国籍，大学本科学历，曾任职于郑州市油泵油嘴厂，</w:t>
      </w:r>
      <w:r>
        <w:rPr>
          <w:rFonts w:ascii="宋体" w:hAnsi="宋体" w:cs="宋体" w:eastAsia="宋体" w:hint="default"/>
        </w:rPr>
        <w:t>2000</w:t>
      </w:r>
      <w:r>
        <w:rPr>
          <w:rFonts w:ascii="宋体" w:hAnsi="宋体" w:cs="宋体" w:eastAsia="宋体" w:hint="default"/>
          <w:spacing w:val="-26"/>
        </w:rPr>
        <w:t> </w:t>
      </w:r>
      <w:r>
        <w:rPr/>
        <w:t>年起就职 于公司。现任公司第四届董事会董事、公司副总经理。</w:t>
      </w:r>
    </w:p>
    <w:p>
      <w:pPr>
        <w:pStyle w:val="BodyText"/>
        <w:spacing w:line="408" w:lineRule="auto"/>
        <w:ind w:right="1023" w:firstLine="420"/>
        <w:jc w:val="left"/>
      </w:pPr>
      <w:r>
        <w:rPr>
          <w:spacing w:val="-3"/>
        </w:rPr>
        <w:t>高延明，男，</w:t>
      </w:r>
      <w:r>
        <w:rPr>
          <w:rFonts w:ascii="宋体" w:hAnsi="宋体" w:cs="宋体" w:eastAsia="宋体" w:hint="default"/>
          <w:spacing w:val="-3"/>
        </w:rPr>
        <w:t>1981</w:t>
      </w:r>
      <w:r>
        <w:rPr>
          <w:rFonts w:ascii="宋体" w:hAnsi="宋体" w:cs="宋体" w:eastAsia="宋体" w:hint="default"/>
          <w:spacing w:val="-67"/>
        </w:rPr>
        <w:t> </w:t>
      </w:r>
      <w:r>
        <w:rPr/>
        <w:t>年出生，中国国籍，大学本科学历，仪器仪表行业高级工程师。历任公司市政燃气 </w:t>
      </w:r>
      <w:r>
        <w:rPr>
          <w:spacing w:val="-3"/>
        </w:rPr>
        <w:t>事业部总经理、郑州畅威物联网科技有限公司总经理等职务，现任公司第四届董事会董事、公司副总经理。</w:t>
      </w:r>
    </w:p>
    <w:p>
      <w:pPr>
        <w:pStyle w:val="BodyText"/>
        <w:spacing w:line="408" w:lineRule="auto"/>
        <w:ind w:right="1129" w:firstLine="420"/>
        <w:jc w:val="both"/>
      </w:pPr>
      <w:r>
        <w:rPr>
          <w:spacing w:val="-3"/>
        </w:rPr>
        <w:t>刘威，男，</w:t>
      </w:r>
      <w:r>
        <w:rPr>
          <w:rFonts w:ascii="宋体" w:hAnsi="宋体" w:cs="宋体" w:eastAsia="宋体" w:hint="default"/>
          <w:spacing w:val="-3"/>
        </w:rPr>
        <w:t>1977</w:t>
      </w:r>
      <w:r>
        <w:rPr>
          <w:rFonts w:ascii="宋体" w:hAnsi="宋体" w:cs="宋体" w:eastAsia="宋体" w:hint="default"/>
          <w:spacing w:val="-68"/>
        </w:rPr>
        <w:t> </w:t>
      </w:r>
      <w:r>
        <w:rPr/>
        <w:t>年出生，中国国籍，大学本科学历，毕业于上海对外经贸大学，历任奇虎</w:t>
      </w:r>
      <w:r>
        <w:rPr>
          <w:spacing w:val="-67"/>
        </w:rPr>
        <w:t> </w:t>
      </w:r>
      <w:r>
        <w:rPr>
          <w:rFonts w:ascii="宋体" w:hAnsi="宋体" w:cs="宋体" w:eastAsia="宋体" w:hint="default"/>
        </w:rPr>
        <w:t>360</w:t>
      </w:r>
      <w:r>
        <w:rPr>
          <w:rFonts w:ascii="宋体" w:hAnsi="宋体" w:cs="宋体" w:eastAsia="宋体" w:hint="default"/>
          <w:spacing w:val="-68"/>
        </w:rPr>
        <w:t> </w:t>
      </w:r>
      <w:r>
        <w:rPr/>
        <w:t>科技有 限公司资本总经理，现任奇虎</w:t>
      </w:r>
      <w:r>
        <w:rPr>
          <w:spacing w:val="-52"/>
        </w:rPr>
        <w:t> </w:t>
      </w:r>
      <w:r>
        <w:rPr>
          <w:rFonts w:ascii="宋体" w:hAnsi="宋体" w:cs="宋体" w:eastAsia="宋体" w:hint="default"/>
        </w:rPr>
        <w:t>360</w:t>
      </w:r>
      <w:r>
        <w:rPr>
          <w:rFonts w:ascii="宋体" w:hAnsi="宋体" w:cs="宋体" w:eastAsia="宋体" w:hint="default"/>
          <w:spacing w:val="-53"/>
        </w:rPr>
        <w:t> </w:t>
      </w:r>
      <w:r>
        <w:rPr/>
        <w:t>科技有限公司副总裁。现任公司第四届董事会独立董事。</w:t>
      </w:r>
    </w:p>
    <w:p>
      <w:pPr>
        <w:pStyle w:val="BodyText"/>
        <w:spacing w:line="240" w:lineRule="auto"/>
        <w:ind w:left="574" w:right="0"/>
        <w:jc w:val="left"/>
      </w:pPr>
      <w:r>
        <w:rPr>
          <w:spacing w:val="-3"/>
        </w:rPr>
        <w:t>赵向阳，男，</w:t>
      </w:r>
      <w:r>
        <w:rPr>
          <w:rFonts w:ascii="宋体" w:hAnsi="宋体" w:cs="宋体" w:eastAsia="宋体" w:hint="default"/>
          <w:spacing w:val="-3"/>
        </w:rPr>
        <w:t>1969</w:t>
      </w:r>
      <w:r>
        <w:rPr>
          <w:rFonts w:ascii="宋体" w:hAnsi="宋体" w:cs="宋体" w:eastAsia="宋体" w:hint="default"/>
          <w:spacing w:val="-62"/>
        </w:rPr>
        <w:t> </w:t>
      </w:r>
      <w:r>
        <w:rPr/>
        <w:t>年出生，中国国籍，硕士研究生学历，毕业于西安交通大学</w:t>
      </w:r>
      <w:r>
        <w:rPr>
          <w:spacing w:val="-62"/>
        </w:rPr>
        <w:t> </w:t>
      </w:r>
      <w:r>
        <w:rPr>
          <w:rFonts w:ascii="宋体" w:hAnsi="宋体" w:cs="宋体" w:eastAsia="宋体" w:hint="default"/>
        </w:rPr>
        <w:t>MPACC</w:t>
      </w:r>
      <w:r>
        <w:rPr>
          <w:rFonts w:ascii="宋体" w:hAnsi="宋体" w:cs="宋体" w:eastAsia="宋体" w:hint="default"/>
          <w:spacing w:val="-62"/>
        </w:rPr>
        <w:t> </w:t>
      </w:r>
      <w:r>
        <w:rPr>
          <w:spacing w:val="-3"/>
        </w:rPr>
        <w:t>专业，现任陕西</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中庆会计师事务所有限责任公司副主任会计师。现任公司第四届董事会独立董事。</w:t>
      </w:r>
    </w:p>
    <w:p>
      <w:pPr>
        <w:spacing w:line="240" w:lineRule="auto" w:before="10"/>
        <w:rPr>
          <w:rFonts w:ascii="宋体" w:hAnsi="宋体" w:cs="宋体" w:eastAsia="宋体" w:hint="default"/>
          <w:sz w:val="14"/>
          <w:szCs w:val="14"/>
        </w:rPr>
      </w:pPr>
    </w:p>
    <w:p>
      <w:pPr>
        <w:pStyle w:val="BodyText"/>
        <w:spacing w:line="408" w:lineRule="auto" w:before="0"/>
        <w:ind w:right="1133" w:firstLine="420"/>
        <w:jc w:val="both"/>
      </w:pPr>
      <w:r>
        <w:rPr/>
        <w:t>易欢欢，男，</w:t>
      </w:r>
      <w:r>
        <w:rPr>
          <w:rFonts w:ascii="宋体" w:hAnsi="宋体" w:cs="宋体" w:eastAsia="宋体" w:hint="default"/>
        </w:rPr>
        <w:t>1982</w:t>
      </w:r>
      <w:r>
        <w:rPr>
          <w:rFonts w:ascii="宋体" w:hAnsi="宋体" w:cs="宋体" w:eastAsia="宋体" w:hint="default"/>
          <w:spacing w:val="62"/>
        </w:rPr>
        <w:t> </w:t>
      </w:r>
      <w:r>
        <w:rPr/>
        <w:t>年生，中国国籍，硕士研究生学历，毕业于北京大学通信与信息系统专业。曾先 </w:t>
      </w:r>
      <w:r>
        <w:rPr>
          <w:spacing w:val="-1"/>
        </w:rPr>
        <w:t>后任职甲骨文（中国）战略咨询部高级经理，国金证券研究部执行总经理、计算机与互联网行业首席分析</w:t>
      </w:r>
      <w:r>
        <w:rPr>
          <w:spacing w:val="-85"/>
        </w:rPr>
        <w:t> </w:t>
      </w:r>
      <w:r>
        <w:rPr>
          <w:spacing w:val="-85"/>
        </w:rPr>
      </w:r>
      <w:r>
        <w:rPr>
          <w:spacing w:val="-1"/>
        </w:rPr>
        <w:t>师，申万宏源证券董事总经理、研究所副所长。现任深圳键桥通讯技术股份有限公司董事。现任公司第四</w:t>
      </w:r>
      <w:r>
        <w:rPr>
          <w:spacing w:val="-86"/>
        </w:rPr>
        <w:t> </w:t>
      </w:r>
      <w:r>
        <w:rPr>
          <w:spacing w:val="-86"/>
        </w:rPr>
      </w:r>
      <w:r>
        <w:rPr/>
        <w:t>届董事会独立董事。</w:t>
      </w:r>
    </w:p>
    <w:p>
      <w:pPr>
        <w:pStyle w:val="BodyText"/>
        <w:spacing w:line="240" w:lineRule="auto"/>
        <w:ind w:left="574" w:right="0"/>
        <w:jc w:val="left"/>
      </w:pPr>
      <w:r>
        <w:rPr>
          <w:rFonts w:ascii="宋体" w:hAnsi="宋体" w:cs="宋体" w:eastAsia="宋体" w:hint="default"/>
        </w:rPr>
        <w:t>2</w:t>
      </w:r>
      <w:r>
        <w:rPr/>
        <w:t>、第四届监事会成员</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spacing w:val="-3"/>
        </w:rPr>
        <w:t>张艳丽，女，</w:t>
      </w:r>
      <w:r>
        <w:rPr>
          <w:rFonts w:ascii="宋体" w:hAnsi="宋体" w:cs="宋体" w:eastAsia="宋体" w:hint="default"/>
          <w:spacing w:val="-3"/>
        </w:rPr>
        <w:t>1972</w:t>
      </w:r>
      <w:r>
        <w:rPr>
          <w:rFonts w:ascii="宋体" w:hAnsi="宋体" w:cs="宋体" w:eastAsia="宋体" w:hint="default"/>
          <w:spacing w:val="-29"/>
        </w:rPr>
        <w:t> </w:t>
      </w:r>
      <w:r>
        <w:rPr>
          <w:spacing w:val="-2"/>
        </w:rPr>
        <w:t>年出生，中国国籍，大学专科学历。曾任职于郑州晶体管厂、郑州汽车客运总公司</w:t>
      </w:r>
      <w:r>
        <w:rPr/>
        <w:t> 下属科达电子厂，</w:t>
      </w:r>
      <w:r>
        <w:rPr>
          <w:rFonts w:ascii="宋体" w:hAnsi="宋体" w:cs="宋体" w:eastAsia="宋体" w:hint="default"/>
        </w:rPr>
        <w:t>1998</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月起就职于公司。现任公司第四届监事会主席。</w:t>
      </w:r>
    </w:p>
    <w:p>
      <w:pPr>
        <w:pStyle w:val="BodyText"/>
        <w:spacing w:line="408" w:lineRule="auto"/>
        <w:ind w:right="1130" w:firstLine="420"/>
        <w:jc w:val="both"/>
      </w:pPr>
      <w:r>
        <w:rPr/>
        <w:t>李志刚，男，</w:t>
      </w:r>
      <w:r>
        <w:rPr>
          <w:rFonts w:ascii="宋体" w:hAnsi="宋体" w:cs="宋体" w:eastAsia="宋体" w:hint="default"/>
        </w:rPr>
        <w:t>1978</w:t>
      </w:r>
      <w:r>
        <w:rPr>
          <w:rFonts w:ascii="宋体" w:hAnsi="宋体" w:cs="宋体" w:eastAsia="宋体" w:hint="default"/>
          <w:spacing w:val="-58"/>
        </w:rPr>
        <w:t> </w:t>
      </w:r>
      <w:r>
        <w:rPr/>
        <w:t>年出生，中国国籍，大学专科学历，</w:t>
      </w:r>
      <w:r>
        <w:rPr>
          <w:rFonts w:ascii="宋体" w:hAnsi="宋体" w:cs="宋体" w:eastAsia="宋体" w:hint="default"/>
        </w:rPr>
        <w:t>EMBA</w:t>
      </w:r>
      <w:r>
        <w:rPr/>
        <w:t>，</w:t>
      </w:r>
      <w:r>
        <w:rPr>
          <w:rFonts w:ascii="宋体" w:hAnsi="宋体" w:cs="宋体" w:eastAsia="宋体" w:hint="default"/>
        </w:rPr>
        <w:t>2005</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月起任职于公司。</w:t>
      </w:r>
      <w:r>
        <w:rPr>
          <w:rFonts w:ascii="宋体" w:hAnsi="宋体" w:cs="宋体" w:eastAsia="宋体" w:hint="default"/>
        </w:rPr>
        <w:t>2016</w:t>
      </w:r>
      <w:r>
        <w:rPr>
          <w:rFonts w:ascii="宋体" w:hAnsi="宋体" w:cs="宋体" w:eastAsia="宋体" w:hint="default"/>
          <w:spacing w:val="-59"/>
        </w:rPr>
        <w:t> </w:t>
      </w:r>
      <w:r>
        <w:rPr/>
        <w:t>年</w:t>
      </w:r>
      <w:r>
        <w:rPr>
          <w:spacing w:val="-58"/>
        </w:rPr>
        <w:t> </w:t>
      </w:r>
      <w:r>
        <w:rPr>
          <w:rFonts w:ascii="宋体" w:hAnsi="宋体" w:cs="宋体" w:eastAsia="宋体" w:hint="default"/>
        </w:rPr>
        <w:t>12 </w:t>
      </w:r>
      <w:r>
        <w:rPr/>
        <w:t>月</w:t>
      </w:r>
      <w:r>
        <w:rPr>
          <w:spacing w:val="-55"/>
        </w:rPr>
        <w:t> </w:t>
      </w:r>
      <w:r>
        <w:rPr>
          <w:rFonts w:ascii="宋体" w:hAnsi="宋体" w:cs="宋体" w:eastAsia="宋体" w:hint="default"/>
        </w:rPr>
        <w:t>27</w:t>
      </w:r>
      <w:r>
        <w:rPr>
          <w:rFonts w:ascii="宋体" w:hAnsi="宋体" w:cs="宋体" w:eastAsia="宋体" w:hint="default"/>
          <w:spacing w:val="-54"/>
        </w:rPr>
        <w:t> </w:t>
      </w:r>
      <w:r>
        <w:rPr/>
        <w:t>日当选公司第四届监事会职工监事。</w:t>
      </w:r>
    </w:p>
    <w:p>
      <w:pPr>
        <w:pStyle w:val="BodyText"/>
        <w:spacing w:line="408" w:lineRule="auto"/>
        <w:ind w:right="1132" w:firstLine="420"/>
        <w:jc w:val="both"/>
      </w:pPr>
      <w:r>
        <w:rPr>
          <w:spacing w:val="-3"/>
        </w:rPr>
        <w:t>周震，男，</w:t>
      </w:r>
      <w:r>
        <w:rPr>
          <w:rFonts w:ascii="宋体" w:hAnsi="宋体" w:cs="宋体" w:eastAsia="宋体" w:hint="default"/>
          <w:spacing w:val="-3"/>
        </w:rPr>
        <w:t>1983</w:t>
      </w:r>
      <w:r>
        <w:rPr>
          <w:rFonts w:ascii="宋体" w:hAnsi="宋体" w:cs="宋体" w:eastAsia="宋体" w:hint="default"/>
          <w:spacing w:val="-35"/>
        </w:rPr>
        <w:t> </w:t>
      </w:r>
      <w:r>
        <w:rPr>
          <w:spacing w:val="-2"/>
        </w:rPr>
        <w:t>年出生，中国国籍，大学本科学历，经济师、审计师、国际注册内部审计师。现任公</w:t>
      </w:r>
      <w:r>
        <w:rPr/>
        <w:t> 司第四届监事会监事。</w:t>
      </w:r>
    </w:p>
    <w:p>
      <w:pPr>
        <w:pStyle w:val="BodyText"/>
        <w:spacing w:line="408" w:lineRule="auto"/>
        <w:ind w:left="574" w:right="2772"/>
        <w:jc w:val="left"/>
      </w:pPr>
      <w:r>
        <w:rPr>
          <w:rFonts w:ascii="宋体" w:hAnsi="宋体" w:cs="宋体" w:eastAsia="宋体" w:hint="default"/>
        </w:rPr>
        <w:t>3</w:t>
      </w:r>
      <w:r>
        <w:rPr/>
        <w:t>、高级管理人员 张潇君，现任公司总经理，简历详见本节之“董事会成员”介绍。 刘瑞玲，现任公司副总经理、财务负责人，简历详见本节之“董事会成员”介绍。 尚中锋，现任公司副总经理，简历详见本节之“董事会成员”介绍。</w:t>
      </w:r>
    </w:p>
    <w:p>
      <w:pPr>
        <w:pStyle w:val="BodyText"/>
        <w:spacing w:line="408" w:lineRule="auto"/>
        <w:ind w:right="1131" w:firstLine="420"/>
        <w:jc w:val="both"/>
      </w:pPr>
      <w:r>
        <w:rPr/>
        <w:t>肖锋，男，</w:t>
      </w:r>
      <w:r>
        <w:rPr>
          <w:rFonts w:ascii="宋体" w:hAnsi="宋体" w:cs="宋体" w:eastAsia="宋体" w:hint="default"/>
        </w:rPr>
        <w:t>1982</w:t>
      </w:r>
      <w:r>
        <w:rPr>
          <w:rFonts w:ascii="宋体" w:hAnsi="宋体" w:cs="宋体" w:eastAsia="宋体" w:hint="default"/>
          <w:spacing w:val="-60"/>
        </w:rPr>
        <w:t> </w:t>
      </w:r>
      <w:r>
        <w:rPr/>
        <w:t>年出生，中国国籍，大学本科学历，毕业于郑州大学法学院，</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月起就职于 公司，现任公司副总经理，第四届董事会秘书。</w:t>
      </w:r>
      <w:r>
        <w:rPr>
          <w:rFonts w:ascii="宋体" w:hAnsi="宋体" w:cs="宋体" w:eastAsia="宋体" w:hint="default"/>
        </w:rPr>
        <w:t>2009</w:t>
      </w:r>
      <w:r>
        <w:rPr>
          <w:rFonts w:ascii="宋体" w:hAnsi="宋体" w:cs="宋体" w:eastAsia="宋体" w:hint="default"/>
          <w:spacing w:val="-43"/>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月取得深圳交易所颁发的《董事会秘书资格证 </w:t>
      </w:r>
      <w:r>
        <w:rPr>
          <w:spacing w:val="-9"/>
        </w:rPr>
        <w:t>书》，任职资格符合《深圳交易所创业板股票上市规则》、《公司章程》的有关规定。</w:t>
      </w:r>
    </w:p>
    <w:p>
      <w:pPr>
        <w:pStyle w:val="BodyText"/>
        <w:spacing w:line="240" w:lineRule="auto"/>
        <w:ind w:left="574" w:right="0"/>
        <w:jc w:val="left"/>
      </w:pPr>
      <w:r>
        <w:rPr/>
        <w:t>高延明，现任公司副总经理，简历详见本节之“董事会成员”介绍。</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202"/>
        <w:gridCol w:w="2802"/>
        <w:gridCol w:w="992"/>
        <w:gridCol w:w="1559"/>
        <w:gridCol w:w="1559"/>
        <w:gridCol w:w="1456"/>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0"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全国气湿敏传感技术专业委员会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传感器分会 副理事长</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 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202"/>
        <w:gridCol w:w="2802"/>
        <w:gridCol w:w="992"/>
        <w:gridCol w:w="1559"/>
        <w:gridCol w:w="1559"/>
        <w:gridCol w:w="1456"/>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董事长、法 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董事长、法 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中盾云安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执行董事、 总经理、法 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董事长、法 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202"/>
        <w:gridCol w:w="2802"/>
        <w:gridCol w:w="992"/>
        <w:gridCol w:w="1559"/>
        <w:gridCol w:w="1559"/>
        <w:gridCol w:w="1456"/>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董事长、法 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董事、总经 理、法定代 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三六零安全科技股份有限公司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集团副总裁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北京奇步天下科技有限公司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董事、总经 理、法定代 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陕西中庆会计师事务所有限责任公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副主任会计 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山东美晨生态环境股份有限公司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北京千人互融信息技术有限公司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北京山海若水投资管理有限公司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徐州淮海数据交换服务有限公司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240" w:lineRule="auto" w:before="0"/>
        <w:ind w:left="574" w:right="0"/>
        <w:jc w:val="left"/>
      </w:pPr>
      <w:r>
        <w:rPr/>
        <w:t>董事、监事、高级管理人员报酬的决策程序：</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1</w:t>
      </w:r>
      <w:r>
        <w:rPr/>
        <w:t>、第四届董事会第十三次会议审议通过了关于</w:t>
      </w:r>
      <w:r>
        <w:rPr>
          <w:spacing w:val="-54"/>
        </w:rPr>
        <w:t> </w:t>
      </w:r>
      <w:r>
        <w:rPr>
          <w:rFonts w:ascii="宋体" w:hAnsi="宋体" w:cs="宋体" w:eastAsia="宋体" w:hint="default"/>
        </w:rPr>
        <w:t>2018</w:t>
      </w:r>
      <w:r>
        <w:rPr>
          <w:rFonts w:ascii="宋体" w:hAnsi="宋体" w:cs="宋体" w:eastAsia="宋体" w:hint="default"/>
          <w:spacing w:val="-55"/>
        </w:rPr>
        <w:t> </w:t>
      </w:r>
      <w:r>
        <w:rPr/>
        <w:t>年度公司董事和高级管理人员薪酬的议案。</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w:t>
      </w:r>
      <w:r>
        <w:rPr/>
        <w:t>、第四届监事会第五次会议审议通过了关于</w:t>
      </w:r>
      <w:r>
        <w:rPr>
          <w:spacing w:val="-54"/>
        </w:rPr>
        <w:t> </w:t>
      </w:r>
      <w:r>
        <w:rPr>
          <w:rFonts w:ascii="宋体" w:hAnsi="宋体" w:cs="宋体" w:eastAsia="宋体" w:hint="default"/>
        </w:rPr>
        <w:t>2018</w:t>
      </w:r>
      <w:r>
        <w:rPr>
          <w:rFonts w:ascii="宋体" w:hAnsi="宋体" w:cs="宋体" w:eastAsia="宋体" w:hint="default"/>
          <w:spacing w:val="-55"/>
        </w:rPr>
        <w:t> </w:t>
      </w:r>
      <w:r>
        <w:rPr/>
        <w:t>年度公司监事薪酬的议案。</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4"/>
        </w:rPr>
        <w:t> </w:t>
      </w:r>
      <w:r>
        <w:rPr/>
        <w:t>年年度股东大会审议通过了关于</w:t>
      </w:r>
      <w:r>
        <w:rPr>
          <w:spacing w:val="-53"/>
        </w:rPr>
        <w:t> </w:t>
      </w:r>
      <w:r>
        <w:rPr>
          <w:rFonts w:ascii="宋体" w:hAnsi="宋体" w:cs="宋体" w:eastAsia="宋体" w:hint="default"/>
        </w:rPr>
        <w:t>2018</w:t>
      </w:r>
      <w:r>
        <w:rPr>
          <w:rFonts w:ascii="宋体" w:hAnsi="宋体" w:cs="宋体" w:eastAsia="宋体" w:hint="default"/>
          <w:spacing w:val="-54"/>
        </w:rPr>
        <w:t> </w:t>
      </w:r>
      <w:r>
        <w:rPr/>
        <w:t>年公司董事、监事薪酬的议案。 董事、监事、高级管理人员报酬的确定依据： </w:t>
      </w:r>
      <w:r>
        <w:rPr>
          <w:spacing w:val="-1"/>
        </w:rPr>
        <w:t>除董事长、独立董事外，公司不向董事、监事支付薪酬；兼任公司高级管理人员或公司其他岗位职务</w:t>
      </w:r>
    </w:p>
    <w:p>
      <w:pPr>
        <w:pStyle w:val="BodyText"/>
        <w:spacing w:line="240" w:lineRule="auto"/>
        <w:ind w:right="0"/>
        <w:jc w:val="left"/>
      </w:pPr>
      <w:r>
        <w:rPr/>
        <w:t>的公司董事、监事，按其所任岗位职务的薪酬制度领取报酬。依据 </w:t>
      </w:r>
      <w:r>
        <w:rPr>
          <w:rFonts w:ascii="宋体" w:hAnsi="宋体" w:cs="宋体" w:eastAsia="宋体" w:hint="default"/>
        </w:rPr>
        <w:t>2018</w:t>
      </w:r>
      <w:r>
        <w:rPr>
          <w:rFonts w:ascii="宋体" w:hAnsi="宋体" w:cs="宋体" w:eastAsia="宋体" w:hint="default"/>
          <w:spacing w:val="-24"/>
        </w:rPr>
        <w:t> </w:t>
      </w:r>
      <w:r>
        <w:rPr/>
        <w:t>年年度规划，高级管理人员的薪</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酬从经营指标和管理指标两个方面进行考核，按期发放。</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董事、监事、高级管理人员报酬的实际支付情况：见下表。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70"/>
        <w:gridCol w:w="2776"/>
        <w:gridCol w:w="992"/>
        <w:gridCol w:w="992"/>
        <w:gridCol w:w="850"/>
        <w:gridCol w:w="1277"/>
        <w:gridCol w:w="1315"/>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2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 w:right="91"/>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2" w:right="20"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张潇君</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董事、副总经理、财务负责人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陈凌飞</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董事、总工程师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2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654.83</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27"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2,202</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9"/>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27" w:type="dxa"/>
        <w:tblLayout w:type="fixed"/>
        <w:tblCellMar>
          <w:top w:w="0" w:type="dxa"/>
          <w:left w:w="0" w:type="dxa"/>
          <w:bottom w:w="0" w:type="dxa"/>
          <w:right w:w="0" w:type="dxa"/>
        </w:tblCellMar>
        <w:tblLook w:val="01E0"/>
      </w:tblPr>
      <w:tblGrid>
        <w:gridCol w:w="4767"/>
        <w:gridCol w:w="4791"/>
      </w:tblGrid>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517</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2,202</w:t>
            </w:r>
          </w:p>
        </w:tc>
      </w:tr>
      <w:tr>
        <w:trPr>
          <w:trHeight w:val="392"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9"/>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硕士以上学历</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3"/>
                <w:sz w:val="18"/>
              </w:rPr>
              <w:t>119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928</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438</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2,202</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firstLine="420"/>
        <w:jc w:val="left"/>
      </w:pPr>
      <w:r>
        <w:rPr>
          <w:rFonts w:ascii="宋体" w:hAnsi="宋体" w:cs="宋体" w:eastAsia="宋体" w:hint="default"/>
        </w:rPr>
        <w:t>1</w:t>
      </w:r>
      <w:r>
        <w:rPr/>
        <w:t>、公司追求薪酬系统的简明化和科学化，同时在设计及实施的过程中始终遵从于以下原则：公平公 正原则、激励性原则、竞争性原则、市场化原则；</w:t>
      </w:r>
    </w:p>
    <w:p>
      <w:pPr>
        <w:pStyle w:val="BodyText"/>
        <w:spacing w:line="408" w:lineRule="auto"/>
        <w:ind w:right="1131" w:firstLine="420"/>
        <w:jc w:val="both"/>
      </w:pPr>
      <w:r>
        <w:rPr>
          <w:rFonts w:ascii="宋体" w:hAnsi="宋体" w:cs="宋体" w:eastAsia="宋体" w:hint="default"/>
        </w:rPr>
        <w:t>2</w:t>
      </w:r>
      <w:r>
        <w:rPr/>
        <w:t>、公司持续推进建立健全市场化工资决定机制和内部激励约束机制，坚持通过提高公司业绩、劳动 </w:t>
      </w:r>
      <w:r>
        <w:rPr>
          <w:spacing w:val="-1"/>
        </w:rPr>
        <w:t>生产率以获取薪酬总额提升的原则。通过试行预算工资总额与工效挂钩，探索工资总额管理新机制，理顺</w:t>
      </w:r>
      <w:r>
        <w:rPr>
          <w:spacing w:val="-83"/>
        </w:rPr>
        <w:t> </w:t>
      </w:r>
      <w:r>
        <w:rPr>
          <w:spacing w:val="-83"/>
        </w:rPr>
      </w:r>
      <w:r>
        <w:rPr/>
        <w:t>各类人员收入分配关系。</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3" w:firstLine="420"/>
        <w:jc w:val="left"/>
      </w:pPr>
      <w:r>
        <w:rPr>
          <w:rFonts w:ascii="宋体" w:hAnsi="宋体" w:cs="宋体" w:eastAsia="宋体" w:hint="default"/>
        </w:rPr>
        <w:t>1</w:t>
      </w:r>
      <w:r>
        <w:rPr/>
        <w:t>、报告期内，公司人力资源部开展人力系统专业培训。安排的专业培训主要有 </w:t>
      </w:r>
      <w:r>
        <w:rPr>
          <w:rFonts w:ascii="宋体" w:hAnsi="宋体" w:cs="宋体" w:eastAsia="宋体" w:hint="default"/>
        </w:rPr>
        <w:t>smart</w:t>
      </w:r>
      <w:r>
        <w:rPr>
          <w:rFonts w:ascii="宋体" w:hAnsi="宋体" w:cs="宋体" w:eastAsia="宋体" w:hint="default"/>
          <w:spacing w:val="-24"/>
        </w:rPr>
        <w:t> </w:t>
      </w:r>
      <w:r>
        <w:rPr/>
        <w:t>工作法则、培 </w:t>
      </w:r>
      <w:r>
        <w:rPr>
          <w:spacing w:val="-3"/>
        </w:rPr>
        <w:t>训师基础培训、九型人格与管理、沙盘模拟拓展培训、绩效管理、全薪时代的薪酬管理、组织规划等课程，</w:t>
      </w:r>
      <w:r>
        <w:rPr>
          <w:spacing w:val="-94"/>
        </w:rPr>
        <w:t> </w:t>
      </w:r>
      <w:r>
        <w:rPr>
          <w:spacing w:val="-94"/>
        </w:rPr>
      </w:r>
      <w:r>
        <w:rPr/>
        <w:t>有效提升了人力资源一线人员的总体能力与素质。</w:t>
      </w:r>
    </w:p>
    <w:p>
      <w:pPr>
        <w:pStyle w:val="BodyText"/>
        <w:spacing w:line="240" w:lineRule="auto"/>
        <w:ind w:left="574" w:right="0"/>
        <w:jc w:val="left"/>
      </w:pPr>
      <w:r>
        <w:rPr>
          <w:rFonts w:ascii="宋体" w:hAnsi="宋体" w:cs="宋体" w:eastAsia="宋体" w:hint="default"/>
        </w:rPr>
        <w:t>2</w:t>
      </w:r>
      <w:r>
        <w:rPr/>
        <w:t>、报告期内，公司人力资源部系统的开展了四次集团新员工入职培训与考核工作。</w:t>
      </w:r>
    </w:p>
    <w:p>
      <w:pPr>
        <w:spacing w:line="240" w:lineRule="auto" w:before="10"/>
        <w:rPr>
          <w:rFonts w:ascii="宋体" w:hAnsi="宋体" w:cs="宋体" w:eastAsia="宋体" w:hint="default"/>
          <w:sz w:val="14"/>
          <w:szCs w:val="14"/>
        </w:rPr>
      </w:pPr>
    </w:p>
    <w:p>
      <w:pPr>
        <w:pStyle w:val="BodyText"/>
        <w:spacing w:line="408" w:lineRule="auto" w:before="0"/>
        <w:ind w:right="1116" w:firstLine="420"/>
        <w:jc w:val="left"/>
      </w:pPr>
      <w:r>
        <w:rPr>
          <w:rFonts w:ascii="宋体" w:hAnsi="宋体" w:cs="宋体" w:eastAsia="宋体" w:hint="default"/>
          <w:spacing w:val="-6"/>
        </w:rPr>
        <w:t>3</w:t>
      </w:r>
      <w:r>
        <w:rPr>
          <w:spacing w:val="-6"/>
        </w:rPr>
        <w:t>、报告期内，公司人力资源部开展了各单位的培训需求调研及中高管调研，持续推进了</w:t>
      </w:r>
      <w:r>
        <w:rPr>
          <w:spacing w:val="-52"/>
        </w:rPr>
        <w:t> </w:t>
      </w:r>
      <w:r>
        <w:rPr>
          <w:rFonts w:ascii="宋体" w:hAnsi="宋体" w:cs="宋体" w:eastAsia="宋体" w:hint="default"/>
        </w:rPr>
        <w:t>2018</w:t>
      </w:r>
      <w:r>
        <w:rPr>
          <w:rFonts w:ascii="宋体" w:hAnsi="宋体" w:cs="宋体" w:eastAsia="宋体" w:hint="default"/>
          <w:spacing w:val="-53"/>
        </w:rPr>
        <w:t> </w:t>
      </w:r>
      <w:r>
        <w:rPr/>
        <w:t>年度“步 步高”三级（高管、中层、骨干）培训计划。</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10" w:firstLine="420"/>
        <w:jc w:val="both"/>
      </w:pPr>
      <w:r>
        <w:rPr>
          <w:spacing w:val="-14"/>
        </w:rPr>
        <w:t>报告期内，公司严格按照《公司法》、《证券法》、《上市公司治理准则》、《深圳证券交易所创业板股票</w:t>
      </w:r>
      <w:r>
        <w:rPr/>
        <w:t> </w:t>
      </w:r>
      <w:r>
        <w:rPr>
          <w:spacing w:val="-5"/>
        </w:rPr>
        <w:t>上市规则》、《创业板上市公司规范运作指引》和其他有关法律法规的要求，不断完善公司法人治理结构，</w:t>
      </w:r>
      <w:r>
        <w:rPr>
          <w:spacing w:val="-81"/>
        </w:rPr>
        <w:t> </w:t>
      </w:r>
      <w:r>
        <w:rPr>
          <w:spacing w:val="-81"/>
        </w:rPr>
      </w:r>
      <w:r>
        <w:rPr>
          <w:spacing w:val="-1"/>
        </w:rPr>
        <w:t>建立健全公司内部管理和控制制度，努力做好信息披露工作及投资者关系管理。截至报告期末，公司治理</w:t>
      </w:r>
      <w:r>
        <w:rPr>
          <w:spacing w:val="-83"/>
        </w:rPr>
        <w:t> </w:t>
      </w:r>
      <w:r>
        <w:rPr>
          <w:spacing w:val="-83"/>
        </w:rPr>
      </w:r>
      <w:r>
        <w:rPr/>
        <w:t>结构的实际情况符合中国证监会发布的有关上市公司治理的规范性文件的要求。</w:t>
      </w:r>
    </w:p>
    <w:p>
      <w:pPr>
        <w:pStyle w:val="BodyText"/>
        <w:spacing w:line="408" w:lineRule="auto"/>
        <w:ind w:left="574" w:right="0"/>
        <w:jc w:val="left"/>
      </w:pPr>
      <w:r>
        <w:rPr/>
        <w:t>（一）独立性 </w:t>
      </w:r>
      <w:r>
        <w:rPr>
          <w:spacing w:val="-6"/>
        </w:rPr>
        <w:t>公司严格按照《公司法》、《证券法》等有关法律、法规和《公司章程》的要求规范运作，在业务、资</w:t>
      </w:r>
    </w:p>
    <w:p>
      <w:pPr>
        <w:pStyle w:val="BodyText"/>
        <w:spacing w:line="408" w:lineRule="auto"/>
        <w:ind w:right="1133"/>
        <w:jc w:val="both"/>
      </w:pPr>
      <w:r>
        <w:rPr>
          <w:spacing w:val="-1"/>
        </w:rPr>
        <w:t>产、人员、机构和财务等方面与公司股东相互独立，拥有独立完整的采购、生产、销售、研发系统，具备</w:t>
      </w:r>
      <w:r>
        <w:rPr>
          <w:spacing w:val="-85"/>
        </w:rPr>
        <w:t> </w:t>
      </w:r>
      <w:r>
        <w:rPr>
          <w:spacing w:val="-85"/>
        </w:rPr>
      </w:r>
      <w:r>
        <w:rPr/>
        <w:t>面向市场自主经营的能力。</w:t>
      </w:r>
    </w:p>
    <w:p>
      <w:pPr>
        <w:pStyle w:val="BodyText"/>
        <w:spacing w:line="408" w:lineRule="auto"/>
        <w:ind w:right="1131" w:firstLine="420"/>
        <w:jc w:val="both"/>
      </w:pPr>
      <w:r>
        <w:rPr>
          <w:rFonts w:ascii="宋体" w:hAnsi="宋体" w:cs="宋体" w:eastAsia="宋体" w:hint="default"/>
          <w:spacing w:val="-4"/>
        </w:rPr>
        <w:t>1</w:t>
      </w:r>
      <w:r>
        <w:rPr>
          <w:spacing w:val="-4"/>
        </w:rPr>
        <w:t>、公司的人员独立。公司的董事、监事均严格按照《公司法》、《公司章程》的有关规定产生，履行</w:t>
      </w:r>
      <w:r>
        <w:rPr/>
        <w:t> </w:t>
      </w:r>
      <w:r>
        <w:rPr>
          <w:spacing w:val="-1"/>
        </w:rPr>
        <w:t>了合法程序；公司高级管理人员核心技术人员等人员专职在公司工作，并在公司领取薪酬。公司已建立独</w:t>
      </w:r>
      <w:r>
        <w:rPr>
          <w:spacing w:val="-83"/>
        </w:rPr>
        <w:t> </w:t>
      </w:r>
      <w:r>
        <w:rPr>
          <w:spacing w:val="-83"/>
        </w:rPr>
      </w:r>
      <w:r>
        <w:rPr/>
        <w:t>立的劳动、人事、社会保障体系及工资管理体系，与员工签订了劳动合同。</w:t>
      </w:r>
    </w:p>
    <w:p>
      <w:pPr>
        <w:pStyle w:val="BodyText"/>
        <w:spacing w:line="408" w:lineRule="auto"/>
        <w:ind w:right="1111" w:firstLine="420"/>
        <w:jc w:val="both"/>
      </w:pPr>
      <w:r>
        <w:rPr>
          <w:rFonts w:ascii="宋体" w:hAnsi="宋体" w:cs="宋体" w:eastAsia="宋体" w:hint="default"/>
        </w:rPr>
        <w:t>2</w:t>
      </w:r>
      <w:r>
        <w:rPr/>
        <w:t>、公司的资产独立完整、权属清晰。公司具备与生产经营有关的生产系统、辅助生产系统和配套设 施，合法拥有与生产经营有关的土地、厂房、机器设备以及商标、专利、非专利技术的所有权和使用权， 资产具有完整性。</w:t>
      </w:r>
    </w:p>
    <w:p>
      <w:pPr>
        <w:pStyle w:val="BodyText"/>
        <w:spacing w:line="408" w:lineRule="auto"/>
        <w:ind w:right="1141" w:firstLine="420"/>
        <w:jc w:val="both"/>
      </w:pPr>
      <w:r>
        <w:rPr>
          <w:rFonts w:ascii="宋体" w:hAnsi="宋体" w:cs="宋体" w:eastAsia="宋体" w:hint="default"/>
        </w:rPr>
        <w:t>3</w:t>
      </w:r>
      <w:r>
        <w:rPr/>
        <w:t>、公司财务独立。公司有独立的财务部门，配备了专职的财务会计人员，独立进行会计核算和财务 决策。公司开设有独立的银行帐号，并依法独立进行纳税申报和履行纳税义务。</w:t>
      </w:r>
    </w:p>
    <w:p>
      <w:pPr>
        <w:pStyle w:val="BodyText"/>
        <w:spacing w:line="408" w:lineRule="auto"/>
        <w:ind w:right="1141" w:firstLine="420"/>
        <w:jc w:val="both"/>
      </w:pPr>
      <w:r>
        <w:rPr>
          <w:rFonts w:ascii="宋体" w:hAnsi="宋体" w:cs="宋体" w:eastAsia="宋体" w:hint="default"/>
        </w:rPr>
        <w:t>4</w:t>
      </w:r>
      <w:r>
        <w:rPr/>
        <w:t>、公司建立健全了独立的股东大会、董事会、监事会、经理的法人治理结构、组织结构，制定了完 善的岗位职责和管理制度，各部门按照规定的职责独立运作。</w:t>
      </w:r>
    </w:p>
    <w:p>
      <w:pPr>
        <w:pStyle w:val="BodyText"/>
        <w:spacing w:line="408" w:lineRule="auto"/>
        <w:ind w:right="1110" w:firstLine="420"/>
        <w:jc w:val="both"/>
      </w:pPr>
      <w:r>
        <w:rPr>
          <w:rFonts w:ascii="宋体" w:hAnsi="宋体" w:cs="宋体" w:eastAsia="宋体" w:hint="default"/>
        </w:rPr>
        <w:t>5</w:t>
      </w:r>
      <w:r>
        <w:rPr/>
        <w:t>、公司业务独立。公司具备独立、完整的产供销系统，拥有独立的决策和执行机构，并拥有独立的 业务，具有面向市场的自主经营能力；公司股东及其控制的其他企业没有从事与公司相同或相近的业务。</w:t>
      </w:r>
    </w:p>
    <w:p>
      <w:pPr>
        <w:pStyle w:val="BodyText"/>
        <w:spacing w:line="408" w:lineRule="auto"/>
        <w:ind w:left="574" w:right="0"/>
        <w:jc w:val="left"/>
      </w:pPr>
      <w:r>
        <w:rPr/>
        <w:t>（二）股东与股东大会 </w:t>
      </w:r>
      <w:r>
        <w:rPr>
          <w:spacing w:val="-6"/>
        </w:rPr>
        <w:t>公司严格按照《创业板上市公司规范运作指引》、《上市公司股东大会规则》等规定的要求召集、召开</w:t>
      </w:r>
    </w:p>
    <w:p>
      <w:pPr>
        <w:pStyle w:val="BodyText"/>
        <w:spacing w:line="408" w:lineRule="auto"/>
        <w:ind w:right="1131"/>
        <w:jc w:val="both"/>
      </w:pPr>
      <w:r>
        <w:rPr>
          <w:spacing w:val="-1"/>
        </w:rPr>
        <w:t>股东大会，平等对待所有股东，特别是保证中小股东享有平等地位，并尽可能为股东参加股东大会提供便</w:t>
      </w:r>
      <w:r>
        <w:rPr>
          <w:spacing w:val="-83"/>
        </w:rPr>
        <w:t> </w:t>
      </w:r>
      <w:r>
        <w:rPr>
          <w:spacing w:val="-83"/>
        </w:rPr>
      </w:r>
      <w:r>
        <w:rPr>
          <w:spacing w:val="-5"/>
        </w:rPr>
        <w:t>利。在《公司章程》、《股东大会议事规则》中明确规定了股东大会的召集、召开及表决程序、股东的参会</w:t>
      </w:r>
      <w:r>
        <w:rPr/>
        <w:t> 资格和对董事会的授权原则等，董事会在报告期内做到认真审议并安排股东大会的审议事项等。</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jc w:val="left"/>
      </w:pPr>
      <w:r>
        <w:rPr/>
        <w:t>（三）公司与控股股东 </w:t>
      </w:r>
      <w:r>
        <w:rPr>
          <w:spacing w:val="-10"/>
        </w:rPr>
        <w:t>公司控股股东严格按照《上市公司治理准则》、《深圳证券交易所创业板股票上市规则》、《公司章程》</w:t>
      </w:r>
    </w:p>
    <w:p>
      <w:pPr>
        <w:pStyle w:val="BodyText"/>
        <w:spacing w:line="408" w:lineRule="auto"/>
        <w:ind w:right="1023"/>
        <w:jc w:val="left"/>
      </w:pPr>
      <w:r>
        <w:rPr/>
        <w:t>规范自己的行为，通过股东大会依法行使出资人的权利，没有采取任何其他方式直接或间接地干预公司的 </w:t>
      </w:r>
      <w:r>
        <w:rPr>
          <w:spacing w:val="-3"/>
        </w:rPr>
        <w:t>决策及依法开展的生产经营活动，没有损害公司及其他股东的利益；公司与控股股东在业务、人员、资产、</w:t>
      </w:r>
      <w:r>
        <w:rPr>
          <w:spacing w:val="-96"/>
        </w:rPr>
        <w:t> </w:t>
      </w:r>
      <w:r>
        <w:rPr>
          <w:spacing w:val="-96"/>
        </w:rPr>
      </w:r>
      <w:r>
        <w:rPr/>
        <w:t>机构和财务方面做到相互独立；公司的重大决策能按照规范的程序由股东大会和董事会作出。控股股东与</w:t>
      </w:r>
      <w:r>
        <w:rPr/>
        <w:t> 公司之间无非经营性关联交易，公司没有为控股股东及其下属企业提供担保。</w:t>
      </w:r>
    </w:p>
    <w:p>
      <w:pPr>
        <w:pStyle w:val="BodyText"/>
        <w:spacing w:line="408" w:lineRule="auto"/>
        <w:ind w:left="574" w:right="0"/>
        <w:jc w:val="left"/>
      </w:pPr>
      <w:r>
        <w:rPr/>
        <w:t>（四）董事与董事会 </w:t>
      </w:r>
      <w:r>
        <w:rPr>
          <w:spacing w:val="-6"/>
        </w:rPr>
        <w:t>公司在《公司章程》、《董事会议事规则》中规定规范、透明的董事选聘程序，并严格执行。公司董事</w:t>
      </w:r>
    </w:p>
    <w:p>
      <w:pPr>
        <w:pStyle w:val="BodyText"/>
        <w:spacing w:line="408" w:lineRule="auto"/>
        <w:ind w:right="1131"/>
        <w:jc w:val="both"/>
      </w:pPr>
      <w:r>
        <w:rPr/>
        <w:t>会设董事</w:t>
      </w:r>
      <w:r>
        <w:rPr>
          <w:spacing w:val="-59"/>
        </w:rPr>
        <w:t> </w:t>
      </w:r>
      <w:r>
        <w:rPr>
          <w:rFonts w:ascii="宋体" w:hAnsi="宋体" w:cs="宋体" w:eastAsia="宋体" w:hint="default"/>
        </w:rPr>
        <w:t>9</w:t>
      </w:r>
      <w:r>
        <w:rPr>
          <w:rFonts w:ascii="宋体" w:hAnsi="宋体" w:cs="宋体" w:eastAsia="宋体" w:hint="default"/>
          <w:spacing w:val="-60"/>
        </w:rPr>
        <w:t> </w:t>
      </w:r>
      <w:r>
        <w:rPr/>
        <w:t>名，其中独立董事</w:t>
      </w:r>
      <w:r>
        <w:rPr>
          <w:spacing w:val="-60"/>
        </w:rPr>
        <w:t> </w:t>
      </w:r>
      <w:r>
        <w:rPr>
          <w:rFonts w:ascii="宋体" w:hAnsi="宋体" w:cs="宋体" w:eastAsia="宋体" w:hint="default"/>
        </w:rPr>
        <w:t>3</w:t>
      </w:r>
      <w:r>
        <w:rPr>
          <w:rFonts w:ascii="宋体" w:hAnsi="宋体" w:cs="宋体" w:eastAsia="宋体" w:hint="default"/>
          <w:spacing w:val="-59"/>
        </w:rPr>
        <w:t> </w:t>
      </w:r>
      <w:r>
        <w:rPr/>
        <w:t>名，董事会的人数及人员构成符合法律、法规和《公司章程》的要求。各 </w:t>
      </w:r>
      <w:r>
        <w:rPr>
          <w:spacing w:val="-1"/>
        </w:rPr>
        <w:t>位董事能够依据规定开展工作，勤勉尽责地履行职责和义务，同时积极参加相关培训。独立董事能够不受</w:t>
      </w:r>
      <w:r>
        <w:rPr>
          <w:spacing w:val="-83"/>
        </w:rPr>
        <w:t> </w:t>
      </w:r>
      <w:r>
        <w:rPr>
          <w:spacing w:val="-83"/>
        </w:rPr>
      </w:r>
      <w:r>
        <w:rPr>
          <w:spacing w:val="-1"/>
        </w:rPr>
        <w:t>公司主要股东、实际控制人以及其他与公司存在利害关系的单位或个人的影响，独立履行职责，对公司的</w:t>
      </w:r>
      <w:r>
        <w:rPr>
          <w:spacing w:val="-83"/>
        </w:rPr>
        <w:t> </w:t>
      </w:r>
      <w:r>
        <w:rPr>
          <w:spacing w:val="-83"/>
        </w:rPr>
      </w:r>
      <w:r>
        <w:rPr/>
        <w:t>重大事项均能发表独立意见。</w:t>
      </w:r>
    </w:p>
    <w:p>
      <w:pPr>
        <w:pStyle w:val="BodyText"/>
        <w:spacing w:line="408" w:lineRule="auto"/>
        <w:ind w:left="574" w:right="0"/>
        <w:jc w:val="left"/>
      </w:pPr>
      <w:r>
        <w:rPr/>
        <w:t>（五）监事与监事会 </w:t>
      </w:r>
      <w:r>
        <w:rPr>
          <w:spacing w:val="-6"/>
        </w:rPr>
        <w:t>公司监事会严格按照《公司法》、《公司章程》和《监事会议事规则》的有关规定，认真履行职责，对</w:t>
      </w:r>
    </w:p>
    <w:p>
      <w:pPr>
        <w:pStyle w:val="BodyText"/>
        <w:spacing w:line="408" w:lineRule="auto"/>
        <w:ind w:right="1110"/>
        <w:jc w:val="both"/>
      </w:pPr>
      <w:r>
        <w:rPr>
          <w:spacing w:val="-1"/>
        </w:rPr>
        <w:t>公司财务状况、重大事项以及公司董事、经理和其他高级管理人员履行职责的合法合规性进行监督。公司</w:t>
      </w:r>
      <w:r>
        <w:rPr>
          <w:spacing w:val="-83"/>
        </w:rPr>
        <w:t> </w:t>
      </w:r>
      <w:r>
        <w:rPr>
          <w:spacing w:val="-83"/>
        </w:rPr>
      </w:r>
      <w:r>
        <w:rPr/>
        <w:t>监事会设监事</w:t>
      </w:r>
      <w:r>
        <w:rPr>
          <w:spacing w:val="-53"/>
        </w:rPr>
        <w:t> </w:t>
      </w:r>
      <w:r>
        <w:rPr>
          <w:rFonts w:ascii="宋体" w:hAnsi="宋体" w:cs="宋体" w:eastAsia="宋体" w:hint="default"/>
        </w:rPr>
        <w:t>3</w:t>
      </w:r>
      <w:r>
        <w:rPr>
          <w:rFonts w:ascii="宋体" w:hAnsi="宋体" w:cs="宋体" w:eastAsia="宋体" w:hint="default"/>
          <w:spacing w:val="-53"/>
        </w:rPr>
        <w:t> </w:t>
      </w:r>
      <w:r>
        <w:rPr/>
        <w:t>名，其中职工监事</w:t>
      </w:r>
      <w:r>
        <w:rPr>
          <w:spacing w:val="-54"/>
        </w:rPr>
        <w:t> </w:t>
      </w:r>
      <w:r>
        <w:rPr>
          <w:rFonts w:ascii="宋体" w:hAnsi="宋体" w:cs="宋体" w:eastAsia="宋体" w:hint="default"/>
        </w:rPr>
        <w:t>1</w:t>
      </w:r>
      <w:r>
        <w:rPr>
          <w:rFonts w:ascii="宋体" w:hAnsi="宋体" w:cs="宋体" w:eastAsia="宋体" w:hint="default"/>
          <w:spacing w:val="-53"/>
        </w:rPr>
        <w:t> </w:t>
      </w:r>
      <w:r>
        <w:rPr/>
        <w:t>名，公司监事会的人数、成员构成及监事的任职资格符合相关法律、 </w:t>
      </w:r>
      <w:r>
        <w:rPr>
          <w:spacing w:val="-1"/>
        </w:rPr>
        <w:t>法规的要求。监事会能够严格按照《监事会议事规则》的要求召集、召开监事会，表决程序符合法律、法</w:t>
      </w:r>
      <w:r>
        <w:rPr>
          <w:spacing w:val="-83"/>
        </w:rPr>
        <w:t> </w:t>
      </w:r>
      <w:r>
        <w:rPr>
          <w:spacing w:val="-83"/>
        </w:rPr>
      </w:r>
      <w:r>
        <w:rPr/>
        <w:t>规的要求。</w:t>
      </w:r>
    </w:p>
    <w:p>
      <w:pPr>
        <w:pStyle w:val="BodyText"/>
        <w:spacing w:line="408" w:lineRule="auto"/>
        <w:ind w:left="574" w:right="1092"/>
        <w:jc w:val="left"/>
      </w:pPr>
      <w:r>
        <w:rPr/>
        <w:t>（六）绩效评价与激励约束机制 公司已建立工作绩效评价体系，使员工的收入与工作绩效挂钩；高级管理人员的聘任能够做到公开、</w:t>
      </w:r>
    </w:p>
    <w:p>
      <w:pPr>
        <w:pStyle w:val="BodyText"/>
        <w:spacing w:line="240" w:lineRule="auto"/>
        <w:ind w:right="0"/>
        <w:jc w:val="both"/>
      </w:pPr>
      <w:r>
        <w:rPr/>
        <w:t>透明，符合法律、法规的规定；公司建立了经理人员的薪酬与公司业绩和个人业绩相挂钩的激励机制。</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t>（七）相关利益者 </w:t>
      </w:r>
      <w:r>
        <w:rPr>
          <w:spacing w:val="-1"/>
        </w:rPr>
        <w:t>公司能够充分尊重银行及其他债权人、员工、消费者、供应商、经销商等利益相关者的合法权利，与</w:t>
      </w:r>
    </w:p>
    <w:p>
      <w:pPr>
        <w:pStyle w:val="BodyText"/>
        <w:spacing w:line="240" w:lineRule="auto"/>
        <w:ind w:right="0"/>
        <w:jc w:val="both"/>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574" w:right="1132"/>
        <w:jc w:val="left"/>
      </w:pPr>
      <w:r>
        <w:rPr/>
        <w:t>（八）关于信息披露与透明度 </w:t>
      </w:r>
      <w:r>
        <w:rPr>
          <w:spacing w:val="-10"/>
        </w:rPr>
        <w:t>公司根据《深圳证券交易所创业板股票上市规则》、《上市公司信息披露管理办法》、《公司章程》以及</w:t>
      </w:r>
    </w:p>
    <w:p>
      <w:pPr>
        <w:pStyle w:val="BodyText"/>
        <w:spacing w:line="408" w:lineRule="auto"/>
        <w:ind w:right="1133"/>
        <w:jc w:val="both"/>
      </w:pPr>
      <w:r>
        <w:rPr>
          <w:spacing w:val="-1"/>
        </w:rPr>
        <w:t>公司《信息披露基本制度》等相关法规制度的规定，认真履行信息披露义务。公司指定董事会秘书负责信</w:t>
      </w:r>
      <w:r>
        <w:rPr>
          <w:spacing w:val="-86"/>
        </w:rPr>
        <w:t> </w:t>
      </w:r>
      <w:r>
        <w:rPr>
          <w:spacing w:val="-86"/>
        </w:rPr>
      </w:r>
      <w:r>
        <w:rPr/>
        <w:t>息披露工作，并负责投资者关系管理，确保公司所有股东能够以平等的机会获得信息。</w:t>
      </w:r>
    </w:p>
    <w:p>
      <w:pPr>
        <w:pStyle w:val="BodyText"/>
        <w:spacing w:line="408" w:lineRule="auto"/>
        <w:ind w:right="1115" w:firstLine="420"/>
        <w:jc w:val="left"/>
      </w:pPr>
      <w:r>
        <w:rPr>
          <w:spacing w:val="-1"/>
        </w:rPr>
        <w:t>公司指定《证券时报》和巨潮资讯网（</w:t>
      </w:r>
      <w:hyperlink r:id="rId11">
        <w:r>
          <w:rPr>
            <w:rFonts w:ascii="宋体" w:hAnsi="宋体" w:cs="宋体" w:eastAsia="宋体" w:hint="default"/>
            <w:spacing w:val="-1"/>
          </w:rPr>
          <w:t>http://www.cninfo.com.cn</w:t>
        </w:r>
      </w:hyperlink>
      <w:r>
        <w:rPr>
          <w:spacing w:val="-1"/>
        </w:rPr>
        <w:t>）为公司信息披露的指定报纸和网</w:t>
      </w:r>
      <w:r>
        <w:rPr/>
        <w:t> 站。</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2673"/>
        <w:jc w:val="left"/>
      </w:pPr>
      <w:r>
        <w:rPr/>
        <w:t>（九）投资者关系管理情况 </w:t>
      </w:r>
      <w:r>
        <w:rPr>
          <w:spacing w:val="-3"/>
        </w:rPr>
        <w:t>报告期内，公司严格执行《投资者关系管理制度》，认真做好投资者关系管理工作：</w:t>
      </w:r>
      <w:r>
        <w:rPr>
          <w:spacing w:val="-101"/>
        </w:rPr>
        <w:t> </w:t>
      </w:r>
      <w:r>
        <w:rPr>
          <w:spacing w:val="-101"/>
        </w:rPr>
      </w:r>
      <w:r>
        <w:rPr>
          <w:rFonts w:ascii="宋体" w:hAnsi="宋体" w:cs="宋体" w:eastAsia="宋体" w:hint="default"/>
        </w:rPr>
        <w:t>1</w:t>
      </w:r>
      <w:r>
        <w:rPr/>
        <w:t>、日常工作</w:t>
      </w:r>
    </w:p>
    <w:p>
      <w:pPr>
        <w:pStyle w:val="BodyText"/>
        <w:spacing w:line="408" w:lineRule="auto"/>
        <w:ind w:right="1027" w:firstLine="420"/>
        <w:jc w:val="both"/>
      </w:pPr>
      <w:r>
        <w:rPr>
          <w:spacing w:val="-1"/>
        </w:rPr>
        <w:t>（</w:t>
      </w:r>
      <w:r>
        <w:rPr>
          <w:rFonts w:ascii="宋体" w:hAnsi="宋体" w:cs="宋体" w:eastAsia="宋体" w:hint="default"/>
          <w:spacing w:val="-1"/>
        </w:rPr>
        <w:t>1</w:t>
      </w:r>
      <w:r>
        <w:rPr>
          <w:spacing w:val="-1"/>
        </w:rPr>
        <w:t>）积极做好投资者关系管理工作档案的建立和保管，合理、妥善地安排个人投资者、机构投资者、</w:t>
      </w:r>
      <w:r>
        <w:rPr/>
        <w:t> 行业分析师等相关人员到公司进行调研，并切实做好相关信息的保密工作。</w:t>
      </w:r>
    </w:p>
    <w:p>
      <w:pPr>
        <w:pStyle w:val="BodyText"/>
        <w:spacing w:line="408" w:lineRule="auto"/>
        <w:ind w:right="1141" w:firstLine="420"/>
        <w:jc w:val="both"/>
      </w:pPr>
      <w:r>
        <w:rPr/>
        <w:t>（</w:t>
      </w:r>
      <w:r>
        <w:rPr>
          <w:rFonts w:ascii="宋体" w:hAnsi="宋体" w:cs="宋体" w:eastAsia="宋体" w:hint="default"/>
        </w:rPr>
        <w:t>2</w:t>
      </w:r>
      <w:r>
        <w:rPr/>
        <w:t>）通过公司网站、投资者关系管理电话、电子信箱、互动平台等多种渠道与投资者加强沟通，解 答投资者的疑问。</w:t>
      </w:r>
    </w:p>
    <w:p>
      <w:pPr>
        <w:pStyle w:val="BodyText"/>
        <w:spacing w:line="240" w:lineRule="auto"/>
        <w:ind w:left="574" w:right="0"/>
        <w:jc w:val="left"/>
      </w:pPr>
      <w:r>
        <w:rPr>
          <w:rFonts w:ascii="宋体" w:hAnsi="宋体" w:cs="宋体" w:eastAsia="宋体" w:hint="default"/>
        </w:rPr>
        <w:t>2</w:t>
      </w:r>
      <w:r>
        <w:rPr/>
        <w:t>、互动交流</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t>（</w:t>
      </w:r>
      <w:r>
        <w:rPr>
          <w:rFonts w:ascii="宋体" w:hAnsi="宋体" w:cs="宋体" w:eastAsia="宋体" w:hint="default"/>
        </w:rPr>
        <w:t>1</w:t>
      </w:r>
      <w:r>
        <w:rPr/>
        <w:t>）报告期内，公司于</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9</w:t>
      </w:r>
      <w:r>
        <w:rPr>
          <w:rFonts w:ascii="宋体" w:hAnsi="宋体" w:cs="宋体" w:eastAsia="宋体" w:hint="default"/>
          <w:spacing w:val="-57"/>
        </w:rPr>
        <w:t> </w:t>
      </w:r>
      <w:r>
        <w:rPr/>
        <w:t>日通过投资者互动平台（</w:t>
      </w:r>
      <w:hyperlink r:id="rId15">
        <w:r>
          <w:rPr>
            <w:rFonts w:ascii="宋体" w:hAnsi="宋体" w:cs="宋体" w:eastAsia="宋体" w:hint="default"/>
          </w:rPr>
          <w:t>http://rs.p5w.net</w:t>
        </w:r>
      </w:hyperlink>
      <w:r>
        <w:rPr/>
        <w:t>）举行了</w:t>
      </w:r>
      <w:r>
        <w:rPr>
          <w:spacing w:val="-57"/>
        </w:rPr>
        <w:t> </w:t>
      </w:r>
      <w:r>
        <w:rPr>
          <w:rFonts w:ascii="宋体" w:hAnsi="宋体" w:cs="宋体" w:eastAsia="宋体" w:hint="default"/>
        </w:rPr>
        <w:t>2017</w:t>
      </w:r>
      <w:r>
        <w:rPr>
          <w:rFonts w:ascii="宋体" w:hAnsi="宋体" w:cs="宋体" w:eastAsia="宋体" w:hint="default"/>
          <w:spacing w:val="-58"/>
        </w:rPr>
        <w:t> </w:t>
      </w:r>
      <w:r>
        <w:rPr/>
        <w:t>年 </w:t>
      </w:r>
      <w:r>
        <w:rPr>
          <w:spacing w:val="-1"/>
        </w:rPr>
        <w:t>年度报告网上业绩说明会，公司董事长任红军先生，总经理张潇君先生，董事会秘书肖锋、财务负责人刘</w:t>
      </w:r>
      <w:r>
        <w:rPr>
          <w:spacing w:val="-86"/>
        </w:rPr>
        <w:t> </w:t>
      </w:r>
      <w:r>
        <w:rPr>
          <w:spacing w:val="-86"/>
        </w:rPr>
      </w:r>
      <w:r>
        <w:rPr/>
        <w:t>瑞玲女士，独立董事赵向阳先生参加了网上说明会，与广大投资者进行坦诚的沟通和交流。</w:t>
      </w:r>
    </w:p>
    <w:p>
      <w:pPr>
        <w:pStyle w:val="BodyText"/>
        <w:spacing w:line="408" w:lineRule="auto"/>
        <w:ind w:right="1109" w:firstLine="420"/>
        <w:jc w:val="both"/>
      </w:pPr>
      <w:r>
        <w:rPr>
          <w:spacing w:val="-3"/>
        </w:rPr>
        <w:t>（</w:t>
      </w:r>
      <w:r>
        <w:rPr>
          <w:rFonts w:ascii="宋体" w:hAnsi="宋体" w:cs="宋体" w:eastAsia="宋体" w:hint="default"/>
          <w:spacing w:val="-3"/>
        </w:rPr>
        <w:t>2</w:t>
      </w:r>
      <w:r>
        <w:rPr>
          <w:spacing w:val="-3"/>
        </w:rPr>
        <w:t>）报告期内，公司通过</w:t>
      </w:r>
      <w:r>
        <w:rPr>
          <w:rFonts w:ascii="MS Gothic" w:hAnsi="MS Gothic" w:cs="MS Gothic" w:eastAsia="MS Gothic" w:hint="default"/>
          <w:spacing w:val="-3"/>
        </w:rPr>
        <w:t>｡投</w:t>
      </w:r>
      <w:r>
        <w:rPr>
          <w:spacing w:val="-3"/>
        </w:rPr>
        <w:t>资者关系互动平台</w:t>
      </w:r>
      <w:r>
        <w:rPr>
          <w:rFonts w:ascii="MS Gothic" w:hAnsi="MS Gothic" w:cs="MS Gothic" w:eastAsia="MS Gothic" w:hint="default"/>
          <w:spacing w:val="-3"/>
        </w:rPr>
        <w:t>｡（</w:t>
      </w:r>
      <w:hyperlink r:id="rId16">
        <w:r>
          <w:rPr>
            <w:rFonts w:ascii="宋体" w:hAnsi="宋体" w:cs="宋体" w:eastAsia="宋体" w:hint="default"/>
            <w:spacing w:val="-3"/>
          </w:rPr>
          <w:t>http://ircs.p5w.net/ircs/ssgs/index.do</w:t>
        </w:r>
      </w:hyperlink>
      <w:r>
        <w:rPr>
          <w:spacing w:val="-3"/>
        </w:rPr>
        <w:t>），就</w:t>
      </w:r>
      <w:r>
        <w:rPr/>
        <w:t> 投资者关心的问题进行了充分、深入、详细的分析、说明和答复，建立了投资者与公司之间规范、直接、 快速的交流与沟通渠道，提高了公司规范运作水平，更好的保护了投资者特别是中小投资者的合法权益。</w:t>
      </w:r>
    </w:p>
    <w:p>
      <w:pPr>
        <w:pStyle w:val="BodyText"/>
        <w:spacing w:line="408" w:lineRule="auto"/>
        <w:ind w:left="574" w:right="0"/>
        <w:jc w:val="left"/>
      </w:pPr>
      <w:r>
        <w:rPr>
          <w:rFonts w:ascii="宋体" w:hAnsi="宋体" w:cs="宋体" w:eastAsia="宋体" w:hint="default"/>
        </w:rPr>
        <w:t>(</w:t>
      </w:r>
      <w:r>
        <w:rPr/>
        <w:t>十</w:t>
      </w:r>
      <w:r>
        <w:rPr>
          <w:rFonts w:ascii="宋体" w:hAnsi="宋体" w:cs="宋体" w:eastAsia="宋体" w:hint="default"/>
        </w:rPr>
        <w:t>)</w:t>
      </w:r>
      <w:r>
        <w:rPr/>
        <w:t>公司董事长、独立董事及其他董事履行职责情况 </w:t>
      </w:r>
      <w:r>
        <w:rPr>
          <w:rFonts w:ascii="宋体" w:hAnsi="宋体" w:cs="宋体" w:eastAsia="宋体" w:hint="default"/>
          <w:spacing w:val="-8"/>
        </w:rPr>
        <w:t>1</w:t>
      </w:r>
      <w:r>
        <w:rPr>
          <w:spacing w:val="-8"/>
        </w:rPr>
        <w:t>、报告期内，公司全体董事严格按照《公司法》、《证券法》、《深圳证券交易所创业板上市公司规范</w:t>
      </w:r>
    </w:p>
    <w:p>
      <w:pPr>
        <w:pStyle w:val="BodyText"/>
        <w:spacing w:line="408" w:lineRule="auto"/>
        <w:ind w:right="1131"/>
        <w:jc w:val="both"/>
      </w:pPr>
      <w:r>
        <w:rPr>
          <w:spacing w:val="-1"/>
        </w:rPr>
        <w:t>运作指引》等法律、法规及规章制度的规定和要求，履行董事职责，积极参加相关培训，提高规范运作水</w:t>
      </w:r>
      <w:r>
        <w:rPr>
          <w:spacing w:val="-83"/>
        </w:rPr>
        <w:t> </w:t>
      </w:r>
      <w:r>
        <w:rPr>
          <w:spacing w:val="-83"/>
        </w:rPr>
      </w:r>
      <w:r>
        <w:rPr>
          <w:spacing w:val="-1"/>
        </w:rPr>
        <w:t>平。董事在董事会会议投票表决重大事项或其他对公司有重大影响的事项时，严格遵循公司董事会议事规</w:t>
      </w:r>
      <w:r>
        <w:rPr>
          <w:spacing w:val="-81"/>
        </w:rPr>
        <w:t> </w:t>
      </w:r>
      <w:r>
        <w:rPr>
          <w:spacing w:val="-81"/>
        </w:rPr>
      </w:r>
      <w:r>
        <w:rPr/>
        <w:t>则的有关审议规定，审慎决策，切实保护公司和股东特别是社会公众股股东的利益。</w:t>
      </w:r>
    </w:p>
    <w:p>
      <w:pPr>
        <w:pStyle w:val="BodyText"/>
        <w:spacing w:line="408" w:lineRule="auto"/>
        <w:ind w:right="1130" w:firstLine="420"/>
        <w:jc w:val="both"/>
      </w:pPr>
      <w:r>
        <w:rPr>
          <w:rFonts w:ascii="宋体" w:hAnsi="宋体" w:cs="宋体" w:eastAsia="宋体" w:hint="default"/>
          <w:spacing w:val="-8"/>
        </w:rPr>
        <w:t>2</w:t>
      </w:r>
      <w:r>
        <w:rPr>
          <w:spacing w:val="-8"/>
        </w:rPr>
        <w:t>、公司董事长在履行职责时，严格按照《公司法》、《证券法》、《深圳证券交易所创业板上市公司规</w:t>
      </w:r>
      <w:r>
        <w:rPr/>
        <w:t> </w:t>
      </w:r>
      <w:r>
        <w:rPr>
          <w:spacing w:val="-1"/>
        </w:rPr>
        <w:t>范运作指引》和《公司章程》规定，行使董事长职权，履行职责。在召集、主持董事会会议时，积极推动</w:t>
      </w:r>
      <w:r>
        <w:rPr>
          <w:spacing w:val="-85"/>
        </w:rPr>
        <w:t> </w:t>
      </w:r>
      <w:r>
        <w:rPr>
          <w:spacing w:val="-85"/>
        </w:rPr>
      </w:r>
      <w:r>
        <w:rPr/>
        <w:t>公司治理工作和内部控制建设、督促执行股东大会和董事会的各项决议，确保董事会依法正常运作。</w:t>
      </w:r>
    </w:p>
    <w:p>
      <w:pPr>
        <w:pStyle w:val="BodyText"/>
        <w:spacing w:line="408" w:lineRule="auto"/>
        <w:ind w:right="1131" w:firstLine="420"/>
        <w:jc w:val="both"/>
      </w:pPr>
      <w:r>
        <w:rPr>
          <w:rFonts w:ascii="宋体" w:hAnsi="宋体" w:cs="宋体" w:eastAsia="宋体" w:hint="default"/>
        </w:rPr>
        <w:t>3</w:t>
      </w:r>
      <w:r>
        <w:rPr/>
        <w:t>、公司独立董事认真履行职责，积极准时出席相关会议，认真审议各项议案，客观的发表自己的看 </w:t>
      </w:r>
      <w:r>
        <w:rPr>
          <w:spacing w:val="-1"/>
        </w:rPr>
        <w:t>法及观点，努力维护公司整体利益及中小股东的合法权益。同时积极深入公司现场调查，了解公司生产经</w:t>
      </w:r>
      <w:r>
        <w:rPr>
          <w:spacing w:val="-83"/>
        </w:rPr>
        <w:t> </w:t>
      </w:r>
      <w:r>
        <w:rPr>
          <w:spacing w:val="-83"/>
        </w:rPr>
      </w:r>
      <w:r>
        <w:rPr>
          <w:spacing w:val="-1"/>
        </w:rPr>
        <w:t>营状况和内部控制的建设及董事会及股东会决议的执行情况，为公司经营和发展提出合理意见和建议。独</w:t>
      </w:r>
      <w:r>
        <w:rPr>
          <w:spacing w:val="-81"/>
        </w:rPr>
        <w:t> </w:t>
      </w:r>
      <w:r>
        <w:rPr>
          <w:spacing w:val="-81"/>
        </w:rPr>
      </w:r>
      <w:r>
        <w:rPr/>
        <w:t>立董事对</w:t>
      </w:r>
      <w:r>
        <w:rPr>
          <w:spacing w:val="-53"/>
        </w:rPr>
        <w:t> </w:t>
      </w:r>
      <w:r>
        <w:rPr>
          <w:rFonts w:ascii="宋体" w:hAnsi="宋体" w:cs="宋体" w:eastAsia="宋体" w:hint="default"/>
        </w:rPr>
        <w:t>2018</w:t>
      </w:r>
      <w:r>
        <w:rPr>
          <w:rFonts w:ascii="宋体" w:hAnsi="宋体" w:cs="宋体" w:eastAsia="宋体" w:hint="default"/>
          <w:spacing w:val="-54"/>
        </w:rPr>
        <w:t> </w:t>
      </w:r>
      <w:r>
        <w:rPr/>
        <w:t>年度公司审议的各项事项没有提出异议。</w:t>
      </w:r>
    </w:p>
    <w:p>
      <w:pPr>
        <w:spacing w:line="240" w:lineRule="auto" w:before="7"/>
        <w:rPr>
          <w:rFonts w:ascii="宋体" w:hAnsi="宋体" w:cs="宋体" w:eastAsia="宋体" w:hint="default"/>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4" w:right="0"/>
        <w:jc w:val="left"/>
      </w:pPr>
      <w:r>
        <w:rPr/>
        <w:t>（一）业务独立 </w:t>
      </w:r>
      <w:r>
        <w:rPr>
          <w:spacing w:val="-1"/>
        </w:rPr>
        <w:t>公司从事传感器及物联网系统解决方案业务，拥有独立完整的研发、采购、生产和销售业务体系，具</w:t>
      </w:r>
    </w:p>
    <w:p>
      <w:pPr>
        <w:pStyle w:val="BodyText"/>
        <w:spacing w:line="408" w:lineRule="auto"/>
        <w:ind w:right="1131"/>
        <w:jc w:val="both"/>
      </w:pPr>
      <w:r>
        <w:rPr>
          <w:spacing w:val="-1"/>
        </w:rPr>
        <w:t>有直接面向市场独立经营的能力，不存在其他需要依赖控股股东、实际控制人及其控制的其他企业进行经</w:t>
      </w:r>
      <w:r>
        <w:rPr>
          <w:spacing w:val="-81"/>
        </w:rPr>
        <w:t> </w:t>
      </w:r>
      <w:r>
        <w:rPr>
          <w:spacing w:val="-81"/>
        </w:rPr>
      </w:r>
      <w:r>
        <w:rPr>
          <w:spacing w:val="-1"/>
        </w:rPr>
        <w:t>营活动的情况。主要股东、实际控制人及其控制的其他企业均不从事同类业务。本公司与控股股东、实际</w:t>
      </w:r>
      <w:r>
        <w:rPr>
          <w:spacing w:val="-86"/>
        </w:rPr>
        <w:t> </w:t>
      </w:r>
      <w:r>
        <w:rPr>
          <w:spacing w:val="-86"/>
        </w:rPr>
      </w:r>
      <w:r>
        <w:rPr/>
        <w:t>控制人不存在同业竞争。</w:t>
      </w:r>
    </w:p>
    <w:p>
      <w:pPr>
        <w:pStyle w:val="BodyText"/>
        <w:spacing w:line="408" w:lineRule="auto"/>
        <w:ind w:left="574" w:right="0"/>
        <w:jc w:val="left"/>
      </w:pPr>
      <w:r>
        <w:rPr/>
        <w:t>（二）人员独立 </w:t>
      </w:r>
      <w:r>
        <w:rPr>
          <w:spacing w:val="-6"/>
        </w:rPr>
        <w:t>公司设有人力资源管理部门，公司的人事及工资管理与股东完全独立。公司董事、监事均严格按照《公</w:t>
      </w:r>
    </w:p>
    <w:p>
      <w:pPr>
        <w:pStyle w:val="BodyText"/>
        <w:spacing w:line="408" w:lineRule="auto"/>
        <w:ind w:right="1131"/>
        <w:jc w:val="both"/>
      </w:pPr>
      <w:r>
        <w:rPr>
          <w:spacing w:val="-1"/>
        </w:rPr>
        <w:t>司法》和《公司章程》的有关规定选举产生，高级管理人员均由董事会聘任，不存在控股股东、实际控制</w:t>
      </w:r>
      <w:r>
        <w:rPr>
          <w:spacing w:val="-83"/>
        </w:rPr>
        <w:t> </w:t>
      </w:r>
      <w:r>
        <w:rPr>
          <w:spacing w:val="-83"/>
        </w:rPr>
      </w:r>
      <w:r>
        <w:rPr>
          <w:spacing w:val="-1"/>
        </w:rPr>
        <w:t>人及其他关联方干涉公司人事任免的情况，不存在有关法律、法规禁止的兼职情况。公司总经理、副总经</w:t>
      </w:r>
      <w:r>
        <w:rPr>
          <w:spacing w:val="-86"/>
        </w:rPr>
        <w:t> </w:t>
      </w:r>
      <w:r>
        <w:rPr>
          <w:spacing w:val="-86"/>
        </w:rPr>
      </w:r>
      <w:r>
        <w:rPr>
          <w:spacing w:val="-1"/>
        </w:rPr>
        <w:t>理、财务总监、董事会秘书等高级管理人员均专职在本公司工作并领取报酬，未在股东控制的其他关联企</w:t>
      </w:r>
      <w:r>
        <w:rPr>
          <w:spacing w:val="-83"/>
        </w:rPr>
        <w:t> </w:t>
      </w:r>
      <w:r>
        <w:rPr>
          <w:spacing w:val="-83"/>
        </w:rPr>
      </w:r>
      <w:r>
        <w:rPr/>
        <w:t>业担任职务，不存在交叉任职的情况；本公司的财务人员亦未在实际控制人控制的其他企业中兼职。</w:t>
      </w:r>
    </w:p>
    <w:p>
      <w:pPr>
        <w:pStyle w:val="BodyText"/>
        <w:spacing w:line="408" w:lineRule="auto"/>
        <w:ind w:left="574" w:right="0"/>
        <w:jc w:val="left"/>
      </w:pPr>
      <w:r>
        <w:rPr/>
        <w:t>（三）资产完整 </w:t>
      </w:r>
      <w:r>
        <w:rPr>
          <w:spacing w:val="-1"/>
        </w:rPr>
        <w:t>公司拥有开展生产经营所必备的独立完整的资产，合法拥有与生产经营相关的房产、设备、土地以及</w:t>
      </w:r>
    </w:p>
    <w:p>
      <w:pPr>
        <w:pStyle w:val="BodyText"/>
        <w:spacing w:line="408" w:lineRule="auto"/>
        <w:ind w:right="1133"/>
        <w:jc w:val="both"/>
      </w:pPr>
      <w:r>
        <w:rPr>
          <w:spacing w:val="-1"/>
        </w:rPr>
        <w:t>商标、专利、非专利技术的所有权或使用权，相关资产不存在权属纠纷，公司资产、资金和其他资源不存</w:t>
      </w:r>
      <w:r>
        <w:rPr>
          <w:spacing w:val="-83"/>
        </w:rPr>
        <w:t> </w:t>
      </w:r>
      <w:r>
        <w:rPr>
          <w:spacing w:val="-83"/>
        </w:rPr>
      </w:r>
      <w:r>
        <w:rPr/>
        <w:t>在被控股股东、实际控制人及其他关联方控制和占用的情形。</w:t>
      </w:r>
    </w:p>
    <w:p>
      <w:pPr>
        <w:pStyle w:val="BodyText"/>
        <w:spacing w:line="408" w:lineRule="auto"/>
        <w:ind w:left="574" w:right="0"/>
        <w:jc w:val="left"/>
      </w:pPr>
      <w:r>
        <w:rPr/>
        <w:t>（四）机构独立 </w:t>
      </w:r>
      <w:r>
        <w:rPr>
          <w:spacing w:val="-6"/>
        </w:rPr>
        <w:t>公司根据《公司法》、《上市公司章程指引》等有关法律、法规和规范性文件的相关规定，按照法定程</w:t>
      </w:r>
    </w:p>
    <w:p>
      <w:pPr>
        <w:pStyle w:val="BodyText"/>
        <w:spacing w:line="408" w:lineRule="auto"/>
        <w:ind w:right="1131"/>
        <w:jc w:val="both"/>
      </w:pPr>
      <w:r>
        <w:rPr>
          <w:spacing w:val="-1"/>
        </w:rPr>
        <w:t>序制订了《公司章程》，建立了股东大会、董事会、监事会的法人治理结构，并设置了相应的组织机构。</w:t>
      </w:r>
      <w:r>
        <w:rPr>
          <w:spacing w:val="-94"/>
        </w:rPr>
        <w:t> </w:t>
      </w:r>
      <w:r>
        <w:rPr>
          <w:spacing w:val="-94"/>
        </w:rPr>
      </w:r>
      <w:r>
        <w:rPr>
          <w:spacing w:val="-1"/>
        </w:rPr>
        <w:t>本公司具有独立的生产经营和办公机构，完全独立于控股股东及实际控制人，不存在混合经营、合署办公</w:t>
      </w:r>
      <w:r>
        <w:rPr>
          <w:spacing w:val="-83"/>
        </w:rPr>
        <w:t> </w:t>
      </w:r>
      <w:r>
        <w:rPr>
          <w:spacing w:val="-83"/>
        </w:rPr>
      </w:r>
      <w:r>
        <w:rPr/>
        <w:t>的情况，控股股东及其他任何单位或个人均未干预本公司的机构设置和生产经营活动。</w:t>
      </w:r>
    </w:p>
    <w:p>
      <w:pPr>
        <w:pStyle w:val="BodyText"/>
        <w:spacing w:line="408" w:lineRule="auto"/>
        <w:ind w:left="574" w:right="0"/>
        <w:jc w:val="left"/>
      </w:pPr>
      <w:r>
        <w:rPr/>
        <w:t>（五）财务独立 </w:t>
      </w:r>
      <w:r>
        <w:rPr>
          <w:spacing w:val="-1"/>
        </w:rPr>
        <w:t>公司设立独立的财务部门负责本公司的会计核算和财务管理工作。公司财务负责人及财务人员均专职</w:t>
      </w:r>
    </w:p>
    <w:p>
      <w:pPr>
        <w:pStyle w:val="BodyText"/>
        <w:spacing w:line="408" w:lineRule="auto"/>
        <w:ind w:right="0"/>
        <w:jc w:val="left"/>
      </w:pPr>
      <w:r>
        <w:rPr>
          <w:spacing w:val="-5"/>
        </w:rPr>
        <w:t>在本公司工作并领取薪酬，未在与本公司业务相同或相似、或存在其他利益冲突的企业任职。公司按照《会</w:t>
      </w:r>
      <w:r>
        <w:rPr>
          <w:spacing w:val="-102"/>
        </w:rPr>
        <w:t> </w:t>
      </w:r>
      <w:r>
        <w:rPr>
          <w:spacing w:val="-102"/>
        </w:rPr>
      </w:r>
      <w:r>
        <w:rPr>
          <w:spacing w:val="-8"/>
        </w:rPr>
        <w:t>计法》、《企业会计准则》等法律法规的要求，建立了符合自身特点的独立的会计核算体系和财务管理制度。</w:t>
      </w:r>
      <w:r>
        <w:rPr>
          <w:spacing w:val="-59"/>
        </w:rPr>
        <w:t> </w:t>
      </w:r>
      <w:r>
        <w:rPr>
          <w:spacing w:val="-59"/>
        </w:rPr>
      </w:r>
      <w:r>
        <w:rPr/>
        <w:t>公司开设独立的银行账户，且作为独立纳税人依法纳税。公司能够依据《公司章程》和相关财务制度独立</w:t>
      </w:r>
      <w:r>
        <w:rPr/>
        <w:t> 做出财务决策，不存在公司股东或其他关联方干预公司资金使用的情况；公司独立对外签订各项合同。</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598"/>
        <w:gridCol w:w="1594"/>
        <w:gridCol w:w="1594"/>
        <w:gridCol w:w="1595"/>
        <w:gridCol w:w="1594"/>
        <w:gridCol w:w="1594"/>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pacing w:val="-1"/>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公告编号为</w:t>
            </w:r>
          </w:p>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2018-038</w:t>
            </w:r>
          </w:p>
        </w:tc>
      </w:tr>
      <w:tr>
        <w:trPr>
          <w:trHeight w:val="1339"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pacing w:val="-1"/>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公告编号为</w:t>
            </w:r>
          </w:p>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2018-071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885"/>
        <w:gridCol w:w="1417"/>
        <w:gridCol w:w="1134"/>
        <w:gridCol w:w="1276"/>
        <w:gridCol w:w="1134"/>
        <w:gridCol w:w="992"/>
        <w:gridCol w:w="1570"/>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8" w:right="75"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3" w:right="72"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1" w:right="110"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2" w:right="109"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1" w:right="38"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8"/>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97"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2"/>
        <w:ind w:right="1132" w:firstLine="420"/>
        <w:jc w:val="both"/>
      </w:pPr>
      <w:r>
        <w:rPr/>
        <w:t>（</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49"/>
        </w:rPr>
        <w:t> </w:t>
      </w:r>
      <w:r>
        <w:rPr/>
        <w:t>年</w:t>
      </w:r>
      <w:r>
        <w:rPr>
          <w:spacing w:val="-48"/>
        </w:rPr>
        <w:t> </w:t>
      </w:r>
      <w:r>
        <w:rPr>
          <w:rFonts w:ascii="宋体" w:hAnsi="宋体" w:cs="宋体" w:eastAsia="宋体" w:hint="default"/>
        </w:rPr>
        <w:t>1</w:t>
      </w:r>
      <w:r>
        <w:rPr>
          <w:rFonts w:ascii="宋体" w:hAnsi="宋体" w:cs="宋体" w:eastAsia="宋体" w:hint="default"/>
          <w:spacing w:val="-47"/>
        </w:rPr>
        <w:t> </w:t>
      </w:r>
      <w:r>
        <w:rPr/>
        <w:t>月</w:t>
      </w:r>
      <w:r>
        <w:rPr>
          <w:spacing w:val="-49"/>
        </w:rPr>
        <w:t> </w:t>
      </w:r>
      <w:r>
        <w:rPr>
          <w:rFonts w:ascii="宋体" w:hAnsi="宋体" w:cs="宋体" w:eastAsia="宋体" w:hint="default"/>
        </w:rPr>
        <w:t>8</w:t>
      </w:r>
      <w:r>
        <w:rPr>
          <w:rFonts w:ascii="宋体" w:hAnsi="宋体" w:cs="宋体" w:eastAsia="宋体" w:hint="default"/>
          <w:spacing w:val="-47"/>
        </w:rPr>
        <w:t> </w:t>
      </w:r>
      <w:r>
        <w:rPr/>
        <w:t>日公司召开第四届董事会第十二次会议，独立董事就子公司处置资产暨签署拆迁 补偿协议、回购前提下的股权融资等相关事项发表了独立意见并被公司采纳。</w:t>
      </w:r>
    </w:p>
    <w:p>
      <w:pPr>
        <w:pStyle w:val="BodyText"/>
        <w:spacing w:line="408" w:lineRule="auto"/>
        <w:ind w:right="1057" w:firstLine="420"/>
        <w:jc w:val="both"/>
      </w:pPr>
      <w:r>
        <w:rPr/>
        <w:t>（</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9"/>
        </w:rPr>
        <w:t> </w:t>
      </w:r>
      <w:r>
        <w:rPr>
          <w:rFonts w:ascii="宋体" w:hAnsi="宋体" w:cs="宋体" w:eastAsia="宋体" w:hint="default"/>
        </w:rPr>
        <w:t>22</w:t>
      </w:r>
      <w:r>
        <w:rPr>
          <w:rFonts w:ascii="宋体" w:hAnsi="宋体" w:cs="宋体" w:eastAsia="宋体" w:hint="default"/>
          <w:spacing w:val="-39"/>
        </w:rPr>
        <w:t> </w:t>
      </w:r>
      <w:r>
        <w:rPr/>
        <w:t>日公司召开第四届董事会第十三次会议，独立董事就《</w:t>
      </w:r>
      <w:r>
        <w:rPr>
          <w:rFonts w:ascii="宋体" w:hAnsi="宋体" w:cs="宋体" w:eastAsia="宋体" w:hint="default"/>
        </w:rPr>
        <w:t>2017</w:t>
      </w:r>
      <w:r>
        <w:rPr>
          <w:rFonts w:ascii="宋体" w:hAnsi="宋体" w:cs="宋体" w:eastAsia="宋体" w:hint="default"/>
          <w:spacing w:val="-39"/>
        </w:rPr>
        <w:t> </w:t>
      </w:r>
      <w:r>
        <w:rPr/>
        <w:t>年度董事会工作报 </w:t>
      </w:r>
      <w:r>
        <w:rPr>
          <w:spacing w:val="-39"/>
        </w:rPr>
        <w:t>告》、《</w:t>
      </w:r>
      <w:r>
        <w:rPr>
          <w:rFonts w:ascii="宋体" w:hAnsi="宋体" w:cs="宋体" w:eastAsia="宋体" w:hint="default"/>
          <w:spacing w:val="-39"/>
        </w:rPr>
        <w:t>2017</w:t>
      </w:r>
      <w:r>
        <w:rPr>
          <w:rFonts w:ascii="宋体" w:hAnsi="宋体" w:cs="宋体" w:eastAsia="宋体" w:hint="default"/>
          <w:spacing w:val="-44"/>
        </w:rPr>
        <w:t> </w:t>
      </w:r>
      <w:r>
        <w:rPr>
          <w:spacing w:val="-20"/>
        </w:rPr>
        <w:t>年年度报告及其摘要》、《</w:t>
      </w:r>
      <w:r>
        <w:rPr>
          <w:rFonts w:ascii="宋体" w:hAnsi="宋体" w:cs="宋体" w:eastAsia="宋体" w:hint="default"/>
          <w:spacing w:val="-20"/>
        </w:rPr>
        <w:t>2017</w:t>
      </w:r>
      <w:r>
        <w:rPr>
          <w:rFonts w:ascii="宋体" w:hAnsi="宋体" w:cs="宋体" w:eastAsia="宋体" w:hint="default"/>
          <w:spacing w:val="-44"/>
        </w:rPr>
        <w:t> </w:t>
      </w:r>
      <w:r>
        <w:rPr>
          <w:spacing w:val="-20"/>
        </w:rPr>
        <w:t>年度总经理工作报告》、《</w:t>
      </w:r>
      <w:r>
        <w:rPr>
          <w:rFonts w:ascii="宋体" w:hAnsi="宋体" w:cs="宋体" w:eastAsia="宋体" w:hint="default"/>
          <w:spacing w:val="-20"/>
        </w:rPr>
        <w:t>2017</w:t>
      </w:r>
      <w:r>
        <w:rPr>
          <w:rFonts w:ascii="宋体" w:hAnsi="宋体" w:cs="宋体" w:eastAsia="宋体" w:hint="default"/>
          <w:spacing w:val="-46"/>
        </w:rPr>
        <w:t> </w:t>
      </w:r>
      <w:r>
        <w:rPr>
          <w:spacing w:val="-17"/>
        </w:rPr>
        <w:t>年度内部控制自我评价报告》、《</w:t>
      </w:r>
      <w:r>
        <w:rPr>
          <w:rFonts w:ascii="宋体" w:hAnsi="宋体" w:cs="宋体" w:eastAsia="宋体" w:hint="default"/>
          <w:spacing w:val="-17"/>
        </w:rPr>
        <w:t>2017</w:t>
      </w:r>
      <w:r>
        <w:rPr>
          <w:rFonts w:ascii="宋体" w:hAnsi="宋体" w:cs="宋体" w:eastAsia="宋体" w:hint="default"/>
          <w:spacing w:val="-93"/>
        </w:rPr>
        <w:t> </w:t>
      </w:r>
      <w:r>
        <w:rPr>
          <w:spacing w:val="-10"/>
        </w:rPr>
        <w:t>年度财务决算报告》、</w:t>
      </w:r>
      <w:r>
        <w:rPr>
          <w:rFonts w:ascii="宋体" w:hAnsi="宋体" w:cs="宋体" w:eastAsia="宋体" w:hint="default"/>
          <w:spacing w:val="-10"/>
        </w:rPr>
        <w:t>2017</w:t>
      </w:r>
      <w:r>
        <w:rPr>
          <w:rFonts w:ascii="宋体" w:hAnsi="宋体" w:cs="宋体" w:eastAsia="宋体" w:hint="default"/>
          <w:spacing w:val="-44"/>
        </w:rPr>
        <w:t> </w:t>
      </w:r>
      <w:r>
        <w:rPr>
          <w:spacing w:val="-3"/>
        </w:rPr>
        <w:t>年度利润分配、</w:t>
      </w:r>
      <w:r>
        <w:rPr>
          <w:rFonts w:ascii="宋体" w:hAnsi="宋体" w:cs="宋体" w:eastAsia="宋体" w:hint="default"/>
          <w:spacing w:val="-3"/>
        </w:rPr>
        <w:t>2018</w:t>
      </w:r>
      <w:r>
        <w:rPr>
          <w:rFonts w:ascii="宋体" w:hAnsi="宋体" w:cs="宋体" w:eastAsia="宋体" w:hint="default"/>
          <w:spacing w:val="-48"/>
        </w:rPr>
        <w:t> </w:t>
      </w:r>
      <w:r>
        <w:rPr>
          <w:spacing w:val="-2"/>
        </w:rPr>
        <w:t>年度公司董事薪酬政策、</w:t>
      </w:r>
      <w:r>
        <w:rPr>
          <w:rFonts w:ascii="宋体" w:hAnsi="宋体" w:cs="宋体" w:eastAsia="宋体" w:hint="default"/>
          <w:spacing w:val="-2"/>
        </w:rPr>
        <w:t>2018</w:t>
      </w:r>
      <w:r>
        <w:rPr>
          <w:rFonts w:ascii="宋体" w:hAnsi="宋体" w:cs="宋体" w:eastAsia="宋体" w:hint="default"/>
          <w:spacing w:val="-45"/>
        </w:rPr>
        <w:t> </w:t>
      </w:r>
      <w:r>
        <w:rPr>
          <w:spacing w:val="-1"/>
        </w:rPr>
        <w:t>年度公司高级管理人员薪酬</w:t>
      </w:r>
      <w:r>
        <w:rPr>
          <w:spacing w:val="-94"/>
        </w:rPr>
        <w:t> </w:t>
      </w:r>
      <w:r>
        <w:rPr>
          <w:spacing w:val="-94"/>
        </w:rPr>
      </w:r>
      <w:r>
        <w:rPr/>
        <w:t>政策、续聘</w:t>
      </w:r>
      <w:r>
        <w:rPr>
          <w:spacing w:val="-49"/>
        </w:rPr>
        <w:t> </w:t>
      </w:r>
      <w:r>
        <w:rPr>
          <w:rFonts w:ascii="宋体" w:hAnsi="宋体" w:cs="宋体" w:eastAsia="宋体" w:hint="default"/>
        </w:rPr>
        <w:t>2018</w:t>
      </w:r>
      <w:r>
        <w:rPr>
          <w:rFonts w:ascii="宋体" w:hAnsi="宋体" w:cs="宋体" w:eastAsia="宋体" w:hint="default"/>
          <w:spacing w:val="-50"/>
        </w:rPr>
        <w:t> </w:t>
      </w:r>
      <w:r>
        <w:rPr>
          <w:spacing w:val="-8"/>
        </w:rPr>
        <w:t>年度财务审计机构、《</w:t>
      </w:r>
      <w:r>
        <w:rPr>
          <w:rFonts w:ascii="宋体" w:hAnsi="宋体" w:cs="宋体" w:eastAsia="宋体" w:hint="default"/>
          <w:spacing w:val="-8"/>
        </w:rPr>
        <w:t>2017</w:t>
      </w:r>
      <w:r>
        <w:rPr>
          <w:rFonts w:ascii="宋体" w:hAnsi="宋体" w:cs="宋体" w:eastAsia="宋体" w:hint="default"/>
          <w:spacing w:val="-48"/>
        </w:rPr>
        <w:t> </w:t>
      </w:r>
      <w:r>
        <w:rPr>
          <w:spacing w:val="-8"/>
        </w:rPr>
        <w:t>年度社会责任报告》、公司办理</w:t>
      </w:r>
      <w:r>
        <w:rPr>
          <w:spacing w:val="-50"/>
        </w:rPr>
        <w:t> </w:t>
      </w:r>
      <w:r>
        <w:rPr>
          <w:rFonts w:ascii="宋体" w:hAnsi="宋体" w:cs="宋体" w:eastAsia="宋体" w:hint="default"/>
        </w:rPr>
        <w:t>2018</w:t>
      </w:r>
      <w:r>
        <w:rPr>
          <w:rFonts w:ascii="宋体" w:hAnsi="宋体" w:cs="宋体" w:eastAsia="宋体" w:hint="default"/>
          <w:spacing w:val="-49"/>
        </w:rPr>
        <w:t> </w:t>
      </w:r>
      <w:r>
        <w:rPr>
          <w:spacing w:val="-1"/>
        </w:rPr>
        <w:t>年度银行综合授信业务、</w:t>
      </w:r>
    </w:p>
    <w:p>
      <w:pPr>
        <w:pStyle w:val="BodyText"/>
        <w:spacing w:line="408" w:lineRule="auto"/>
        <w:ind w:right="1125"/>
        <w:jc w:val="left"/>
      </w:pPr>
      <w:r>
        <w:rPr>
          <w:rFonts w:ascii="宋体" w:hAnsi="宋体" w:cs="宋体" w:eastAsia="宋体" w:hint="default"/>
        </w:rPr>
        <w:t>2017</w:t>
      </w:r>
      <w:r>
        <w:rPr>
          <w:rFonts w:ascii="宋体" w:hAnsi="宋体" w:cs="宋体" w:eastAsia="宋体" w:hint="default"/>
          <w:spacing w:val="-43"/>
        </w:rPr>
        <w:t> </w:t>
      </w:r>
      <w:r>
        <w:rPr>
          <w:spacing w:val="-8"/>
        </w:rPr>
        <w:t>年度计提资产减值准备、修订《公司章程》、召开</w:t>
      </w:r>
      <w:r>
        <w:rPr>
          <w:spacing w:val="-44"/>
        </w:rPr>
        <w:t> </w:t>
      </w:r>
      <w:r>
        <w:rPr>
          <w:rFonts w:ascii="宋体" w:hAnsi="宋体" w:cs="宋体" w:eastAsia="宋体" w:hint="default"/>
        </w:rPr>
        <w:t>2017</w:t>
      </w:r>
      <w:r>
        <w:rPr>
          <w:rFonts w:ascii="宋体" w:hAnsi="宋体" w:cs="宋体" w:eastAsia="宋体" w:hint="default"/>
          <w:spacing w:val="-45"/>
        </w:rPr>
        <w:t> </w:t>
      </w:r>
      <w:r>
        <w:rPr>
          <w:spacing w:val="-2"/>
        </w:rPr>
        <w:t>年年度股东大会、全资子公司引进战略投资者</w:t>
      </w:r>
      <w:r>
        <w:rPr>
          <w:spacing w:val="-103"/>
        </w:rPr>
        <w:t> </w:t>
      </w:r>
      <w:r>
        <w:rPr>
          <w:spacing w:val="-103"/>
        </w:rPr>
      </w:r>
      <w:r>
        <w:rPr/>
        <w:t>暨公司放弃对其增资优先认缴权等相关事项发表了独立意见并被公司采纳。</w:t>
      </w:r>
    </w:p>
    <w:p>
      <w:pPr>
        <w:pStyle w:val="BodyText"/>
        <w:spacing w:line="408" w:lineRule="auto"/>
        <w:ind w:right="1130" w:firstLine="420"/>
        <w:jc w:val="both"/>
      </w:pPr>
      <w:r>
        <w:rPr/>
        <w:t>（</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4</w:t>
      </w:r>
      <w:r>
        <w:rPr>
          <w:rFonts w:ascii="宋体" w:hAnsi="宋体" w:cs="宋体" w:eastAsia="宋体" w:hint="default"/>
          <w:spacing w:val="-39"/>
        </w:rPr>
        <w:t> </w:t>
      </w:r>
      <w:r>
        <w:rPr/>
        <w:t>月</w:t>
      </w:r>
      <w:r>
        <w:rPr>
          <w:spacing w:val="-39"/>
        </w:rPr>
        <w:t> </w:t>
      </w:r>
      <w:r>
        <w:rPr>
          <w:rFonts w:ascii="宋体" w:hAnsi="宋体" w:cs="宋体" w:eastAsia="宋体" w:hint="default"/>
        </w:rPr>
        <w:t>25</w:t>
      </w:r>
      <w:r>
        <w:rPr>
          <w:rFonts w:ascii="宋体" w:hAnsi="宋体" w:cs="宋体" w:eastAsia="宋体" w:hint="default"/>
          <w:spacing w:val="-39"/>
        </w:rPr>
        <w:t> </w:t>
      </w:r>
      <w:r>
        <w:rPr/>
        <w:t>日公司召开第四届董事会第十四次会议，独立董事就《</w:t>
      </w:r>
      <w:r>
        <w:rPr>
          <w:rFonts w:ascii="宋体" w:hAnsi="宋体" w:cs="宋体" w:eastAsia="宋体" w:hint="default"/>
        </w:rPr>
        <w:t>2018</w:t>
      </w:r>
      <w:r>
        <w:rPr>
          <w:rFonts w:ascii="宋体" w:hAnsi="宋体" w:cs="宋体" w:eastAsia="宋体" w:hint="default"/>
          <w:spacing w:val="-39"/>
        </w:rPr>
        <w:t> </w:t>
      </w:r>
      <w:r>
        <w:rPr/>
        <w:t>年第一季度报告》 事项发表了独立意见并被公司采纳。</w:t>
      </w:r>
    </w:p>
    <w:p>
      <w:pPr>
        <w:pStyle w:val="BodyText"/>
        <w:spacing w:line="408" w:lineRule="auto"/>
        <w:ind w:right="1131" w:firstLine="420"/>
        <w:jc w:val="both"/>
      </w:pPr>
      <w:r>
        <w:rPr>
          <w:spacing w:val="-6"/>
        </w:rPr>
        <w:t>（</w:t>
      </w:r>
      <w:r>
        <w:rPr>
          <w:rFonts w:ascii="宋体" w:hAnsi="宋体" w:cs="宋体" w:eastAsia="宋体" w:hint="default"/>
          <w:spacing w:val="-6"/>
        </w:rPr>
        <w:t>4</w:t>
      </w:r>
      <w:r>
        <w:rPr>
          <w:spacing w:val="-6"/>
        </w:rPr>
        <w:t>）</w:t>
      </w:r>
      <w:r>
        <w:rPr>
          <w:rFonts w:ascii="宋体" w:hAnsi="宋体" w:cs="宋体" w:eastAsia="宋体" w:hint="default"/>
          <w:spacing w:val="-6"/>
        </w:rPr>
        <w:t>2018</w:t>
      </w:r>
      <w:r>
        <w:rPr>
          <w:rFonts w:ascii="宋体" w:hAnsi="宋体" w:cs="宋体" w:eastAsia="宋体" w:hint="default"/>
          <w:spacing w:val="-60"/>
        </w:rPr>
        <w:t> </w:t>
      </w:r>
      <w:r>
        <w:rPr/>
        <w:t>年</w:t>
      </w:r>
      <w:r>
        <w:rPr>
          <w:spacing w:val="-61"/>
        </w:rPr>
        <w:t> </w:t>
      </w:r>
      <w:r>
        <w:rPr>
          <w:rFonts w:ascii="宋体" w:hAnsi="宋体" w:cs="宋体" w:eastAsia="宋体" w:hint="default"/>
        </w:rPr>
        <w:t>5</w:t>
      </w:r>
      <w:r>
        <w:rPr>
          <w:rFonts w:ascii="宋体" w:hAnsi="宋体" w:cs="宋体" w:eastAsia="宋体" w:hint="default"/>
          <w:spacing w:val="-59"/>
        </w:rPr>
        <w:t> </w:t>
      </w:r>
      <w:r>
        <w:rPr/>
        <w:t>月</w:t>
      </w:r>
      <w:r>
        <w:rPr>
          <w:spacing w:val="-61"/>
        </w:rPr>
        <w:t> </w:t>
      </w:r>
      <w:r>
        <w:rPr>
          <w:rFonts w:ascii="宋体" w:hAnsi="宋体" w:cs="宋体" w:eastAsia="宋体" w:hint="default"/>
        </w:rPr>
        <w:t>15</w:t>
      </w:r>
      <w:r>
        <w:rPr>
          <w:rFonts w:ascii="宋体" w:hAnsi="宋体" w:cs="宋体" w:eastAsia="宋体" w:hint="default"/>
          <w:spacing w:val="-59"/>
        </w:rPr>
        <w:t> </w:t>
      </w:r>
      <w:r>
        <w:rPr/>
        <w:t>日公司召开第四届董事会第十五次会议，独立董事就拟在香港投资设立全资子公 司、控股子公司为其下属子公司提供担保等相关事项发表了独立意见并被公司采纳。</w:t>
      </w:r>
    </w:p>
    <w:p>
      <w:pPr>
        <w:pStyle w:val="BodyText"/>
        <w:spacing w:line="408" w:lineRule="auto"/>
        <w:ind w:right="1131" w:firstLine="420"/>
        <w:jc w:val="both"/>
      </w:pPr>
      <w:r>
        <w:rPr>
          <w:spacing w:val="-6"/>
        </w:rPr>
        <w:t>（</w:t>
      </w:r>
      <w:r>
        <w:rPr>
          <w:rFonts w:ascii="宋体" w:hAnsi="宋体" w:cs="宋体" w:eastAsia="宋体" w:hint="default"/>
          <w:spacing w:val="-6"/>
        </w:rPr>
        <w:t>5</w:t>
      </w:r>
      <w:r>
        <w:rPr>
          <w:spacing w:val="-6"/>
        </w:rPr>
        <w:t>）</w:t>
      </w:r>
      <w:r>
        <w:rPr>
          <w:rFonts w:ascii="宋体" w:hAnsi="宋体" w:cs="宋体" w:eastAsia="宋体" w:hint="default"/>
          <w:spacing w:val="-6"/>
        </w:rPr>
        <w:t>2018</w:t>
      </w:r>
      <w:r>
        <w:rPr>
          <w:rFonts w:ascii="宋体" w:hAnsi="宋体" w:cs="宋体" w:eastAsia="宋体" w:hint="default"/>
          <w:spacing w:val="-60"/>
        </w:rPr>
        <w:t> </w:t>
      </w:r>
      <w:r>
        <w:rPr/>
        <w:t>年</w:t>
      </w:r>
      <w:r>
        <w:rPr>
          <w:spacing w:val="-61"/>
        </w:rPr>
        <w:t> </w:t>
      </w:r>
      <w:r>
        <w:rPr>
          <w:rFonts w:ascii="宋体" w:hAnsi="宋体" w:cs="宋体" w:eastAsia="宋体" w:hint="default"/>
        </w:rPr>
        <w:t>6</w:t>
      </w:r>
      <w:r>
        <w:rPr>
          <w:rFonts w:ascii="宋体" w:hAnsi="宋体" w:cs="宋体" w:eastAsia="宋体" w:hint="default"/>
          <w:spacing w:val="-59"/>
        </w:rPr>
        <w:t> </w:t>
      </w:r>
      <w:r>
        <w:rPr/>
        <w:t>月</w:t>
      </w:r>
      <w:r>
        <w:rPr>
          <w:spacing w:val="-61"/>
        </w:rPr>
        <w:t> </w:t>
      </w:r>
      <w:r>
        <w:rPr>
          <w:rFonts w:ascii="宋体" w:hAnsi="宋体" w:cs="宋体" w:eastAsia="宋体" w:hint="default"/>
        </w:rPr>
        <w:t>28</w:t>
      </w:r>
      <w:r>
        <w:rPr>
          <w:rFonts w:ascii="宋体" w:hAnsi="宋体" w:cs="宋体" w:eastAsia="宋体" w:hint="default"/>
          <w:spacing w:val="-59"/>
        </w:rPr>
        <w:t> </w:t>
      </w:r>
      <w:r>
        <w:rPr/>
        <w:t>日公司召开第四届董事会第十六次会议，独立董事就使用闲置自有资金购买低风 险理财产品事项发表了独立意见并被公司采纳。</w:t>
      </w:r>
    </w:p>
    <w:p>
      <w:pPr>
        <w:pStyle w:val="BodyText"/>
        <w:spacing w:line="408" w:lineRule="auto"/>
        <w:ind w:right="1130" w:firstLine="420"/>
        <w:jc w:val="both"/>
      </w:pPr>
      <w:r>
        <w:rPr/>
        <w:t>（</w:t>
      </w:r>
      <w:r>
        <w:rPr>
          <w:rFonts w:ascii="宋体" w:hAnsi="宋体" w:cs="宋体" w:eastAsia="宋体" w:hint="default"/>
        </w:rPr>
        <w:t>6</w:t>
      </w:r>
      <w:r>
        <w:rPr/>
        <w:t>）</w:t>
      </w:r>
      <w:r>
        <w:rPr>
          <w:rFonts w:ascii="宋体" w:hAnsi="宋体" w:cs="宋体" w:eastAsia="宋体" w:hint="default"/>
        </w:rPr>
        <w:t>2018</w:t>
      </w:r>
      <w:r>
        <w:rPr>
          <w:rFonts w:ascii="宋体" w:hAnsi="宋体" w:cs="宋体" w:eastAsia="宋体" w:hint="default"/>
          <w:spacing w:val="-39"/>
        </w:rPr>
        <w:t> </w:t>
      </w:r>
      <w:r>
        <w:rPr/>
        <w:t>年</w:t>
      </w:r>
      <w:r>
        <w:rPr>
          <w:spacing w:val="-39"/>
        </w:rPr>
        <w:t> </w:t>
      </w:r>
      <w:r>
        <w:rPr>
          <w:rFonts w:ascii="宋体" w:hAnsi="宋体" w:cs="宋体" w:eastAsia="宋体" w:hint="default"/>
        </w:rPr>
        <w:t>8</w:t>
      </w:r>
      <w:r>
        <w:rPr>
          <w:rFonts w:ascii="宋体" w:hAnsi="宋体" w:cs="宋体" w:eastAsia="宋体" w:hint="default"/>
          <w:spacing w:val="-39"/>
        </w:rPr>
        <w:t> </w:t>
      </w:r>
      <w:r>
        <w:rPr/>
        <w:t>月</w:t>
      </w:r>
      <w:r>
        <w:rPr>
          <w:spacing w:val="-39"/>
        </w:rPr>
        <w:t> </w:t>
      </w:r>
      <w:r>
        <w:rPr>
          <w:rFonts w:ascii="宋体" w:hAnsi="宋体" w:cs="宋体" w:eastAsia="宋体" w:hint="default"/>
        </w:rPr>
        <w:t>27</w:t>
      </w:r>
      <w:r>
        <w:rPr>
          <w:rFonts w:ascii="宋体" w:hAnsi="宋体" w:cs="宋体" w:eastAsia="宋体" w:hint="default"/>
          <w:spacing w:val="-39"/>
        </w:rPr>
        <w:t> </w:t>
      </w:r>
      <w:r>
        <w:rPr/>
        <w:t>日公司召开第四届董事会第十七次会议，独立董事就《</w:t>
      </w:r>
      <w:r>
        <w:rPr>
          <w:rFonts w:ascii="宋体" w:hAnsi="宋体" w:cs="宋体" w:eastAsia="宋体" w:hint="default"/>
        </w:rPr>
        <w:t>2018</w:t>
      </w:r>
      <w:r>
        <w:rPr>
          <w:rFonts w:ascii="宋体" w:hAnsi="宋体" w:cs="宋体" w:eastAsia="宋体" w:hint="default"/>
          <w:spacing w:val="-39"/>
        </w:rPr>
        <w:t> </w:t>
      </w:r>
      <w:r>
        <w:rPr/>
        <w:t>年半年度报告及其 摘要》事项发表了独立意见并被公司采纳。</w:t>
      </w:r>
    </w:p>
    <w:p>
      <w:pPr>
        <w:pStyle w:val="BodyText"/>
        <w:spacing w:line="240" w:lineRule="auto"/>
        <w:ind w:left="574" w:right="0"/>
        <w:jc w:val="left"/>
      </w:pPr>
      <w:r>
        <w:rPr>
          <w:spacing w:val="-6"/>
        </w:rPr>
        <w:t>（</w:t>
      </w:r>
      <w:r>
        <w:rPr>
          <w:rFonts w:ascii="宋体" w:hAnsi="宋体" w:cs="宋体" w:eastAsia="宋体" w:hint="default"/>
          <w:spacing w:val="-6"/>
        </w:rPr>
        <w:t>7</w:t>
      </w:r>
      <w:r>
        <w:rPr>
          <w:spacing w:val="-6"/>
        </w:rPr>
        <w:t>）</w:t>
      </w:r>
      <w:r>
        <w:rPr>
          <w:rFonts w:ascii="宋体" w:hAnsi="宋体" w:cs="宋体" w:eastAsia="宋体" w:hint="default"/>
          <w:spacing w:val="-6"/>
        </w:rPr>
        <w:t>2018</w:t>
      </w:r>
      <w:r>
        <w:rPr>
          <w:rFonts w:ascii="宋体" w:hAnsi="宋体" w:cs="宋体" w:eastAsia="宋体" w:hint="default"/>
          <w:spacing w:val="-61"/>
        </w:rPr>
        <w:t> </w:t>
      </w:r>
      <w:r>
        <w:rPr/>
        <w:t>年</w:t>
      </w:r>
      <w:r>
        <w:rPr>
          <w:spacing w:val="-62"/>
        </w:rPr>
        <w:t> </w:t>
      </w:r>
      <w:r>
        <w:rPr>
          <w:rFonts w:ascii="宋体" w:hAnsi="宋体" w:cs="宋体" w:eastAsia="宋体" w:hint="default"/>
        </w:rPr>
        <w:t>9</w:t>
      </w:r>
      <w:r>
        <w:rPr>
          <w:rFonts w:ascii="宋体" w:hAnsi="宋体" w:cs="宋体" w:eastAsia="宋体" w:hint="default"/>
          <w:spacing w:val="-60"/>
        </w:rPr>
        <w:t> </w:t>
      </w:r>
      <w:r>
        <w:rPr/>
        <w:t>月</w:t>
      </w:r>
      <w:r>
        <w:rPr>
          <w:spacing w:val="-62"/>
        </w:rPr>
        <w:t> </w:t>
      </w:r>
      <w:r>
        <w:rPr>
          <w:rFonts w:ascii="宋体" w:hAnsi="宋体" w:cs="宋体" w:eastAsia="宋体" w:hint="default"/>
        </w:rPr>
        <w:t>14</w:t>
      </w:r>
      <w:r>
        <w:rPr>
          <w:rFonts w:ascii="宋体" w:hAnsi="宋体" w:cs="宋体" w:eastAsia="宋体" w:hint="default"/>
          <w:spacing w:val="-60"/>
        </w:rPr>
        <w:t> </w:t>
      </w:r>
      <w:r>
        <w:rPr/>
        <w:t>日公司召开第四届董事会第十八次会议，独立董事就提名公司第四届董事会非独</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立董事、召开</w:t>
      </w:r>
      <w:r>
        <w:rPr>
          <w:spacing w:val="-53"/>
        </w:rPr>
        <w:t> </w:t>
      </w:r>
      <w:r>
        <w:rPr>
          <w:rFonts w:ascii="宋体" w:hAnsi="宋体" w:cs="宋体" w:eastAsia="宋体" w:hint="default"/>
        </w:rPr>
        <w:t>2018</w:t>
      </w:r>
      <w:r>
        <w:rPr>
          <w:rFonts w:ascii="宋体" w:hAnsi="宋体" w:cs="宋体" w:eastAsia="宋体" w:hint="default"/>
          <w:spacing w:val="-54"/>
        </w:rPr>
        <w:t> </w:t>
      </w:r>
      <w:r>
        <w:rPr/>
        <w:t>年第一次临时股东大会、注销控股子公司等相关事项发表了独立意见并被公司采纳。</w:t>
      </w:r>
    </w:p>
    <w:p>
      <w:pPr>
        <w:spacing w:line="240" w:lineRule="auto" w:before="10"/>
        <w:rPr>
          <w:rFonts w:ascii="宋体" w:hAnsi="宋体" w:cs="宋体" w:eastAsia="宋体" w:hint="default"/>
          <w:sz w:val="14"/>
          <w:szCs w:val="14"/>
        </w:rPr>
      </w:pPr>
    </w:p>
    <w:p>
      <w:pPr>
        <w:pStyle w:val="BodyText"/>
        <w:spacing w:line="408" w:lineRule="auto" w:before="0"/>
        <w:ind w:right="1110" w:firstLine="420"/>
        <w:jc w:val="both"/>
      </w:pPr>
      <w:r>
        <w:rPr/>
        <w:t>（</w:t>
      </w:r>
      <w:r>
        <w:rPr>
          <w:rFonts w:ascii="宋体" w:hAnsi="宋体" w:cs="宋体" w:eastAsia="宋体" w:hint="default"/>
        </w:rPr>
        <w:t>8</w:t>
      </w:r>
      <w:r>
        <w:rPr/>
        <w:t>）</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日公司召开第四届董事会第十九次会议，独立董事就《</w:t>
      </w:r>
      <w:r>
        <w:rPr>
          <w:rFonts w:ascii="宋体" w:hAnsi="宋体" w:cs="宋体" w:eastAsia="宋体" w:hint="default"/>
        </w:rPr>
        <w:t>2018</w:t>
      </w:r>
      <w:r>
        <w:rPr>
          <w:rFonts w:ascii="宋体" w:hAnsi="宋体" w:cs="宋体" w:eastAsia="宋体" w:hint="default"/>
          <w:spacing w:val="-54"/>
        </w:rPr>
        <w:t> </w:t>
      </w:r>
      <w:r>
        <w:rPr/>
        <w:t>年第三季度报告》 事项发表了独立意见并被公司采纳。</w:t>
      </w:r>
    </w:p>
    <w:p>
      <w:pPr>
        <w:pStyle w:val="BodyText"/>
        <w:spacing w:line="408" w:lineRule="auto"/>
        <w:ind w:right="1131" w:firstLine="420"/>
        <w:jc w:val="both"/>
      </w:pPr>
      <w:r>
        <w:rPr>
          <w:spacing w:val="-6"/>
        </w:rPr>
        <w:t>（</w:t>
      </w:r>
      <w:r>
        <w:rPr>
          <w:rFonts w:ascii="宋体" w:hAnsi="宋体" w:cs="宋体" w:eastAsia="宋体" w:hint="default"/>
          <w:spacing w:val="-6"/>
        </w:rPr>
        <w:t>9</w:t>
      </w:r>
      <w:r>
        <w:rPr>
          <w:spacing w:val="-6"/>
        </w:rPr>
        <w:t>）</w:t>
      </w:r>
      <w:r>
        <w:rPr>
          <w:rFonts w:ascii="宋体" w:hAnsi="宋体" w:cs="宋体" w:eastAsia="宋体" w:hint="default"/>
          <w:spacing w:val="-6"/>
        </w:rPr>
        <w:t>2018</w:t>
      </w:r>
      <w:r>
        <w:rPr>
          <w:rFonts w:ascii="宋体" w:hAnsi="宋体" w:cs="宋体" w:eastAsia="宋体" w:hint="default"/>
          <w:spacing w:val="-60"/>
        </w:rPr>
        <w:t> </w:t>
      </w: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59"/>
        </w:rPr>
        <w:t> </w:t>
      </w:r>
      <w:r>
        <w:rPr/>
        <w:t>日公司召开第四届董事会第二十次会议，独立董事就调整全资子公司引进战略投 资者方案发表了独立意见并被公司采纳。</w:t>
      </w:r>
    </w:p>
    <w:p>
      <w:pPr>
        <w:pStyle w:val="BodyText"/>
        <w:spacing w:line="408" w:lineRule="auto"/>
        <w:ind w:right="1130" w:firstLine="420"/>
        <w:jc w:val="both"/>
      </w:pPr>
      <w:r>
        <w:rPr>
          <w:spacing w:val="-5"/>
        </w:rPr>
        <w:t>（</w:t>
      </w:r>
      <w:r>
        <w:rPr>
          <w:rFonts w:ascii="宋体" w:hAnsi="宋体" w:cs="宋体" w:eastAsia="宋体" w:hint="default"/>
          <w:spacing w:val="-5"/>
        </w:rPr>
        <w:t>10</w:t>
      </w:r>
      <w:r>
        <w:rPr>
          <w:spacing w:val="-5"/>
        </w:rPr>
        <w:t>）</w:t>
      </w:r>
      <w:r>
        <w:rPr>
          <w:rFonts w:ascii="宋体" w:hAnsi="宋体" w:cs="宋体" w:eastAsia="宋体" w:hint="default"/>
          <w:spacing w:val="-5"/>
        </w:rPr>
        <w:t>2018</w:t>
      </w:r>
      <w:r>
        <w:rPr>
          <w:rFonts w:ascii="宋体" w:hAnsi="宋体" w:cs="宋体" w:eastAsia="宋体" w:hint="default"/>
          <w:spacing w:val="-61"/>
        </w:rPr>
        <w:t> </w:t>
      </w: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1"/>
        </w:rPr>
        <w:t> </w:t>
      </w:r>
      <w:r>
        <w:rPr>
          <w:rFonts w:ascii="宋体" w:hAnsi="宋体" w:cs="宋体" w:eastAsia="宋体" w:hint="default"/>
        </w:rPr>
        <w:t>15</w:t>
      </w:r>
      <w:r>
        <w:rPr>
          <w:rFonts w:ascii="宋体" w:hAnsi="宋体" w:cs="宋体" w:eastAsia="宋体" w:hint="default"/>
          <w:spacing w:val="-61"/>
        </w:rPr>
        <w:t> </w:t>
      </w:r>
      <w:r>
        <w:rPr/>
        <w:t>日公司召开第四届董事会第二十一次会议，独立董事就为控股子公司提供续贷 担保事项发表了独立意见并被公司采纳。</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4" w:right="1120"/>
        <w:jc w:val="left"/>
      </w:pPr>
      <w:r>
        <w:rPr/>
        <w:t>（一）审计委员会履职情况 </w:t>
      </w:r>
      <w:r>
        <w:rPr>
          <w:spacing w:val="-14"/>
        </w:rPr>
        <w:t>报告期内，审计委员会根据《公司法》、《证券法》、《上市公司治理准则》、《内部审计制度》及《董事</w:t>
      </w:r>
    </w:p>
    <w:p>
      <w:pPr>
        <w:pStyle w:val="BodyText"/>
        <w:spacing w:line="408" w:lineRule="auto"/>
        <w:ind w:right="1113"/>
        <w:jc w:val="left"/>
      </w:pPr>
      <w:r>
        <w:rPr/>
        <w:t>会专门委员会工作细则》等有关规定，积极履行职责。报告期内，审计委员会共召开了</w:t>
      </w:r>
      <w:r>
        <w:rPr>
          <w:spacing w:val="-68"/>
        </w:rPr>
        <w:t> </w:t>
      </w:r>
      <w:r>
        <w:rPr>
          <w:rFonts w:ascii="宋体" w:hAnsi="宋体" w:cs="宋体" w:eastAsia="宋体" w:hint="default"/>
        </w:rPr>
        <w:t>4</w:t>
      </w:r>
      <w:r>
        <w:rPr>
          <w:rFonts w:ascii="宋体" w:hAnsi="宋体" w:cs="宋体" w:eastAsia="宋体" w:hint="default"/>
          <w:spacing w:val="-69"/>
        </w:rPr>
        <w:t> </w:t>
      </w:r>
      <w:r>
        <w:rPr>
          <w:spacing w:val="-3"/>
        </w:rPr>
        <w:t>次会议，</w:t>
      </w:r>
      <w:r>
        <w:rPr>
          <w:rFonts w:ascii="宋体" w:hAnsi="宋体" w:cs="宋体" w:eastAsia="宋体" w:hint="default"/>
          <w:spacing w:val="-3"/>
        </w:rPr>
        <w:t>2018</w:t>
      </w:r>
      <w:r>
        <w:rPr>
          <w:rFonts w:ascii="宋体" w:hAnsi="宋体" w:cs="宋体" w:eastAsia="宋体" w:hint="default"/>
          <w:spacing w:val="-70"/>
        </w:rPr>
        <w:t> </w:t>
      </w:r>
      <w:r>
        <w:rPr/>
        <w:t>年 第一次会议审议了</w:t>
      </w:r>
      <w:r>
        <w:rPr>
          <w:spacing w:val="-27"/>
        </w:rPr>
        <w:t> </w:t>
      </w:r>
      <w:r>
        <w:rPr>
          <w:rFonts w:ascii="宋体" w:hAnsi="宋体" w:cs="宋体" w:eastAsia="宋体" w:hint="default"/>
        </w:rPr>
        <w:t>2017</w:t>
      </w:r>
      <w:r>
        <w:rPr>
          <w:rFonts w:ascii="宋体" w:hAnsi="宋体" w:cs="宋体" w:eastAsia="宋体" w:hint="default"/>
          <w:spacing w:val="-28"/>
        </w:rPr>
        <w:t> </w:t>
      </w:r>
      <w:r>
        <w:rPr/>
        <w:t>年度报告相关事项和</w:t>
      </w:r>
      <w:r>
        <w:rPr>
          <w:spacing w:val="-27"/>
        </w:rPr>
        <w:t> </w:t>
      </w:r>
      <w:r>
        <w:rPr>
          <w:rFonts w:ascii="宋体" w:hAnsi="宋体" w:cs="宋体" w:eastAsia="宋体" w:hint="default"/>
        </w:rPr>
        <w:t>2017</w:t>
      </w:r>
      <w:r>
        <w:rPr>
          <w:rFonts w:ascii="宋体" w:hAnsi="宋体" w:cs="宋体" w:eastAsia="宋体" w:hint="default"/>
          <w:spacing w:val="-26"/>
        </w:rPr>
        <w:t> </w:t>
      </w:r>
      <w:r>
        <w:rPr/>
        <w:t>年第四季度内审工作总结；</w:t>
      </w:r>
      <w:r>
        <w:rPr>
          <w:rFonts w:ascii="宋体" w:hAnsi="宋体" w:cs="宋体" w:eastAsia="宋体" w:hint="default"/>
        </w:rPr>
        <w:t>2018</w:t>
      </w:r>
      <w:r>
        <w:rPr>
          <w:rFonts w:ascii="宋体" w:hAnsi="宋体" w:cs="宋体" w:eastAsia="宋体" w:hint="default"/>
          <w:spacing w:val="-27"/>
        </w:rPr>
        <w:t> </w:t>
      </w:r>
      <w:r>
        <w:rPr/>
        <w:t>年第二次会议审议了</w:t>
      </w:r>
    </w:p>
    <w:p>
      <w:pPr>
        <w:pStyle w:val="BodyText"/>
        <w:spacing w:line="240" w:lineRule="auto"/>
        <w:ind w:right="0"/>
        <w:jc w:val="left"/>
      </w:pPr>
      <w:r>
        <w:rPr>
          <w:rFonts w:ascii="宋体" w:hAnsi="宋体" w:cs="宋体" w:eastAsia="宋体" w:hint="default"/>
        </w:rPr>
        <w:t>2018</w:t>
      </w:r>
      <w:r>
        <w:rPr>
          <w:rFonts w:ascii="宋体" w:hAnsi="宋体" w:cs="宋体" w:eastAsia="宋体" w:hint="default"/>
          <w:spacing w:val="-39"/>
        </w:rPr>
        <w:t> </w:t>
      </w:r>
      <w:r>
        <w:rPr/>
        <w:t>年第一季度报告相关事项和</w:t>
      </w:r>
      <w:r>
        <w:rPr>
          <w:spacing w:val="-40"/>
        </w:rPr>
        <w:t> </w:t>
      </w:r>
      <w:r>
        <w:rPr>
          <w:rFonts w:ascii="宋体" w:hAnsi="宋体" w:cs="宋体" w:eastAsia="宋体" w:hint="default"/>
        </w:rPr>
        <w:t>2018</w:t>
      </w:r>
      <w:r>
        <w:rPr>
          <w:rFonts w:ascii="宋体" w:hAnsi="宋体" w:cs="宋体" w:eastAsia="宋体" w:hint="default"/>
          <w:spacing w:val="-40"/>
        </w:rPr>
        <w:t> </w:t>
      </w:r>
      <w:r>
        <w:rPr/>
        <w:t>年第一季度内审工作总结；</w:t>
      </w:r>
      <w:r>
        <w:rPr>
          <w:rFonts w:ascii="宋体" w:hAnsi="宋体" w:cs="宋体" w:eastAsia="宋体" w:hint="default"/>
        </w:rPr>
        <w:t>2018</w:t>
      </w:r>
      <w:r>
        <w:rPr>
          <w:rFonts w:ascii="宋体" w:hAnsi="宋体" w:cs="宋体" w:eastAsia="宋体" w:hint="default"/>
          <w:spacing w:val="-39"/>
        </w:rPr>
        <w:t> </w:t>
      </w:r>
      <w:r>
        <w:rPr/>
        <w:t>年第三次会议审议了</w:t>
      </w:r>
      <w:r>
        <w:rPr>
          <w:spacing w:val="-40"/>
        </w:rPr>
        <w:t> </w:t>
      </w:r>
      <w:r>
        <w:rPr>
          <w:rFonts w:ascii="宋体" w:hAnsi="宋体" w:cs="宋体" w:eastAsia="宋体" w:hint="default"/>
        </w:rPr>
        <w:t>2018</w:t>
      </w:r>
      <w:r>
        <w:rPr>
          <w:rFonts w:ascii="宋体" w:hAnsi="宋体" w:cs="宋体" w:eastAsia="宋体" w:hint="default"/>
          <w:spacing w:val="-41"/>
        </w:rPr>
        <w:t> </w:t>
      </w:r>
      <w:r>
        <w:rPr/>
        <w:t>年半年</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度报告相关事项和</w:t>
      </w:r>
      <w:r>
        <w:rPr>
          <w:spacing w:val="-53"/>
        </w:rPr>
        <w:t> </w:t>
      </w:r>
      <w:r>
        <w:rPr>
          <w:rFonts w:ascii="宋体" w:hAnsi="宋体" w:cs="宋体" w:eastAsia="宋体" w:hint="default"/>
        </w:rPr>
        <w:t>2018</w:t>
      </w:r>
      <w:r>
        <w:rPr>
          <w:rFonts w:ascii="宋体" w:hAnsi="宋体" w:cs="宋体" w:eastAsia="宋体" w:hint="default"/>
          <w:spacing w:val="-55"/>
        </w:rPr>
        <w:t> </w:t>
      </w:r>
      <w:r>
        <w:rPr>
          <w:spacing w:val="-5"/>
        </w:rPr>
        <w:t>年半年度内审工作总结；</w:t>
      </w:r>
      <w:r>
        <w:rPr>
          <w:rFonts w:ascii="宋体" w:hAnsi="宋体" w:cs="宋体" w:eastAsia="宋体" w:hint="default"/>
          <w:spacing w:val="-5"/>
        </w:rPr>
        <w:t>2018</w:t>
      </w:r>
      <w:r>
        <w:rPr>
          <w:rFonts w:ascii="宋体" w:hAnsi="宋体" w:cs="宋体" w:eastAsia="宋体" w:hint="default"/>
          <w:spacing w:val="-52"/>
        </w:rPr>
        <w:t> </w:t>
      </w:r>
      <w:r>
        <w:rPr/>
        <w:t>年第四次会议审议了</w:t>
      </w:r>
      <w:r>
        <w:rPr>
          <w:spacing w:val="-54"/>
        </w:rPr>
        <w:t> </w:t>
      </w:r>
      <w:r>
        <w:rPr>
          <w:rFonts w:ascii="宋体" w:hAnsi="宋体" w:cs="宋体" w:eastAsia="宋体" w:hint="default"/>
        </w:rPr>
        <w:t>2018</w:t>
      </w:r>
      <w:r>
        <w:rPr>
          <w:rFonts w:ascii="宋体" w:hAnsi="宋体" w:cs="宋体" w:eastAsia="宋体" w:hint="default"/>
          <w:spacing w:val="-53"/>
        </w:rPr>
        <w:t> </w:t>
      </w:r>
      <w:r>
        <w:rPr/>
        <w:t>年第三季度报告相关事项</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和</w:t>
      </w:r>
      <w:r>
        <w:rPr>
          <w:spacing w:val="-54"/>
        </w:rPr>
        <w:t> </w:t>
      </w:r>
      <w:r>
        <w:rPr>
          <w:rFonts w:ascii="宋体" w:hAnsi="宋体" w:cs="宋体" w:eastAsia="宋体" w:hint="default"/>
        </w:rPr>
        <w:t>2018</w:t>
      </w:r>
      <w:r>
        <w:rPr>
          <w:rFonts w:ascii="宋体" w:hAnsi="宋体" w:cs="宋体" w:eastAsia="宋体" w:hint="default"/>
          <w:spacing w:val="-53"/>
        </w:rPr>
        <w:t> </w:t>
      </w:r>
      <w:r>
        <w:rPr/>
        <w:t>年第三季度内审工作总结。</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t>（二）薪酬与考核委员会履职情况 </w:t>
      </w:r>
      <w:r>
        <w:rPr>
          <w:spacing w:val="-1"/>
        </w:rPr>
        <w:t>报告期内，薪酬与考核委员会对公司董事、监事和高级管理人员的薪酬情况进行了审核，认为其薪酬</w:t>
      </w:r>
    </w:p>
    <w:p>
      <w:pPr>
        <w:pStyle w:val="BodyText"/>
        <w:spacing w:line="408" w:lineRule="auto"/>
        <w:ind w:right="1023"/>
        <w:jc w:val="left"/>
      </w:pPr>
      <w:r>
        <w:rPr/>
        <w:t>标准和年度薪酬总额的确定符合公司相关薪酬管理制度的规定。同时，薪酬与考核委员会不断探讨绩效考 </w:t>
      </w:r>
      <w:r>
        <w:rPr>
          <w:spacing w:val="-3"/>
        </w:rPr>
        <w:t>核体系的进一步完善，为充分调动公司及公司控股子公司董事、监事、高级管理人员和核心员工的积极性，</w:t>
      </w:r>
      <w:r>
        <w:rPr>
          <w:spacing w:val="-92"/>
        </w:rPr>
        <w:t> </w:t>
      </w:r>
      <w:r>
        <w:rPr>
          <w:spacing w:val="-92"/>
        </w:rPr>
      </w:r>
      <w:r>
        <w:rPr/>
        <w:t>增强公司管理团队和核心员工对实现公司健康、持续发展的责任感、使命感，有效地将股东利益、公司利</w:t>
      </w:r>
      <w:r>
        <w:rPr/>
        <w:t> 益和公司员工利益结合在一起，使各方共同关注公司的长远发展，减少管理者的短期行为。报告期内，薪 酬与考核委员会认为，公司董事、监事和高级管理人员根据各自的分工，认真履行了相应的职责，较好的 完成了其工作目标。报告期内，薪酬与考核委员会召开了</w:t>
      </w:r>
      <w:r>
        <w:rPr>
          <w:spacing w:val="-59"/>
        </w:rPr>
        <w:t> </w:t>
      </w:r>
      <w:r>
        <w:rPr>
          <w:rFonts w:ascii="宋体" w:hAnsi="宋体" w:cs="宋体" w:eastAsia="宋体" w:hint="default"/>
        </w:rPr>
        <w:t>1</w:t>
      </w:r>
      <w:r>
        <w:rPr>
          <w:rFonts w:ascii="宋体" w:hAnsi="宋体" w:cs="宋体" w:eastAsia="宋体" w:hint="default"/>
          <w:spacing w:val="-59"/>
        </w:rPr>
        <w:t> </w:t>
      </w:r>
      <w:r>
        <w:rPr/>
        <w:t>次会议，对公司董事和高级管理人员绩效评价 总结、</w:t>
      </w:r>
      <w:r>
        <w:rPr>
          <w:rFonts w:ascii="宋体" w:hAnsi="宋体" w:cs="宋体" w:eastAsia="宋体" w:hint="default"/>
        </w:rPr>
        <w:t>2018</w:t>
      </w:r>
      <w:r>
        <w:rPr>
          <w:rFonts w:ascii="宋体" w:hAnsi="宋体" w:cs="宋体" w:eastAsia="宋体" w:hint="default"/>
          <w:spacing w:val="-53"/>
        </w:rPr>
        <w:t> </w:t>
      </w:r>
      <w:r>
        <w:rPr/>
        <w:t>年董事监事和高级管理人员的薪酬事项进行了审核，并提交给董事会审议。</w:t>
      </w:r>
    </w:p>
    <w:p>
      <w:pPr>
        <w:pStyle w:val="BodyText"/>
        <w:spacing w:line="408" w:lineRule="auto"/>
        <w:ind w:left="574" w:right="0"/>
        <w:jc w:val="left"/>
      </w:pPr>
      <w:r>
        <w:rPr/>
        <w:t>（三）提名委员会履职情况 </w:t>
      </w:r>
      <w:r>
        <w:rPr>
          <w:spacing w:val="-1"/>
        </w:rPr>
        <w:t>报告期内，提名委员会按照《董事会专门委员会工作细则》履行职责，提名委员会认为公司董事会人</w:t>
      </w:r>
    </w:p>
    <w:p>
      <w:pPr>
        <w:pStyle w:val="BodyText"/>
        <w:spacing w:line="408" w:lineRule="auto"/>
        <w:ind w:right="1115"/>
        <w:jc w:val="left"/>
      </w:pPr>
      <w:r>
        <w:rPr>
          <w:spacing w:val="-1"/>
        </w:rPr>
        <w:t>员结构合理，高管团队具有丰富的行业经验和管理经验，完全胜任各自的工作。报告期内，提名委员会召</w:t>
      </w:r>
      <w:r>
        <w:rPr>
          <w:spacing w:val="-86"/>
        </w:rPr>
        <w:t> </w:t>
      </w:r>
      <w:r>
        <w:rPr>
          <w:spacing w:val="-86"/>
        </w:rPr>
      </w:r>
      <w:r>
        <w:rPr/>
        <w:t>开了</w:t>
      </w:r>
      <w:r>
        <w:rPr>
          <w:spacing w:val="-45"/>
        </w:rPr>
        <w:t> </w:t>
      </w:r>
      <w:r>
        <w:rPr>
          <w:rFonts w:ascii="宋体" w:hAnsi="宋体" w:cs="宋体" w:eastAsia="宋体" w:hint="default"/>
        </w:rPr>
        <w:t>1</w:t>
      </w:r>
      <w:r>
        <w:rPr>
          <w:rFonts w:ascii="宋体" w:hAnsi="宋体" w:cs="宋体" w:eastAsia="宋体" w:hint="default"/>
          <w:spacing w:val="-43"/>
        </w:rPr>
        <w:t> </w:t>
      </w:r>
      <w:r>
        <w:rPr>
          <w:spacing w:val="-5"/>
        </w:rPr>
        <w:t>次会议，审议了《关于提名第四届董事会董事的议案》。</w:t>
      </w:r>
    </w:p>
    <w:p>
      <w:pPr>
        <w:pStyle w:val="BodyText"/>
        <w:spacing w:line="408" w:lineRule="auto"/>
        <w:ind w:left="574" w:right="0"/>
        <w:jc w:val="left"/>
      </w:pPr>
      <w:r>
        <w:rPr/>
        <w:t>（四）战略发展委员会履职情况 </w:t>
      </w:r>
      <w:r>
        <w:rPr>
          <w:spacing w:val="-1"/>
        </w:rPr>
        <w:t>报告期内，公司战略发展委员会认真研究国家宏观经济政策、结构调整对公司的影响，跟踪国内外同</w:t>
      </w:r>
    </w:p>
    <w:p>
      <w:pPr>
        <w:pStyle w:val="BodyText"/>
        <w:spacing w:line="408" w:lineRule="auto"/>
        <w:ind w:right="1130"/>
        <w:jc w:val="both"/>
      </w:pPr>
      <w:r>
        <w:rPr>
          <w:spacing w:val="-1"/>
        </w:rPr>
        <w:t>行业发展动向，结合公司战略发展要求，向公司董事会提出有关结构调整、资本运作、长远发展等事项的</w:t>
      </w:r>
      <w:r>
        <w:rPr>
          <w:spacing w:val="-86"/>
        </w:rPr>
        <w:t> </w:t>
      </w:r>
      <w:r>
        <w:rPr>
          <w:spacing w:val="-86"/>
        </w:rPr>
      </w:r>
      <w:r>
        <w:rPr>
          <w:spacing w:val="-1"/>
        </w:rPr>
        <w:t>建议，对促进公司转方式、调结构，规避市场风险，起到积极良好的作用。报告期内，战略发展委员会召</w:t>
      </w:r>
      <w:r>
        <w:rPr>
          <w:spacing w:val="-83"/>
        </w:rPr>
        <w:t> </w:t>
      </w:r>
      <w:r>
        <w:rPr>
          <w:spacing w:val="-83"/>
        </w:rPr>
      </w:r>
      <w:r>
        <w:rPr/>
        <w:t>开了</w:t>
      </w:r>
      <w:r>
        <w:rPr>
          <w:spacing w:val="-23"/>
        </w:rPr>
        <w:t> </w:t>
      </w:r>
      <w:r>
        <w:rPr>
          <w:rFonts w:ascii="宋体" w:hAnsi="宋体" w:cs="宋体" w:eastAsia="宋体" w:hint="default"/>
        </w:rPr>
        <w:t>2</w:t>
      </w:r>
      <w:r>
        <w:rPr>
          <w:rFonts w:ascii="宋体" w:hAnsi="宋体" w:cs="宋体" w:eastAsia="宋体" w:hint="default"/>
          <w:spacing w:val="-23"/>
        </w:rPr>
        <w:t> </w:t>
      </w:r>
      <w:r>
        <w:rPr>
          <w:spacing w:val="-7"/>
        </w:rPr>
        <w:t>次会议，分别审议了《关于拟在香港投资设立全资子公司的议案》、《关于公司</w:t>
      </w:r>
      <w:r>
        <w:rPr>
          <w:spacing w:val="-22"/>
        </w:rPr>
        <w:t> </w:t>
      </w:r>
      <w:r>
        <w:rPr>
          <w:rFonts w:ascii="宋体" w:hAnsi="宋体" w:cs="宋体" w:eastAsia="宋体" w:hint="default"/>
        </w:rPr>
        <w:t>2019</w:t>
      </w:r>
      <w:r>
        <w:rPr>
          <w:rFonts w:ascii="宋体" w:hAnsi="宋体" w:cs="宋体" w:eastAsia="宋体" w:hint="default"/>
          <w:spacing w:val="-23"/>
        </w:rPr>
        <w:t> </w:t>
      </w:r>
      <w:r>
        <w:rPr>
          <w:spacing w:val="-1"/>
        </w:rPr>
        <w:t>年战略发展规</w:t>
      </w:r>
      <w:r>
        <w:rPr/>
        <w:t> </w:t>
      </w:r>
      <w:r>
        <w:rPr>
          <w:spacing w:val="-18"/>
        </w:rPr>
        <w:t>划的议案》。</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0"/>
        <w:jc w:val="both"/>
      </w:pPr>
      <w:r>
        <w:rPr>
          <w:spacing w:val="-3"/>
        </w:rPr>
        <w:t>报告期内，按照《汉威科技中高层管理人员绩效考核办法》和《</w:t>
      </w:r>
      <w:r>
        <w:rPr>
          <w:rFonts w:ascii="宋体" w:hAnsi="宋体" w:cs="宋体" w:eastAsia="宋体" w:hint="default"/>
          <w:spacing w:val="-3"/>
        </w:rPr>
        <w:t>2018</w:t>
      </w:r>
      <w:r>
        <w:rPr>
          <w:rFonts w:ascii="宋体" w:hAnsi="宋体" w:cs="宋体" w:eastAsia="宋体" w:hint="default"/>
          <w:spacing w:val="-41"/>
        </w:rPr>
        <w:t> </w:t>
      </w:r>
      <w:r>
        <w:rPr/>
        <w:t>年度关于开展中高层管理人员综 </w:t>
      </w:r>
      <w:r>
        <w:rPr>
          <w:spacing w:val="-1"/>
        </w:rPr>
        <w:t>合考核评价实施办法》，公司对高级管理人员进行了四个季度考核、半年度述职和年终综合考评，公司的</w:t>
      </w:r>
      <w:r>
        <w:rPr>
          <w:spacing w:val="-94"/>
        </w:rPr>
        <w:t> </w:t>
      </w:r>
      <w:r>
        <w:rPr>
          <w:spacing w:val="-94"/>
        </w:rPr>
      </w:r>
      <w:r>
        <w:rPr>
          <w:spacing w:val="-1"/>
        </w:rPr>
        <w:t>各项考核制度较为合理地把高级管理人员的工作业绩与其薪酬进行挂钩，并且特别制定超额激励的奖励标</w:t>
      </w:r>
      <w:r>
        <w:rPr>
          <w:spacing w:val="-81"/>
        </w:rPr>
        <w:t> </w:t>
      </w:r>
      <w:r>
        <w:rPr>
          <w:spacing w:val="-81"/>
        </w:rPr>
      </w:r>
      <w:r>
        <w:rPr>
          <w:spacing w:val="-1"/>
        </w:rPr>
        <w:t>准和计算方法，极大的提高了高级管理人员的积极性，同时高管薪酬的确定符合公司薪酬管理和业绩考评</w:t>
      </w:r>
      <w:r>
        <w:rPr>
          <w:spacing w:val="-81"/>
        </w:rPr>
        <w:t> </w:t>
      </w:r>
      <w:r>
        <w:rPr>
          <w:spacing w:val="-81"/>
        </w:rPr>
      </w:r>
      <w:r>
        <w:rPr/>
        <w:t>激励等制度的有关规定。</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3195"/>
        <w:gridCol w:w="3323"/>
        <w:gridCol w:w="3052"/>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302"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1"/>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日披露《</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年度内部控制自我 评价报告》</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w:t>
            </w:r>
          </w:p>
        </w:tc>
      </w:tr>
      <w:tr>
        <w:trPr>
          <w:trHeight w:val="397"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319" w:lineRule="auto"/>
              <w:ind w:left="16" w:right="48"/>
              <w:jc w:val="both"/>
              <w:rPr>
                <w:rFonts w:ascii="宋体" w:hAnsi="宋体" w:cs="宋体" w:eastAsia="宋体" w:hint="default"/>
                <w:sz w:val="18"/>
                <w:szCs w:val="18"/>
              </w:rPr>
            </w:pPr>
            <w:r>
              <w:rPr>
                <w:rFonts w:ascii="宋体" w:hAnsi="宋体" w:cs="宋体" w:eastAsia="宋体" w:hint="default"/>
                <w:sz w:val="18"/>
                <w:szCs w:val="18"/>
              </w:rPr>
              <w:t>第一，发现缺陷是否具备合理可能性导致 内部控制不能及时防止、发现并纠正财务 报表错报；第二，发现缺陷单独或连同其 他缺陷可能导致的潜在错报金额的大小。</w:t>
            </w:r>
          </w:p>
        </w:tc>
        <w:tc>
          <w:tcPr>
            <w:tcW w:w="3052"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第一，企业财务报表已经或者很可能被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注册会计师出具否定意见或者拒绝表 </w:t>
            </w:r>
            <w:r>
              <w:rPr>
                <w:rFonts w:ascii="宋体" w:hAnsi="宋体" w:cs="宋体" w:eastAsia="宋体" w:hint="default"/>
                <w:spacing w:val="-4"/>
                <w:sz w:val="18"/>
                <w:szCs w:val="18"/>
              </w:rPr>
              <w:t>示意见；第二，企业审计委员会和内部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审计机构未能有效发挥监督职能；第 </w:t>
            </w:r>
            <w:r>
              <w:rPr>
                <w:rFonts w:ascii="宋体" w:hAnsi="宋体" w:cs="宋体" w:eastAsia="宋体" w:hint="default"/>
                <w:spacing w:val="-4"/>
                <w:sz w:val="18"/>
                <w:szCs w:val="18"/>
              </w:rPr>
              <w:t>三，企业董事、监事和高级管理人员已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经或者涉嫌舞弊，或者企业员工存在串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谋舞弊情形并给企业造成重要损失和 </w:t>
            </w:r>
            <w:r>
              <w:rPr>
                <w:rFonts w:ascii="宋体" w:hAnsi="宋体" w:cs="宋体" w:eastAsia="宋体" w:hint="default"/>
                <w:spacing w:val="-4"/>
                <w:sz w:val="18"/>
                <w:szCs w:val="18"/>
              </w:rPr>
              <w:t>不利影响；第四，企业在财务会计、资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产管理、资本运营、信息披露、产品质</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2" w:type="dxa"/>
            <w:vMerge/>
            <w:tcBorders>
              <w:left w:val="single" w:sz="4" w:space="0" w:color="000000"/>
              <w:right w:val="single" w:sz="4" w:space="0" w:color="000000"/>
            </w:tcBorders>
          </w:tcPr>
          <w:p>
            <w:pPr/>
          </w:p>
        </w:tc>
      </w:tr>
      <w:tr>
        <w:trPr>
          <w:trHeight w:val="1234"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3194"/>
        <w:gridCol w:w="3323"/>
        <w:gridCol w:w="3052"/>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tcPr>
          <w:p>
            <w:pP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both"/>
              <w:rPr>
                <w:rFonts w:ascii="宋体" w:hAnsi="宋体" w:cs="宋体" w:eastAsia="宋体" w:hint="default"/>
                <w:sz w:val="18"/>
                <w:szCs w:val="18"/>
              </w:rPr>
            </w:pPr>
            <w:r>
              <w:rPr>
                <w:rFonts w:ascii="宋体" w:hAnsi="宋体" w:cs="宋体" w:eastAsia="宋体" w:hint="default"/>
                <w:spacing w:val="-4"/>
                <w:sz w:val="18"/>
                <w:szCs w:val="18"/>
              </w:rPr>
              <w:t>量、安全生产、环境保护等方面发生重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大违法违规事件和责任事故，给企业造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成重要损失和不利影响，或者遭受重大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行政监管处罚。</w:t>
            </w:r>
          </w:p>
        </w:tc>
      </w:tr>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第一，利润总额潜在错报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以及资产总额、经营收入潜在错报、所有 者权益潜在错报分别</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资产总额、经营收 </w:t>
            </w:r>
            <w:r>
              <w:rPr>
                <w:rFonts w:ascii="宋体" w:hAnsi="宋体" w:cs="宋体" w:eastAsia="宋体" w:hint="default"/>
                <w:spacing w:val="-12"/>
                <w:sz w:val="18"/>
                <w:szCs w:val="18"/>
              </w:rPr>
              <w:t>入、所有者权益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应当被认定为重大缺陷</w:t>
            </w:r>
            <w:r>
              <w:rPr>
                <w:rFonts w:ascii="宋体" w:hAnsi="宋体" w:cs="宋体" w:eastAsia="宋体" w:hint="default"/>
                <w:spacing w:val="-88"/>
                <w:sz w:val="18"/>
                <w:szCs w:val="18"/>
              </w:rPr>
              <w:t> </w:t>
            </w:r>
            <w:r>
              <w:rPr>
                <w:rFonts w:ascii="宋体" w:hAnsi="宋体" w:cs="宋体" w:eastAsia="宋体" w:hint="default"/>
                <w:sz w:val="18"/>
                <w:szCs w:val="18"/>
              </w:rPr>
              <w:t>影响；第二，利润总额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利润总额潜在 错报＜利润总额</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资产 总额潜在错报＜资产总额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、经营收入 </w:t>
            </w:r>
            <w:r>
              <w:rPr>
                <w:rFonts w:ascii="Times New Roman" w:hAnsi="Times New Roman" w:cs="Times New Roman" w:eastAsia="Times New Roman" w:hint="default"/>
                <w:sz w:val="18"/>
                <w:szCs w:val="18"/>
              </w:rPr>
              <w:t>0.5%≤</w:t>
            </w:r>
            <w:r>
              <w:rPr>
                <w:rFonts w:ascii="宋体" w:hAnsi="宋体" w:cs="宋体" w:eastAsia="宋体" w:hint="default"/>
                <w:sz w:val="18"/>
                <w:szCs w:val="18"/>
              </w:rPr>
              <w:t>经营收入潜在错报＜经营收入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所有者权益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所有者权益潜在错报＜ 所有者权益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应当被认定为重要缺陷影 响；第三，利润总额潜在错报＜利润总额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、资产总额潜在错报＜资产总额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经营收入潜在错报＜经营收入</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、所有</w:t>
            </w:r>
            <w:r>
              <w:rPr>
                <w:rFonts w:ascii="宋体" w:hAnsi="宋体" w:cs="宋体" w:eastAsia="宋体" w:hint="default"/>
                <w:sz w:val="18"/>
                <w:szCs w:val="18"/>
              </w:rPr>
              <w:t> 者权益潜在错报＜所有者权益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应当 被认定为一般缺陷影响。</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00" w:lineRule="auto"/>
              <w:ind w:left="23" w:right="31"/>
              <w:jc w:val="left"/>
              <w:rPr>
                <w:rFonts w:ascii="宋体" w:hAnsi="宋体" w:cs="宋体" w:eastAsia="宋体" w:hint="default"/>
                <w:sz w:val="18"/>
                <w:szCs w:val="18"/>
              </w:rPr>
            </w:pPr>
            <w:r>
              <w:rPr>
                <w:rFonts w:ascii="宋体" w:hAnsi="宋体" w:cs="宋体" w:eastAsia="宋体" w:hint="default"/>
                <w:sz w:val="18"/>
                <w:szCs w:val="18"/>
              </w:rPr>
              <w:t>第一，给公司带来直接损失金额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应当认定为重大缺陷；第二， 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损失金额＜资产总额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应当认定为重要缺陷；第三，损失 金额＜资产总额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应当认定为一般 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1404" w:lineRule="exact"/>
              <w:ind w:right="-51"/>
              <w:jc w:val="left"/>
              <w:rPr>
                <w:rFonts w:ascii="宋体" w:hAnsi="宋体" w:cs="宋体" w:eastAsia="宋体" w:hint="default"/>
                <w:sz w:val="20"/>
                <w:szCs w:val="20"/>
              </w:rPr>
            </w:pPr>
            <w:r>
              <w:rPr>
                <w:rFonts w:ascii="宋体" w:hAnsi="宋体" w:cs="宋体" w:eastAsia="宋体" w:hint="default"/>
                <w:position w:val="-27"/>
                <w:sz w:val="20"/>
                <w:szCs w:val="20"/>
              </w:rPr>
              <w:pict>
                <v:group style="width:152.15pt;height:70.2pt;mso-position-horizontal-relative:char;mso-position-vertical-relative:line" coordorigin="0,0" coordsize="3043,1404">
                  <v:group style="position:absolute;left:0;top:0;width:3043;height:1404" coordorigin="0,0" coordsize="3043,1404">
                    <v:shape style="position:absolute;left:0;top:0;width:3043;height:1404" coordorigin="0,0" coordsize="3043,1404" path="m0,1404l3042,1404,3042,0,0,0,0,1404xe" filled="true" fillcolor="#ffffff" stroked="false">
                      <v:path arrowok="t"/>
                      <v:fill type="solid"/>
                    </v:shape>
                  </v:group>
                </v:group>
              </w:pict>
            </w:r>
            <w:r>
              <w:rPr>
                <w:rFonts w:ascii="宋体" w:hAnsi="宋体" w:cs="宋体" w:eastAsia="宋体" w:hint="default"/>
                <w:position w:val="-27"/>
                <w:sz w:val="20"/>
                <w:szCs w:val="20"/>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375.040009pt;margin-top:-162.964386pt;width:158.25pt;height:70.2pt;mso-position-horizontal-relative:page;mso-position-vertical-relative:paragraph;z-index:-1011256"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663"/>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83"/>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日在所有重大方面保持了有效的财务报 告内部控制。</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www.cninfo.com.cn,2019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日披露《内部控制鉴证报告》</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1"/>
      <w:bookmarkEnd w:id="151"/>
      <w:r>
        <w:rPr>
          <w:b w:val="0"/>
          <w:bCs w:val="0"/>
        </w:rPr>
      </w:r>
      <w:bookmarkStart w:name="_bookmark10"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郝东升、熊建辉</w:t>
            </w:r>
          </w:p>
        </w:tc>
      </w:tr>
    </w:tbl>
    <w:p>
      <w:pPr>
        <w:spacing w:before="51"/>
        <w:ind w:left="2786" w:right="376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5"/>
        <w:rPr>
          <w:rFonts w:ascii="宋体" w:hAnsi="宋体" w:cs="宋体" w:eastAsia="宋体" w:hint="default"/>
          <w:sz w:val="14"/>
          <w:szCs w:val="14"/>
        </w:rPr>
      </w:pPr>
    </w:p>
    <w:p>
      <w:pPr>
        <w:pStyle w:val="Heading2"/>
        <w:spacing w:line="240" w:lineRule="auto" w:before="26"/>
        <w:ind w:right="0"/>
        <w:jc w:val="left"/>
        <w:rPr>
          <w:b w:val="0"/>
          <w:bCs w:val="0"/>
        </w:rPr>
      </w:pPr>
      <w:r>
        <w:rPr/>
        <w:t>汉威科技集团股份有限公司全体股东：</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634" w:right="0"/>
        <w:jc w:val="left"/>
      </w:pPr>
      <w:r>
        <w:rPr/>
        <w:t>一、审计意见</w:t>
      </w:r>
    </w:p>
    <w:p>
      <w:pPr>
        <w:pStyle w:val="BodyText"/>
        <w:spacing w:line="400" w:lineRule="auto" w:before="189"/>
        <w:ind w:right="1130" w:firstLine="420"/>
        <w:jc w:val="both"/>
      </w:pPr>
      <w:r>
        <w:rPr/>
        <w:t>我们审计了汉威科技集团股份有限公司（以下简称“贵公司”）的财务报表，包括</w:t>
      </w:r>
      <w:r>
        <w:rPr>
          <w:spacing w:val="-26"/>
        </w:rPr>
        <w:t> </w:t>
      </w:r>
      <w:r>
        <w:rPr>
          <w:rFonts w:ascii="宋体" w:hAnsi="宋体" w:cs="宋体" w:eastAsia="宋体" w:hint="default"/>
        </w:rPr>
        <w:t>2018</w:t>
      </w:r>
      <w:r>
        <w:rPr>
          <w:rFonts w:ascii="宋体" w:hAnsi="宋体" w:cs="宋体" w:eastAsia="宋体" w:hint="default"/>
          <w:spacing w:val="-27"/>
        </w:rPr>
        <w:t> </w:t>
      </w:r>
      <w:r>
        <w:rPr/>
        <w:t>年</w:t>
      </w:r>
      <w:r>
        <w:rPr>
          <w:spacing w:val="-28"/>
        </w:rPr>
        <w:t> </w:t>
      </w:r>
      <w:r>
        <w:rPr>
          <w:rFonts w:ascii="宋体" w:hAnsi="宋体" w:cs="宋体" w:eastAsia="宋体" w:hint="default"/>
        </w:rPr>
        <w:t>12</w:t>
      </w:r>
      <w:r>
        <w:rPr>
          <w:rFonts w:ascii="宋体" w:hAnsi="宋体" w:cs="宋体" w:eastAsia="宋体" w:hint="default"/>
          <w:spacing w:val="-27"/>
        </w:rPr>
        <w:t> </w:t>
      </w:r>
      <w:r>
        <w:rPr/>
        <w:t>月</w:t>
      </w:r>
      <w:r>
        <w:rPr>
          <w:spacing w:val="-27"/>
        </w:rPr>
        <w:t> </w:t>
      </w:r>
      <w:r>
        <w:rPr>
          <w:rFonts w:ascii="宋体" w:hAnsi="宋体" w:cs="宋体" w:eastAsia="宋体" w:hint="default"/>
        </w:rPr>
        <w:t>31 </w:t>
      </w:r>
      <w:r>
        <w:rPr>
          <w:spacing w:val="-2"/>
        </w:rPr>
        <w:t>日的合并及母公司资产负债表，</w:t>
      </w:r>
      <w:r>
        <w:rPr>
          <w:rFonts w:ascii="宋体" w:hAnsi="宋体" w:cs="宋体" w:eastAsia="宋体" w:hint="default"/>
          <w:spacing w:val="-2"/>
        </w:rPr>
        <w:t>2018</w:t>
      </w:r>
      <w:r>
        <w:rPr>
          <w:rFonts w:ascii="宋体" w:hAnsi="宋体" w:cs="宋体" w:eastAsia="宋体" w:hint="default"/>
          <w:spacing w:val="-40"/>
        </w:rPr>
        <w:t> </w:t>
      </w:r>
      <w:r>
        <w:rPr>
          <w:spacing w:val="-2"/>
        </w:rPr>
        <w:t>年度的合并及母公司利润表、合并及母公司现金流量表、合并及母公</w:t>
      </w:r>
      <w:r>
        <w:rPr>
          <w:spacing w:val="-102"/>
        </w:rPr>
        <w:t> </w:t>
      </w:r>
      <w:r>
        <w:rPr>
          <w:spacing w:val="-102"/>
        </w:rPr>
      </w:r>
      <w:r>
        <w:rPr/>
        <w:t>司股东权益变动表，以及财务报表附注。</w:t>
      </w:r>
    </w:p>
    <w:p>
      <w:pPr>
        <w:pStyle w:val="BodyText"/>
        <w:spacing w:line="240" w:lineRule="auto" w:before="44"/>
        <w:ind w:left="574" w:right="0"/>
        <w:jc w:val="left"/>
        <w:rPr>
          <w:rFonts w:ascii="宋体" w:hAnsi="宋体" w:cs="宋体" w:eastAsia="宋体" w:hint="default"/>
        </w:rPr>
      </w:pPr>
      <w:r>
        <w:rPr/>
        <w:t>我们认为，后附的财务报表在所有重大方面按照企业会计准则的规定编制，公允反映了贵公司</w:t>
      </w:r>
      <w:r>
        <w:rPr>
          <w:spacing w:val="77"/>
        </w:rPr>
        <w:t> </w:t>
      </w:r>
      <w:r>
        <w:rPr>
          <w:rFonts w:ascii="宋体" w:hAnsi="宋体" w:cs="宋体" w:eastAsia="宋体" w:hint="default"/>
        </w:rPr>
        <w:t>2018</w:t>
      </w:r>
    </w:p>
    <w:p>
      <w:pPr>
        <w:spacing w:line="240" w:lineRule="auto" w:before="2"/>
        <w:rPr>
          <w:rFonts w:ascii="宋体" w:hAnsi="宋体" w:cs="宋体" w:eastAsia="宋体" w:hint="default"/>
          <w:sz w:val="14"/>
          <w:szCs w:val="14"/>
        </w:rPr>
      </w:pPr>
    </w:p>
    <w:p>
      <w:pPr>
        <w:pStyle w:val="BodyText"/>
        <w:spacing w:line="240" w:lineRule="auto" w:before="0"/>
        <w:ind w:right="0"/>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2018</w:t>
      </w:r>
      <w:r>
        <w:rPr>
          <w:rFonts w:ascii="宋体" w:hAnsi="宋体" w:cs="宋体" w:eastAsia="宋体" w:hint="default"/>
          <w:spacing w:val="-53"/>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right="0"/>
        <w:jc w:val="left"/>
      </w:pPr>
      <w:r>
        <w:rPr/>
        <w:t>二、形成审计意见的基础</w:t>
      </w:r>
    </w:p>
    <w:p>
      <w:pPr>
        <w:pStyle w:val="BodyText"/>
        <w:spacing w:line="400" w:lineRule="auto" w:before="189"/>
        <w:ind w:right="1131"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的责任”部分进一步阐述了我们在这些准则下的责任。按照中国注册会计师职业道德守则，我们独立于贵</w:t>
      </w:r>
      <w:r>
        <w:rPr>
          <w:spacing w:val="-83"/>
        </w:rPr>
        <w:t> </w:t>
      </w:r>
      <w:r>
        <w:rPr>
          <w:spacing w:val="-83"/>
        </w:rPr>
      </w:r>
      <w:r>
        <w:rPr/>
        <w:t>公司，并履行了职业道德方面的其他责任。</w:t>
      </w:r>
    </w:p>
    <w:p>
      <w:pPr>
        <w:pStyle w:val="BodyText"/>
        <w:spacing w:line="240" w:lineRule="auto" w:before="44"/>
        <w:ind w:left="574"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right="0"/>
        <w:jc w:val="left"/>
      </w:pPr>
      <w:r>
        <w:rPr/>
        <w:t>三、关键审计事项</w:t>
      </w:r>
    </w:p>
    <w:p>
      <w:pPr>
        <w:pStyle w:val="BodyText"/>
        <w:spacing w:line="403" w:lineRule="auto" w:before="189"/>
        <w:ind w:right="1131" w:firstLine="42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BodyText"/>
        <w:spacing w:line="400" w:lineRule="auto" w:before="42"/>
        <w:ind w:left="574" w:right="6972"/>
        <w:jc w:val="left"/>
      </w:pPr>
      <w:r>
        <w:rPr/>
        <w:t>（一）采用完工百分比法确认的收入 </w:t>
      </w:r>
      <w:r>
        <w:rPr>
          <w:rFonts w:ascii="宋体" w:hAnsi="宋体" w:cs="宋体" w:eastAsia="宋体" w:hint="default"/>
        </w:rPr>
        <w:t>1</w:t>
      </w:r>
      <w:r>
        <w:rPr/>
        <w:t>、事项描述</w:t>
      </w:r>
    </w:p>
    <w:p>
      <w:pPr>
        <w:spacing w:after="0" w:line="4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00" w:lineRule="auto" w:before="35"/>
        <w:ind w:right="1014" w:firstLine="420"/>
        <w:jc w:val="left"/>
      </w:pPr>
      <w:r>
        <w:rPr/>
        <w:t>贵公司本年度采用完工百分比法确认收入占实现营业收入总额的</w:t>
      </w:r>
      <w:r>
        <w:rPr>
          <w:spacing w:val="-37"/>
        </w:rPr>
        <w:t> </w:t>
      </w:r>
      <w:r>
        <w:rPr>
          <w:rFonts w:ascii="宋体" w:hAnsi="宋体" w:cs="宋体" w:eastAsia="宋体" w:hint="default"/>
          <w:spacing w:val="-10"/>
        </w:rPr>
        <w:t>37.28%</w:t>
      </w:r>
      <w:r>
        <w:rPr>
          <w:spacing w:val="-10"/>
        </w:rPr>
        <w:t>。如财务报表附注三（二十三）</w:t>
      </w:r>
      <w:r>
        <w:rPr/>
        <w:t> 所述，贵公司对于所提供的建造合同及其他工程服务，在合同结果能够可靠估计时，采用完工百分比法确 认收入，完工进度根据实际发生的合同成本占合同预计总成本的比例确定。管理层需要对建造合同的预计 总收入和预计总成本作出合理估计以确定完工程度，并于合同执行过程中持续评估和修订，涉及管理层的 重大会计估计，我们将采用完工百分比法确认收入列为关键审计事项。</w:t>
      </w:r>
    </w:p>
    <w:p>
      <w:pPr>
        <w:pStyle w:val="BodyText"/>
        <w:spacing w:line="240" w:lineRule="auto" w:before="45"/>
        <w:ind w:left="574" w:right="0"/>
        <w:jc w:val="left"/>
      </w:pPr>
      <w:r>
        <w:rPr>
          <w:rFonts w:ascii="宋体" w:hAnsi="宋体" w:cs="宋体" w:eastAsia="宋体" w:hint="default"/>
        </w:rPr>
        <w:t>2</w:t>
      </w:r>
      <w:r>
        <w:rPr/>
        <w:t>、审计应对</w:t>
      </w:r>
    </w:p>
    <w:p>
      <w:pPr>
        <w:spacing w:line="240" w:lineRule="auto" w:before="2"/>
        <w:rPr>
          <w:rFonts w:ascii="宋体" w:hAnsi="宋体" w:cs="宋体" w:eastAsia="宋体" w:hint="default"/>
          <w:sz w:val="14"/>
          <w:szCs w:val="14"/>
        </w:rPr>
      </w:pPr>
    </w:p>
    <w:p>
      <w:pPr>
        <w:pStyle w:val="BodyText"/>
        <w:spacing w:line="400" w:lineRule="auto" w:before="0"/>
        <w:ind w:right="0" w:firstLine="420"/>
        <w:jc w:val="left"/>
      </w:pPr>
      <w:r>
        <w:rPr/>
        <w:t>（</w:t>
      </w:r>
      <w:r>
        <w:rPr>
          <w:rFonts w:ascii="宋体" w:hAnsi="宋体" w:cs="宋体" w:eastAsia="宋体" w:hint="default"/>
        </w:rPr>
        <w:t>1</w:t>
      </w:r>
      <w:r>
        <w:rPr/>
        <w:t>）了解并测试建造合同核算、预计总收入、预计总成本的确定及其变动的政策、程序、方法和相 关的内部控制；</w:t>
      </w:r>
    </w:p>
    <w:p>
      <w:pPr>
        <w:pStyle w:val="BodyText"/>
        <w:spacing w:line="400" w:lineRule="auto" w:before="45"/>
        <w:ind w:right="0" w:firstLine="420"/>
        <w:jc w:val="left"/>
      </w:pPr>
      <w:r>
        <w:rPr/>
        <w:t>（</w:t>
      </w:r>
      <w:r>
        <w:rPr>
          <w:rFonts w:ascii="宋体" w:hAnsi="宋体" w:cs="宋体" w:eastAsia="宋体" w:hint="default"/>
        </w:rPr>
        <w:t>2</w:t>
      </w:r>
      <w:r>
        <w:rPr/>
        <w:t>）根据上年度及本年度财务报表中建造合同收入和成本的变化，识别和了解差异产生的原因，判 断会计估计中是否存在管理层偏颇的迹象；</w:t>
      </w:r>
    </w:p>
    <w:p>
      <w:pPr>
        <w:pStyle w:val="BodyText"/>
        <w:spacing w:line="240" w:lineRule="auto" w:before="44"/>
        <w:ind w:left="574" w:right="0"/>
        <w:jc w:val="left"/>
      </w:pPr>
      <w:r>
        <w:rPr/>
        <w:t>（</w:t>
      </w:r>
      <w:r>
        <w:rPr>
          <w:rFonts w:ascii="宋体" w:hAnsi="宋体" w:cs="宋体" w:eastAsia="宋体" w:hint="default"/>
        </w:rPr>
        <w:t>3</w:t>
      </w:r>
      <w:r>
        <w:rPr/>
        <w:t>）取得在建项目合同清单，检查相应的建造合同、结算收款等具体合同执行情况；</w:t>
      </w:r>
    </w:p>
    <w:p>
      <w:pPr>
        <w:spacing w:line="240" w:lineRule="auto" w:before="3"/>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4</w:t>
      </w:r>
      <w:r>
        <w:rPr/>
        <w:t>）取得在建项目的预计总成本明细表，并复核其合理性；</w:t>
      </w:r>
    </w:p>
    <w:p>
      <w:pPr>
        <w:spacing w:line="240" w:lineRule="auto" w:before="2"/>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5</w:t>
      </w:r>
      <w:r>
        <w:rPr/>
        <w:t>）通过直接获取客户工程进度资料和函证等方式，对管理层确定的完工进度进行验证；</w:t>
      </w:r>
    </w:p>
    <w:p>
      <w:pPr>
        <w:spacing w:line="240" w:lineRule="auto" w:before="2"/>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6</w:t>
      </w:r>
      <w:r>
        <w:rPr/>
        <w:t>）选取重要客户及项目，实施了客户访谈及现场勘查程序。</w:t>
      </w:r>
    </w:p>
    <w:p>
      <w:pPr>
        <w:spacing w:line="240" w:lineRule="auto" w:before="3"/>
        <w:rPr>
          <w:rFonts w:ascii="宋体" w:hAnsi="宋体" w:cs="宋体" w:eastAsia="宋体" w:hint="default"/>
          <w:sz w:val="14"/>
          <w:szCs w:val="14"/>
        </w:rPr>
      </w:pPr>
    </w:p>
    <w:p>
      <w:pPr>
        <w:pStyle w:val="BodyText"/>
        <w:spacing w:line="400" w:lineRule="auto" w:before="0"/>
        <w:ind w:left="574" w:right="8862"/>
        <w:jc w:val="left"/>
      </w:pPr>
      <w:r>
        <w:rPr/>
        <w:t>（二）商誉减值 </w:t>
      </w:r>
      <w:r>
        <w:rPr>
          <w:rFonts w:ascii="宋体" w:hAnsi="宋体" w:cs="宋体" w:eastAsia="宋体" w:hint="default"/>
        </w:rPr>
        <w:t>1</w:t>
      </w:r>
      <w:r>
        <w:rPr/>
        <w:t>、事项描述</w:t>
      </w:r>
    </w:p>
    <w:p>
      <w:pPr>
        <w:pStyle w:val="BodyText"/>
        <w:spacing w:line="400" w:lineRule="auto" w:before="44"/>
        <w:ind w:right="1130" w:firstLine="420"/>
        <w:jc w:val="both"/>
      </w:pPr>
      <w:r>
        <w:rPr>
          <w:spacing w:val="-1"/>
        </w:rPr>
        <w:t>如附注三（十九）及附注五（十五）所述，贵公司管理层对因企业合并所形成的商誉，无论是否存在</w:t>
      </w:r>
      <w:r>
        <w:rPr/>
        <w:t> </w:t>
      </w:r>
      <w:r>
        <w:rPr>
          <w:spacing w:val="-1"/>
        </w:rPr>
        <w:t>减值迹象，需每年进行减值测试。贵公司管理层通过比较相关资产组的可收回金额与资产组及商誉的账面</w:t>
      </w:r>
      <w:r>
        <w:rPr>
          <w:spacing w:val="-81"/>
        </w:rPr>
        <w:t> </w:t>
      </w:r>
      <w:r>
        <w:rPr>
          <w:spacing w:val="-81"/>
        </w:rPr>
      </w:r>
      <w:r>
        <w:rPr>
          <w:spacing w:val="-1"/>
        </w:rPr>
        <w:t>价值，对商誉进行减值测试。在确定资产组未来现金流量现值的预测过程中，贵公司管理层采用了包括折</w:t>
      </w:r>
      <w:r>
        <w:rPr>
          <w:spacing w:val="-81"/>
        </w:rPr>
        <w:t> </w:t>
      </w:r>
      <w:r>
        <w:rPr>
          <w:spacing w:val="-81"/>
        </w:rPr>
      </w:r>
      <w:r>
        <w:rPr>
          <w:spacing w:val="-1"/>
        </w:rPr>
        <w:t>现的现金流量预测在内的估值方法，如确定预算收入、生产成本、经营费用、增长率以及采用的折现率等</w:t>
      </w:r>
      <w:r>
        <w:rPr>
          <w:spacing w:val="-84"/>
        </w:rPr>
        <w:t> </w:t>
      </w:r>
      <w:r>
        <w:rPr>
          <w:spacing w:val="-84"/>
        </w:rPr>
      </w:r>
      <w:r>
        <w:rPr/>
        <w:t>关键参数的会计估计。截至</w:t>
      </w:r>
      <w:r>
        <w:rPr>
          <w:spacing w:val="-44"/>
        </w:rPr>
        <w:t> </w:t>
      </w:r>
      <w:r>
        <w:rPr>
          <w:rFonts w:ascii="宋体" w:hAnsi="宋体" w:cs="宋体" w:eastAsia="宋体" w:hint="default"/>
        </w:rPr>
        <w:t>2018</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t>日，因企业合并所形成的商誉为</w:t>
      </w:r>
      <w:r>
        <w:rPr>
          <w:spacing w:val="-44"/>
        </w:rPr>
        <w:t> </w:t>
      </w:r>
      <w:r>
        <w:rPr>
          <w:rFonts w:ascii="宋体" w:hAnsi="宋体" w:cs="宋体" w:eastAsia="宋体" w:hint="default"/>
        </w:rPr>
        <w:t>41,349.59</w:t>
      </w:r>
      <w:r>
        <w:rPr>
          <w:rFonts w:ascii="宋体" w:hAnsi="宋体" w:cs="宋体" w:eastAsia="宋体" w:hint="default"/>
          <w:spacing w:val="-43"/>
        </w:rPr>
        <w:t> </w:t>
      </w:r>
      <w:r>
        <w:rPr/>
        <w:t>万元，商誉减值</w:t>
      </w:r>
    </w:p>
    <w:p>
      <w:pPr>
        <w:pStyle w:val="BodyText"/>
        <w:spacing w:line="400" w:lineRule="auto" w:before="44"/>
        <w:ind w:right="1119"/>
        <w:jc w:val="left"/>
      </w:pPr>
      <w:r>
        <w:rPr/>
        <w:t>准备为 </w:t>
      </w:r>
      <w:r>
        <w:rPr>
          <w:rFonts w:ascii="宋体" w:hAnsi="宋体" w:cs="宋体" w:eastAsia="宋体" w:hint="default"/>
        </w:rPr>
        <w:t>9,659.35</w:t>
      </w:r>
      <w:r>
        <w:rPr>
          <w:rFonts w:ascii="宋体" w:hAnsi="宋体" w:cs="宋体" w:eastAsia="宋体" w:hint="default"/>
          <w:spacing w:val="-27"/>
        </w:rPr>
        <w:t> </w:t>
      </w:r>
      <w:r>
        <w:rPr/>
        <w:t>万元。鉴于商誉对财务报表整体具有重要性，且商誉减值测试涉及到管理层重大判断和 估计，因此，我们将商誉减值识别为关键审计事项。</w:t>
      </w:r>
    </w:p>
    <w:p>
      <w:pPr>
        <w:pStyle w:val="BodyText"/>
        <w:spacing w:line="400" w:lineRule="auto" w:before="45"/>
        <w:ind w:left="574" w:right="5502"/>
        <w:jc w:val="left"/>
      </w:pPr>
      <w:r>
        <w:rPr>
          <w:rFonts w:ascii="宋体" w:hAnsi="宋体" w:cs="宋体" w:eastAsia="宋体" w:hint="default"/>
        </w:rPr>
        <w:t>2</w:t>
      </w:r>
      <w:r>
        <w:rPr/>
        <w:t>、审计应对 我们对商誉的减值测试与计量执行的审计程序包括：</w:t>
      </w:r>
    </w:p>
    <w:p>
      <w:pPr>
        <w:pStyle w:val="BodyText"/>
        <w:spacing w:line="403" w:lineRule="auto" w:before="44"/>
        <w:ind w:right="1115" w:firstLine="420"/>
        <w:jc w:val="left"/>
      </w:pPr>
      <w:r>
        <w:rPr/>
        <w:t>（</w:t>
      </w:r>
      <w:r>
        <w:rPr>
          <w:rFonts w:ascii="宋体" w:hAnsi="宋体" w:cs="宋体" w:eastAsia="宋体" w:hint="default"/>
        </w:rPr>
        <w:t>1</w:t>
      </w:r>
      <w:r>
        <w:rPr/>
        <w:t>）了解贵公司商誉减值测试的控制程序，包括了解贵公司划分的资产组及贵公司对资产组价值的 判定；</w:t>
      </w:r>
    </w:p>
    <w:p>
      <w:pPr>
        <w:pStyle w:val="BodyText"/>
        <w:spacing w:line="240" w:lineRule="auto" w:before="42"/>
        <w:ind w:left="574" w:right="0"/>
        <w:jc w:val="left"/>
      </w:pPr>
      <w:r>
        <w:rPr/>
        <w:t>（</w:t>
      </w:r>
      <w:r>
        <w:rPr>
          <w:rFonts w:ascii="宋体" w:hAnsi="宋体" w:cs="宋体" w:eastAsia="宋体" w:hint="default"/>
        </w:rPr>
        <w:t>2</w:t>
      </w:r>
      <w:r>
        <w:rPr/>
        <w:t>）了解宏观经济及各资产组或资产组组合行业发展趋势、历史业绩情况和发展规划；</w:t>
      </w:r>
    </w:p>
    <w:p>
      <w:pPr>
        <w:spacing w:line="240" w:lineRule="auto" w:before="2"/>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3</w:t>
      </w:r>
      <w:r>
        <w:rPr/>
        <w:t>）评价管理层对商誉所在资产组或资产组组合的认定；</w:t>
      </w:r>
    </w:p>
    <w:p>
      <w:pPr>
        <w:spacing w:line="240" w:lineRule="auto" w:before="3"/>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4</w:t>
      </w:r>
      <w:r>
        <w:rPr/>
        <w:t>）评估商誉减值测试的估值方法、模型、关键假设的恰当性；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00" w:lineRule="auto" w:before="35"/>
        <w:ind w:right="0" w:firstLine="420"/>
        <w:jc w:val="left"/>
      </w:pPr>
      <w:r>
        <w:rPr/>
        <w:t>（</w:t>
      </w:r>
      <w:r>
        <w:rPr>
          <w:rFonts w:ascii="宋体" w:hAnsi="宋体" w:cs="宋体" w:eastAsia="宋体" w:hint="default"/>
        </w:rPr>
        <w:t>5</w:t>
      </w:r>
      <w:r>
        <w:rPr/>
        <w:t>）评估商誉减值测试引用参数的合理性，包括预计未来现金流量现值时的预测期、稳定期、预测 期增长率、稳定期增长率、利润率、折现率等及其确定依据；</w:t>
      </w:r>
    </w:p>
    <w:p>
      <w:pPr>
        <w:pStyle w:val="BodyText"/>
        <w:spacing w:line="240" w:lineRule="auto" w:before="45"/>
        <w:ind w:left="574" w:right="0"/>
        <w:jc w:val="left"/>
      </w:pPr>
      <w:r>
        <w:rPr/>
        <w:t>（</w:t>
      </w:r>
      <w:r>
        <w:rPr>
          <w:rFonts w:ascii="宋体" w:hAnsi="宋体" w:cs="宋体" w:eastAsia="宋体" w:hint="default"/>
        </w:rPr>
        <w:t>6</w:t>
      </w:r>
      <w:r>
        <w:rPr/>
        <w:t>）复核商誉减值测试计算过程；</w:t>
      </w:r>
    </w:p>
    <w:p>
      <w:pPr>
        <w:spacing w:line="240" w:lineRule="auto" w:before="2"/>
        <w:rPr>
          <w:rFonts w:ascii="宋体" w:hAnsi="宋体" w:cs="宋体" w:eastAsia="宋体" w:hint="default"/>
          <w:sz w:val="14"/>
          <w:szCs w:val="14"/>
        </w:rPr>
      </w:pPr>
    </w:p>
    <w:p>
      <w:pPr>
        <w:pStyle w:val="BodyText"/>
        <w:spacing w:line="240" w:lineRule="auto" w:before="0"/>
        <w:ind w:left="574" w:right="0"/>
        <w:jc w:val="left"/>
      </w:pPr>
      <w:r>
        <w:rPr/>
        <w:t>（</w:t>
      </w:r>
      <w:r>
        <w:rPr>
          <w:rFonts w:ascii="宋体" w:hAnsi="宋体" w:cs="宋体" w:eastAsia="宋体" w:hint="default"/>
        </w:rPr>
        <w:t>7</w:t>
      </w:r>
      <w:r>
        <w:rPr/>
        <w:t>）评价商誉减值测试的过程和方法相关披露是否充分。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right="0"/>
        <w:jc w:val="left"/>
      </w:pPr>
      <w:r>
        <w:rPr/>
        <w:t>四、其他信息</w:t>
      </w:r>
    </w:p>
    <w:p>
      <w:pPr>
        <w:pStyle w:val="BodyText"/>
        <w:spacing w:line="400" w:lineRule="auto" w:before="189"/>
        <w:ind w:right="1115" w:firstLine="420"/>
        <w:jc w:val="left"/>
      </w:pPr>
      <w:r>
        <w:rPr/>
        <w:t>贵公司管理层（以下简称管理层）对其他信息负责。其他信息包括贵公司 </w:t>
      </w:r>
      <w:r>
        <w:rPr>
          <w:rFonts w:ascii="宋体" w:hAnsi="宋体" w:cs="宋体" w:eastAsia="宋体" w:hint="default"/>
        </w:rPr>
        <w:t>2018</w:t>
      </w:r>
      <w:r>
        <w:rPr>
          <w:rFonts w:ascii="宋体" w:hAnsi="宋体" w:cs="宋体" w:eastAsia="宋体" w:hint="default"/>
          <w:spacing w:val="-23"/>
        </w:rPr>
        <w:t> </w:t>
      </w:r>
      <w:r>
        <w:rPr/>
        <w:t>年年度报告中涵盖的 信息，但不包括财务报表和我们的审计报告。</w:t>
      </w:r>
    </w:p>
    <w:p>
      <w:pPr>
        <w:pStyle w:val="BodyText"/>
        <w:spacing w:line="400" w:lineRule="auto" w:before="45"/>
        <w:ind w:left="574" w:right="1092"/>
        <w:jc w:val="left"/>
      </w:pPr>
      <w:r>
        <w:rPr/>
        <w:t>我们对财务报表发表的审计意见并不涵盖其他信息，我们也不对其他信息发表任何形式的鉴证结论。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403" w:lineRule="auto" w:before="44"/>
        <w:ind w:left="574" w:right="0"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before="42"/>
        <w:ind w:right="0"/>
        <w:jc w:val="left"/>
      </w:pPr>
      <w:r>
        <w:rPr/>
        <w:t>们无任何事项需要报告。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right="0"/>
        <w:jc w:val="left"/>
      </w:pPr>
      <w:r>
        <w:rPr/>
        <w:t>五、管理层和治理层对财务报表的责任</w:t>
      </w:r>
    </w:p>
    <w:p>
      <w:pPr>
        <w:pStyle w:val="BodyText"/>
        <w:spacing w:line="400" w:lineRule="auto" w:before="189"/>
        <w:ind w:right="0"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400" w:lineRule="auto" w:before="45"/>
        <w:ind w:right="1017" w:firstLine="420"/>
        <w:jc w:val="left"/>
      </w:pPr>
      <w:r>
        <w:rPr>
          <w:spacing w:val="-3"/>
        </w:rPr>
        <w:t>在编制财务报表时，管理层负责评估贵公司的持续经营能力，披露与持续经营相关的事项（如适用），</w:t>
      </w:r>
      <w:r>
        <w:rPr/>
        <w:t> 并运用持续经营假设，除非管理层计划清算贵公司、终止运营或别无其他现实的选择。</w:t>
      </w:r>
    </w:p>
    <w:p>
      <w:pPr>
        <w:pStyle w:val="BodyText"/>
        <w:spacing w:line="240" w:lineRule="auto" w:before="44"/>
        <w:ind w:left="574" w:right="0"/>
        <w:jc w:val="left"/>
      </w:pPr>
      <w:r>
        <w:rPr/>
        <w:t>治理层负责监督贵公司的财务报告过程。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left="634" w:right="0"/>
        <w:jc w:val="left"/>
      </w:pPr>
      <w:r>
        <w:rPr/>
        <w:t>六、注册会计师对财务报表审计的责任</w:t>
      </w:r>
    </w:p>
    <w:p>
      <w:pPr>
        <w:pStyle w:val="BodyText"/>
        <w:spacing w:line="400" w:lineRule="auto" w:before="189"/>
        <w:ind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0" w:lineRule="auto" w:before="45"/>
        <w:ind w:right="1115" w:firstLine="420"/>
        <w:jc w:val="left"/>
      </w:pPr>
      <w:r>
        <w:rPr>
          <w:spacing w:val="-1"/>
        </w:rPr>
        <w:t>在按照审计准则执行审计工作的过程中，我们运用职业判断，并保持职业怀疑。同时，我们也执行以</w:t>
      </w:r>
      <w:r>
        <w:rPr/>
        <w:t> 下工作：</w:t>
      </w:r>
    </w:p>
    <w:p>
      <w:pPr>
        <w:pStyle w:val="BodyText"/>
        <w:spacing w:line="403" w:lineRule="auto" w:before="44"/>
        <w:ind w:right="1023"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p>
    <w:p>
      <w:pPr>
        <w:spacing w:after="0" w:line="40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00" w:lineRule="auto" w:before="35"/>
        <w:ind w:right="0"/>
        <w:jc w:val="left"/>
      </w:pPr>
      <w:r>
        <w:rPr>
          <w:spacing w:val="-1"/>
        </w:rPr>
        <w:t>虚假陈述或凌驾于内部控制之上，未能发现由于舞弊导致的重大错报的风险高于未能发现由于错误导致的</w:t>
      </w:r>
      <w:r>
        <w:rPr>
          <w:spacing w:val="-81"/>
        </w:rPr>
        <w:t> </w:t>
      </w:r>
      <w:r>
        <w:rPr>
          <w:spacing w:val="-81"/>
        </w:rPr>
      </w:r>
      <w:r>
        <w:rPr/>
        <w:t>重大错报的风险。</w:t>
      </w:r>
    </w:p>
    <w:p>
      <w:pPr>
        <w:pStyle w:val="BodyText"/>
        <w:spacing w:line="240" w:lineRule="auto" w:before="45"/>
        <w:ind w:left="574" w:right="0"/>
        <w:jc w:val="left"/>
      </w:pPr>
      <w:r>
        <w:rPr/>
        <w:t>（二）了解与审计相关的内部控制，以设计恰当的审计程序。</w:t>
      </w:r>
    </w:p>
    <w:p>
      <w:pPr>
        <w:spacing w:line="240" w:lineRule="auto" w:before="2"/>
        <w:rPr>
          <w:rFonts w:ascii="宋体" w:hAnsi="宋体" w:cs="宋体" w:eastAsia="宋体" w:hint="default"/>
          <w:sz w:val="14"/>
          <w:szCs w:val="14"/>
        </w:rPr>
      </w:pPr>
    </w:p>
    <w:p>
      <w:pPr>
        <w:pStyle w:val="BodyText"/>
        <w:spacing w:line="240" w:lineRule="auto" w:before="0"/>
        <w:ind w:left="574" w:right="0"/>
        <w:jc w:val="left"/>
      </w:pPr>
      <w:r>
        <w:rPr/>
        <w:t>（三）评价管理层选用会计政策的恰当性和作出会计估计及相关披露的合理性。</w:t>
      </w:r>
    </w:p>
    <w:p>
      <w:pPr>
        <w:pStyle w:val="BodyText"/>
        <w:spacing w:line="408" w:lineRule="auto" w:before="94"/>
        <w:ind w:right="1131" w:firstLine="420"/>
        <w:jc w:val="both"/>
      </w:pPr>
      <w:r>
        <w:rPr>
          <w:spacing w:val="-1"/>
        </w:rPr>
        <w:t>（四）对管理层使用持续经营假设的恰当性得出结论。同时，根据获取的审计证据，就可能导致对贵</w:t>
      </w:r>
      <w:r>
        <w:rPr/>
        <w:t> </w:t>
      </w:r>
      <w:r>
        <w:rPr>
          <w:spacing w:val="-1"/>
        </w:rPr>
        <w:t>公司持续经营能力产生重大疑虑的事项或情况是否存在重大不确定性得出结论。如果我们得出结论认为存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在重大不确定性，审计准则要求我们在审计报告中提请报表使用者注意财务报表中的相关披露；如果披露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或情况可能导致贵公司不能持续经营。</w:t>
      </w:r>
    </w:p>
    <w:p>
      <w:pPr>
        <w:pStyle w:val="BodyText"/>
        <w:spacing w:line="408" w:lineRule="auto"/>
        <w:ind w:right="1142" w:firstLine="420"/>
        <w:jc w:val="both"/>
      </w:pPr>
      <w:r>
        <w:rPr>
          <w:spacing w:val="-1"/>
        </w:rPr>
        <w:t>（五）评价财务报表的总体列报、结构和内容（包括披露），并评价财务报表是否公允反映相关交易</w:t>
      </w:r>
      <w:r>
        <w:rPr/>
        <w:t> 和事项。</w:t>
      </w:r>
    </w:p>
    <w:p>
      <w:pPr>
        <w:pStyle w:val="BodyText"/>
        <w:spacing w:line="408" w:lineRule="auto"/>
        <w:ind w:right="1131" w:firstLine="420"/>
        <w:jc w:val="both"/>
      </w:pPr>
      <w:r>
        <w:rPr>
          <w:spacing w:val="-1"/>
        </w:rPr>
        <w:t>（六）就贵公司中实体或业务活动的财务信息获取充分、恰当的审计证据，以对财务报表发表审计意</w:t>
      </w:r>
      <w:r>
        <w:rPr/>
        <w:t> 见。我们负责指导、监督和执行集团审计，并对审计意见承担全部责任。</w:t>
      </w:r>
    </w:p>
    <w:p>
      <w:pPr>
        <w:pStyle w:val="BodyText"/>
        <w:spacing w:line="408" w:lineRule="auto"/>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408" w:lineRule="auto"/>
        <w:ind w:right="1132" w:firstLine="420"/>
        <w:jc w:val="both"/>
      </w:pPr>
      <w:r>
        <w:rPr>
          <w:spacing w:val="-1"/>
        </w:rPr>
        <w:t>我们还就遵守与独立性相关的职业道德要求向治理层提供声明，并与治理层沟通可能被合理认为影响</w:t>
      </w:r>
      <w:r>
        <w:rPr/>
        <w:t> </w:t>
      </w:r>
      <w:r>
        <w:rPr>
          <w:spacing w:val="-4"/>
        </w:rPr>
        <w:t>我们独立性的所有关系和其他事项，以及相关的防范措施（如适用）。</w:t>
      </w:r>
    </w:p>
    <w:p>
      <w:pPr>
        <w:pStyle w:val="BodyText"/>
        <w:spacing w:line="408" w:lineRule="auto"/>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5093" w:val="left" w:leader="none"/>
        </w:tabs>
        <w:spacing w:line="240" w:lineRule="auto" w:before="0"/>
        <w:ind w:left="577" w:right="0"/>
        <w:jc w:val="left"/>
      </w:pPr>
      <w:r>
        <w:rPr/>
        <w:t>大信会计师事务所（特殊普通合伙）</w:t>
        <w:tab/>
        <w:t>中国注册会计师：熊建辉</w:t>
      </w:r>
    </w:p>
    <w:p>
      <w:pPr>
        <w:spacing w:line="240" w:lineRule="auto" w:before="2"/>
        <w:rPr>
          <w:rFonts w:ascii="宋体" w:hAnsi="宋体" w:cs="宋体" w:eastAsia="宋体" w:hint="default"/>
          <w:sz w:val="14"/>
          <w:szCs w:val="14"/>
        </w:rPr>
      </w:pPr>
    </w:p>
    <w:p>
      <w:pPr>
        <w:pStyle w:val="BodyText"/>
        <w:spacing w:line="240" w:lineRule="auto" w:before="0"/>
        <w:ind w:left="2786" w:right="2068"/>
        <w:jc w:val="center"/>
      </w:pPr>
      <w:r>
        <w:rPr/>
        <w:t>（项目合伙人）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2149" w:val="left" w:leader="none"/>
          <w:tab w:pos="2568" w:val="left" w:leader="none"/>
          <w:tab w:pos="5089" w:val="left" w:leader="none"/>
        </w:tabs>
        <w:spacing w:line="240" w:lineRule="auto" w:before="0"/>
        <w:ind w:left="1414" w:right="0"/>
        <w:jc w:val="left"/>
      </w:pPr>
      <w:r>
        <w:rPr/>
        <w:t>中 国</w:t>
        <w:tab/>
        <w:t>·</w:t>
        <w:tab/>
        <w:t>北 京</w:t>
        <w:tab/>
        <w:t>中国注册会计师：郝东升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0"/>
        <w:ind w:left="0" w:right="1130"/>
        <w:jc w:val="right"/>
      </w:pPr>
      <w:r>
        <w:rPr/>
        <w:t>二○一九年三月二十七日</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编制单位：汉威科技集团股份有限公司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406"/>
        <w:gridCol w:w="2562"/>
        <w:gridCol w:w="2590"/>
      </w:tblGrid>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1,452,520,751.04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780,426,422.09</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493,694,433.77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537,131,462.74</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23,550,664.69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39,704,670.68</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470,143,769.08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497,426,792.06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150,642,792.74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51,584,407.76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60,781,183.38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60,384,415.96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407,907,845.25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343,106,145.18</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2,997,176.44</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84,513,721.65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178,503,952.48</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2,650,060,727.83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1,954,133,982.65</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38,100,001.00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36,600,001.00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4406"/>
        <w:gridCol w:w="2562"/>
        <w:gridCol w:w="2590"/>
      </w:tblGrid>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1,099,296.31</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95,841,901.94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84,828,813.09</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184,700,496.44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181,443,650.37</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857,714,936.00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799,922,706.75</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225,049,799.70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219,844,574.70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545,089,314.58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464,398,400.16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316,902,401.39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372,451,656.29</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40,597,482.27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40,617,159.62</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107,545,600.52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118,125,475.07</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6,829,708.52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5,507,078.40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2,418,371,642.36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2,324,838,811.76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5,068,432,370.19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4,278,972,794.41</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195,650,000.00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229,500,000.00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384,124,466.00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406,397,950.77</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439,946,607.99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243,953,045.77</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45,944,231.97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43,326,777.43</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21,325,658.88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77,615,814.82</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244,099,422.73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268,089,047.58</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400,277.78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201,425.31</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4406"/>
        <w:gridCol w:w="2562"/>
        <w:gridCol w:w="2590"/>
      </w:tblGrid>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20,108.53</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296,433,293.33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55,592,432.26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1,627,523,680.90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1,324,495,177.16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670,350,927.63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584,144,327.60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49,119,554.46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48,954,665.06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11,686,073.93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12,517,460.08</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41,594,093.36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48,254,014.45</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628,108,506.40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331,437,716.17</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21,059,059.52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22,039,595.64</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1,421,918,215.30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1,047,347,779.00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3,049,441,896.20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2,371,842,956.16</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293,022,806.00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293,022,806.00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598,828,546.34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587,671,629.72</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36,845,041.05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35,352,920.00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526,909,816.62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479,930,612.23</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1,455,606,210.01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1,395,977,967.95</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563,384,263.98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511,151,870.30</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2,018,990,473.99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1,907,129,838.25</w:t>
            </w:r>
          </w:p>
        </w:tc>
      </w:tr>
      <w:tr>
        <w:trPr>
          <w:trHeight w:val="402" w:hRule="exact"/>
        </w:trPr>
        <w:tc>
          <w:tcPr>
            <w:tcW w:w="4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5,068,432,370.19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4,278,972,794.41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法定代表人：任红军</w:t>
        <w:tab/>
        <w:t>主管会计工作负责人：刘瑞玲</w:t>
        <w:tab/>
        <w:t>会计机构负责人：肖桂华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558"/>
        <w:gridCol w:w="2564"/>
        <w:gridCol w:w="2447"/>
      </w:tblGrid>
      <w:tr>
        <w:trPr>
          <w:trHeight w:val="403"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871,567,259.65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438,009,188.56</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186,959,814.68</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148,379,540.98</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15,474,752.24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3,403,199.14</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171,485,062.44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144,976,341.84</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11,336,006.50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8,597,731.29</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192,288,697.27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107,961,759.30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37,308,701.57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37,468,949.92</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852,742.99</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153,782,791.35</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1,300,313,222.66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894,199,961.40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36,900,001.00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36,400,001.00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1,099,296.31</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1,705,465,127.06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1,682,784,098.90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162,262,562.16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168,403,360.14</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155,154,608.24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167,260,722.12</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42,541,714.91</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33,256,159.27</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61,344,992.17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60,185,644.90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558"/>
        <w:gridCol w:w="2564"/>
        <w:gridCol w:w="2447"/>
      </w:tblGrid>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32,096,898.29</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34,251,135.16</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5,820,325.97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4,467,264.35</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2,201,586,229.80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2,188,107,682.15</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3,501,899,452.46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3,082,307,643.55</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128,000,000.00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84,189,089.65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94,045,969.83</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9,342,766.45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5,406,675.72</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11,393,708.25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11,576,697.16</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5,006,850.15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4,853,575.22</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1,545,538,949.71</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1,388,576,333.85</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400,277.78</w:t>
            </w: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226,772,215.49</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14,740,487.45</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2,010,243,579.70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1,679,199,739.23</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96,671.22</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4,847,129.70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275,096,671.22</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194,847,129.70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2,285,340,250.92</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1,874,046,868.93</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558"/>
        <w:gridCol w:w="2564"/>
        <w:gridCol w:w="2447"/>
      </w:tblGrid>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293,022,806.00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293,022,806.00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654,493,834.56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647,930,592.46</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36,845,041.05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35,352,920.00</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232,197,519.93</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231,954,456.16</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1,216,559,201.54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1,208,260,774.62</w:t>
            </w:r>
          </w:p>
        </w:tc>
      </w:tr>
      <w:tr>
        <w:trPr>
          <w:trHeight w:val="402" w:hRule="exact"/>
        </w:trPr>
        <w:tc>
          <w:tcPr>
            <w:tcW w:w="4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3,501,899,452.46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3,082,307,643.55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980"/>
        <w:gridCol w:w="2988"/>
        <w:gridCol w:w="2590"/>
      </w:tblGrid>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1,512,330,588.86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1,444,179,089.91</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1,512,330,588.86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1,444,179,089.91</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1,513,012,941.36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1,344,092,609.65</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979,609,451.19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905,202,375.94</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17,860,815.72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16,985,752.82</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112,852,768.14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101,328,998.76</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164,677,451.44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148,369,316.45</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106,686,836.36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91,097,376.27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55.460007pt;margin-top:393.529968pt;width:147.2pt;height:40.9pt;mso-position-horizontal-relative:page;mso-position-vertical-relative:page;z-index:-1011232" coordorigin="5109,7871" coordsize="2944,818">
            <v:group style="position:absolute;left:5121;top:7882;width:2;height:393" coordorigin="5121,7882" coordsize="2,393">
              <v:shape style="position:absolute;left:5121;top:7882;width:2;height:393" coordorigin="5121,7882" coordsize="0,393" path="m5121,7882l5121,8274e" filled="false" stroked="true" strokeweight="1.140pt" strokecolor="#ffffff">
                <v:path arrowok="t"/>
              </v:shape>
            </v:group>
            <v:group style="position:absolute;left:5132;top:7882;width:2921;height:393" coordorigin="5132,7882" coordsize="2921,393">
              <v:shape style="position:absolute;left:5132;top:7882;width:2921;height:393" coordorigin="5132,7882" coordsize="2921,393" path="m5132,8274l8053,8274,8053,7882,5132,7882,5132,8274xe" filled="true" fillcolor="#ffffff" stroked="false">
                <v:path arrowok="t"/>
                <v:fill type="solid"/>
              </v:shape>
            </v:group>
            <v:group style="position:absolute;left:5121;top:8284;width:2;height:393" coordorigin="5121,8284" coordsize="2,393">
              <v:shape style="position:absolute;left:5121;top:8284;width:2;height:393" coordorigin="5121,8284" coordsize="0,393" path="m5121,8284l5121,8677e" filled="false" stroked="true" strokeweight="1.140pt" strokecolor="#ffffff">
                <v:path arrowok="t"/>
              </v:shape>
            </v:group>
            <v:group style="position:absolute;left:5132;top:8284;width:2921;height:393" coordorigin="5132,8284" coordsize="2921,393">
              <v:shape style="position:absolute;left:5132;top:8284;width:2921;height:393" coordorigin="5132,8284" coordsize="2921,393" path="m5132,8677l8053,8677,8053,8284,5132,8284,5132,867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003"/>
        <w:gridCol w:w="943"/>
        <w:gridCol w:w="2034"/>
        <w:gridCol w:w="2590"/>
      </w:tblGrid>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54,096,023.00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44,761,483.87</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55,321,936.72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44,150,434.69</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1,652,974.40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1,138,590.42</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77,229,595.51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36,347,305.54</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82,034,073.40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62,450,161.88</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47,783,051.26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24,548,997.37</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4,449,846.75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5,048,300.57</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-895,232.20</w:t>
            </w:r>
            <w:r>
              <w:rPr>
                <w:rFonts w:ascii="Times New Roman"/>
                <w:sz w:val="18"/>
              </w:rPr>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128,239,539.96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186,630,074.58</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26,440,274.73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737,027.23</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2,356,774.56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804,741.93</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152,323,040.13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186,562,359.88</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44,273,248.31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37,327,150.72</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108,049,791.82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149,235,209.16</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81" w:right="0"/>
              <w:jc w:val="left"/>
              <w:rPr>
                <w:rFonts w:ascii="Times New Roman" w:hAnsi="Times New Roman" w:cs="Times New Roman" w:eastAsia="Times New Roman" w:hint="default"/>
                <w:sz w:val="18"/>
                <w:szCs w:val="18"/>
              </w:rPr>
            </w:pPr>
            <w:r>
              <w:rPr>
                <w:rFonts w:ascii="Times New Roman"/>
                <w:sz w:val="18"/>
              </w:rPr>
              <w:t>108,049,791.82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149,235,209.16</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61,657,351.15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110,320,925.94</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46,392,440.67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38,914,283.22</w:t>
            </w: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权益法下不能转损益的其他综合收益</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977" w:type="dxa"/>
            <w:gridSpan w:val="2"/>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3980"/>
        <w:gridCol w:w="2988"/>
        <w:gridCol w:w="2590"/>
      </w:tblGrid>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108,049,791.82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149,235,209.16</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61,657,351.15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110,320,925.94</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46,392,440.67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38,914,283.22</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bl>
    <w:p>
      <w:pPr>
        <w:tabs>
          <w:tab w:pos="3574" w:val="left" w:leader="none"/>
          <w:tab w:pos="7715" w:val="left" w:leader="none"/>
        </w:tabs>
        <w:spacing w:line="592" w:lineRule="auto" w:before="51"/>
        <w:ind w:left="154"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法定代表人：任红军</w:t>
        <w:tab/>
        <w:t>主管会计工作负责人：刘瑞玲</w:t>
        <w:tab/>
        <w:t>会计机构负责人：肖桂华 </w:t>
      </w:r>
      <w:bookmarkStart w:name="4、母公司利润表" w:id="158"/>
      <w:bookmarkEnd w:id="15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973"/>
        <w:gridCol w:w="2280"/>
        <w:gridCol w:w="2305"/>
      </w:tblGrid>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324,038,771.29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271,766,648.12</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190,963,750.74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151,382,495.65</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8,253,753.46</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7,857,486.33</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21,313,300.99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22,504,410.38</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47,677,787.93</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43,887,821.99</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18,094,614.98</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15,606,913.60</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58,101,925.15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45,003,499.73</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58,198,267.99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44,669,305.73</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354,441.24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114,141.97</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34,213,873.36</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19,303,964.03</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15,686,856.96</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18,376,952.29</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52,696,690.38</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46,142,359.78</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3,415,496.81</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4,726,890.10</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-450,375.88</w:t>
            </w:r>
            <w:r>
              <w:rPr>
                <w:rFonts w:ascii="Times New Roman"/>
                <w:sz w:val="18"/>
              </w:rPr>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-373,706.31</w:t>
            </w:r>
            <w:r>
              <w:rPr>
                <w:rFonts w:ascii="Times New Roman"/>
                <w:sz w:val="18"/>
              </w:rPr>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13,352,936.14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30,365,662.17</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502,175.59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454,913.70</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245,217.00</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13,695,111.73</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30,575,358.87</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-1,226,098.80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-325,495.80</w:t>
            </w:r>
            <w:r>
              <w:rPr>
                <w:rFonts w:ascii="Times New Roman"/>
                <w:sz w:val="18"/>
              </w:rPr>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14,921,210.53</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30,900,854.67</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14,921,210.53</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30,900,854.67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4973"/>
        <w:gridCol w:w="2280"/>
        <w:gridCol w:w="2305"/>
      </w:tblGrid>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14,921,210.53</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30,900,854.67</w:t>
            </w: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839"/>
        <w:gridCol w:w="3129"/>
        <w:gridCol w:w="2590"/>
      </w:tblGrid>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1,679,415,701.20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1,377,872,403.47</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 的金融资产净增加额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10,810,261.81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8,224,171.84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3839"/>
        <w:gridCol w:w="3129"/>
        <w:gridCol w:w="2590"/>
      </w:tblGrid>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482,766,478.65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107,763,733.39</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2,172,992,441.66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1,493,860,308.70</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1,030,923,814.55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799,877,472.10</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289,178,172.98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239,744,888.82</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183,272,287.92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161,447,361.16</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140,954,455.45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161,543,887.59</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1,644,328,730.90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1,362,613,609.67</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528,663,710.76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131,246,699.03</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1,202,520,000.00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2,451,738,000.00</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45,016,074.14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27,609,815.36</w:t>
            </w:r>
          </w:p>
        </w:tc>
      </w:tr>
      <w:tr>
        <w:trPr>
          <w:trHeight w:val="714"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 回的现金净额</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404,518.88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69,264.80</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2,697,387.87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1,796,273.34</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208,093,697.25</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1,250,637,980.89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2,689,307,050.75</w:t>
            </w:r>
          </w:p>
        </w:tc>
      </w:tr>
      <w:tr>
        <w:trPr>
          <w:trHeight w:val="714"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 付的现金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169,124,880.12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223,347,448.73</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1,096,792,630.12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2,385,688,000.00</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15,351,840.00</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1,286,917,510.24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2,624,387,288.73</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-36,279,529.35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64,919,762.02</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9,467,044.00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8,909,871.91</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674,948,900.00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544,501,000.00</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29"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862"/>
        <w:gridCol w:w="3118"/>
        <w:gridCol w:w="2590"/>
      </w:tblGrid>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684,415,944.00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553,410,871.91</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412,483,207.62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545,546,672.40</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72,161,452.77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51,031,945.99</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3118"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15,519,900.00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7,629,556.70</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500,164,560.39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604,208,175.09</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184,251,383.61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-50,797,303.18</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484,152.28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-752,407.06</w:t>
            </w:r>
            <w:r>
              <w:rPr>
                <w:rFonts w:ascii="Times New Roman"/>
                <w:sz w:val="18"/>
              </w:rPr>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677,119,717.30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144,616,750.81</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771,007,515.74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626,390,764.93</w:t>
            </w:r>
          </w:p>
        </w:tc>
      </w:tr>
      <w:tr>
        <w:trPr>
          <w:trHeight w:val="402" w:hRule="exact"/>
        </w:trPr>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1,448,127,233.04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771,007,515.74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4825"/>
        <w:gridCol w:w="2143"/>
        <w:gridCol w:w="2590"/>
      </w:tblGrid>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237,853,902.30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215,409,528.15</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4,467,550.46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2,689,487.57</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537,561,231.28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639,223,827.48</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779,882,684.04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857,322,843.20</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148,962,775.61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113,703,823.87</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58,205,554.66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47,246,174.53</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23,363,844.71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25,656,229.12</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302,766,085.20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35,401,030.73</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533,298,260.18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222,007,258.25</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246,584,423.86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635,315,584.95</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925,100,000.00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891,808,000.00</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29,599,398.46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46,287,014.19</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451,839.03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9,264.80</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955,651,237.49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939,104,278.99</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28,921,351.59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36,567,456.59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4831"/>
        <w:gridCol w:w="2137"/>
        <w:gridCol w:w="2590"/>
      </w:tblGrid>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912,454,400.00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1,115,057,800.00</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21,351,840.00</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962,375,751.59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1,172,977,096.59</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-6,724,514.10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-233,872,817.60</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270,750,000.00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308,750,000.00</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63,356,792.36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48,100,519.29</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7" w:type="dxa"/>
            <w:tcBorders>
              <w:top w:val="single" w:sz="4" w:space="0" w:color="000000"/>
              <w:left w:val="single" w:sz="13" w:space="0" w:color="D2D2D2"/>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20,756.70</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334,106,792.36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356,871,275.99</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193,893,207.64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3,128,724.01</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-195,046.31</w:t>
            </w:r>
            <w:r>
              <w:rPr>
                <w:rFonts w:ascii="Times New Roman"/>
                <w:sz w:val="18"/>
              </w:rPr>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-442,983.87</w:t>
            </w:r>
            <w:r>
              <w:rPr>
                <w:rFonts w:ascii="Times New Roman"/>
                <w:sz w:val="18"/>
              </w:rPr>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433,558,071.09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404,128,507.49</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438,009,188.56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33,880,681.07</w:t>
            </w:r>
          </w:p>
        </w:tc>
      </w:tr>
      <w:tr>
        <w:trPr>
          <w:trHeight w:val="402" w:hRule="exact"/>
        </w:trPr>
        <w:tc>
          <w:tcPr>
            <w:tcW w:w="4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871,567,259.65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438,009,188.56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451"/>
        <w:gridCol w:w="550"/>
        <w:gridCol w:w="532"/>
        <w:gridCol w:w="530"/>
        <w:gridCol w:w="532"/>
        <w:gridCol w:w="664"/>
        <w:gridCol w:w="665"/>
        <w:gridCol w:w="665"/>
        <w:gridCol w:w="666"/>
        <w:gridCol w:w="664"/>
        <w:gridCol w:w="665"/>
        <w:gridCol w:w="674"/>
        <w:gridCol w:w="655"/>
        <w:gridCol w:w="660"/>
      </w:tblGrid>
      <w:tr>
        <w:trPr>
          <w:trHeight w:val="402" w:hRule="exact"/>
        </w:trPr>
        <w:tc>
          <w:tcPr>
            <w:tcW w:w="1451" w:type="dxa"/>
            <w:vMerge w:val="restart"/>
            <w:tcBorders>
              <w:top w:val="single" w:sz="4" w:space="0" w:color="000000"/>
              <w:left w:val="single" w:sz="4" w:space="0" w:color="000000"/>
              <w:right w:val="single" w:sz="4" w:space="0" w:color="000000"/>
            </w:tcBorders>
            <w:shd w:val="clear" w:color="auto" w:fill="D2D2D2"/>
          </w:tcPr>
          <w:p>
            <w:pPr/>
          </w:p>
        </w:tc>
        <w:tc>
          <w:tcPr>
            <w:tcW w:w="812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1" w:type="dxa"/>
            <w:vMerge/>
            <w:tcBorders>
              <w:left w:val="single" w:sz="4" w:space="0" w:color="000000"/>
              <w:right w:val="single" w:sz="4" w:space="0" w:color="000000"/>
            </w:tcBorders>
            <w:shd w:val="clear" w:color="auto" w:fill="D2D2D2"/>
          </w:tcPr>
          <w:p>
            <w:pPr/>
          </w:p>
        </w:tc>
        <w:tc>
          <w:tcPr>
            <w:tcW w:w="6807"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1" w:type="dxa"/>
            <w:vMerge/>
            <w:tcBorders>
              <w:left w:val="single" w:sz="4" w:space="0" w:color="000000"/>
              <w:bottom w:val="nil" w:sz="6" w:space="0" w:color="auto"/>
              <w:right w:val="single" w:sz="4" w:space="0" w:color="000000"/>
            </w:tcBorders>
            <w:shd w:val="clear" w:color="auto" w:fill="D2D2D2"/>
          </w:tcPr>
          <w:p>
            <w:pPr/>
          </w:p>
        </w:tc>
        <w:tc>
          <w:tcPr>
            <w:tcW w:w="6807" w:type="dxa"/>
            <w:gridSpan w:val="11"/>
            <w:vMerge/>
            <w:tcBorders>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2"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3" w:hRule="exact"/>
        </w:trPr>
        <w:tc>
          <w:tcPr>
            <w:tcW w:w="1451"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1"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3" w:hRule="exact"/>
        </w:trPr>
        <w:tc>
          <w:tcPr>
            <w:tcW w:w="1451"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51"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51"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4"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1"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9"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587,671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,629.72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35,352,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920.00</w:t>
            </w:r>
          </w:p>
        </w:tc>
        <w:tc>
          <w:tcPr>
            <w:tcW w:w="665"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479,930</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,612.23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511,151</w:t>
            </w:r>
          </w:p>
          <w:p>
            <w:pPr>
              <w:pStyle w:val="TableParagraph"/>
              <w:spacing w:line="240" w:lineRule="auto" w:before="106"/>
              <w:ind w:left="82" w:right="0"/>
              <w:jc w:val="left"/>
              <w:rPr>
                <w:rFonts w:ascii="Times New Roman" w:hAnsi="Times New Roman" w:cs="Times New Roman" w:eastAsia="Times New Roman" w:hint="default"/>
                <w:sz w:val="18"/>
                <w:szCs w:val="18"/>
              </w:rPr>
            </w:pPr>
            <w:r>
              <w:rPr>
                <w:rFonts w:ascii="Times New Roman"/>
                <w:sz w:val="18"/>
              </w:rPr>
              <w:t>,870.30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r>
        <w:trPr>
          <w:trHeight w:val="392" w:hRule="exact"/>
        </w:trPr>
        <w:tc>
          <w:tcPr>
            <w:tcW w:w="14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3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50"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4"/>
              <w:jc w:val="right"/>
              <w:rPr>
                <w:rFonts w:ascii="宋体" w:hAnsi="宋体" w:cs="宋体" w:eastAsia="宋体" w:hint="default"/>
                <w:sz w:val="18"/>
                <w:szCs w:val="18"/>
              </w:rPr>
            </w:pPr>
            <w:r>
              <w:rPr>
                <w:rFonts w:ascii="宋体" w:hAnsi="宋体" w:cs="宋体" w:eastAsia="宋体" w:hint="default"/>
                <w:sz w:val="18"/>
                <w:szCs w:val="18"/>
              </w:rPr>
              <w:t>前期差</w:t>
            </w:r>
          </w:p>
        </w:tc>
        <w:tc>
          <w:tcPr>
            <w:tcW w:w="550"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39"/>
        <w:gridCol w:w="562"/>
        <w:gridCol w:w="532"/>
        <w:gridCol w:w="530"/>
        <w:gridCol w:w="532"/>
        <w:gridCol w:w="664"/>
        <w:gridCol w:w="665"/>
        <w:gridCol w:w="665"/>
        <w:gridCol w:w="666"/>
        <w:gridCol w:w="664"/>
        <w:gridCol w:w="665"/>
        <w:gridCol w:w="674"/>
        <w:gridCol w:w="655"/>
        <w:gridCol w:w="66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587,671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,629.72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35,352,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479,930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,612.23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511,151</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,870.30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1,907,1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29,838.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11,156,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916.62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46,979,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204.39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52,232,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393.68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pacing w:val="-3"/>
                <w:sz w:val="18"/>
              </w:rPr>
              <w:t>111,860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,635.74</w:t>
            </w: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61,657,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351.15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46,392,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440.67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108,049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,791.82</w:t>
            </w: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4,593,6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8,583,9</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53.01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13,177,</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627.53</w:t>
            </w: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9,467,0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44.00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9,467,0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44.00</w:t>
            </w: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4,593,6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-883,09</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0.99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3,710,5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83.53</w:t>
            </w: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-14,678,</w:t>
            </w:r>
          </w:p>
          <w:p>
            <w:pPr>
              <w:pStyle w:val="TableParagraph"/>
              <w:spacing w:line="240" w:lineRule="auto" w:before="105"/>
              <w:ind w:left="123" w:right="0"/>
              <w:jc w:val="center"/>
              <w:rPr>
                <w:rFonts w:ascii="Times New Roman" w:hAnsi="Times New Roman" w:cs="Times New Roman" w:eastAsia="Times New Roman" w:hint="default"/>
                <w:sz w:val="18"/>
                <w:szCs w:val="18"/>
              </w:rPr>
            </w:pPr>
            <w:r>
              <w:rPr>
                <w:rFonts w:ascii="Times New Roman"/>
                <w:sz w:val="18"/>
              </w:rPr>
              <w:t>146.76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-2,744,0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-15,930,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025.71</w:t>
            </w: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21.05</w:t>
            </w: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-13,186,</w:t>
            </w:r>
          </w:p>
          <w:p>
            <w:pPr>
              <w:pStyle w:val="TableParagraph"/>
              <w:spacing w:line="240" w:lineRule="auto" w:before="105"/>
              <w:ind w:left="123" w:right="0"/>
              <w:jc w:val="center"/>
              <w:rPr>
                <w:rFonts w:ascii="Times New Roman" w:hAnsi="Times New Roman" w:cs="Times New Roman" w:eastAsia="Times New Roman" w:hint="default"/>
                <w:sz w:val="18"/>
                <w:szCs w:val="18"/>
              </w:rPr>
            </w:pPr>
            <w:r>
              <w:rPr>
                <w:rFonts w:ascii="Times New Roman"/>
                <w:sz w:val="18"/>
              </w:rPr>
              <w:t>025.71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-2,744,0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-15,930,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025.71</w:t>
            </w: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39"/>
        <w:gridCol w:w="562"/>
        <w:gridCol w:w="532"/>
        <w:gridCol w:w="530"/>
        <w:gridCol w:w="532"/>
        <w:gridCol w:w="664"/>
        <w:gridCol w:w="665"/>
        <w:gridCol w:w="665"/>
        <w:gridCol w:w="666"/>
        <w:gridCol w:w="664"/>
        <w:gridCol w:w="665"/>
        <w:gridCol w:w="674"/>
        <w:gridCol w:w="655"/>
        <w:gridCol w:w="66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6,563,2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42.10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6,563,2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42.10</w:t>
            </w:r>
          </w:p>
        </w:tc>
      </w:tr>
      <w:tr>
        <w:trPr>
          <w:trHeight w:val="102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598,828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,546.34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36,845,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526,909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,816.62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563,384</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,263.98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90,473.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426"/>
        <w:gridCol w:w="562"/>
        <w:gridCol w:w="532"/>
        <w:gridCol w:w="530"/>
        <w:gridCol w:w="532"/>
        <w:gridCol w:w="664"/>
        <w:gridCol w:w="665"/>
        <w:gridCol w:w="666"/>
        <w:gridCol w:w="665"/>
        <w:gridCol w:w="664"/>
        <w:gridCol w:w="665"/>
        <w:gridCol w:w="678"/>
        <w:gridCol w:w="653"/>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586,704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,481.46</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834.53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382,955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,569.32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491,294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,422.76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40,114.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586,704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,481.46</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834.53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382,955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,569.32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491,294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,422.76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40,114.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967,148</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96,975,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042.91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19,857,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447.54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120,889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,724.18</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110,320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,925.94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38,914,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283.22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149,235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,209.16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37"/>
        <w:gridCol w:w="562"/>
        <w:gridCol w:w="532"/>
        <w:gridCol w:w="530"/>
        <w:gridCol w:w="532"/>
        <w:gridCol w:w="664"/>
        <w:gridCol w:w="665"/>
        <w:gridCol w:w="666"/>
        <w:gridCol w:w="665"/>
        <w:gridCol w:w="664"/>
        <w:gridCol w:w="665"/>
        <w:gridCol w:w="678"/>
        <w:gridCol w:w="653"/>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-5,032,6</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-15,844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,640.35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328.09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-11,136,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140.35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-11,136,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140.35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-5,032,6</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-4,708,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-9,741,1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87.74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-13,345,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883.03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-7,542,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-17,797,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797.56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85.47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-10,255,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797.56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-7,542,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-17,797,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797.56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5,999,8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4,329,8</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04.67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10,329,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640.67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293,02</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587,671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35,352,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479,930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511,151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1,907,1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37"/>
        <w:gridCol w:w="562"/>
        <w:gridCol w:w="532"/>
        <w:gridCol w:w="530"/>
        <w:gridCol w:w="532"/>
        <w:gridCol w:w="664"/>
        <w:gridCol w:w="665"/>
        <w:gridCol w:w="666"/>
        <w:gridCol w:w="665"/>
        <w:gridCol w:w="664"/>
        <w:gridCol w:w="665"/>
        <w:gridCol w:w="678"/>
        <w:gridCol w:w="653"/>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,629.72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920.00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,612.23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sz w:val="18"/>
              </w:rPr>
              <w:t>,870.30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29,838.</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30"/>
        <w:gridCol w:w="691"/>
        <w:gridCol w:w="665"/>
        <w:gridCol w:w="666"/>
        <w:gridCol w:w="665"/>
        <w:gridCol w:w="797"/>
        <w:gridCol w:w="798"/>
        <w:gridCol w:w="797"/>
        <w:gridCol w:w="798"/>
        <w:gridCol w:w="797"/>
        <w:gridCol w:w="677"/>
        <w:gridCol w:w="780"/>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9" w:space="0" w:color="D2D2D2"/>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35,352,92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231,954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,456.16</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18"/>
                <w:szCs w:val="18"/>
              </w:rPr>
            </w:pPr>
            <w:r>
              <w:rPr>
                <w:rFonts w:ascii="Times New Roman"/>
                <w:sz w:val="18"/>
              </w:rPr>
              <w:t>1,208,260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,774.62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9" w:space="0" w:color="D2D2D2"/>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35,352,92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231,954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,456.16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1,208,260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,774.62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20"/>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1,492,121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243,063</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8,298,426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210.53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14,921,21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0.53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9"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1,492,121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-14,678,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146.76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-13,186,0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25.71</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9"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1,492,121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21.05</w:t>
            </w:r>
          </w:p>
        </w:tc>
        <w:tc>
          <w:tcPr>
            <w:tcW w:w="780"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-13,186,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-13,186,0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441"/>
        <w:gridCol w:w="691"/>
        <w:gridCol w:w="665"/>
        <w:gridCol w:w="666"/>
        <w:gridCol w:w="665"/>
        <w:gridCol w:w="797"/>
        <w:gridCol w:w="798"/>
        <w:gridCol w:w="797"/>
        <w:gridCol w:w="798"/>
        <w:gridCol w:w="797"/>
        <w:gridCol w:w="677"/>
        <w:gridCol w:w="780"/>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025.71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25.71</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806.00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654,493,8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36,845,04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232,197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,519.93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1,216,559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,201.54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418"/>
        <w:gridCol w:w="703"/>
        <w:gridCol w:w="665"/>
        <w:gridCol w:w="666"/>
        <w:gridCol w:w="665"/>
        <w:gridCol w:w="797"/>
        <w:gridCol w:w="798"/>
        <w:gridCol w:w="797"/>
        <w:gridCol w:w="798"/>
        <w:gridCol w:w="797"/>
        <w:gridCol w:w="677"/>
        <w:gridCol w:w="780"/>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9" w:space="0" w:color="D2D2D2"/>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32,262,83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4.53</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214,399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,484.52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18"/>
                <w:szCs w:val="18"/>
              </w:rPr>
            </w:pPr>
            <w:r>
              <w:rPr>
                <w:rFonts w:ascii="Times New Roman"/>
                <w:sz w:val="18"/>
              </w:rPr>
              <w:t>1,187,615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,717.51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9" w:space="0" w:color="D2D2D2"/>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32,262,83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214,399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,484.52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1,187,615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,717.51</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17,554,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971.64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20,645,05</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41"/>
        <w:gridCol w:w="691"/>
        <w:gridCol w:w="665"/>
        <w:gridCol w:w="666"/>
        <w:gridCol w:w="665"/>
        <w:gridCol w:w="797"/>
        <w:gridCol w:w="798"/>
        <w:gridCol w:w="797"/>
        <w:gridCol w:w="798"/>
        <w:gridCol w:w="797"/>
        <w:gridCol w:w="677"/>
        <w:gridCol w:w="780"/>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854.67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4.67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-13,345,</w:t>
            </w:r>
          </w:p>
          <w:p>
            <w:pPr>
              <w:pStyle w:val="TableParagraph"/>
              <w:spacing w:line="240" w:lineRule="auto" w:before="106"/>
              <w:ind w:left="125" w:right="0"/>
              <w:jc w:val="center"/>
              <w:rPr>
                <w:rFonts w:ascii="Times New Roman" w:hAnsi="Times New Roman" w:cs="Times New Roman" w:eastAsia="Times New Roman" w:hint="default"/>
                <w:sz w:val="18"/>
                <w:szCs w:val="18"/>
              </w:rPr>
            </w:pPr>
            <w:r>
              <w:rPr>
                <w:rFonts w:ascii="Times New Roman"/>
                <w:sz w:val="18"/>
              </w:rPr>
              <w:t>883.03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-10,255,7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97.56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6"/>
              <w:ind w:left="215" w:right="0"/>
              <w:jc w:val="center"/>
              <w:rPr>
                <w:rFonts w:ascii="Times New Roman" w:hAnsi="Times New Roman" w:cs="Times New Roman" w:eastAsia="Times New Roman" w:hint="default"/>
                <w:sz w:val="18"/>
                <w:szCs w:val="18"/>
              </w:rPr>
            </w:pPr>
            <w:r>
              <w:rPr>
                <w:rFonts w:ascii="Times New Roman"/>
                <w:sz w:val="18"/>
              </w:rPr>
              <w:t>85.47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-10,255,</w:t>
            </w:r>
          </w:p>
          <w:p>
            <w:pPr>
              <w:pStyle w:val="TableParagraph"/>
              <w:spacing w:line="240" w:lineRule="auto" w:before="106"/>
              <w:ind w:left="125" w:right="0"/>
              <w:jc w:val="center"/>
              <w:rPr>
                <w:rFonts w:ascii="Times New Roman" w:hAnsi="Times New Roman" w:cs="Times New Roman" w:eastAsia="Times New Roman" w:hint="default"/>
                <w:sz w:val="18"/>
                <w:szCs w:val="18"/>
              </w:rPr>
            </w:pPr>
            <w:r>
              <w:rPr>
                <w:rFonts w:ascii="Times New Roman"/>
                <w:sz w:val="18"/>
              </w:rPr>
              <w:t>797.56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-10,255,7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97.56</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806.00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35,352,92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231,954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,456.16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1,208,260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,774.62</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4" w:right="1092"/>
        <w:jc w:val="left"/>
      </w:pPr>
      <w:r>
        <w:rPr>
          <w:rFonts w:ascii="宋体" w:hAnsi="宋体" w:cs="宋体" w:eastAsia="宋体" w:hint="default"/>
        </w:rPr>
        <w:t>1</w:t>
      </w:r>
      <w:r>
        <w:rPr/>
        <w:t>、企业基本信息 汉威科技集团股份有限公司系在深圳证券交易所创业板上市的股份有限公司，股票简称：汉威科技，</w:t>
      </w:r>
    </w:p>
    <w:p>
      <w:pPr>
        <w:pStyle w:val="BodyText"/>
        <w:spacing w:line="408" w:lineRule="auto"/>
        <w:ind w:left="574" w:right="2982" w:hanging="420"/>
        <w:jc w:val="left"/>
      </w:pPr>
      <w:r>
        <w:rPr/>
        <w:t>股票代码：</w:t>
      </w:r>
      <w:r>
        <w:rPr>
          <w:rFonts w:ascii="宋体" w:hAnsi="宋体" w:cs="宋体" w:eastAsia="宋体" w:hint="default"/>
        </w:rPr>
        <w:t>300007</w:t>
      </w:r>
      <w:r>
        <w:rPr/>
        <w:t>； 公司注册地：河南省郑州市，企业法人营业执照注册号：</w:t>
      </w:r>
      <w:r>
        <w:rPr>
          <w:rFonts w:ascii="宋体" w:hAnsi="宋体" w:cs="宋体" w:eastAsia="宋体" w:hint="default"/>
        </w:rPr>
        <w:t>914101007067858314</w:t>
      </w:r>
      <w:r>
        <w:rPr/>
        <w:t>； 公司法定代表人：任红军；</w:t>
      </w:r>
    </w:p>
    <w:p>
      <w:pPr>
        <w:pStyle w:val="BodyText"/>
        <w:spacing w:line="408" w:lineRule="auto"/>
        <w:ind w:left="574" w:right="5925"/>
        <w:jc w:val="left"/>
      </w:pPr>
      <w:r>
        <w:rPr/>
        <w:t>公司总部地址：郑州高新开发区雪松路</w:t>
      </w:r>
      <w:r>
        <w:rPr>
          <w:spacing w:val="-54"/>
        </w:rPr>
        <w:t> </w:t>
      </w:r>
      <w:r>
        <w:rPr>
          <w:rFonts w:ascii="宋体" w:hAnsi="宋体" w:cs="宋体" w:eastAsia="宋体" w:hint="default"/>
        </w:rPr>
        <w:t>169</w:t>
      </w:r>
      <w:r>
        <w:rPr>
          <w:rFonts w:ascii="宋体" w:hAnsi="宋体" w:cs="宋体" w:eastAsia="宋体" w:hint="default"/>
          <w:spacing w:val="-54"/>
        </w:rPr>
        <w:t> </w:t>
      </w:r>
      <w:r>
        <w:rPr/>
        <w:t>号。</w:t>
      </w:r>
      <w:r>
        <w:rPr>
          <w:spacing w:val="-2"/>
        </w:rPr>
        <w:t> </w:t>
      </w:r>
      <w:r>
        <w:rPr>
          <w:rFonts w:ascii="宋体" w:hAnsi="宋体" w:cs="宋体" w:eastAsia="宋体" w:hint="default"/>
        </w:rPr>
        <w:t>2</w:t>
      </w:r>
      <w:r>
        <w:rPr/>
        <w:t>、企业的业务性质和主要经营活动。</w:t>
      </w:r>
    </w:p>
    <w:p>
      <w:pPr>
        <w:pStyle w:val="BodyText"/>
        <w:spacing w:line="408" w:lineRule="auto"/>
        <w:ind w:right="0" w:firstLine="420"/>
        <w:jc w:val="left"/>
      </w:pPr>
      <w:r>
        <w:rPr>
          <w:spacing w:val="-1"/>
        </w:rPr>
        <w:t>公司属于物联网行业。主要产品包括传感器、智能仪表、物联网综合解决方案；业务涵盖传感器、物</w:t>
      </w:r>
      <w:r>
        <w:rPr/>
        <w:t> 联网综合解决方案、居家智能和健康等业务领域。</w:t>
      </w:r>
    </w:p>
    <w:p>
      <w:pPr>
        <w:pStyle w:val="BodyText"/>
        <w:spacing w:line="408" w:lineRule="auto"/>
        <w:ind w:left="574" w:right="4244"/>
        <w:jc w:val="left"/>
      </w:pPr>
      <w:r>
        <w:rPr>
          <w:rFonts w:ascii="宋体" w:hAnsi="宋体" w:cs="宋体" w:eastAsia="宋体" w:hint="default"/>
        </w:rPr>
        <w:t>3</w:t>
      </w:r>
      <w:r>
        <w:rPr/>
        <w:t>、财务报告批准报出者和财务报告批准报出日 本财务报表业经本公司董事会于</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日决议批准报出。</w:t>
      </w:r>
    </w:p>
    <w:p>
      <w:pPr>
        <w:pStyle w:val="BodyText"/>
        <w:spacing w:line="240" w:lineRule="auto"/>
        <w:ind w:left="574" w:right="0"/>
        <w:jc w:val="left"/>
      </w:pPr>
      <w:r>
        <w:rPr/>
        <w:t>关于合并范围子公司详细信息，请参阅本附注九“在其他主体中的权益”披露。</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本公司财务报表以持续经营为基础，根据实际发生的交易和事项，按照财政部颁布的《企业会计准则</w:t>
      </w:r>
    </w:p>
    <w:p>
      <w:pPr>
        <w:spacing w:line="240" w:lineRule="auto" w:before="10"/>
        <w:rPr>
          <w:rFonts w:ascii="宋体" w:hAnsi="宋体" w:cs="宋体" w:eastAsia="宋体" w:hint="default"/>
          <w:sz w:val="14"/>
          <w:szCs w:val="14"/>
        </w:rPr>
      </w:pPr>
    </w:p>
    <w:p>
      <w:pPr>
        <w:pStyle w:val="BodyText"/>
        <w:spacing w:line="408" w:lineRule="auto" w:before="0"/>
        <w:ind w:right="1128"/>
        <w:jc w:val="left"/>
      </w:pPr>
      <w:r>
        <w:rPr>
          <w:rFonts w:ascii="宋体" w:hAnsi="宋体" w:cs="宋体" w:eastAsia="宋体" w:hint="default"/>
          <w:spacing w:val="-3"/>
        </w:rPr>
        <w:t>-</w:t>
      </w:r>
      <w:r>
        <w:rPr>
          <w:spacing w:val="-3"/>
        </w:rPr>
        <w:t>基本准则》和具体会计准则等规定（以下合称“企业会计准则”），并基于以下所述重要会计政策、会计</w:t>
      </w:r>
      <w:r>
        <w:rPr>
          <w:spacing w:val="-97"/>
        </w:rPr>
        <w:t> </w:t>
      </w:r>
      <w:r>
        <w:rPr>
          <w:spacing w:val="-97"/>
        </w:rPr>
      </w:r>
      <w:r>
        <w:rPr/>
        <w:t>估计进行编制。</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本公司至本报告期末至少</w:t>
      </w:r>
      <w:r>
        <w:rPr>
          <w:spacing w:val="-54"/>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1"/>
        <w:rPr>
          <w:rFonts w:ascii="宋体" w:hAnsi="宋体" w:cs="宋体" w:eastAsia="宋体" w:hint="default"/>
          <w:sz w:val="12"/>
          <w:szCs w:val="12"/>
        </w:rPr>
      </w:pPr>
    </w:p>
    <w:p>
      <w:pPr>
        <w:pStyle w:val="BodyText"/>
        <w:spacing w:line="408" w:lineRule="auto" w:before="0"/>
        <w:ind w:right="0" w:firstLine="420"/>
        <w:jc w:val="left"/>
      </w:pPr>
      <w:r>
        <w:rPr>
          <w:spacing w:val="-1"/>
        </w:rPr>
        <w:t>本公司从事传感器及物联网综合解决方案等业务。公司根据实际生产经营特点，依据相关企业会计准</w:t>
      </w:r>
      <w:r>
        <w:rPr/>
        <w:t> 则的规定，对收入确认等交易和事项制定了若干项具体会计政策和会计估计。</w:t>
      </w:r>
    </w:p>
    <w:p>
      <w:pPr>
        <w:spacing w:after="0" w:line="408" w:lineRule="auto"/>
        <w:jc w:val="left"/>
        <w:sectPr>
          <w:footerReference w:type="default" r:id="rId18"/>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22" w:firstLine="420"/>
        <w:jc w:val="left"/>
      </w:pPr>
      <w:r>
        <w:rPr/>
        <w:t>本公司编制的财务报表符合《企业会计准则》的要求，真实、完整地反映了本公司</w:t>
      </w:r>
      <w:r>
        <w:rPr>
          <w:spacing w:val="-26"/>
        </w:rPr>
        <w:t> </w:t>
      </w:r>
      <w:r>
        <w:rPr>
          <w:rFonts w:ascii="宋体" w:hAnsi="宋体" w:cs="宋体" w:eastAsia="宋体" w:hint="default"/>
        </w:rPr>
        <w:t>2018</w:t>
      </w:r>
      <w:r>
        <w:rPr>
          <w:rFonts w:ascii="宋体" w:hAnsi="宋体" w:cs="宋体" w:eastAsia="宋体" w:hint="default"/>
          <w:spacing w:val="-27"/>
        </w:rPr>
        <w:t> </w:t>
      </w:r>
      <w:r>
        <w:rPr/>
        <w:t>年</w:t>
      </w:r>
      <w:r>
        <w:rPr>
          <w:spacing w:val="-28"/>
        </w:rPr>
        <w:t> </w:t>
      </w:r>
      <w:r>
        <w:rPr>
          <w:rFonts w:ascii="宋体" w:hAnsi="宋体" w:cs="宋体" w:eastAsia="宋体" w:hint="default"/>
        </w:rPr>
        <w:t>12</w:t>
      </w:r>
      <w:r>
        <w:rPr>
          <w:rFonts w:ascii="宋体" w:hAnsi="宋体" w:cs="宋体" w:eastAsia="宋体" w:hint="default"/>
          <w:spacing w:val="-27"/>
        </w:rPr>
        <w:t> </w:t>
      </w:r>
      <w:r>
        <w:rPr/>
        <w:t>月</w:t>
      </w:r>
      <w:r>
        <w:rPr>
          <w:spacing w:val="-27"/>
        </w:rPr>
        <w:t> </w:t>
      </w:r>
      <w:r>
        <w:rPr>
          <w:rFonts w:ascii="宋体" w:hAnsi="宋体" w:cs="宋体" w:eastAsia="宋体" w:hint="default"/>
        </w:rPr>
        <w:t>31 </w:t>
      </w:r>
      <w:r>
        <w:rPr/>
        <w:t>日的财务状况、</w:t>
      </w:r>
      <w:r>
        <w:rPr>
          <w:rFonts w:ascii="宋体" w:hAnsi="宋体" w:cs="宋体" w:eastAsia="宋体" w:hint="default"/>
        </w:rPr>
        <w:t>2018</w:t>
      </w:r>
      <w:r>
        <w:rPr>
          <w:rFonts w:ascii="宋体" w:hAnsi="宋体" w:cs="宋体" w:eastAsia="宋体" w:hint="default"/>
          <w:spacing w:val="-53"/>
        </w:rPr>
        <w:t> </w:t>
      </w:r>
      <w:r>
        <w:rPr/>
        <w:t>年度的经营成果和现金流量等相关信息。</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本公司会计年度为公历年度，即每年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本公司以一年</w:t>
      </w:r>
      <w:r>
        <w:rPr>
          <w:spacing w:val="-54"/>
        </w:rPr>
        <w:t> </w:t>
      </w:r>
      <w:r>
        <w:rPr>
          <w:rFonts w:ascii="宋体" w:hAnsi="宋体" w:cs="宋体" w:eastAsia="宋体" w:hint="default"/>
        </w:rPr>
        <w:t>12</w:t>
      </w:r>
      <w:r>
        <w:rPr>
          <w:rFonts w:ascii="宋体" w:hAnsi="宋体" w:cs="宋体" w:eastAsia="宋体" w:hint="default"/>
          <w:spacing w:val="-54"/>
        </w:rPr>
        <w:t> </w:t>
      </w:r>
      <w:r>
        <w:rPr/>
        <w:t>个月作为正常营业周期，并以营业周期作为资产和负债的流动性划分标准。</w:t>
      </w:r>
    </w:p>
    <w:p>
      <w:pPr>
        <w:spacing w:line="240" w:lineRule="auto" w:before="0"/>
        <w:rPr>
          <w:rFonts w:ascii="宋体" w:hAnsi="宋体" w:cs="宋体" w:eastAsia="宋体" w:hint="default"/>
          <w:sz w:val="20"/>
          <w:szCs w:val="20"/>
        </w:rPr>
      </w:pPr>
    </w:p>
    <w:p>
      <w:pPr>
        <w:spacing w:line="506" w:lineRule="auto" w:before="154"/>
        <w:ind w:left="154" w:right="7812" w:firstLine="0"/>
        <w:jc w:val="left"/>
        <w:rPr>
          <w:rFonts w:ascii="宋体" w:hAnsi="宋体" w:cs="宋体" w:eastAsia="宋体" w:hint="default"/>
          <w:sz w:val="21"/>
          <w:szCs w:val="21"/>
        </w:rPr>
      </w:pPr>
      <w:bookmarkStart w:name="4、记账本位币" w:id="171"/>
      <w:bookmarkEnd w:id="17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pStyle w:val="Heading4"/>
        <w:spacing w:line="240" w:lineRule="auto" w:before="105"/>
        <w:ind w:right="0"/>
        <w:jc w:val="both"/>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rFonts w:ascii="宋体" w:hAnsi="宋体" w:cs="宋体" w:eastAsia="宋体" w:hint="default"/>
        </w:rPr>
        <w:t>1</w:t>
      </w:r>
      <w:r>
        <w:rPr/>
        <w:t>、同一控制下的企业合并 </w:t>
      </w:r>
      <w:r>
        <w:rPr>
          <w:spacing w:val="-1"/>
        </w:rPr>
        <w:t>同一控制下企业合并形成的长期股权投资合并方以支付现金、转让非现金资产或承担债务方式作为合</w:t>
      </w:r>
    </w:p>
    <w:p>
      <w:pPr>
        <w:pStyle w:val="BodyText"/>
        <w:spacing w:line="408" w:lineRule="auto"/>
        <w:ind w:right="1131"/>
        <w:jc w:val="both"/>
      </w:pPr>
      <w:r>
        <w:rPr>
          <w:spacing w:val="-1"/>
        </w:rPr>
        <w:t>并对价的，本公司在合并日按照所取得的被合并方在最终控制方合并财务报表中的净资产的账面价值的份</w:t>
      </w:r>
      <w:r>
        <w:rPr>
          <w:spacing w:val="-81"/>
        </w:rPr>
        <w:t> </w:t>
      </w:r>
      <w:r>
        <w:rPr>
          <w:spacing w:val="-81"/>
        </w:rPr>
      </w:r>
      <w:r>
        <w:rPr>
          <w:spacing w:val="-1"/>
        </w:rPr>
        <w:t>额作为长期股权投资的初始投资成本。合并方以发行权益性工具作为合并对价的，按发行股份的面值总额</w:t>
      </w:r>
      <w:r>
        <w:rPr>
          <w:spacing w:val="-81"/>
        </w:rPr>
        <w:t> </w:t>
      </w:r>
      <w:r>
        <w:rPr>
          <w:spacing w:val="-81"/>
        </w:rPr>
      </w:r>
      <w:r>
        <w:rPr>
          <w:spacing w:val="-1"/>
        </w:rPr>
        <w:t>作为股本。长期股权投资的初始投资成本与合并对价账面价值（或发行股份面值总额）的差额，应当调整</w:t>
      </w:r>
      <w:r>
        <w:rPr>
          <w:spacing w:val="-86"/>
        </w:rPr>
        <w:t> </w:t>
      </w:r>
      <w:r>
        <w:rPr>
          <w:spacing w:val="-86"/>
        </w:rPr>
      </w:r>
      <w:r>
        <w:rPr/>
        <w:t>资本公积；资本公积不足冲减的，调整留存收益。</w:t>
      </w:r>
    </w:p>
    <w:p>
      <w:pPr>
        <w:pStyle w:val="BodyText"/>
        <w:spacing w:line="408" w:lineRule="auto"/>
        <w:ind w:left="574" w:right="0"/>
        <w:jc w:val="left"/>
      </w:pPr>
      <w:r>
        <w:rPr>
          <w:rFonts w:ascii="宋体" w:hAnsi="宋体" w:cs="宋体" w:eastAsia="宋体" w:hint="default"/>
        </w:rPr>
        <w:t>2</w:t>
      </w:r>
      <w:r>
        <w:rPr/>
        <w:t>、非同一控制下的企业合并 </w:t>
      </w:r>
      <w:r>
        <w:rPr>
          <w:spacing w:val="3"/>
        </w:rPr>
        <w:t>对于非同一控制下的企业合并，合并成本为购买方在购买日为取得对被购买方的控制权而付出的资</w:t>
      </w:r>
    </w:p>
    <w:p>
      <w:pPr>
        <w:pStyle w:val="BodyText"/>
        <w:spacing w:line="408" w:lineRule="auto"/>
        <w:ind w:right="1131"/>
        <w:jc w:val="both"/>
      </w:pPr>
      <w:r>
        <w:rPr>
          <w:spacing w:val="-1"/>
        </w:rPr>
        <w:t>产、发生或承担的负债以及发行的权益性证券的公允价值之和。非同一控制下企业合并中所取得的被购买</w:t>
      </w:r>
      <w:r>
        <w:rPr>
          <w:spacing w:val="-81"/>
        </w:rPr>
        <w:t> </w:t>
      </w:r>
      <w:r>
        <w:rPr>
          <w:spacing w:val="-81"/>
        </w:rPr>
      </w:r>
      <w:r>
        <w:rPr>
          <w:spacing w:val="-1"/>
        </w:rPr>
        <w:t>方符合确认条件的可辨认资产、负债及或有负债，在购买日以公允价值计量。购买方对合并成本大于合并</w:t>
      </w:r>
      <w:r>
        <w:rPr>
          <w:spacing w:val="-83"/>
        </w:rPr>
        <w:t> </w:t>
      </w:r>
      <w:r>
        <w:rPr>
          <w:spacing w:val="-83"/>
        </w:rPr>
      </w:r>
      <w:r>
        <w:rPr>
          <w:spacing w:val="-1"/>
        </w:rPr>
        <w:t>中取得的被购买方可辨认净资产公允价值份额的差额，体现为商誉价值。购买方对合并成本小于合并中取</w:t>
      </w:r>
      <w:r>
        <w:rPr>
          <w:spacing w:val="-81"/>
        </w:rPr>
        <w:t> </w:t>
      </w:r>
      <w:r>
        <w:rPr>
          <w:spacing w:val="-81"/>
        </w:rPr>
      </w:r>
      <w:r>
        <w:rPr>
          <w:spacing w:val="-1"/>
        </w:rPr>
        <w:t>得的被购买方可辨认净资产公允价值份额的，经复核后合并成本仍小于合并中取得的被购买方可辨认净资</w:t>
      </w:r>
      <w:r>
        <w:rPr>
          <w:spacing w:val="-81"/>
        </w:rPr>
        <w:t> </w:t>
      </w:r>
      <w:r>
        <w:rPr>
          <w:spacing w:val="-81"/>
        </w:rPr>
      </w:r>
      <w:r>
        <w:rPr/>
        <w:t>产公允价值份额的差额，计入当期营业外收入。</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rFonts w:ascii="宋体" w:hAnsi="宋体" w:cs="宋体" w:eastAsia="宋体" w:hint="default"/>
        </w:rPr>
        <w:t>1</w:t>
      </w:r>
      <w:r>
        <w:rPr/>
        <w:t>、合并财务报表范围</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0"/>
        <w:jc w:val="left"/>
      </w:pPr>
      <w:r>
        <w:rPr>
          <w:spacing w:val="-1"/>
        </w:rPr>
        <w:t>本公司将全部子公司（包括本公司所控制的单独主体）纳入合并财务报表范围，包括被本公司控制的</w:t>
      </w:r>
      <w:r>
        <w:rPr/>
        <w:t> 企业、被投资单位中可分割的部分以及结构化主体。</w:t>
      </w:r>
    </w:p>
    <w:p>
      <w:pPr>
        <w:pStyle w:val="BodyText"/>
        <w:spacing w:line="408" w:lineRule="auto"/>
        <w:ind w:left="574" w:right="0"/>
        <w:jc w:val="left"/>
      </w:pPr>
      <w:r>
        <w:rPr>
          <w:rFonts w:ascii="宋体" w:hAnsi="宋体" w:cs="宋体" w:eastAsia="宋体" w:hint="default"/>
        </w:rPr>
        <w:t>2</w:t>
      </w:r>
      <w:r>
        <w:rPr/>
        <w:t>、统一母子公司的会计政策、统一母子公司的资产负债表日及会计期间 </w:t>
      </w:r>
      <w:r>
        <w:rPr>
          <w:spacing w:val="-1"/>
        </w:rPr>
        <w:t>子公司与本公司采用的会计政策或会计期间不一致的，在编制合并财务报表时，按照本公司的会计政</w:t>
      </w:r>
    </w:p>
    <w:p>
      <w:pPr>
        <w:pStyle w:val="BodyText"/>
        <w:spacing w:line="408" w:lineRule="auto"/>
        <w:ind w:left="574" w:right="6132" w:hanging="420"/>
        <w:jc w:val="left"/>
      </w:pPr>
      <w:r>
        <w:rPr/>
        <w:t>策或会计期间对子公司财务报表进行必要的调整。 </w:t>
      </w:r>
      <w:r>
        <w:rPr>
          <w:rFonts w:ascii="宋体" w:hAnsi="宋体" w:cs="宋体" w:eastAsia="宋体" w:hint="default"/>
        </w:rPr>
        <w:t>3</w:t>
      </w:r>
      <w:r>
        <w:rPr/>
        <w:t>、合并财务报表抵销事项</w:t>
      </w:r>
    </w:p>
    <w:p>
      <w:pPr>
        <w:pStyle w:val="BodyText"/>
        <w:spacing w:line="408" w:lineRule="auto"/>
        <w:ind w:right="1023" w:firstLine="420"/>
        <w:jc w:val="left"/>
      </w:pPr>
      <w:r>
        <w:rPr/>
        <w:t>合并财务报表以母公司和子公司的资产负债表为基础，已抵销了母公司与子公司、子公司相互之间发 生的内部交易。子公司所有者权益中不属于母公司的份额，作为少数股东权益，在合并资产负债表中所有 </w:t>
      </w:r>
      <w:r>
        <w:rPr>
          <w:spacing w:val="-3"/>
        </w:rPr>
        <w:t>者权益项目下以“少数股东权益”项目列示。子公司持有母公司的长期股权投资，视为企业集团的库存股，</w:t>
      </w:r>
      <w:r>
        <w:rPr>
          <w:spacing w:val="-92"/>
        </w:rPr>
        <w:t> </w:t>
      </w:r>
      <w:r>
        <w:rPr>
          <w:spacing w:val="-92"/>
        </w:rPr>
      </w:r>
      <w:r>
        <w:rPr/>
        <w:t>作为所有者权益的减项，在合并资产负债表中所有者权益项目下以“减：库存股”项目列示。</w:t>
      </w:r>
    </w:p>
    <w:p>
      <w:pPr>
        <w:pStyle w:val="BodyText"/>
        <w:spacing w:line="408" w:lineRule="auto"/>
        <w:ind w:left="574" w:right="1092"/>
        <w:jc w:val="left"/>
      </w:pPr>
      <w:r>
        <w:rPr>
          <w:rFonts w:ascii="宋体" w:hAnsi="宋体" w:cs="宋体" w:eastAsia="宋体" w:hint="default"/>
        </w:rPr>
        <w:t>4</w:t>
      </w:r>
      <w:r>
        <w:rPr/>
        <w:t>、合并取得子公司会计处理 对于同一控制下企业合并取得的子公司，视同该企业合并于自最终控制方开始实时控制时已经发生，</w:t>
      </w:r>
    </w:p>
    <w:p>
      <w:pPr>
        <w:pStyle w:val="BodyText"/>
        <w:spacing w:line="408" w:lineRule="auto"/>
        <w:ind w:right="1131"/>
        <w:jc w:val="both"/>
      </w:pPr>
      <w:r>
        <w:rPr>
          <w:spacing w:val="-1"/>
        </w:rPr>
        <w:t>从合并当期的期初起将其资产、负债、经营成果和现金流量纳入合并财务报表；对于非同一控制下企业合</w:t>
      </w:r>
      <w:r>
        <w:rPr>
          <w:spacing w:val="-83"/>
        </w:rPr>
        <w:t> </w:t>
      </w:r>
      <w:r>
        <w:rPr>
          <w:spacing w:val="-83"/>
        </w:rPr>
      </w:r>
      <w:r>
        <w:rPr>
          <w:spacing w:val="-1"/>
        </w:rPr>
        <w:t>并取得的子公司，在编制合并财务报表时，以购买日可辨认净资产公允价值为基础对其个别财务报表进行</w:t>
      </w:r>
      <w:r>
        <w:rPr>
          <w:spacing w:val="-81"/>
        </w:rPr>
        <w:t> </w:t>
      </w:r>
      <w:r>
        <w:rPr>
          <w:spacing w:val="-81"/>
        </w:rPr>
      </w:r>
      <w:r>
        <w:rPr/>
        <w:t>调整。</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092"/>
        <w:jc w:val="left"/>
      </w:pPr>
      <w:r>
        <w:rPr>
          <w:rFonts w:ascii="宋体" w:hAnsi="宋体" w:cs="宋体" w:eastAsia="宋体" w:hint="default"/>
        </w:rPr>
        <w:t>1</w:t>
      </w:r>
      <w:r>
        <w:rPr/>
        <w:t>、合营安排的分类 合营安排分为共同经营和合营企业。未通过单独主体达成的合营安排，划分为共同经营。单独主体，</w:t>
      </w:r>
    </w:p>
    <w:p>
      <w:pPr>
        <w:pStyle w:val="BodyText"/>
        <w:spacing w:line="408" w:lineRule="auto"/>
        <w:ind w:right="1110"/>
        <w:jc w:val="both"/>
      </w:pPr>
      <w:r>
        <w:rPr/>
        <w:t>是指具有单独可辨认的财务架构的主体，包括单独的法人主体和不具备法人主体资格但法律认可的主体。 </w:t>
      </w:r>
      <w:r>
        <w:rPr>
          <w:spacing w:val="-1"/>
        </w:rPr>
        <w:t>通过单独主体达成的合营安排，通常划分为合营企业。相关事实和情况变化导致合营方在合营安排中享有</w:t>
      </w:r>
      <w:r>
        <w:rPr>
          <w:spacing w:val="-81"/>
        </w:rPr>
        <w:t> </w:t>
      </w:r>
      <w:r>
        <w:rPr>
          <w:spacing w:val="-81"/>
        </w:rPr>
      </w:r>
      <w:r>
        <w:rPr/>
        <w:t>的权利和承担的义务发生变化的，合营方对合营安排的分类进行重新评估。</w:t>
      </w:r>
    </w:p>
    <w:p>
      <w:pPr>
        <w:pStyle w:val="BodyText"/>
        <w:spacing w:line="408" w:lineRule="auto"/>
        <w:ind w:left="574" w:right="0"/>
        <w:jc w:val="left"/>
      </w:pPr>
      <w:r>
        <w:rPr>
          <w:rFonts w:ascii="宋体" w:hAnsi="宋体" w:cs="宋体" w:eastAsia="宋体" w:hint="default"/>
        </w:rPr>
        <w:t>2</w:t>
      </w:r>
      <w:r>
        <w:rPr/>
        <w:t>、共同经营的会计处理 </w:t>
      </w:r>
      <w:r>
        <w:rPr>
          <w:spacing w:val="-1"/>
        </w:rPr>
        <w:t>共同经营参与方应当确认其与共同经营中利益份额相关的下列项目，并按照相关企业会计准则的规定</w:t>
      </w:r>
    </w:p>
    <w:p>
      <w:pPr>
        <w:pStyle w:val="BodyText"/>
        <w:spacing w:line="408" w:lineRule="auto"/>
        <w:ind w:right="1131"/>
        <w:jc w:val="both"/>
      </w:pPr>
      <w:r>
        <w:rPr>
          <w:spacing w:val="-1"/>
        </w:rPr>
        <w:t>进行会计处理：确认单独所持有的资产或负债，以及按其份额确认共同持有的资产或负债；确认出售其享</w:t>
      </w:r>
      <w:r>
        <w:rPr>
          <w:spacing w:val="-83"/>
        </w:rPr>
        <w:t> </w:t>
      </w:r>
      <w:r>
        <w:rPr>
          <w:spacing w:val="-83"/>
        </w:rPr>
      </w:r>
      <w:r>
        <w:rPr>
          <w:spacing w:val="-1"/>
        </w:rPr>
        <w:t>有的共同经营产出份额所产生的收入；按其份额确认共同经营因出售产出所产生的收入；确认单独所发生</w:t>
      </w:r>
      <w:r>
        <w:rPr>
          <w:spacing w:val="-81"/>
        </w:rPr>
        <w:t> </w:t>
      </w:r>
      <w:r>
        <w:rPr>
          <w:spacing w:val="-81"/>
        </w:rPr>
      </w:r>
      <w:r>
        <w:rPr/>
        <w:t>的费用，以及按其份额确认共同经营发生的费用。</w:t>
      </w:r>
    </w:p>
    <w:p>
      <w:pPr>
        <w:pStyle w:val="BodyText"/>
        <w:spacing w:line="408" w:lineRule="auto"/>
        <w:ind w:right="1092" w:firstLine="420"/>
        <w:jc w:val="left"/>
      </w:pPr>
      <w:r>
        <w:rPr/>
        <w:t>对共同经营不享有共同控制的参与方，如果享有该共同经营相关资产且承担该共同经营相关负债的， 参照共同经营参与方的规定进行会计处理；否则，应当按照相关企业会计准则的规定进行会计处理。</w:t>
      </w:r>
    </w:p>
    <w:p>
      <w:pPr>
        <w:pStyle w:val="BodyText"/>
        <w:spacing w:line="240" w:lineRule="auto"/>
        <w:ind w:left="574" w:right="0"/>
        <w:jc w:val="left"/>
      </w:pPr>
      <w:r>
        <w:rPr>
          <w:rFonts w:ascii="宋体" w:hAnsi="宋体" w:cs="宋体" w:eastAsia="宋体" w:hint="default"/>
        </w:rPr>
        <w:t>3</w:t>
      </w:r>
      <w:r>
        <w:rPr/>
        <w:t>、合营企业的会计处理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t>合营企业参与方应当按照《企业会计准则第</w:t>
      </w:r>
      <w:r>
        <w:rPr>
          <w:spacing w:val="-63"/>
        </w:rPr>
        <w:t> </w:t>
      </w:r>
      <w:r>
        <w:rPr>
          <w:rFonts w:ascii="宋体" w:hAnsi="宋体" w:cs="宋体" w:eastAsia="宋体" w:hint="default"/>
        </w:rPr>
        <w:t>2</w:t>
      </w:r>
      <w:r>
        <w:rPr>
          <w:rFonts w:ascii="宋体" w:hAnsi="宋体" w:cs="宋体" w:eastAsia="宋体" w:hint="default"/>
          <w:spacing w:val="-64"/>
        </w:rPr>
        <w:t> </w:t>
      </w:r>
      <w:r>
        <w:rPr/>
        <w:t>号—长期股权投资》的规定对合营企业的投资进行会计 处理，不享有共同控制的参与方应当根据其对该合营企业的影响程度进行会计处理。</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本公司在编制现金流量表时所确定的现金，是指本公司库存现金以及可以随时用于支付的存款。在编</w:t>
      </w:r>
      <w:r>
        <w:rPr/>
        <w:t> </w:t>
      </w:r>
      <w:r>
        <w:rPr>
          <w:spacing w:val="-1"/>
        </w:rPr>
        <w:t>制现金流量表时所确定的现金等价物，是指持有的期限短、流动性强、易于转换为已知金额现金、价值变</w:t>
      </w:r>
      <w:r>
        <w:rPr>
          <w:spacing w:val="-86"/>
        </w:rPr>
        <w:t> </w:t>
      </w:r>
      <w:r>
        <w:rPr>
          <w:spacing w:val="-86"/>
        </w:rPr>
      </w:r>
      <w:r>
        <w:rPr/>
        <w:t>动风险很小的投资。</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rFonts w:ascii="宋体" w:hAnsi="宋体" w:cs="宋体" w:eastAsia="宋体" w:hint="default"/>
        </w:rPr>
        <w:t>1</w:t>
      </w:r>
      <w:r>
        <w:rPr/>
        <w:t>、外币业务折算 </w:t>
      </w:r>
      <w:r>
        <w:rPr>
          <w:spacing w:val="-1"/>
        </w:rPr>
        <w:t>本公司对发生的外币交易，采用与交易发生日即期汇率折合本位币入账。资产负债表日外币货币性项</w:t>
      </w:r>
    </w:p>
    <w:p>
      <w:pPr>
        <w:pStyle w:val="BodyText"/>
        <w:spacing w:line="408" w:lineRule="auto"/>
        <w:ind w:right="1131"/>
        <w:jc w:val="both"/>
      </w:pPr>
      <w:r>
        <w:rPr>
          <w:spacing w:val="-1"/>
        </w:rPr>
        <w:t>目按资产负债表日即期汇率折算，因该日的即期汇率与初始确认时或者前一资产负债表日即期汇率不同而</w:t>
      </w:r>
      <w:r>
        <w:rPr>
          <w:spacing w:val="-81"/>
        </w:rPr>
        <w:t> </w:t>
      </w:r>
      <w:r>
        <w:rPr>
          <w:spacing w:val="-81"/>
        </w:rPr>
      </w:r>
      <w:r>
        <w:rPr>
          <w:spacing w:val="-1"/>
        </w:rPr>
        <w:t>产生的汇兑差额，除符合资本化条件的外币专门借款的汇兑差额在资本化期间予以资本化计入相关资产的</w:t>
      </w:r>
      <w:r>
        <w:rPr>
          <w:spacing w:val="-81"/>
        </w:rPr>
        <w:t> </w:t>
      </w:r>
      <w:r>
        <w:rPr>
          <w:spacing w:val="-81"/>
        </w:rPr>
      </w:r>
      <w:r>
        <w:rPr>
          <w:spacing w:val="-1"/>
        </w:rPr>
        <w:t>成本外，均计入当期损益。以历史成本计量的外币非货币性项目，仍采用交易发生日的即期汇率折算，不</w:t>
      </w:r>
      <w:r>
        <w:rPr>
          <w:spacing w:val="-85"/>
        </w:rPr>
        <w:t> </w:t>
      </w:r>
      <w:r>
        <w:rPr>
          <w:spacing w:val="-85"/>
        </w:rPr>
      </w:r>
      <w:r>
        <w:rPr>
          <w:spacing w:val="-1"/>
        </w:rPr>
        <w:t>改变其记账本位币金额。以公允价值计量的外币非货币性项目，采用公允价值确定日的即期汇率折算，折</w:t>
      </w:r>
      <w:r>
        <w:rPr>
          <w:spacing w:val="-83"/>
        </w:rPr>
        <w:t> </w:t>
      </w:r>
      <w:r>
        <w:rPr>
          <w:spacing w:val="-83"/>
        </w:rPr>
      </w:r>
      <w:r>
        <w:rPr>
          <w:spacing w:val="-1"/>
        </w:rPr>
        <w:t>算后的记账本位币金额与原记账本位币金额的差额，作为公允价值变动</w:t>
      </w:r>
      <w:r>
        <w:rPr>
          <w:rFonts w:ascii="宋体" w:hAnsi="宋体" w:cs="宋体" w:eastAsia="宋体" w:hint="default"/>
          <w:spacing w:val="-1"/>
        </w:rPr>
        <w:t>(</w:t>
      </w:r>
      <w:r>
        <w:rPr>
          <w:spacing w:val="-1"/>
        </w:rPr>
        <w:t>含汇率变动</w:t>
      </w:r>
      <w:r>
        <w:rPr>
          <w:rFonts w:ascii="宋体" w:hAnsi="宋体" w:cs="宋体" w:eastAsia="宋体" w:hint="default"/>
          <w:spacing w:val="-1"/>
        </w:rPr>
        <w:t>)</w:t>
      </w:r>
      <w:r>
        <w:rPr>
          <w:spacing w:val="-1"/>
        </w:rPr>
        <w:t>处理，计入当期损益</w:t>
      </w:r>
      <w:r>
        <w:rPr>
          <w:spacing w:val="-84"/>
        </w:rPr>
        <w:t> </w:t>
      </w:r>
      <w:r>
        <w:rPr>
          <w:spacing w:val="-84"/>
        </w:rPr>
      </w:r>
      <w:r>
        <w:rPr/>
        <w:t>或确认为其他综合收益。</w:t>
      </w:r>
    </w:p>
    <w:p>
      <w:pPr>
        <w:pStyle w:val="BodyText"/>
        <w:spacing w:line="408" w:lineRule="auto"/>
        <w:ind w:left="574" w:right="0"/>
        <w:jc w:val="left"/>
      </w:pPr>
      <w:r>
        <w:rPr>
          <w:rFonts w:ascii="宋体" w:hAnsi="宋体" w:cs="宋体" w:eastAsia="宋体" w:hint="default"/>
        </w:rPr>
        <w:t>2</w:t>
      </w:r>
      <w:r>
        <w:rPr/>
        <w:t>、外币财务报表折算 </w:t>
      </w:r>
      <w:r>
        <w:rPr>
          <w:spacing w:val="-1"/>
        </w:rPr>
        <w:t>本公司的控股子公司、合营企业、联营企业等，若采用与本公司不同的记账本位币，需对其外币财务</w:t>
      </w:r>
    </w:p>
    <w:p>
      <w:pPr>
        <w:pStyle w:val="BodyText"/>
        <w:spacing w:line="408" w:lineRule="auto"/>
        <w:ind w:right="1131"/>
        <w:jc w:val="both"/>
      </w:pPr>
      <w:r>
        <w:rPr>
          <w:spacing w:val="-1"/>
        </w:rPr>
        <w:t>报表折算后，再进行会计核算及合并财务报表的编报。资产负债表中的资产和负债项目，采用资产负债表</w:t>
      </w:r>
      <w:r>
        <w:rPr>
          <w:spacing w:val="-83"/>
        </w:rPr>
        <w:t> </w:t>
      </w:r>
      <w:r>
        <w:rPr>
          <w:spacing w:val="-83"/>
        </w:rPr>
      </w:r>
      <w:r>
        <w:rPr>
          <w:spacing w:val="-1"/>
        </w:rPr>
        <w:t>日的即期汇率折算，所有者权益项目除“未分配利润”项目外，其他项目采用发生时的即期汇率折算。利</w:t>
      </w:r>
      <w:r>
        <w:rPr>
          <w:spacing w:val="-83"/>
        </w:rPr>
        <w:t> </w:t>
      </w:r>
      <w:r>
        <w:rPr>
          <w:spacing w:val="-83"/>
        </w:rPr>
      </w:r>
      <w:r>
        <w:rPr>
          <w:spacing w:val="-1"/>
        </w:rPr>
        <w:t>润表中的收入和费用项目，采用交易发生日的即期汇率折算。折算产生的外币财务报表折算差额，在资产</w:t>
      </w:r>
      <w:r>
        <w:rPr>
          <w:spacing w:val="-83"/>
        </w:rPr>
        <w:t> </w:t>
      </w:r>
      <w:r>
        <w:rPr>
          <w:spacing w:val="-83"/>
        </w:rPr>
      </w:r>
      <w:r>
        <w:rPr>
          <w:spacing w:val="-1"/>
        </w:rPr>
        <w:t>负债表中所有者权益项目其他综合收益下列示。外币现金流量按照系统合理方法确定的，采用交易发生日</w:t>
      </w:r>
      <w:r>
        <w:rPr>
          <w:spacing w:val="-81"/>
        </w:rPr>
        <w:t> </w:t>
      </w:r>
      <w:r>
        <w:rPr>
          <w:spacing w:val="-81"/>
        </w:rPr>
      </w:r>
      <w:r>
        <w:rPr>
          <w:spacing w:val="-1"/>
        </w:rPr>
        <w:t>的即期汇率折算。汇率变动对现金的影响额，在现金流量表中单独列示。处置境外经营时，与该境外经营</w:t>
      </w:r>
      <w:r>
        <w:rPr>
          <w:spacing w:val="-86"/>
        </w:rPr>
        <w:t> </w:t>
      </w:r>
      <w:r>
        <w:rPr>
          <w:spacing w:val="-86"/>
        </w:rPr>
      </w:r>
      <w:r>
        <w:rPr/>
        <w:t>有关的外币报表折算差额，全部或按处置该境外经营的比例转入处置当期损益。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rFonts w:ascii="宋体" w:hAnsi="宋体" w:cs="宋体" w:eastAsia="宋体" w:hint="default"/>
        </w:rPr>
        <w:t>1</w:t>
      </w:r>
      <w:r>
        <w:rPr/>
        <w:t>、金融工具的分类及确认 </w:t>
      </w:r>
      <w:r>
        <w:rPr>
          <w:spacing w:val="-1"/>
        </w:rPr>
        <w:t>金融工具划分为金融资产或金融负债和权益工具。本公司成为金融工具合同的一方时，确认为一项金</w:t>
      </w:r>
    </w:p>
    <w:p>
      <w:pPr>
        <w:pStyle w:val="BodyText"/>
        <w:spacing w:line="240" w:lineRule="auto"/>
        <w:ind w:right="0"/>
        <w:jc w:val="both"/>
      </w:pPr>
      <w:r>
        <w:rPr/>
        <w:t>融资产或金融负债，或权益工具。</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17" w:firstLine="420"/>
        <w:jc w:val="left"/>
      </w:pPr>
      <w:r>
        <w:rPr>
          <w:spacing w:val="-3"/>
        </w:rPr>
        <w:t>金融资产于初始确认时分类为：以公允价值计量且其变动计入当期损益的金融资产、持有至到期投资、</w:t>
      </w:r>
      <w:r>
        <w:rPr/>
        <w:t> 应收款项、可供出售金融资产。除应收款项以外的金融资产的分类取决于本公司及其子公司对金融资产的 持有意图和持有能力等。金融负债于初始确认时分类为：以公允价值计量且其变动计入当期损益的金融负 债以及其他金融负债。</w:t>
      </w:r>
    </w:p>
    <w:p>
      <w:pPr>
        <w:pStyle w:val="BodyText"/>
        <w:spacing w:line="408" w:lineRule="auto"/>
        <w:ind w:right="1131" w:firstLine="420"/>
        <w:jc w:val="both"/>
      </w:pPr>
      <w:r>
        <w:rPr>
          <w:spacing w:val="3"/>
        </w:rPr>
        <w:t>以公允价值计量且其变动计入当期损益的金融资产包括持有目的为短期内出售的交易性金融资产和</w:t>
      </w:r>
      <w:r>
        <w:rPr/>
        <w:t> </w:t>
      </w:r>
      <w:r>
        <w:rPr>
          <w:spacing w:val="-1"/>
        </w:rPr>
        <w:t>初始确认时指定为以公允价值计量且其变动计入当期损益的金融资产；应收款项是指在活跃市场中没有报</w:t>
      </w:r>
      <w:r>
        <w:rPr>
          <w:spacing w:val="-81"/>
        </w:rPr>
        <w:t> </w:t>
      </w:r>
      <w:r>
        <w:rPr>
          <w:spacing w:val="-81"/>
        </w:rPr>
      </w:r>
      <w:r>
        <w:rPr>
          <w:spacing w:val="-1"/>
        </w:rPr>
        <w:t>价、回收金额固定或可确定的非衍生金融资产；可供出售金融资产包括初始确认时即被指定为可供出售的</w:t>
      </w:r>
      <w:r>
        <w:rPr>
          <w:spacing w:val="-81"/>
        </w:rPr>
        <w:t> </w:t>
      </w:r>
      <w:r>
        <w:rPr>
          <w:spacing w:val="-81"/>
        </w:rPr>
      </w:r>
      <w:r>
        <w:rPr>
          <w:spacing w:val="-1"/>
        </w:rPr>
        <w:t>非衍生金融资产及未被划分为其他类的金融资产；持有至到期投资是指到期日固定、回收金额固定或可确</w:t>
      </w:r>
      <w:r>
        <w:rPr>
          <w:spacing w:val="-81"/>
        </w:rPr>
        <w:t> </w:t>
      </w:r>
      <w:r>
        <w:rPr>
          <w:spacing w:val="-81"/>
        </w:rPr>
      </w:r>
      <w:r>
        <w:rPr/>
        <w:t>定，且管理层有明确意图和能力持有至到期的非衍生金融资产。</w:t>
      </w:r>
    </w:p>
    <w:p>
      <w:pPr>
        <w:pStyle w:val="BodyText"/>
        <w:spacing w:line="408" w:lineRule="auto"/>
        <w:ind w:left="574" w:right="0"/>
        <w:jc w:val="left"/>
      </w:pPr>
      <w:r>
        <w:rPr>
          <w:rFonts w:ascii="宋体" w:hAnsi="宋体" w:cs="宋体" w:eastAsia="宋体" w:hint="default"/>
        </w:rPr>
        <w:t>2</w:t>
      </w:r>
      <w:r>
        <w:rPr/>
        <w:t>、金融工具的计量 </w:t>
      </w:r>
      <w:r>
        <w:rPr>
          <w:spacing w:val="-1"/>
        </w:rPr>
        <w:t>本公司金融工具始确认按公允价值计量。后续计量分类为：以公允价值计量且其变动计入当期损益的</w:t>
      </w:r>
    </w:p>
    <w:p>
      <w:pPr>
        <w:pStyle w:val="BodyText"/>
        <w:spacing w:line="408" w:lineRule="auto"/>
        <w:ind w:right="1131"/>
        <w:jc w:val="both"/>
      </w:pPr>
      <w:r>
        <w:rPr>
          <w:spacing w:val="-1"/>
        </w:rPr>
        <w:t>金融资产、可供出售金融资产及以公允价值计量且其变动计入当期损益的金融负债按公允价值计量；持有</w:t>
      </w:r>
      <w:r>
        <w:rPr>
          <w:spacing w:val="-81"/>
        </w:rPr>
        <w:t> </w:t>
      </w:r>
      <w:r>
        <w:rPr>
          <w:spacing w:val="-81"/>
        </w:rPr>
      </w:r>
      <w:r>
        <w:rPr>
          <w:spacing w:val="-1"/>
        </w:rPr>
        <w:t>到期投资、贷款和应收款项以及其他金融负债按摊余成本计量；在活跃市场中没有报价且其公允价值不能</w:t>
      </w:r>
      <w:r>
        <w:rPr>
          <w:spacing w:val="-81"/>
        </w:rPr>
        <w:t> </w:t>
      </w:r>
      <w:r>
        <w:rPr>
          <w:spacing w:val="-81"/>
        </w:rPr>
      </w:r>
      <w:r>
        <w:rPr>
          <w:spacing w:val="-1"/>
        </w:rPr>
        <w:t>可靠计量的权益工具投资，以及与该权益工具挂钩并须通过交付该权益工具结算的衍生金融资产或者衍生</w:t>
      </w:r>
      <w:r>
        <w:rPr>
          <w:spacing w:val="-81"/>
        </w:rPr>
        <w:t> </w:t>
      </w:r>
      <w:r>
        <w:rPr>
          <w:spacing w:val="-81"/>
        </w:rPr>
      </w:r>
      <w:r>
        <w:rPr>
          <w:spacing w:val="-1"/>
        </w:rPr>
        <w:t>金融负债，按照成本计量。本公司金融资产或金融负债后续计量中公允价值变动形成的利得或损失，除与</w:t>
      </w:r>
      <w:r>
        <w:rPr>
          <w:spacing w:val="-83"/>
        </w:rPr>
        <w:t> </w:t>
      </w:r>
      <w:r>
        <w:rPr>
          <w:spacing w:val="-83"/>
        </w:rPr>
      </w:r>
      <w:r>
        <w:rPr>
          <w:spacing w:val="-1"/>
        </w:rPr>
        <w:t>套期保值有关外，按照如下方法处理：①以公允价值计量且其变动计入当期损益的金融资产或金融负债公</w:t>
      </w:r>
      <w:r>
        <w:rPr>
          <w:spacing w:val="-81"/>
        </w:rPr>
        <w:t> </w:t>
      </w:r>
      <w:r>
        <w:rPr>
          <w:spacing w:val="-81"/>
        </w:rPr>
      </w:r>
      <w:r>
        <w:rPr>
          <w:spacing w:val="-1"/>
        </w:rPr>
        <w:t>允价值变动形成的利得或损失，计入公允价值变动损益。②可供出售金融资产的公允价值变动计入其他综</w:t>
      </w:r>
      <w:r>
        <w:rPr>
          <w:spacing w:val="-81"/>
        </w:rPr>
        <w:t> </w:t>
      </w:r>
      <w:r>
        <w:rPr>
          <w:spacing w:val="-81"/>
        </w:rPr>
      </w:r>
      <w:r>
        <w:rPr/>
        <w:t>合收益。</w:t>
      </w:r>
    </w:p>
    <w:p>
      <w:pPr>
        <w:pStyle w:val="BodyText"/>
        <w:spacing w:line="408" w:lineRule="auto"/>
        <w:ind w:left="574" w:right="1092"/>
        <w:jc w:val="left"/>
      </w:pPr>
      <w:r>
        <w:rPr>
          <w:rFonts w:ascii="宋体" w:hAnsi="宋体" w:cs="宋体" w:eastAsia="宋体" w:hint="default"/>
        </w:rPr>
        <w:t>3</w:t>
      </w:r>
      <w:r>
        <w:rPr/>
        <w:t>、本公司对金融工具的公允价值的确认方法 如存在活跃市场的金融工具，以活跃市场中的报价确定其公允价值；如不存在活跃市场的金融工具，</w:t>
      </w:r>
    </w:p>
    <w:p>
      <w:pPr>
        <w:pStyle w:val="BodyText"/>
        <w:spacing w:line="408" w:lineRule="auto"/>
        <w:ind w:left="574" w:right="0" w:hanging="420"/>
        <w:jc w:val="left"/>
      </w:pPr>
      <w:r>
        <w:rPr/>
        <w:t>采用估值技术确定其公允价值。估值技术主要包括市场法、收益法和成本法。 </w:t>
      </w:r>
      <w:r>
        <w:rPr>
          <w:rFonts w:ascii="宋体" w:hAnsi="宋体" w:cs="宋体" w:eastAsia="宋体" w:hint="default"/>
        </w:rPr>
        <w:t>4</w:t>
      </w:r>
      <w:r>
        <w:rPr/>
        <w:t>、金融资产负债转移的确认依据和计量方法 </w:t>
      </w:r>
      <w:r>
        <w:rPr>
          <w:spacing w:val="-1"/>
        </w:rPr>
        <w:t>金融资产所有权上几乎所有的风险和报酬转移时，或既没有转移也没有保留金融资产所有权上几乎所</w:t>
      </w:r>
    </w:p>
    <w:p>
      <w:pPr>
        <w:pStyle w:val="BodyText"/>
        <w:spacing w:line="408" w:lineRule="auto"/>
        <w:ind w:right="1023"/>
        <w:jc w:val="left"/>
      </w:pPr>
      <w:r>
        <w:rPr/>
        <w:t>有的风险和报酬，但放弃了对该金融资产控制的，应当终止确认该项金融资产。金融资产满足终止确认条 件的，将所转移金融资产的账面价值与因转移而收到的对价和原直接计入其他综合收益的公允价值变动累 </w:t>
      </w:r>
      <w:r>
        <w:rPr>
          <w:spacing w:val="-3"/>
        </w:rPr>
        <w:t>计额之和的差额部分，计入当期损益。部分转移满足终止确认条件的，将所转移金融资产整体的账面价值，</w:t>
      </w:r>
      <w:r>
        <w:rPr>
          <w:spacing w:val="-90"/>
        </w:rPr>
        <w:t> </w:t>
      </w:r>
      <w:r>
        <w:rPr>
          <w:spacing w:val="-90"/>
        </w:rPr>
      </w:r>
      <w:r>
        <w:rPr/>
        <w:t>在终止确认部分和未终止确认部分之间，按照各自的相对公允价值进行分摊。</w:t>
      </w:r>
    </w:p>
    <w:p>
      <w:pPr>
        <w:pStyle w:val="BodyText"/>
        <w:spacing w:line="408" w:lineRule="auto"/>
        <w:ind w:left="574" w:right="1115"/>
        <w:jc w:val="left"/>
      </w:pPr>
      <w:r>
        <w:rPr/>
        <w:t>金融负债的现时义务全部或部分已经解除的，则应终止确认该金融负债或其一部分。 </w:t>
      </w:r>
      <w:r>
        <w:rPr>
          <w:rFonts w:ascii="宋体" w:hAnsi="宋体" w:cs="宋体" w:eastAsia="宋体" w:hint="default"/>
        </w:rPr>
        <w:t>5</w:t>
      </w:r>
      <w:r>
        <w:rPr/>
        <w:t>、金融资产减值 </w:t>
      </w: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pStyle w:val="BodyText"/>
        <w:spacing w:line="408" w:lineRule="auto"/>
        <w:ind w:right="1132" w:firstLine="420"/>
        <w:jc w:val="both"/>
      </w:pPr>
      <w:r>
        <w:rPr>
          <w:spacing w:val="-1"/>
        </w:rPr>
        <w:t>以成本计量的金融资产发生减值时，以账面价值与按照类似金融资产当时市场收益率对未来现金流量</w:t>
      </w:r>
      <w:r>
        <w:rPr/>
        <w:t> 折现确定的现值之间的差额，计提减值准备。</w:t>
      </w:r>
    </w:p>
    <w:p>
      <w:pPr>
        <w:pStyle w:val="BodyText"/>
        <w:spacing w:line="408" w:lineRule="auto"/>
        <w:ind w:right="1131" w:firstLine="420"/>
        <w:jc w:val="both"/>
      </w:pPr>
      <w:r>
        <w:rPr>
          <w:spacing w:val="-1"/>
        </w:rPr>
        <w:t>当有客观证据表明可供出售金融资产发生减值时，原直接计入股东权益的因公允价值下降形成的累计</w:t>
      </w:r>
      <w:r>
        <w:rPr/>
        <w:t> </w:t>
      </w:r>
      <w:r>
        <w:rPr>
          <w:spacing w:val="-1"/>
        </w:rPr>
        <w:t>损失予以转出并计入减值损失。对已确认减值损失的可供出售债务工具投资，在期后公允价值上升且客观</w:t>
      </w:r>
      <w:r>
        <w:rPr>
          <w:spacing w:val="-81"/>
        </w:rPr>
        <w:t> </w:t>
      </w:r>
      <w:r>
        <w:rPr>
          <w:spacing w:val="-81"/>
        </w:rPr>
      </w:r>
      <w:r>
        <w:rPr>
          <w:spacing w:val="-1"/>
        </w:rPr>
        <w:t>上与确认原减值损失后发生的事项有关的，原确认的减值损失予以转回并计入当期损益。对已确认减值损</w:t>
      </w:r>
      <w:r>
        <w:rPr>
          <w:spacing w:val="-81"/>
        </w:rPr>
        <w:t> </w:t>
      </w:r>
      <w:r>
        <w:rPr>
          <w:spacing w:val="-81"/>
        </w:rPr>
      </w:r>
      <w:r>
        <w:rPr/>
        <w:t>失的可供出售权益工具投资，期后公允价值上升直接计入股东权益。</w:t>
      </w:r>
    </w:p>
    <w:p>
      <w:pPr>
        <w:pStyle w:val="BodyText"/>
        <w:spacing w:line="408" w:lineRule="auto"/>
        <w:ind w:right="1130" w:firstLine="420"/>
        <w:jc w:val="both"/>
      </w:pPr>
      <w:r>
        <w:rPr>
          <w:spacing w:val="-1"/>
        </w:rPr>
        <w:t>对于权益工具投资，本公司判断其公允价值发生“严重”或“非暂时性”下跌的具体量化标准、成本</w:t>
      </w:r>
      <w:r>
        <w:rPr/>
        <w:t> 的计算方法、期末公允价值的确定方法，以及持续下跌期间的确定依据为：</w:t>
      </w:r>
    </w:p>
    <w:tbl>
      <w:tblPr>
        <w:tblW w:w="0" w:type="auto"/>
        <w:jc w:val="left"/>
        <w:tblInd w:w="126" w:type="dxa"/>
        <w:tblLayout w:type="fixed"/>
        <w:tblCellMar>
          <w:top w:w="0" w:type="dxa"/>
          <w:left w:w="0" w:type="dxa"/>
          <w:bottom w:w="0" w:type="dxa"/>
          <w:right w:w="0" w:type="dxa"/>
        </w:tblCellMar>
        <w:tblLook w:val="01E0"/>
      </w:tblPr>
      <w:tblGrid>
        <w:gridCol w:w="3692"/>
        <w:gridCol w:w="5763"/>
      </w:tblGrid>
      <w:tr>
        <w:trPr>
          <w:trHeight w:val="352" w:hRule="exact"/>
        </w:trPr>
        <w:tc>
          <w:tcPr>
            <w:tcW w:w="3692"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7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53" w:hRule="exact"/>
        </w:trPr>
        <w:tc>
          <w:tcPr>
            <w:tcW w:w="3692"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7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664" w:hRule="exact"/>
        </w:trPr>
        <w:tc>
          <w:tcPr>
            <w:tcW w:w="3692"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60"/>
              <w:ind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76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
              <w:ind w:left="-1" w:right="1"/>
              <w:jc w:val="left"/>
              <w:rPr>
                <w:rFonts w:ascii="宋体" w:hAnsi="宋体" w:cs="宋体" w:eastAsia="宋体" w:hint="default"/>
                <w:sz w:val="18"/>
                <w:szCs w:val="18"/>
              </w:rPr>
            </w:pPr>
            <w:r>
              <w:rPr>
                <w:rFonts w:ascii="宋体" w:hAnsi="宋体" w:cs="宋体" w:eastAsia="宋体" w:hint="default"/>
                <w:spacing w:val="-1"/>
                <w:sz w:val="18"/>
                <w:szCs w:val="18"/>
              </w:rPr>
              <w:t>取得时按支付对价（扣除已宣告但尚未发放的现金股利或已到付息期但尚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未领取的债券利息）和相关交易费用之和作为投资成本。</w:t>
            </w:r>
          </w:p>
        </w:tc>
      </w:tr>
      <w:tr>
        <w:trPr>
          <w:trHeight w:val="664" w:hRule="exact"/>
        </w:trPr>
        <w:tc>
          <w:tcPr>
            <w:tcW w:w="3692"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60"/>
              <w:ind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76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4"/>
              <w:ind w:left="-1" w:right="1"/>
              <w:jc w:val="left"/>
              <w:rPr>
                <w:rFonts w:ascii="宋体" w:hAnsi="宋体" w:cs="宋体" w:eastAsia="宋体" w:hint="default"/>
                <w:sz w:val="18"/>
                <w:szCs w:val="18"/>
              </w:rPr>
            </w:pPr>
            <w:r>
              <w:rPr>
                <w:rFonts w:ascii="宋体" w:hAnsi="宋体" w:cs="宋体" w:eastAsia="宋体" w:hint="default"/>
                <w:spacing w:val="-1"/>
                <w:sz w:val="18"/>
                <w:szCs w:val="18"/>
              </w:rPr>
              <w:t>存在活跃市场的金融工具，以活跃市场中的报价确定其公允价值；如不存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在活跃市场的金融工具，采用估值技术确定其公允价值。</w:t>
            </w:r>
          </w:p>
        </w:tc>
      </w:tr>
      <w:tr>
        <w:trPr>
          <w:trHeight w:val="665" w:hRule="exact"/>
        </w:trPr>
        <w:tc>
          <w:tcPr>
            <w:tcW w:w="3692"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60"/>
              <w:ind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763"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4"/>
              <w:ind w:left="-1" w:right="1"/>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Times New Roman" w:hAnsi="Times New Roman" w:cs="Times New Roman" w:eastAsia="Times New Roman" w:hint="default"/>
                <w:sz w:val="18"/>
                <w:szCs w:val="18"/>
              </w:rPr>
              <w:t>20%</w:t>
            </w:r>
            <w:r>
              <w:rPr>
                <w:rFonts w:ascii="宋体" w:hAnsi="宋体" w:cs="宋体" w:eastAsia="宋体" w:hint="default"/>
                <w:sz w:val="18"/>
                <w:szCs w:val="18"/>
              </w:rPr>
              <w:t>，反弹持续时间未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超过</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个月的均作为持续下跌期间。</w:t>
            </w:r>
          </w:p>
        </w:tc>
      </w:tr>
    </w:tbl>
    <w:p>
      <w:pPr>
        <w:spacing w:line="240" w:lineRule="auto" w:before="12"/>
        <w:rPr>
          <w:rFonts w:ascii="宋体" w:hAnsi="宋体" w:cs="宋体" w:eastAsia="宋体" w:hint="default"/>
          <w:sz w:val="17"/>
          <w:szCs w:val="17"/>
        </w:rPr>
      </w:pPr>
    </w:p>
    <w:p>
      <w:pPr>
        <w:pStyle w:val="Heading4"/>
        <w:spacing w:line="240" w:lineRule="auto" w:before="35"/>
        <w:ind w:right="0"/>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785"/>
        <w:gridCol w:w="4785"/>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应收款项账面余额在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万元以上或占应收款项账面余额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以上的款项（剔除已认定为低风险关联方款项）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5280"/>
        <w:gridCol w:w="4290"/>
      </w:tblGrid>
      <w:tr>
        <w:trPr>
          <w:trHeight w:val="402" w:hRule="exact"/>
        </w:trPr>
        <w:tc>
          <w:tcPr>
            <w:tcW w:w="5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9"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1338" w:hRule="exact"/>
        </w:trPr>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单项金额重大但不用单项计提坏账准备的款项，汇同单项金额不重 大的应收款项（剔除已单项计提坏账准备的单项金额不重大款项和 </w:t>
            </w:r>
            <w:r>
              <w:rPr>
                <w:rFonts w:ascii="宋体" w:hAnsi="宋体" w:cs="宋体" w:eastAsia="宋体" w:hint="default"/>
                <w:spacing w:val="-6"/>
                <w:sz w:val="18"/>
                <w:szCs w:val="18"/>
              </w:rPr>
              <w:t>已认定为低风险应收关联方款项），按账龄作为判断信用风险特征的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主要依据划分资产组合，并根据公司确定的比例计提坏账准备。</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应收关联方款项等风险不大的款项</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785"/>
        <w:gridCol w:w="4785"/>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年以上的应收款项且有客观证据表明其发生了减值</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574" w:right="0"/>
        <w:jc w:val="left"/>
      </w:pPr>
      <w:r>
        <w:rPr>
          <w:rFonts w:ascii="宋体" w:hAnsi="宋体" w:cs="宋体" w:eastAsia="宋体" w:hint="default"/>
        </w:rPr>
        <w:t>1</w:t>
      </w:r>
      <w:r>
        <w:rPr/>
        <w:t>、存货的分类 </w:t>
      </w:r>
      <w:r>
        <w:rPr>
          <w:spacing w:val="-1"/>
        </w:rPr>
        <w:t>存货是指本公司在日常活动中持有以备出售的产成品或商品、处在生产过程中的在产品、在生产过程</w:t>
      </w:r>
    </w:p>
    <w:p>
      <w:pPr>
        <w:pStyle w:val="BodyText"/>
        <w:spacing w:line="408" w:lineRule="auto"/>
        <w:ind w:right="0"/>
        <w:jc w:val="left"/>
      </w:pPr>
      <w:r>
        <w:rPr>
          <w:spacing w:val="-1"/>
        </w:rPr>
        <w:t>或提供劳务过程中耗用的材料和物料等。公司存货包括原材料、周转材料、委托加工材料、包装物、低值</w:t>
      </w:r>
      <w:r>
        <w:rPr>
          <w:spacing w:val="-83"/>
        </w:rPr>
        <w:t> </w:t>
      </w:r>
      <w:r>
        <w:rPr>
          <w:spacing w:val="-83"/>
        </w:rPr>
      </w:r>
      <w:r>
        <w:rPr>
          <w:spacing w:val="-4"/>
        </w:rPr>
        <w:t>易耗品、在产品、自制半成品、产成品（库存商品）、工程施工等。</w:t>
      </w:r>
    </w:p>
    <w:p>
      <w:pPr>
        <w:pStyle w:val="BodyText"/>
        <w:spacing w:line="408" w:lineRule="auto"/>
        <w:ind w:left="574" w:right="4032"/>
        <w:jc w:val="left"/>
      </w:pPr>
      <w:r>
        <w:rPr>
          <w:rFonts w:ascii="宋体" w:hAnsi="宋体" w:cs="宋体" w:eastAsia="宋体" w:hint="default"/>
        </w:rPr>
        <w:t>2</w:t>
      </w:r>
      <w:r>
        <w:rPr/>
        <w:t>、发出存货的计价方法 存货发出时，采取加权平均法或个别计价法确定其发出的实际成本。 </w:t>
      </w:r>
      <w:r>
        <w:rPr>
          <w:rFonts w:ascii="宋体" w:hAnsi="宋体" w:cs="宋体" w:eastAsia="宋体" w:hint="default"/>
        </w:rPr>
        <w:t>3</w:t>
      </w:r>
      <w:r>
        <w:rPr/>
        <w:t>、存货跌价准备的计提方法</w:t>
      </w:r>
    </w:p>
    <w:p>
      <w:pPr>
        <w:pStyle w:val="BodyText"/>
        <w:spacing w:line="408" w:lineRule="auto"/>
        <w:ind w:right="1131" w:firstLine="420"/>
        <w:jc w:val="both"/>
      </w:pPr>
      <w:r>
        <w:rPr>
          <w:spacing w:val="-1"/>
        </w:rPr>
        <w:t>资产负债表日，存货按照成本与可变现净值孰低计量，并按单个存货项目计提存货跌价准备，但对于</w:t>
      </w:r>
      <w:r>
        <w:rPr/>
        <w:t> 数量繁多、单价较低的存货，按照存货类别计提存货跌价准备。</w:t>
      </w:r>
    </w:p>
    <w:p>
      <w:pPr>
        <w:pStyle w:val="BodyText"/>
        <w:spacing w:line="408" w:lineRule="auto"/>
        <w:ind w:right="1131" w:firstLine="420"/>
        <w:jc w:val="both"/>
      </w:pPr>
      <w:r>
        <w:rPr>
          <w:spacing w:val="-1"/>
        </w:rPr>
        <w:t>可变现净值是指在日常活动中，存货的估计售价减去至完工时估计将要发生的成本、估计的销售费用</w:t>
      </w:r>
      <w:r>
        <w:rPr/>
        <w:t> </w:t>
      </w: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240" w:lineRule="auto"/>
        <w:ind w:left="574" w:right="0"/>
        <w:jc w:val="left"/>
      </w:pPr>
      <w:r>
        <w:rPr>
          <w:rFonts w:ascii="宋体" w:hAnsi="宋体" w:cs="宋体" w:eastAsia="宋体" w:hint="default"/>
        </w:rPr>
        <w:t>4</w:t>
      </w:r>
      <w:r>
        <w:rPr/>
        <w:t>、存货的盘存制度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6342"/>
        <w:jc w:val="left"/>
      </w:pPr>
      <w:r>
        <w:rPr/>
        <w:t>本公司的存货盘存制度为永续盘存制。 </w:t>
      </w:r>
      <w:r>
        <w:rPr>
          <w:rFonts w:ascii="宋体" w:hAnsi="宋体" w:cs="宋体" w:eastAsia="宋体" w:hint="default"/>
        </w:rPr>
        <w:t>5</w:t>
      </w:r>
      <w:r>
        <w:rPr/>
        <w:t>、低值易耗品和包装物的摊销方法 低值易耗品和包装物采用一次转销法摊销</w:t>
      </w:r>
      <w:r>
        <w:rPr>
          <w:color w:val="000099"/>
        </w:rPr>
        <w:t>。</w:t>
      </w:r>
      <w:r>
        <w:rPr/>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本公司将同时满足下列条件的非流动资产或处置组划分为持有待售类别：一是根据类似交易中出售此</w:t>
      </w:r>
      <w:r>
        <w:rPr/>
        <w:t> </w:t>
      </w:r>
      <w:r>
        <w:rPr>
          <w:spacing w:val="-1"/>
        </w:rPr>
        <w:t>类资产或处置组的惯例，在当前状况下即可立即出售；二是出售极可能发生，即企业已经就一项出售计划</w:t>
      </w:r>
      <w:r>
        <w:rPr>
          <w:spacing w:val="-83"/>
        </w:rPr>
        <w:t> </w:t>
      </w:r>
      <w:r>
        <w:rPr>
          <w:spacing w:val="-83"/>
        </w:rPr>
      </w:r>
      <w:r>
        <w:rPr>
          <w:spacing w:val="-1"/>
        </w:rPr>
        <w:t>作出决议且获得确定的购买承诺，预计出售将在一年内完成。有关规定要求企业相关权力机构或者监管部</w:t>
      </w:r>
      <w:r>
        <w:rPr>
          <w:spacing w:val="-81"/>
        </w:rPr>
        <w:t> </w:t>
      </w:r>
      <w:r>
        <w:rPr>
          <w:spacing w:val="-81"/>
        </w:rPr>
      </w:r>
      <w:r>
        <w:rPr/>
        <w:t>门批准后方可出售的，应当已经获得批准。</w:t>
      </w:r>
    </w:p>
    <w:p>
      <w:pPr>
        <w:pStyle w:val="BodyText"/>
        <w:spacing w:line="408" w:lineRule="auto"/>
        <w:ind w:right="1131" w:firstLine="420"/>
        <w:jc w:val="both"/>
      </w:pPr>
      <w:r>
        <w:rPr>
          <w:spacing w:val="-1"/>
        </w:rPr>
        <w:t>初始计量或在资产负债表日重新计量持有待售的非流动资产或处置组时，其账面价值高于公允价值减</w:t>
      </w:r>
      <w:r>
        <w:rPr/>
        <w:t> </w:t>
      </w:r>
      <w:r>
        <w:rPr>
          <w:spacing w:val="-1"/>
        </w:rPr>
        <w:t>去出售费用后的净额的，应当将账面价值减记至公允价值减去出售费用后的净额，减记的金额确认为资产</w:t>
      </w:r>
      <w:r>
        <w:rPr>
          <w:spacing w:val="-81"/>
        </w:rPr>
        <w:t> </w:t>
      </w:r>
      <w:r>
        <w:rPr>
          <w:spacing w:val="-81"/>
        </w:rPr>
      </w:r>
      <w:r>
        <w:rPr/>
        <w:t>减值损失计入当期损益，同时计提持有待售资产减值准备。</w:t>
      </w:r>
    </w:p>
    <w:p>
      <w:pPr>
        <w:pStyle w:val="BodyText"/>
        <w:spacing w:line="408" w:lineRule="auto"/>
        <w:ind w:right="1132" w:firstLine="420"/>
        <w:jc w:val="both"/>
      </w:pPr>
      <w:r>
        <w:rPr>
          <w:spacing w:val="-1"/>
        </w:rPr>
        <w:t>资产负债表中持有待售的非流动资产或持有待售的处置组中的资产列示为划分为持有待售的资产，持</w:t>
      </w:r>
      <w:r>
        <w:rPr/>
        <w:t> 有待售的处置组中的负债列示为划分为持有待售的负债。</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rFonts w:ascii="宋体" w:hAnsi="宋体" w:cs="宋体" w:eastAsia="宋体" w:hint="default"/>
        </w:rPr>
        <w:t>1</w:t>
      </w:r>
      <w:r>
        <w:rPr/>
        <w:t>、初始投资成本确定 </w:t>
      </w:r>
      <w:r>
        <w:rPr>
          <w:spacing w:val="-1"/>
        </w:rPr>
        <w:t>对于企业合并取得的长期股权投资，如为同一控制下的企业合并，应当按照取得被合并方所有者权益</w:t>
      </w:r>
    </w:p>
    <w:p>
      <w:pPr>
        <w:pStyle w:val="BodyText"/>
        <w:spacing w:line="408" w:lineRule="auto"/>
        <w:ind w:right="1131"/>
        <w:jc w:val="both"/>
      </w:pPr>
      <w:r>
        <w:rPr>
          <w:spacing w:val="-1"/>
        </w:rPr>
        <w:t>账面价值的份额确认为初始成本；非同一控制下的企业合并，应当按购买日确定的合并成本确认为初始成</w:t>
      </w:r>
      <w:r>
        <w:rPr>
          <w:spacing w:val="-81"/>
        </w:rPr>
        <w:t> </w:t>
      </w:r>
      <w:r>
        <w:rPr>
          <w:spacing w:val="-81"/>
        </w:rPr>
      </w:r>
      <w:r>
        <w:rPr>
          <w:spacing w:val="-1"/>
        </w:rPr>
        <w:t>本；以支付现金取得的长期股权投资，初始投资成本为实际支付的购买价款；以发行权益性证券取得的长</w:t>
      </w:r>
      <w:r>
        <w:rPr>
          <w:spacing w:val="-83"/>
        </w:rPr>
        <w:t> </w:t>
      </w:r>
      <w:r>
        <w:rPr>
          <w:spacing w:val="-83"/>
        </w:rPr>
      </w:r>
      <w:r>
        <w:rPr>
          <w:spacing w:val="-1"/>
        </w:rPr>
        <w:t>期股权投资，初始投资成本为发行权益性证券的公允价值；通过债务重组取得的长期股权投资，其初始投</w:t>
      </w:r>
      <w:r>
        <w:rPr>
          <w:spacing w:val="-83"/>
        </w:rPr>
        <w:t> </w:t>
      </w:r>
      <w:r>
        <w:rPr>
          <w:spacing w:val="-83"/>
        </w:rPr>
      </w:r>
      <w:r>
        <w:rPr/>
        <w:t>资成本应当按照《企业会计准则第 </w:t>
      </w:r>
      <w:r>
        <w:rPr>
          <w:rFonts w:ascii="宋体" w:hAnsi="宋体" w:cs="宋体" w:eastAsia="宋体" w:hint="default"/>
        </w:rPr>
        <w:t>12</w:t>
      </w:r>
      <w:r>
        <w:rPr>
          <w:rFonts w:ascii="宋体" w:hAnsi="宋体" w:cs="宋体" w:eastAsia="宋体" w:hint="default"/>
          <w:spacing w:val="-24"/>
        </w:rPr>
        <w:t> </w:t>
      </w:r>
      <w:r>
        <w:rPr/>
        <w:t>号—债务重组》的有关规定确定；非货币性资产交换取得的长期股 权投资，初始投资成本根据准则相关规定确定。</w:t>
      </w:r>
    </w:p>
    <w:p>
      <w:pPr>
        <w:pStyle w:val="BodyText"/>
        <w:spacing w:line="408" w:lineRule="auto"/>
        <w:ind w:left="574" w:right="0"/>
        <w:jc w:val="left"/>
      </w:pPr>
      <w:r>
        <w:rPr>
          <w:rFonts w:ascii="宋体" w:hAnsi="宋体" w:cs="宋体" w:eastAsia="宋体" w:hint="default"/>
        </w:rPr>
        <w:t>2</w:t>
      </w:r>
      <w:r>
        <w:rPr/>
        <w:t>、后续计量及损益确认方法 </w:t>
      </w:r>
      <w:r>
        <w:rPr>
          <w:spacing w:val="-1"/>
        </w:rPr>
        <w:t>投资方能够对被投资单位实施控制的长期股权投资应当采用成本法核算，对联营企业和合营企业的长</w:t>
      </w:r>
    </w:p>
    <w:p>
      <w:pPr>
        <w:pStyle w:val="BodyText"/>
        <w:spacing w:line="408" w:lineRule="auto"/>
        <w:ind w:right="1023"/>
        <w:jc w:val="left"/>
      </w:pPr>
      <w:r>
        <w:rPr>
          <w:spacing w:val="-3"/>
        </w:rPr>
        <w:t>期股权投资采用权益法核算。投资方对联营企业的权益性投资，其中一部分通过风险投资机构、共同基金、</w:t>
      </w:r>
      <w:r>
        <w:rPr>
          <w:spacing w:val="-90"/>
        </w:rPr>
        <w:t> </w:t>
      </w:r>
      <w:r>
        <w:rPr>
          <w:spacing w:val="-90"/>
        </w:rPr>
      </w:r>
      <w:r>
        <w:rPr/>
        <w:t>信托公司或包括投连险基金在内的类似主体间接持有的，无论以上主体是否对这部分投资具有重大影响， 投资方都应当按照《企业会计准则第 </w:t>
      </w:r>
      <w:r>
        <w:rPr>
          <w:rFonts w:ascii="宋体" w:hAnsi="宋体" w:cs="宋体" w:eastAsia="宋体" w:hint="default"/>
        </w:rPr>
        <w:t>22</w:t>
      </w:r>
      <w:r>
        <w:rPr>
          <w:rFonts w:ascii="宋体" w:hAnsi="宋体" w:cs="宋体" w:eastAsia="宋体" w:hint="default"/>
          <w:spacing w:val="-23"/>
        </w:rPr>
        <w:t> </w:t>
      </w:r>
      <w:r>
        <w:rPr/>
        <w:t>号——金融工具确认和计量》的有关规定，对间接持有的该部分 投资选择以公允价值计量且其变动计入损益，并对其余部分采用权益法核算。</w:t>
      </w:r>
    </w:p>
    <w:p>
      <w:pPr>
        <w:pStyle w:val="BodyText"/>
        <w:spacing w:line="240" w:lineRule="auto"/>
        <w:ind w:left="574" w:right="0"/>
        <w:jc w:val="left"/>
      </w:pPr>
      <w:r>
        <w:rPr>
          <w:rFonts w:ascii="宋体" w:hAnsi="宋体" w:cs="宋体" w:eastAsia="宋体" w:hint="default"/>
        </w:rPr>
        <w:t>3</w:t>
      </w:r>
      <w:r>
        <w:rPr/>
        <w:t>、确定对被投资单位具有共同控制、重大影响的依据</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对被投资单位具有共同控制，是指对某项安排的回报产生重大影响的活动必须经过分享控制权的参与</w:t>
      </w:r>
      <w:r>
        <w:rPr/>
        <w:t> </w:t>
      </w:r>
      <w:r>
        <w:rPr>
          <w:spacing w:val="-1"/>
        </w:rPr>
        <w:t>方一致同意后才能决策，包括商品或劳务的销售和购买、金融资产的管理、资产的购买和处置、研究与开</w:t>
      </w:r>
      <w:r>
        <w:rPr>
          <w:spacing w:val="-86"/>
        </w:rPr>
        <w:t> </w:t>
      </w:r>
      <w:r>
        <w:rPr>
          <w:spacing w:val="-86"/>
        </w:rPr>
      </w:r>
      <w:r>
        <w:rPr/>
        <w:t>发活动以及融资活动等；对被投资单位具有重大影响，是指当持有被投资单位 </w:t>
      </w:r>
      <w:r>
        <w:rPr>
          <w:rFonts w:ascii="宋体" w:hAnsi="宋体" w:cs="宋体" w:eastAsia="宋体" w:hint="default"/>
        </w:rPr>
        <w:t>20%</w:t>
      </w:r>
      <w:r>
        <w:rPr/>
        <w:t>以上至</w:t>
      </w:r>
      <w:r>
        <w:rPr>
          <w:spacing w:val="-24"/>
        </w:rPr>
        <w:t> </w:t>
      </w:r>
      <w:r>
        <w:rPr>
          <w:rFonts w:ascii="宋体" w:hAnsi="宋体" w:cs="宋体" w:eastAsia="宋体" w:hint="default"/>
        </w:rPr>
        <w:t>50%</w:t>
      </w:r>
      <w:r>
        <w:rPr/>
        <w:t>的表决权资 本时，具有重大影响。或虽不足</w:t>
      </w:r>
      <w:r>
        <w:rPr>
          <w:spacing w:val="-25"/>
        </w:rPr>
        <w:t> </w:t>
      </w:r>
      <w:r>
        <w:rPr>
          <w:rFonts w:ascii="宋体" w:hAnsi="宋体" w:cs="宋体" w:eastAsia="宋体" w:hint="default"/>
        </w:rPr>
        <w:t>20%</w:t>
      </w:r>
      <w:r>
        <w:rPr/>
        <w:t>，但符合下列条件之一时，具有重大影响：在被投资单位的董事会或 </w:t>
      </w:r>
      <w:r>
        <w:rPr>
          <w:spacing w:val="-1"/>
        </w:rPr>
        <w:t>类似的权力机构中派有代表；参与被投资单位的政策制定过程；向被投资单位派出管理人员；被投资单位</w:t>
      </w:r>
      <w:r>
        <w:rPr>
          <w:spacing w:val="-83"/>
        </w:rPr>
        <w:t> </w:t>
      </w:r>
      <w:r>
        <w:rPr>
          <w:spacing w:val="-83"/>
        </w:rPr>
      </w:r>
      <w:r>
        <w:rPr/>
        <w:t>依赖投资公司的技术或技术资料；与被投资单位之间发生重要交易。</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right="1131" w:firstLine="420"/>
        <w:jc w:val="both"/>
      </w:pPr>
      <w:r>
        <w:rPr>
          <w:spacing w:val="-1"/>
        </w:rPr>
        <w:t>本公司投资性房地产的类别，包括出租的土地使用权、出租的建筑物、持有并准备增值后转让的土地</w:t>
      </w:r>
      <w:r>
        <w:rPr/>
        <w:t> 使用权。投资性房地产按照成本进行初始计量，采用成本模式进行后续计量。</w:t>
      </w:r>
    </w:p>
    <w:p>
      <w:pPr>
        <w:pStyle w:val="BodyText"/>
        <w:spacing w:line="408" w:lineRule="auto"/>
        <w:ind w:right="1109" w:firstLine="420"/>
        <w:jc w:val="both"/>
      </w:pPr>
      <w:r>
        <w:rPr/>
        <w:t>本公司投资性房地产中出租的建筑物采用年限平均法计提折旧，具体核算政策与固定资产部分相同。 </w:t>
      </w:r>
      <w:r>
        <w:rPr>
          <w:spacing w:val="-1"/>
        </w:rPr>
        <w:t>投资性房地产中出租的土地使用权、持有并准备增值后转让的土地使用权采用直线法摊销，具体核算政策</w:t>
      </w:r>
      <w:r>
        <w:rPr>
          <w:spacing w:val="-81"/>
        </w:rPr>
        <w:t> </w:t>
      </w:r>
      <w:r>
        <w:rPr>
          <w:spacing w:val="-81"/>
        </w:rPr>
      </w:r>
      <w:r>
        <w:rPr/>
        <w:t>与无形资产部分相同。</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固定资产指为生产商品、提供劳务、出租或经营管理而持有的，使用寿命超过一个会计年度的有形资</w:t>
      </w:r>
      <w:r>
        <w:rPr/>
        <w:t> </w:t>
      </w:r>
      <w:r>
        <w:rPr>
          <w:spacing w:val="-1"/>
        </w:rPr>
        <w:t>产。同时满足以下条件时予以确认：与该固定资产有关的经济利益很可能流入企业；该固定资产的成本能</w:t>
      </w:r>
      <w:r>
        <w:rPr>
          <w:spacing w:val="-83"/>
        </w:rPr>
        <w:t> </w:t>
      </w:r>
      <w:r>
        <w:rPr>
          <w:spacing w:val="-83"/>
        </w:rPr>
      </w:r>
      <w:r>
        <w:rPr/>
        <w:t>够可靠地计量。</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916"/>
        <w:gridCol w:w="1914"/>
        <w:gridCol w:w="1914"/>
        <w:gridCol w:w="1914"/>
        <w:gridCol w:w="1914"/>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9.50-2.375</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管网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6.33</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31.67-19.00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both"/>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2" w:firstLine="420"/>
        <w:jc w:val="both"/>
      </w:pPr>
      <w:r>
        <w:rPr>
          <w:spacing w:val="-1"/>
        </w:rPr>
        <w:t>融资租入固定资产为实质上转移了与资产所有权有关的全部风险和报酬的租赁。融资租入固定资产初</w:t>
      </w:r>
      <w:r>
        <w:rPr/>
        <w:t> </w:t>
      </w:r>
      <w:r>
        <w:rPr>
          <w:spacing w:val="-1"/>
        </w:rPr>
        <w:t>始计价为租赁期开始日租赁资产公允价值与最低租赁付款额现值较低者作为入账价值；融资租入固定资产</w:t>
      </w:r>
      <w:r>
        <w:rPr>
          <w:spacing w:val="-81"/>
        </w:rPr>
        <w:t> </w:t>
      </w:r>
      <w:r>
        <w:rPr>
          <w:spacing w:val="-81"/>
        </w:rPr>
      </w:r>
      <w:r>
        <w:rPr/>
        <w:t>后续计价采用与自有固定资产相一致的折旧政策计提折旧及减值准备。</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right="1023" w:firstLine="420"/>
        <w:jc w:val="left"/>
      </w:pPr>
      <w:r>
        <w:rPr>
          <w:spacing w:val="3"/>
        </w:rPr>
        <w:t>本公司在建工程分为自营方式建造和出包方式建造两种。在建工程在工程完工达到预定可使用状态</w:t>
      </w:r>
      <w:r>
        <w:rPr/>
        <w:t> </w:t>
      </w:r>
      <w:r>
        <w:rPr>
          <w:spacing w:val="-3"/>
        </w:rPr>
        <w:t>时，结转固定资产。预定可使用状态的判断标准，应符合下列情况之一：固定资产的实体建造（包括安装）</w:t>
      </w:r>
      <w:r>
        <w:rPr>
          <w:spacing w:val="-94"/>
        </w:rPr>
        <w:t> </w:t>
      </w:r>
      <w:r>
        <w:rPr>
          <w:spacing w:val="-94"/>
        </w:rPr>
      </w:r>
      <w:r>
        <w:rPr/>
        <w:t>工作已经全部完成或实质上已经全部完成；已经试生产或试运行，并且其结果表明资产能够正常运行或能</w:t>
      </w:r>
      <w:r>
        <w:rPr/>
        <w:t>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rFonts w:ascii="宋体" w:hAnsi="宋体" w:cs="宋体" w:eastAsia="宋体" w:hint="default"/>
        </w:rPr>
        <w:t>1</w:t>
      </w:r>
      <w:r>
        <w:rPr/>
        <w:t>、借款费用资本化的确认原则 </w:t>
      </w:r>
      <w:r>
        <w:rPr>
          <w:spacing w:val="-1"/>
        </w:rPr>
        <w:t>本公司发生的借款费用，可直接归属于符合资本化条件的资产的购建或者生产的，予以资本化，计入</w:t>
      </w:r>
    </w:p>
    <w:p>
      <w:pPr>
        <w:pStyle w:val="BodyText"/>
        <w:spacing w:line="408" w:lineRule="auto"/>
        <w:ind w:right="1131"/>
        <w:jc w:val="both"/>
      </w:pPr>
      <w:r>
        <w:rPr>
          <w:spacing w:val="-1"/>
        </w:rPr>
        <w:t>相关资产成本；其他借款费用，在发生时根据其发生额确认为费用，计入当期损益。符合资本化条件的资</w:t>
      </w:r>
      <w:r>
        <w:rPr>
          <w:spacing w:val="-86"/>
        </w:rPr>
        <w:t> </w:t>
      </w:r>
      <w:r>
        <w:rPr>
          <w:spacing w:val="-86"/>
        </w:rPr>
      </w:r>
      <w:r>
        <w:rPr>
          <w:spacing w:val="-1"/>
        </w:rPr>
        <w:t>产，是指需要经过相当长时间的购建或者生产活动才能达到预定可使用或者可销售状态的固定资产、投资</w:t>
      </w:r>
      <w:r>
        <w:rPr>
          <w:spacing w:val="-81"/>
        </w:rPr>
        <w:t> </w:t>
      </w:r>
      <w:r>
        <w:rPr>
          <w:spacing w:val="-81"/>
        </w:rPr>
      </w:r>
      <w:r>
        <w:rPr/>
        <w:t>性房地产和存货等资产。</w:t>
      </w:r>
    </w:p>
    <w:p>
      <w:pPr>
        <w:pStyle w:val="BodyText"/>
        <w:spacing w:line="408" w:lineRule="auto"/>
        <w:ind w:left="574" w:right="0"/>
        <w:jc w:val="left"/>
      </w:pPr>
      <w:r>
        <w:rPr>
          <w:rFonts w:ascii="宋体" w:hAnsi="宋体" w:cs="宋体" w:eastAsia="宋体" w:hint="default"/>
        </w:rPr>
        <w:t>2</w:t>
      </w:r>
      <w:r>
        <w:rPr/>
        <w:t>、资本化金额计算方法 </w:t>
      </w:r>
      <w:r>
        <w:rPr>
          <w:spacing w:val="-1"/>
        </w:rPr>
        <w:t>资本化期间，是指从借款费用开始资本化时点到停止资本化时点的期间。借款费用暂停资本化的期间</w:t>
      </w:r>
    </w:p>
    <w:p>
      <w:pPr>
        <w:pStyle w:val="BodyText"/>
        <w:spacing w:line="408" w:lineRule="auto"/>
        <w:ind w:right="1115"/>
        <w:jc w:val="left"/>
      </w:pPr>
      <w:r>
        <w:rPr/>
        <w:t>不包括在内。在购建或生产过程中发生非正常中断、且中断时间连续超过</w:t>
      </w:r>
      <w:r>
        <w:rPr>
          <w:spacing w:val="-64"/>
        </w:rPr>
        <w:t> </w:t>
      </w:r>
      <w:r>
        <w:rPr>
          <w:rFonts w:ascii="宋体" w:hAnsi="宋体" w:cs="宋体" w:eastAsia="宋体" w:hint="default"/>
        </w:rPr>
        <w:t>3</w:t>
      </w:r>
      <w:r>
        <w:rPr>
          <w:rFonts w:ascii="宋体" w:hAnsi="宋体" w:cs="宋体" w:eastAsia="宋体" w:hint="default"/>
          <w:spacing w:val="-64"/>
        </w:rPr>
        <w:t> </w:t>
      </w:r>
      <w:r>
        <w:rPr/>
        <w:t>个月的，应当暂停借款费用的 资本化。</w:t>
      </w:r>
    </w:p>
    <w:p>
      <w:pPr>
        <w:pStyle w:val="BodyText"/>
        <w:spacing w:line="408" w:lineRule="auto"/>
        <w:ind w:right="1131" w:firstLine="420"/>
        <w:jc w:val="both"/>
      </w:pPr>
      <w:r>
        <w:rPr>
          <w:spacing w:val="-1"/>
        </w:rPr>
        <w:t>借入专门借款，按照专门借款当期实际发生的利息费用，减去将尚未动用的借款资金存入银行取得的</w:t>
      </w:r>
      <w:r>
        <w:rPr/>
        <w:t> </w:t>
      </w:r>
      <w:r>
        <w:rPr>
          <w:spacing w:val="-1"/>
        </w:rPr>
        <w:t>利息收入或进行暂时性投资取得的投资收益后的金额确定；占用一般借款按照累计资产支出超过专门借款</w:t>
      </w:r>
      <w:r>
        <w:rPr>
          <w:spacing w:val="-81"/>
        </w:rPr>
        <w:t> </w:t>
      </w:r>
      <w:r>
        <w:rPr>
          <w:spacing w:val="-81"/>
        </w:rPr>
      </w:r>
      <w:r>
        <w:rPr>
          <w:spacing w:val="-1"/>
        </w:rPr>
        <w:t>部分的资产支出加权平均数乘以所占用一般借款的资本化率计算确定，资本化率为一般借款的加权平均利</w:t>
      </w:r>
      <w:r>
        <w:rPr>
          <w:spacing w:val="-81"/>
        </w:rPr>
        <w:t> </w:t>
      </w:r>
      <w:r>
        <w:rPr>
          <w:spacing w:val="-81"/>
        </w:rPr>
      </w:r>
      <w:r>
        <w:rPr>
          <w:spacing w:val="-1"/>
        </w:rPr>
        <w:t>率；借款存在折价或溢价的，按照实际利率法确定每一会计期间应摊销的折价或溢价金额，调整每期利息</w:t>
      </w:r>
      <w:r>
        <w:rPr>
          <w:spacing w:val="-83"/>
        </w:rPr>
        <w:t> </w:t>
      </w:r>
      <w:r>
        <w:rPr>
          <w:spacing w:val="-83"/>
        </w:rPr>
      </w:r>
      <w:r>
        <w:rPr/>
        <w:t>金额。</w:t>
      </w:r>
    </w:p>
    <w:p>
      <w:pPr>
        <w:pStyle w:val="BodyText"/>
        <w:spacing w:line="240" w:lineRule="auto"/>
        <w:ind w:left="574" w:right="0"/>
        <w:jc w:val="left"/>
      </w:pPr>
      <w:r>
        <w:rPr/>
        <w:t>实际利率法是根据借款实际利率计算其摊余折价或溢价或利息费用的方法。其中实际利率是借款在预</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期存续期间的未来现金流量，折现为该借款当前账面价值所使用的利率。</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19、无形资产" w:id="192"/>
      <w:bookmarkEnd w:id="192"/>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574" w:right="0"/>
        <w:jc w:val="left"/>
      </w:pPr>
      <w:r>
        <w:rPr>
          <w:rFonts w:ascii="宋体" w:hAnsi="宋体" w:cs="宋体" w:eastAsia="宋体" w:hint="default"/>
        </w:rPr>
        <w:t>1</w:t>
      </w:r>
      <w:r>
        <w:rPr/>
        <w:t>、无形资产的计价方法 </w:t>
      </w:r>
      <w:r>
        <w:rPr>
          <w:spacing w:val="-1"/>
        </w:rPr>
        <w:t>本公司无形资产按照成本进行初始计量。购入的无形资产，按实际支付的价款和相关支出作为实际成</w:t>
      </w:r>
    </w:p>
    <w:p>
      <w:pPr>
        <w:pStyle w:val="BodyText"/>
        <w:spacing w:line="408" w:lineRule="auto"/>
        <w:ind w:right="0"/>
        <w:jc w:val="left"/>
      </w:pP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BodyText"/>
        <w:spacing w:line="408" w:lineRule="auto"/>
        <w:ind w:right="1131" w:firstLine="420"/>
        <w:jc w:val="both"/>
      </w:pPr>
      <w:r>
        <w:rPr>
          <w:spacing w:val="-1"/>
        </w:rPr>
        <w:t>本公司无形资产后续计量方法分别为：使用寿命有限无形资产采用直线法摊销，并在年度终了，对无</w:t>
      </w:r>
      <w:r>
        <w:rPr/>
        <w:t> </w:t>
      </w:r>
      <w:r>
        <w:rPr>
          <w:spacing w:val="-1"/>
        </w:rPr>
        <w:t>形资产的使用寿命和摊销方法进行复核，如与原先估计数存在差异的，进行相应的调整；使用寿命不确定</w:t>
      </w:r>
      <w:r>
        <w:rPr>
          <w:spacing w:val="-83"/>
        </w:rPr>
        <w:t> </w:t>
      </w:r>
      <w:r>
        <w:rPr>
          <w:spacing w:val="-83"/>
        </w:rPr>
      </w:r>
      <w:r>
        <w:rPr>
          <w:spacing w:val="-1"/>
        </w:rPr>
        <w:t>的无形资产不摊销，但在年度终了，对使用寿命进行复核，当有确凿证据表明其使用寿命是有限的，则估</w:t>
      </w:r>
      <w:r>
        <w:rPr>
          <w:spacing w:val="-86"/>
        </w:rPr>
        <w:t> </w:t>
      </w:r>
      <w:r>
        <w:rPr>
          <w:spacing w:val="-86"/>
        </w:rPr>
      </w:r>
      <w:r>
        <w:rPr/>
        <w:t>计其使用寿命，按直线法进行摊销。</w:t>
      </w:r>
    </w:p>
    <w:p>
      <w:pPr>
        <w:pStyle w:val="BodyText"/>
        <w:spacing w:line="408" w:lineRule="auto"/>
        <w:ind w:left="574" w:right="0"/>
        <w:jc w:val="left"/>
      </w:pPr>
      <w:r>
        <w:rPr>
          <w:rFonts w:ascii="宋体" w:hAnsi="宋体" w:cs="宋体" w:eastAsia="宋体" w:hint="default"/>
        </w:rPr>
        <w:t>2</w:t>
      </w:r>
      <w:r>
        <w:rPr/>
        <w:t>、使用寿命不确定的判断依据 </w:t>
      </w:r>
      <w:r>
        <w:rPr>
          <w:spacing w:val="-1"/>
        </w:rPr>
        <w:t>本公司将无法预见该资产为公司带来经济利益的期限，或使用期限不确定等无形资产确定为使用寿命</w:t>
      </w:r>
    </w:p>
    <w:p>
      <w:pPr>
        <w:pStyle w:val="BodyText"/>
        <w:spacing w:line="408" w:lineRule="auto"/>
        <w:ind w:right="1131"/>
        <w:jc w:val="both"/>
      </w:pPr>
      <w:r>
        <w:rPr>
          <w:spacing w:val="-1"/>
        </w:rPr>
        <w:t>不确定的无形资产。使用寿命不确定的判断依据为：来源于合同性权利或其他法定权利，但合同规定或法</w:t>
      </w:r>
      <w:r>
        <w:rPr>
          <w:spacing w:val="-83"/>
        </w:rPr>
        <w:t> </w:t>
      </w:r>
      <w:r>
        <w:rPr>
          <w:spacing w:val="-83"/>
        </w:rPr>
      </w:r>
      <w:r>
        <w:rPr>
          <w:spacing w:val="-1"/>
        </w:rPr>
        <w:t>律规定无明确使用年限；综合同行业情况或相关专家论证等，仍无法判断无形资产为公司带来经济利益的</w:t>
      </w:r>
      <w:r>
        <w:rPr>
          <w:spacing w:val="-81"/>
        </w:rPr>
        <w:t> </w:t>
      </w:r>
      <w:r>
        <w:rPr>
          <w:spacing w:val="-81"/>
        </w:rPr>
      </w:r>
      <w:r>
        <w:rPr/>
        <w:t>期限。</w:t>
      </w:r>
    </w:p>
    <w:p>
      <w:pPr>
        <w:pStyle w:val="BodyText"/>
        <w:spacing w:line="408" w:lineRule="auto"/>
        <w:ind w:right="1131" w:firstLine="420"/>
        <w:jc w:val="both"/>
      </w:pPr>
      <w:r>
        <w:rPr>
          <w:spacing w:val="-1"/>
        </w:rPr>
        <w:t>每年年末，对使用寿命不确定无形资产使用寿命进行复核，主要采取自下而上的方式，由无形资产使</w:t>
      </w:r>
      <w:r>
        <w:rPr/>
        <w:t> 用相关部门进行基础复核，评价使用寿命不确定判断依据是否存在变化等。</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内部研究开发项目研究阶段的支出，于发生时计入当期损益；开发阶段的支出，满足确认为无形资产</w:t>
      </w:r>
      <w:r>
        <w:rPr/>
        <w:t> 条件的转入无形资产核算。</w:t>
      </w:r>
    </w:p>
    <w:p>
      <w:pPr>
        <w:pStyle w:val="BodyText"/>
        <w:spacing w:line="408" w:lineRule="auto"/>
        <w:ind w:right="1131" w:firstLine="420"/>
        <w:jc w:val="both"/>
      </w:pPr>
      <w:r>
        <w:rPr>
          <w:spacing w:val="-1"/>
        </w:rPr>
        <w:t>划分内部研究开发项目的研究阶段和开发阶段的具体标准：内部研究开发项目研究阶段的支出，于发</w:t>
      </w:r>
      <w:r>
        <w:rPr/>
        <w:t> </w:t>
      </w:r>
      <w:r>
        <w:rPr>
          <w:spacing w:val="-1"/>
        </w:rPr>
        <w:t>生时计入当期损益；开发阶段的支出，满足确认为无形资产条件的转入无形资产核算。划分内部研究开发</w:t>
      </w:r>
      <w:r>
        <w:rPr>
          <w:spacing w:val="-83"/>
        </w:rPr>
        <w:t> </w:t>
      </w:r>
      <w:r>
        <w:rPr>
          <w:spacing w:val="-83"/>
        </w:rPr>
      </w:r>
      <w:r>
        <w:rPr>
          <w:spacing w:val="-1"/>
        </w:rPr>
        <w:t>项目的研究阶段和开发阶段的具体标准：为获取新的技术和知识等进行的有计划的调查阶段，应确定为研</w:t>
      </w:r>
      <w:r>
        <w:rPr>
          <w:spacing w:val="-81"/>
        </w:rPr>
        <w:t> </w:t>
      </w:r>
      <w:r>
        <w:rPr>
          <w:spacing w:val="-81"/>
        </w:rPr>
      </w:r>
      <w:r>
        <w:rPr>
          <w:spacing w:val="-1"/>
        </w:rPr>
        <w:t>究阶段，该阶段具有计划性和探索性等特点；在进行商业性生产或使用前，将研究成果或其他知识应用于</w:t>
      </w:r>
      <w:r>
        <w:rPr>
          <w:spacing w:val="-83"/>
        </w:rPr>
        <w:t> </w:t>
      </w:r>
      <w:r>
        <w:rPr>
          <w:spacing w:val="-83"/>
        </w:rPr>
      </w:r>
      <w:r>
        <w:rPr>
          <w:spacing w:val="-1"/>
        </w:rPr>
        <w:t>某项计划或设计，以生产出新的或具有实质性改进的材料、装置、产品等阶段，应确定为开发阶段，该阶</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spacing w:val="-3"/>
        </w:rPr>
        <w:t>段具有针对性和形成成果的可能性较大等特点。开发阶段的支出，同时满足下列条件的，确认为无形资产：</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spacing w:val="-1"/>
        </w:rPr>
        <w:t>①完成该无形资产以使其能够使用或出售在技术上具有可行性；②具有完成该无形资产并使用或出售的意</w:t>
      </w:r>
      <w:r>
        <w:rPr>
          <w:spacing w:val="-81"/>
        </w:rPr>
        <w:t> </w:t>
      </w:r>
      <w:r>
        <w:rPr>
          <w:spacing w:val="-81"/>
        </w:rPr>
      </w:r>
      <w:r>
        <w:rPr>
          <w:spacing w:val="-1"/>
        </w:rPr>
        <w:t>图；③无形资产产生经济利益的方式，包括能够证明运用该无形资产生产的产品存在市场或无形资产自身</w:t>
      </w:r>
      <w:r>
        <w:rPr>
          <w:spacing w:val="-81"/>
        </w:rPr>
        <w:t> </w:t>
      </w:r>
      <w:r>
        <w:rPr>
          <w:spacing w:val="-81"/>
        </w:rPr>
      </w:r>
      <w:r>
        <w:rPr>
          <w:spacing w:val="-1"/>
        </w:rPr>
        <w:t>存在市场，无形资产将在内部使用的，能证明其有用性；④有足够的技术、财务资源和其他资源支持，以</w:t>
      </w:r>
      <w:r>
        <w:rPr>
          <w:spacing w:val="-83"/>
        </w:rPr>
        <w:t> </w:t>
      </w:r>
      <w:r>
        <w:rPr>
          <w:spacing w:val="-83"/>
        </w:rPr>
      </w:r>
      <w:r>
        <w:rPr>
          <w:spacing w:val="-1"/>
        </w:rPr>
        <w:t>完成该无形资产的开发，并有能力使用或出售该无形资产；⑤归属于该无形资产开发阶段的支出能够可靠</w:t>
      </w:r>
      <w:r>
        <w:rPr>
          <w:spacing w:val="-81"/>
        </w:rPr>
        <w:t> </w:t>
      </w:r>
      <w:r>
        <w:rPr>
          <w:spacing w:val="-81"/>
        </w:rPr>
      </w:r>
      <w:r>
        <w:rPr/>
        <w:t>地计量。</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0、长期资产减值" w:id="195"/>
      <w:bookmarkEnd w:id="195"/>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3" w:firstLine="420"/>
        <w:jc w:val="both"/>
      </w:pPr>
      <w:r>
        <w:rPr>
          <w:spacing w:val="-1"/>
        </w:rPr>
        <w:t>长期股权投资、采用成本模式计量的投资性房地产、固定资产、在建工程、采用成本模式计量的生产</w:t>
      </w:r>
      <w:r>
        <w:rPr/>
        <w:t> </w:t>
      </w:r>
      <w:r>
        <w:rPr>
          <w:spacing w:val="-1"/>
        </w:rPr>
        <w:t>性生物资产、油气资产、无形资产、商誉等长期资产于资产负债表日存在减值迹象的，进行减值测试。减</w:t>
      </w:r>
      <w:r>
        <w:rPr>
          <w:spacing w:val="-83"/>
        </w:rPr>
        <w:t> </w:t>
      </w:r>
      <w:r>
        <w:rPr>
          <w:spacing w:val="-83"/>
        </w:rPr>
      </w:r>
      <w:r>
        <w:rPr/>
        <w:t>值测试结果表明资产的可收回金额低于其账面价值的，按其差额计提减值准备并计入减值损失。</w:t>
      </w:r>
    </w:p>
    <w:p>
      <w:pPr>
        <w:pStyle w:val="BodyText"/>
        <w:spacing w:line="408" w:lineRule="auto"/>
        <w:ind w:right="1131" w:firstLine="420"/>
        <w:jc w:val="both"/>
      </w:pPr>
      <w:r>
        <w:rPr>
          <w:spacing w:val="3"/>
        </w:rPr>
        <w:t>可收回金额为资产的公允价值减去处置费用后的净额与资产预计未来现金流量的现值两者之间的较</w:t>
      </w:r>
      <w:r>
        <w:rPr/>
        <w:t> </w:t>
      </w:r>
      <w:r>
        <w:rPr>
          <w:spacing w:val="-1"/>
        </w:rPr>
        <w:t>高者。资产减值准备按单项资产为基础计算并确认，如果难以对单项资产的可收回金额进行估计的，以该</w:t>
      </w:r>
      <w:r>
        <w:rPr>
          <w:spacing w:val="-83"/>
        </w:rPr>
        <w:t> </w:t>
      </w:r>
      <w:r>
        <w:rPr>
          <w:spacing w:val="-83"/>
        </w:rPr>
      </w:r>
      <w:r>
        <w:rPr/>
        <w:t>资产所属的资产组确定资产组的可收回金额。资产组是能够独立产生现金流入的最小资产组合。</w:t>
      </w:r>
    </w:p>
    <w:p>
      <w:pPr>
        <w:pStyle w:val="BodyText"/>
        <w:spacing w:line="408" w:lineRule="auto"/>
        <w:ind w:right="1131" w:firstLine="420"/>
        <w:jc w:val="both"/>
      </w:pPr>
      <w:r>
        <w:rPr>
          <w:spacing w:val="-1"/>
        </w:rPr>
        <w:t>在财务报表中单独列示的商誉，无论是否存在减值迹象，至少每年进行减值测试。减值测试时，商誉</w:t>
      </w:r>
      <w:r>
        <w:rPr/>
        <w:t> </w:t>
      </w:r>
      <w:r>
        <w:rPr>
          <w:spacing w:val="-1"/>
        </w:rPr>
        <w:t>的账面价值分摊至预期从企业合并的协同效应中受益的资产组或资产组组合。测试结果表明包含分摊的商</w:t>
      </w:r>
      <w:r>
        <w:rPr>
          <w:spacing w:val="-81"/>
        </w:rPr>
        <w:t> </w:t>
      </w:r>
      <w:r>
        <w:rPr>
          <w:spacing w:val="-81"/>
        </w:rPr>
      </w:r>
      <w:r>
        <w:rPr>
          <w:spacing w:val="-1"/>
        </w:rPr>
        <w:t>誉的资产组或资产组组合的可收回金额低于其账面价值的，确认相应的减值损失。减值损失金额先抵减分</w:t>
      </w:r>
      <w:r>
        <w:rPr>
          <w:spacing w:val="-81"/>
        </w:rPr>
        <w:t> </w:t>
      </w:r>
      <w:r>
        <w:rPr>
          <w:spacing w:val="-81"/>
        </w:rPr>
      </w:r>
      <w:r>
        <w:rPr>
          <w:spacing w:val="-1"/>
        </w:rPr>
        <w:t>摊至该资产组或资产组组合的商誉的账面价值，再根据资产组或资产组组合中除商誉以外的其他各项资产</w:t>
      </w:r>
      <w:r>
        <w:rPr>
          <w:spacing w:val="-81"/>
        </w:rPr>
        <w:t> </w:t>
      </w:r>
      <w:r>
        <w:rPr>
          <w:spacing w:val="-81"/>
        </w:rPr>
      </w:r>
      <w:r>
        <w:rPr/>
        <w:t>的账面价值所占比重，按比例抵减其他各项资产的账面价值。</w:t>
      </w:r>
    </w:p>
    <w:p>
      <w:pPr>
        <w:pStyle w:val="BodyText"/>
        <w:spacing w:line="240" w:lineRule="auto"/>
        <w:ind w:left="574" w:right="0"/>
        <w:jc w:val="left"/>
      </w:pPr>
      <w:r>
        <w:rPr/>
        <w:t>上述资产减值损失一经确认，以后期间不予转回价值得以恢复的部分。</w:t>
      </w:r>
    </w:p>
    <w:p>
      <w:pPr>
        <w:pStyle w:val="BodyText"/>
        <w:spacing w:line="670" w:lineRule="atLeast" w:before="37"/>
        <w:ind w:left="574" w:right="0" w:hanging="420"/>
        <w:jc w:val="left"/>
      </w:pPr>
      <w:bookmarkStart w:name="21、长期待摊费用" w:id="196"/>
      <w:bookmarkEnd w:id="196"/>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spacing w:val="-1"/>
        </w:rPr>
        <w:t>本公司长期待摊费用是指已经支出，但受益期限在一年以上（不含一年）的各项费用。长期待摊费用</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spacing w:val="-1"/>
        </w:rPr>
        <w:t>按费用项目的受益期限分期摊销。若长期待摊的费用项目不能使以后会计期间受益，则将尚未摊销的该项</w:t>
      </w:r>
      <w:r>
        <w:rPr>
          <w:spacing w:val="-81"/>
        </w:rPr>
        <w:t> </w:t>
      </w:r>
      <w:r>
        <w:rPr>
          <w:spacing w:val="-81"/>
        </w:rPr>
      </w:r>
      <w:r>
        <w:rPr/>
        <w:t>目的摊余价值全部转入当期损益。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2、职工薪酬" w:id="197"/>
      <w:bookmarkEnd w:id="197"/>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9"/>
        <w:rPr>
          <w:rFonts w:ascii="宋体" w:hAnsi="宋体" w:cs="宋体" w:eastAsia="宋体" w:hint="default"/>
          <w:b/>
          <w:bCs/>
          <w:sz w:val="24"/>
          <w:szCs w:val="24"/>
        </w:rPr>
      </w:pPr>
    </w:p>
    <w:p>
      <w:pPr>
        <w:spacing w:line="568" w:lineRule="auto" w:before="0"/>
        <w:ind w:left="574" w:right="0" w:hanging="420"/>
        <w:jc w:val="left"/>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在职工为本公司提供服务的会计期间，将实际发生的短期薪酬确认为负债，并计入当期损益，其他会</w:t>
      </w:r>
    </w:p>
    <w:p>
      <w:pPr>
        <w:spacing w:after="0" w:line="568"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spacing w:val="-1"/>
        </w:rPr>
        <w:t>计准则要求或允许计入资产成本的除外。本公司发生的职工福利费，在实际发生时根据实际发生额计入当</w:t>
      </w:r>
      <w:r>
        <w:rPr>
          <w:spacing w:val="-81"/>
        </w:rPr>
        <w:t> </w:t>
      </w:r>
      <w:r>
        <w:rPr>
          <w:spacing w:val="-81"/>
        </w:rPr>
      </w:r>
      <w:r>
        <w:rPr>
          <w:spacing w:val="-1"/>
        </w:rPr>
        <w:t>期损益或相关资产成本。职工福利费为非货币性福利的，按照公允价值计量。企业为职工缴纳的医疗保险</w:t>
      </w:r>
      <w:r>
        <w:rPr>
          <w:spacing w:val="-82"/>
        </w:rPr>
        <w:t> </w:t>
      </w:r>
      <w:r>
        <w:rPr>
          <w:spacing w:val="-82"/>
        </w:rPr>
      </w:r>
      <w:r>
        <w:rPr/>
        <w:t>费、工伤保险费、生育保险费等社会保险费和住房公积金，以及按规定提取的工会经费和职工教育经费， </w:t>
      </w:r>
      <w:r>
        <w:rPr>
          <w:spacing w:val="-1"/>
        </w:rPr>
        <w:t>在职工提供服务的会计期间，根据规定的计提基础和计提比例计算确定相应的职工薪酬金额，并确认相应</w:t>
      </w:r>
      <w:r>
        <w:rPr>
          <w:spacing w:val="-81"/>
        </w:rPr>
        <w:t> </w:t>
      </w:r>
      <w:r>
        <w:rPr>
          <w:spacing w:val="-81"/>
        </w:rPr>
      </w:r>
      <w:r>
        <w:rPr/>
        <w:t>负债，计入当期损益或相关资产成本。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本公司在职工提供服务的会计期间，根据设定提存计划计算的应缴存金额确认为负债，并计入当期损</w:t>
      </w:r>
      <w:r>
        <w:rPr/>
        <w:t> </w:t>
      </w:r>
      <w:r>
        <w:rPr>
          <w:spacing w:val="-1"/>
        </w:rPr>
        <w:t>益或相关资产成本。根据预期累计福利单位法确定的公式将设定受益计划产生的福利义务归属于职工提供</w:t>
      </w:r>
      <w:r>
        <w:rPr>
          <w:spacing w:val="-81"/>
        </w:rPr>
        <w:t> </w:t>
      </w:r>
      <w:r>
        <w:rPr>
          <w:spacing w:val="-81"/>
        </w:rPr>
      </w:r>
      <w:r>
        <w:rPr/>
        <w:t>服务的期间，并计入当期损益或相关资产成本。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本公司向职工提供辞退福利时，在下列两者孰早日确认辞退福利产生的职工薪酬负债，并计入当期损</w:t>
      </w:r>
      <w:r>
        <w:rPr/>
        <w:t> </w:t>
      </w:r>
      <w:r>
        <w:rPr>
          <w:spacing w:val="-1"/>
        </w:rPr>
        <w:t>益：本公司不能单方面撤回因解除劳动关系计划或裁减建议所提供的辞退福利时；本公司确认与涉及支付</w:t>
      </w:r>
      <w:r>
        <w:rPr>
          <w:spacing w:val="-81"/>
        </w:rPr>
        <w:t> </w:t>
      </w:r>
      <w:r>
        <w:rPr>
          <w:spacing w:val="-81"/>
        </w:rPr>
      </w:r>
      <w:r>
        <w:rPr/>
        <w:t>辞退福利的重组相关的成本或费用时。</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本公司向职工提供的其他长期职工福利，符合设定提存计划条件的，应当按照有关设定提存计划的规</w:t>
      </w:r>
      <w:r>
        <w:rPr/>
        <w:t> 定进行处理；除此外，根据设定受益计划的有关规定，确认和计量其他长期职工福利净负债或净资产。</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3、预计负债" w:id="202"/>
      <w:bookmarkEnd w:id="202"/>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当与或有事项相关的义务是公司承担的现时义务，且履行该义务很可能导致经济利益流出，同时其金</w:t>
      </w:r>
      <w:r>
        <w:rPr/>
        <w:t> </w:t>
      </w:r>
      <w:r>
        <w:rPr>
          <w:spacing w:val="-1"/>
        </w:rPr>
        <w:t>额能够可靠地计量时确认该义务为预计负债。本公司按照履行相关现时义务所需支出的最佳估计数进行初</w:t>
      </w:r>
      <w:r>
        <w:rPr>
          <w:spacing w:val="-81"/>
        </w:rPr>
        <w:t> </w:t>
      </w:r>
      <w:r>
        <w:rPr>
          <w:spacing w:val="-81"/>
        </w:rPr>
      </w:r>
      <w:r>
        <w:rPr>
          <w:spacing w:val="-1"/>
        </w:rPr>
        <w:t>始计量，如所需支出存在一个连续范围，且该范围内各种结果发生的可能性相同，最佳估计数按照该范围</w:t>
      </w:r>
      <w:r>
        <w:rPr>
          <w:spacing w:val="-83"/>
        </w:rPr>
        <w:t> </w:t>
      </w:r>
      <w:r>
        <w:rPr>
          <w:spacing w:val="-83"/>
        </w:rPr>
      </w:r>
      <w:r>
        <w:rPr/>
        <w:t>内的中间值确定；如涉及多个项目，按照各种可能结果及相关概率计算确定最佳估计数。</w:t>
      </w:r>
    </w:p>
    <w:p>
      <w:pPr>
        <w:pStyle w:val="BodyText"/>
        <w:spacing w:line="408" w:lineRule="auto"/>
        <w:ind w:right="1132" w:firstLine="420"/>
        <w:jc w:val="both"/>
      </w:pPr>
      <w:r>
        <w:rPr>
          <w:spacing w:val="-1"/>
        </w:rPr>
        <w:t>资产负债表日应当对预计负债账面价值进行复核，有确凿证据表明该账面价值不能真实反映当前最佳</w:t>
      </w:r>
      <w:r>
        <w:rPr/>
        <w:t> 估计数，应当按照当前最佳估计数对该账面价值进行调整。</w:t>
      </w:r>
    </w:p>
    <w:p>
      <w:pPr>
        <w:pStyle w:val="BodyText"/>
        <w:spacing w:line="240" w:lineRule="auto"/>
        <w:ind w:left="574" w:right="0"/>
        <w:jc w:val="left"/>
      </w:pPr>
      <w:r>
        <w:rPr/>
        <w:t>依据上述计量方法，公司实际预计负债确认程序为：</w:t>
      </w:r>
    </w:p>
    <w:p>
      <w:pPr>
        <w:spacing w:line="240" w:lineRule="auto" w:before="10"/>
        <w:rPr>
          <w:rFonts w:ascii="宋体" w:hAnsi="宋体" w:cs="宋体" w:eastAsia="宋体" w:hint="default"/>
          <w:sz w:val="14"/>
          <w:szCs w:val="14"/>
        </w:rPr>
      </w:pPr>
    </w:p>
    <w:p>
      <w:pPr>
        <w:pStyle w:val="BodyText"/>
        <w:spacing w:line="408" w:lineRule="auto" w:before="0"/>
        <w:ind w:right="1137" w:firstLine="420"/>
        <w:jc w:val="both"/>
      </w:pPr>
      <w:r>
        <w:rPr>
          <w:spacing w:val="3"/>
        </w:rPr>
        <w:t>①对工程建造项目产生的预计质保维修费用，根据以往年度经验确定的发生质保维修费用最佳估计</w:t>
      </w:r>
      <w:r>
        <w:rPr/>
        <w:t> 数，按照报告期实际确认的工程建造项目营业收入的</w:t>
      </w:r>
      <w:r>
        <w:rPr>
          <w:spacing w:val="-54"/>
        </w:rPr>
        <w:t> </w:t>
      </w:r>
      <w:r>
        <w:rPr>
          <w:rFonts w:ascii="宋体" w:hAnsi="宋体" w:cs="宋体" w:eastAsia="宋体" w:hint="default"/>
        </w:rPr>
        <w:t>1%</w:t>
      </w:r>
      <w:r>
        <w:rPr/>
        <w:t>确认预计负债。</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t>②对</w:t>
      </w:r>
      <w:r>
        <w:rPr>
          <w:spacing w:val="-64"/>
        </w:rPr>
        <w:t> </w:t>
      </w:r>
      <w:r>
        <w:rPr>
          <w:rFonts w:ascii="宋体" w:hAnsi="宋体" w:cs="宋体" w:eastAsia="宋体" w:hint="default"/>
        </w:rPr>
        <w:t>BOT</w:t>
      </w:r>
      <w:r>
        <w:rPr>
          <w:rFonts w:ascii="宋体" w:hAnsi="宋体" w:cs="宋体" w:eastAsia="宋体" w:hint="default"/>
          <w:spacing w:val="-64"/>
        </w:rPr>
        <w:t> </w:t>
      </w:r>
      <w:r>
        <w:rPr/>
        <w:t>项目产生的预计环保设备大修及更新费用，按照当前确定的最佳估计数确认预计负债，每个 </w:t>
      </w:r>
      <w:r>
        <w:rPr>
          <w:spacing w:val="-1"/>
        </w:rPr>
        <w:t>报告期末对上期确定的最佳估计数进行复核，如有有确凿证据表明该账面价值不能真实反映当前最佳估计</w:t>
      </w:r>
      <w:r>
        <w:rPr>
          <w:spacing w:val="-81"/>
        </w:rPr>
        <w:t> </w:t>
      </w:r>
      <w:r>
        <w:rPr>
          <w:spacing w:val="-81"/>
        </w:rPr>
      </w:r>
      <w:r>
        <w:rPr/>
        <w:t>数，按照当前最佳估计数对该账面价值进行调整。</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4、股份支付" w:id="203"/>
      <w:bookmarkEnd w:id="203"/>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0" w:firstLine="420"/>
        <w:jc w:val="both"/>
      </w:pPr>
      <w:r>
        <w:rPr>
          <w:spacing w:val="-1"/>
        </w:rPr>
        <w:t>本公司股份支付包括以权益结算的股份支付和以现金结算的股份支付。以权益结算的股份支付换取职</w:t>
      </w:r>
      <w:r>
        <w:rPr/>
        <w:t> </w:t>
      </w:r>
      <w:r>
        <w:rPr>
          <w:spacing w:val="-1"/>
        </w:rPr>
        <w:t>工提供服务的，以授予职工权益工具的公允价值计量。存在活跃市场的，按照活跃市场中的报价确定；不</w:t>
      </w:r>
      <w:r>
        <w:rPr>
          <w:spacing w:val="-85"/>
        </w:rPr>
        <w:t> </w:t>
      </w:r>
      <w:r>
        <w:rPr>
          <w:spacing w:val="-85"/>
        </w:rPr>
      </w:r>
      <w:r>
        <w:rPr>
          <w:spacing w:val="-1"/>
        </w:rPr>
        <w:t>存在活跃市场的，采用估值技术确定，包括参考熟悉情况并自愿交易的各方最近进行的市场交易中使用的</w:t>
      </w:r>
      <w:r>
        <w:rPr>
          <w:spacing w:val="-81"/>
        </w:rPr>
        <w:t> </w:t>
      </w:r>
      <w:r>
        <w:rPr>
          <w:spacing w:val="-81"/>
        </w:rPr>
      </w:r>
      <w:r>
        <w:rPr/>
        <w:t>价格、参照实质上相同的其他金融工具的当前公允价值、现金流量折现法和期权定价模型等。</w:t>
      </w:r>
    </w:p>
    <w:p>
      <w:pPr>
        <w:pStyle w:val="BodyText"/>
        <w:spacing w:line="408" w:lineRule="auto"/>
        <w:ind w:right="1131" w:firstLine="420"/>
        <w:jc w:val="both"/>
      </w:pPr>
      <w:r>
        <w:rPr>
          <w:spacing w:val="-1"/>
        </w:rPr>
        <w:t>在各个资产负债表日，根据最新取得的可行权人数变动、业绩指标完成情况等后续信息，修正预计可</w:t>
      </w:r>
      <w:r>
        <w:rPr/>
        <w:t> </w:t>
      </w:r>
      <w:r>
        <w:rPr>
          <w:spacing w:val="-1"/>
        </w:rPr>
        <w:t>行权的股票期权数量，并以此为依据确认各期应分摊的费用。对于跨越多个会计期间的期权费用，一般可</w:t>
      </w:r>
      <w:r>
        <w:rPr>
          <w:spacing w:val="-83"/>
        </w:rPr>
        <w:t> </w:t>
      </w:r>
      <w:r>
        <w:rPr>
          <w:spacing w:val="-83"/>
        </w:rPr>
      </w:r>
      <w:r>
        <w:rPr/>
        <w:t>以按照该期权在某会计期间内等待期长度占整个等待期长度的比例进行分摊。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5、收入" w:id="204"/>
      <w:bookmarkEnd w:id="204"/>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574" w:right="1115"/>
        <w:jc w:val="left"/>
      </w:pPr>
      <w:r>
        <w:rPr>
          <w:rFonts w:ascii="宋体" w:hAnsi="宋体" w:cs="宋体" w:eastAsia="宋体" w:hint="default"/>
        </w:rPr>
        <w:t>1</w:t>
      </w:r>
      <w:r>
        <w:rPr/>
        <w:t>、销售商品 </w:t>
      </w:r>
      <w:r>
        <w:rPr>
          <w:spacing w:val="-1"/>
        </w:rPr>
        <w:t>公司按照从购货方已收或应收的合同或协议价款确定销售商品收入金额，但已收或应收的合同或协议</w:t>
      </w:r>
    </w:p>
    <w:p>
      <w:pPr>
        <w:pStyle w:val="BodyText"/>
        <w:spacing w:line="408" w:lineRule="auto"/>
        <w:ind w:right="1131"/>
        <w:jc w:val="both"/>
      </w:pPr>
      <w:r>
        <w:rPr>
          <w:spacing w:val="-1"/>
        </w:rPr>
        <w:t>价款不公允的除外。合同或协议价款的收取采用递延方式，实质上具有融资性质的，按照应收的合同或协</w:t>
      </w:r>
      <w:r>
        <w:rPr>
          <w:spacing w:val="-83"/>
        </w:rPr>
        <w:t> </w:t>
      </w:r>
      <w:r>
        <w:rPr>
          <w:spacing w:val="-83"/>
        </w:rPr>
      </w:r>
      <w:r>
        <w:rPr>
          <w:spacing w:val="-1"/>
        </w:rPr>
        <w:t>议价款的公允价值确定销售商品收入金额。应收的合同或协议价款与其公允价值之间的差额，在合同或协</w:t>
      </w:r>
      <w:r>
        <w:rPr>
          <w:spacing w:val="-81"/>
        </w:rPr>
        <w:t> </w:t>
      </w:r>
      <w:r>
        <w:rPr>
          <w:spacing w:val="-81"/>
        </w:rPr>
      </w:r>
      <w:r>
        <w:rPr/>
        <w:t>议期间内采用实际利率法进行摊销，计入当期损益。</w:t>
      </w:r>
    </w:p>
    <w:p>
      <w:pPr>
        <w:pStyle w:val="BodyText"/>
        <w:spacing w:line="408" w:lineRule="auto"/>
        <w:ind w:right="1131" w:firstLine="420"/>
        <w:jc w:val="both"/>
      </w:pPr>
      <w:r>
        <w:rPr>
          <w:spacing w:val="-1"/>
        </w:rPr>
        <w:t>销售商品涉及现金折扣的，按照扣除现金折扣前的金额确定销售商品收入金额。销售商品涉及商业折</w:t>
      </w:r>
      <w:r>
        <w:rPr/>
        <w:t> </w:t>
      </w:r>
      <w:r>
        <w:rPr>
          <w:spacing w:val="-1"/>
        </w:rPr>
        <w:t>扣的，按照扣除商业折扣后的金额确定销售商品收入金额。本公司已经确认销售商品收入的售出商品发生</w:t>
      </w:r>
      <w:r>
        <w:rPr>
          <w:spacing w:val="-81"/>
        </w:rPr>
        <w:t> </w:t>
      </w:r>
      <w:r>
        <w:rPr>
          <w:spacing w:val="-81"/>
        </w:rPr>
      </w:r>
      <w:r>
        <w:rPr/>
        <w:t>销售折让的，在发生时冲减当期销售商品收入。</w:t>
      </w:r>
    </w:p>
    <w:p>
      <w:pPr>
        <w:pStyle w:val="BodyText"/>
        <w:spacing w:line="408" w:lineRule="auto"/>
        <w:ind w:left="574" w:right="0"/>
        <w:jc w:val="left"/>
      </w:pPr>
      <w:r>
        <w:rPr/>
        <w:t>公司已经确认销售商品收入的售出商品发生销售退回的，在发生时冲减当期销售商品收入。 确认销售收入具体方法： 系统产品销售收入：公司根据和客户签订的系统产品销售合同约定</w:t>
      </w:r>
      <w:r>
        <w:rPr>
          <w:rFonts w:ascii="宋体" w:hAnsi="宋体" w:cs="宋体" w:eastAsia="宋体" w:hint="default"/>
        </w:rPr>
        <w:t>,</w:t>
      </w:r>
      <w:r>
        <w:rPr/>
        <w:t>经审批后组织发货并安装调试，</w:t>
      </w:r>
    </w:p>
    <w:p>
      <w:pPr>
        <w:pStyle w:val="BodyText"/>
        <w:spacing w:line="408" w:lineRule="auto"/>
        <w:ind w:right="0"/>
        <w:jc w:val="left"/>
      </w:pPr>
      <w:r>
        <w:rPr>
          <w:spacing w:val="-1"/>
        </w:rPr>
        <w:t>客户验收后出具安装调试报告或验收报告，公司根据合同、销售出库单、货物回单、安装调试报告或验收</w:t>
      </w:r>
      <w:r>
        <w:rPr>
          <w:spacing w:val="-86"/>
        </w:rPr>
        <w:t> </w:t>
      </w:r>
      <w:r>
        <w:rPr>
          <w:spacing w:val="-86"/>
        </w:rPr>
      </w:r>
      <w:r>
        <w:rPr/>
        <w:t>报告确认收入。</w:t>
      </w:r>
    </w:p>
    <w:p>
      <w:pPr>
        <w:pStyle w:val="BodyText"/>
        <w:spacing w:line="240" w:lineRule="auto"/>
        <w:ind w:left="574" w:right="0"/>
        <w:jc w:val="left"/>
      </w:pPr>
      <w:r>
        <w:rPr/>
        <w:t>软件产品销售收入：公司根据和客户签订的软件产品销售合同约定，经审批后组织发货并安装调试，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1092" w:hanging="420"/>
        <w:jc w:val="left"/>
      </w:pPr>
      <w:r>
        <w:rPr/>
        <w:t>客户进行初验，公司根据初验报告确认收入。 其他产品销售收入：根据和客户签订的产品销售合同经审批后组织发货，产品送达客户指定地点后，</w:t>
      </w:r>
    </w:p>
    <w:p>
      <w:pPr>
        <w:pStyle w:val="BodyText"/>
        <w:spacing w:line="408" w:lineRule="auto"/>
        <w:ind w:right="1133"/>
        <w:jc w:val="both"/>
      </w:pPr>
      <w:r>
        <w:rPr>
          <w:spacing w:val="-1"/>
        </w:rPr>
        <w:t>由客户检验核对无误，验收后出具收货或验收确认单据，公司根据合同、销售出库单、货物回单、收货或</w:t>
      </w:r>
      <w:r>
        <w:rPr>
          <w:spacing w:val="-83"/>
        </w:rPr>
        <w:t> </w:t>
      </w:r>
      <w:r>
        <w:rPr>
          <w:spacing w:val="-83"/>
        </w:rPr>
      </w:r>
      <w:r>
        <w:rPr/>
        <w:t>验收确认单据确认收入。</w:t>
      </w:r>
    </w:p>
    <w:p>
      <w:pPr>
        <w:pStyle w:val="BodyText"/>
        <w:spacing w:line="408" w:lineRule="auto"/>
        <w:ind w:left="574" w:right="8022"/>
        <w:jc w:val="left"/>
      </w:pPr>
      <w:r>
        <w:rPr>
          <w:rFonts w:ascii="宋体" w:hAnsi="宋体" w:cs="宋体" w:eastAsia="宋体" w:hint="default"/>
        </w:rPr>
        <w:t>2</w:t>
      </w:r>
      <w:r>
        <w:rPr/>
        <w:t>、提供劳务 确认劳务收入具体方法：</w:t>
      </w:r>
    </w:p>
    <w:p>
      <w:pPr>
        <w:pStyle w:val="BodyText"/>
        <w:spacing w:line="408" w:lineRule="auto"/>
        <w:ind w:left="574" w:right="0"/>
        <w:jc w:val="left"/>
      </w:pPr>
      <w:r>
        <w:rPr/>
        <w:t>运营收入：按每个月计量的实际处理的工作量（水量或气量等）经业主确认后确认收入。 </w:t>
      </w:r>
      <w:r>
        <w:rPr>
          <w:spacing w:val="-1"/>
        </w:rPr>
        <w:t>技术服务收入：公司在完成技术服务合同中约定结算的具体服务内容并提交相应技术服务成果，经业</w:t>
      </w:r>
    </w:p>
    <w:p>
      <w:pPr>
        <w:pStyle w:val="BodyText"/>
        <w:spacing w:line="408" w:lineRule="auto"/>
        <w:ind w:left="574" w:right="0" w:hanging="420"/>
        <w:jc w:val="left"/>
      </w:pPr>
      <w:r>
        <w:rPr/>
        <w:t>主确认后确认收入。 </w:t>
      </w:r>
      <w:r>
        <w:rPr>
          <w:spacing w:val="-1"/>
        </w:rPr>
        <w:t>工程收入：对于公司提供的土建、安装等劳务，按照实际发生的成本占预计总成本的比例计算的完工</w:t>
      </w:r>
    </w:p>
    <w:p>
      <w:pPr>
        <w:pStyle w:val="BodyText"/>
        <w:spacing w:line="408" w:lineRule="auto"/>
        <w:ind w:right="1131"/>
        <w:jc w:val="both"/>
      </w:pPr>
      <w:r>
        <w:rPr>
          <w:spacing w:val="-1"/>
        </w:rPr>
        <w:t>进度确认营业收入，并需取得完工进度外部确认文件。外部确认文件包括但不限于最终验收报告、工程量</w:t>
      </w:r>
      <w:r>
        <w:rPr>
          <w:spacing w:val="-83"/>
        </w:rPr>
        <w:t> </w:t>
      </w:r>
      <w:r>
        <w:rPr>
          <w:spacing w:val="-83"/>
        </w:rPr>
      </w:r>
      <w:r>
        <w:rPr/>
        <w:t>确认单或其他按照业主统一格式出具的验收文件等。</w:t>
      </w:r>
    </w:p>
    <w:p>
      <w:pPr>
        <w:pStyle w:val="BodyText"/>
        <w:spacing w:line="408" w:lineRule="auto"/>
        <w:ind w:left="574" w:right="0"/>
        <w:jc w:val="left"/>
      </w:pPr>
      <w:r>
        <w:rPr>
          <w:rFonts w:ascii="宋体" w:hAnsi="宋体" w:cs="宋体" w:eastAsia="宋体" w:hint="default"/>
        </w:rPr>
        <w:t>3</w:t>
      </w:r>
      <w:r>
        <w:rPr/>
        <w:t>、让渡资产使用权 </w:t>
      </w:r>
      <w:r>
        <w:rPr>
          <w:spacing w:val="-1"/>
        </w:rPr>
        <w:t>让渡资产使用权根据与资产使用权让渡相关的经济利益能够流入及收入的金额能够可靠地计量时，确</w:t>
      </w:r>
    </w:p>
    <w:p>
      <w:pPr>
        <w:pStyle w:val="BodyText"/>
        <w:spacing w:line="240" w:lineRule="auto"/>
        <w:ind w:right="0"/>
        <w:jc w:val="left"/>
      </w:pPr>
      <w:r>
        <w:rPr/>
        <w:t>认收入。</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4</w:t>
      </w:r>
      <w:r>
        <w:rPr/>
        <w:t>、建造合同</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BOT</w:t>
      </w:r>
      <w:r>
        <w:rPr>
          <w:rFonts w:ascii="宋体" w:hAnsi="宋体" w:cs="宋体" w:eastAsia="宋体" w:hint="default"/>
          <w:spacing w:val="-54"/>
        </w:rPr>
        <w:t> </w:t>
      </w:r>
      <w:r>
        <w:rPr/>
        <w:t>项目收入确认的具体方式：</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建造期间，公司对于所提供的建造服务按照《企业会计准则第 </w:t>
      </w:r>
      <w:r>
        <w:rPr>
          <w:rFonts w:ascii="宋体" w:hAnsi="宋体" w:cs="宋体" w:eastAsia="宋体" w:hint="default"/>
        </w:rPr>
        <w:t>15</w:t>
      </w:r>
      <w:r>
        <w:rPr>
          <w:rFonts w:ascii="宋体" w:hAnsi="宋体" w:cs="宋体" w:eastAsia="宋体" w:hint="default"/>
          <w:spacing w:val="-22"/>
        </w:rPr>
        <w:t> </w:t>
      </w:r>
      <w:r>
        <w:rPr/>
        <w:t>号——建造合同》确认相关的收入</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t>和费用。基础设施建成后，项目公司按照《企业会计准则第 </w:t>
      </w:r>
      <w:r>
        <w:rPr>
          <w:rFonts w:ascii="宋体" w:hAnsi="宋体" w:cs="宋体" w:eastAsia="宋体" w:hint="default"/>
        </w:rPr>
        <w:t>14</w:t>
      </w:r>
      <w:r>
        <w:rPr>
          <w:rFonts w:ascii="宋体" w:hAnsi="宋体" w:cs="宋体" w:eastAsia="宋体" w:hint="default"/>
          <w:spacing w:val="-22"/>
        </w:rPr>
        <w:t> </w:t>
      </w:r>
      <w:r>
        <w:rPr/>
        <w:t>号——收入》确认与后续经营服务相关的 </w:t>
      </w:r>
      <w:r>
        <w:rPr>
          <w:spacing w:val="-1"/>
        </w:rPr>
        <w:t>收入。建造合同收入按照收取或应收对价的公允价值计量，并分别以下情况在确认收入的同时，确认金融</w:t>
      </w:r>
      <w:r>
        <w:rPr>
          <w:spacing w:val="-83"/>
        </w:rPr>
        <w:t> </w:t>
      </w:r>
      <w:r>
        <w:rPr>
          <w:spacing w:val="-83"/>
        </w:rPr>
      </w:r>
      <w:r>
        <w:rPr/>
        <w:t>资产或无形资产：</w:t>
      </w:r>
    </w:p>
    <w:p>
      <w:pPr>
        <w:pStyle w:val="BodyText"/>
        <w:spacing w:line="408" w:lineRule="auto"/>
        <w:ind w:right="1131" w:firstLine="420"/>
        <w:jc w:val="both"/>
      </w:pPr>
      <w:r>
        <w:rPr>
          <w:spacing w:val="-1"/>
        </w:rPr>
        <w:t>合同规定基础设施建成后的一定期间内，项目公司可以无条件地自合同授予方收取确定金额的货币资</w:t>
      </w:r>
      <w:r>
        <w:rPr/>
        <w:t> </w:t>
      </w:r>
      <w:r>
        <w:rPr>
          <w:spacing w:val="-1"/>
        </w:rPr>
        <w:t>金或其他金融资产的；或在项目公司提供经营服务的收费低于某一限定金额的情况下，合同授予方按照合</w:t>
      </w:r>
      <w:r>
        <w:rPr>
          <w:spacing w:val="-81"/>
        </w:rPr>
        <w:t> </w:t>
      </w:r>
      <w:r>
        <w:rPr>
          <w:spacing w:val="-81"/>
        </w:rPr>
      </w:r>
      <w:r>
        <w:rPr>
          <w:spacing w:val="-1"/>
        </w:rPr>
        <w:t>同规定负责将有关差价补偿给项目公司的，应当在确认收入的同时确认金融资产，并按照《企业会计准则</w:t>
      </w:r>
      <w:r>
        <w:rPr>
          <w:spacing w:val="-83"/>
        </w:rPr>
        <w:t> </w:t>
      </w:r>
      <w:r>
        <w:rPr>
          <w:spacing w:val="-83"/>
        </w:rPr>
      </w:r>
      <w:r>
        <w:rPr/>
        <w:t>第</w:t>
      </w:r>
      <w:r>
        <w:rPr>
          <w:spacing w:val="-55"/>
        </w:rPr>
        <w:t> </w:t>
      </w:r>
      <w:r>
        <w:rPr>
          <w:rFonts w:ascii="宋体" w:hAnsi="宋体" w:cs="宋体" w:eastAsia="宋体" w:hint="default"/>
        </w:rPr>
        <w:t>22</w:t>
      </w:r>
      <w:r>
        <w:rPr>
          <w:rFonts w:ascii="宋体" w:hAnsi="宋体" w:cs="宋体" w:eastAsia="宋体" w:hint="default"/>
          <w:spacing w:val="-54"/>
        </w:rPr>
        <w:t> </w:t>
      </w:r>
      <w:r>
        <w:rPr/>
        <w:t>号——金融工具确认和计量》的规定处理。</w:t>
      </w:r>
    </w:p>
    <w:p>
      <w:pPr>
        <w:pStyle w:val="BodyText"/>
        <w:spacing w:line="408" w:lineRule="auto"/>
        <w:ind w:right="1131" w:firstLine="420"/>
        <w:jc w:val="both"/>
      </w:pPr>
      <w:r>
        <w:rPr>
          <w:spacing w:val="3"/>
        </w:rPr>
        <w:t>合同规定项目公司在有关基础设施建成后，从事经营的一定期间内有权利向获取服务的对象收取费</w:t>
      </w:r>
      <w:r>
        <w:rPr/>
        <w:t> </w:t>
      </w:r>
      <w:r>
        <w:rPr>
          <w:spacing w:val="-1"/>
        </w:rPr>
        <w:t>用，但收费金额不确定的，该权利不构成一项无条件收取现金的权利，项目公司在确认收入的同时确认无</w:t>
      </w:r>
      <w:r>
        <w:rPr>
          <w:spacing w:val="-83"/>
        </w:rPr>
        <w:t> </w:t>
      </w:r>
      <w:r>
        <w:rPr>
          <w:spacing w:val="-83"/>
        </w:rPr>
      </w:r>
      <w:r>
        <w:rPr/>
        <w:t>形资产。</w:t>
      </w:r>
    </w:p>
    <w:p>
      <w:pPr>
        <w:pStyle w:val="BodyText"/>
        <w:spacing w:line="408" w:lineRule="auto"/>
        <w:ind w:right="1131" w:firstLine="420"/>
        <w:jc w:val="both"/>
      </w:pPr>
      <w:r>
        <w:rPr>
          <w:spacing w:val="-1"/>
        </w:rPr>
        <w:t>项目公司未提供实际建造服务，将基础设施建造发包给其他方的，不确认建造服务收入，按照建造过</w:t>
      </w:r>
      <w:r>
        <w:rPr/>
        <w:t> 程中支付的工程价款等考虑合同规定，分别确认为金融资产或无形资产。</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firstLine="420"/>
        <w:jc w:val="both"/>
      </w:pPr>
      <w:r>
        <w:rPr/>
        <w:t>对于公司提供的建造服务，按照实际发生的成本占预计总成本的比例计算的完工进度确认营业收入， </w:t>
      </w:r>
      <w:r>
        <w:rPr>
          <w:spacing w:val="-1"/>
        </w:rPr>
        <w:t>并需取得完工进度外部确认文件。外部确认文件包括但不限于最终验收报告、工程量确认单或其他按照业</w:t>
      </w:r>
      <w:r>
        <w:rPr>
          <w:spacing w:val="-81"/>
        </w:rPr>
        <w:t> </w:t>
      </w:r>
      <w:r>
        <w:rPr>
          <w:spacing w:val="-81"/>
        </w:rPr>
      </w:r>
      <w:r>
        <w:rPr/>
        <w:t>主统一格式出具的验收文件等。</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6、政府补助" w:id="205"/>
      <w:bookmarkEnd w:id="205"/>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rFonts w:ascii="宋体" w:hAnsi="宋体" w:cs="宋体" w:eastAsia="宋体" w:hint="default"/>
        </w:rPr>
        <w:t>1.</w:t>
      </w:r>
      <w:r>
        <w:rPr/>
        <w:t>政府补助的类型及会计处理 </w:t>
      </w:r>
      <w:r>
        <w:rPr>
          <w:spacing w:val="-1"/>
        </w:rPr>
        <w:t>政府补助是指本公司从政府无偿取得的货币性资产或非货币性资产（但不包括政府作为所有者投入的</w:t>
      </w:r>
    </w:p>
    <w:p>
      <w:pPr>
        <w:pStyle w:val="BodyText"/>
        <w:spacing w:line="408" w:lineRule="auto"/>
        <w:ind w:right="1138"/>
        <w:jc w:val="left"/>
      </w:pPr>
      <w:r>
        <w:rPr>
          <w:spacing w:val="-1"/>
        </w:rPr>
        <w:t>资本）。政府补助为货币性资产的，应当按照收到或应收的金额计量。政府补助为非货币性资产的，应当</w:t>
      </w:r>
      <w:r>
        <w:rPr>
          <w:spacing w:val="-94"/>
        </w:rPr>
        <w:t> </w:t>
      </w:r>
      <w:r>
        <w:rPr>
          <w:spacing w:val="-94"/>
        </w:rPr>
      </w:r>
      <w:r>
        <w:rPr/>
        <w:t>按照公允价值计量；公允价值不能可靠取得的，按照名义金额计量。</w:t>
      </w:r>
    </w:p>
    <w:p>
      <w:pPr>
        <w:pStyle w:val="BodyText"/>
        <w:spacing w:line="408" w:lineRule="auto"/>
        <w:ind w:right="1133" w:firstLine="420"/>
        <w:jc w:val="both"/>
      </w:pPr>
      <w:r>
        <w:rPr>
          <w:spacing w:val="-1"/>
        </w:rPr>
        <w:t>与日常活动相关的政府补助，按照经济业务实质，计入其他收益。与日常活动无关的政府补助，计入</w:t>
      </w:r>
      <w:r>
        <w:rPr/>
        <w:t> 营业外收支。</w:t>
      </w:r>
    </w:p>
    <w:p>
      <w:pPr>
        <w:pStyle w:val="BodyText"/>
        <w:spacing w:line="408" w:lineRule="auto"/>
        <w:ind w:right="1109" w:firstLine="420"/>
        <w:jc w:val="both"/>
      </w:pPr>
      <w:r>
        <w:rPr/>
        <w:t>政府文件明确规定用于购建或以其他方式形成长期资产的政府补助，确认为与资产相关的政府补助。 </w:t>
      </w:r>
      <w:r>
        <w:rPr>
          <w:spacing w:val="-1"/>
        </w:rPr>
        <w:t>政府文件未明确规定补助对象的，能够形成长期资产的，与资产价值相对应的政府补助部分作为与资产相</w:t>
      </w:r>
      <w:r>
        <w:rPr>
          <w:spacing w:val="-81"/>
        </w:rPr>
        <w:t> </w:t>
      </w:r>
      <w:r>
        <w:rPr>
          <w:spacing w:val="-81"/>
        </w:rPr>
      </w:r>
      <w:r>
        <w:rPr>
          <w:spacing w:val="-1"/>
        </w:rPr>
        <w:t>关的政府补助，其余部分作为与收益相关的政府补助；难以区分的，将政府补助整体作为与收益相关的政</w:t>
      </w:r>
      <w:r>
        <w:rPr>
          <w:spacing w:val="-83"/>
        </w:rPr>
        <w:t> </w:t>
      </w:r>
      <w:r>
        <w:rPr>
          <w:spacing w:val="-83"/>
        </w:rPr>
      </w:r>
      <w:r>
        <w:rPr>
          <w:spacing w:val="-1"/>
        </w:rPr>
        <w:t>府补助。与资产相关的政府补助确认为递延收益。确认为递延收益的金额，在相关资产使用寿命内按照合</w:t>
      </w:r>
      <w:r>
        <w:rPr>
          <w:spacing w:val="-83"/>
        </w:rPr>
        <w:t> </w:t>
      </w:r>
      <w:r>
        <w:rPr>
          <w:spacing w:val="-83"/>
        </w:rPr>
      </w:r>
      <w:r>
        <w:rPr/>
        <w:t>理、系统的方法分期计入当期损益。</w:t>
      </w:r>
    </w:p>
    <w:p>
      <w:pPr>
        <w:pStyle w:val="BodyText"/>
        <w:spacing w:line="408" w:lineRule="auto"/>
        <w:ind w:right="1109" w:firstLine="420"/>
        <w:jc w:val="both"/>
      </w:pPr>
      <w:r>
        <w:rPr>
          <w:spacing w:val="-1"/>
        </w:rPr>
        <w:t>除与资产相关的政府补助之外的政府补助，确认为与收益相关的政府补助。与收益相关的政府补助用</w:t>
      </w:r>
      <w:r>
        <w:rPr/>
        <w:t> 于补偿企业以后期间的相关费用或损失的，确认为递延收益，并在确认相关费用的期间，计入当期损益； 用于补偿企业已发生的相关费用或损失的，直接计入当期损益。</w:t>
      </w:r>
    </w:p>
    <w:p>
      <w:pPr>
        <w:pStyle w:val="BodyText"/>
        <w:spacing w:line="408" w:lineRule="auto"/>
        <w:ind w:left="574" w:right="0"/>
        <w:jc w:val="left"/>
      </w:pPr>
      <w:r>
        <w:rPr>
          <w:rFonts w:ascii="宋体" w:hAnsi="宋体" w:cs="宋体" w:eastAsia="宋体" w:hint="default"/>
        </w:rPr>
        <w:t>2.</w:t>
      </w:r>
      <w:r>
        <w:rPr/>
        <w:t>政府补助确认时点 </w:t>
      </w:r>
      <w:r>
        <w:rPr>
          <w:spacing w:val="-1"/>
        </w:rPr>
        <w:t>政府补助在满足政府补助所附条件并能够收到时确认。按照应收金额计量的政府补助，在期末有确凿</w:t>
      </w:r>
    </w:p>
    <w:p>
      <w:pPr>
        <w:pStyle w:val="BodyText"/>
        <w:spacing w:line="408" w:lineRule="auto"/>
        <w:ind w:right="0"/>
        <w:jc w:val="left"/>
      </w:pPr>
      <w:r>
        <w:rPr>
          <w:spacing w:val="-1"/>
        </w:rPr>
        <w:t>证据表明能够符合财政扶持政策规定的相关条件且预计能够收到财政扶持资金时予以确认。除按照应收金</w:t>
      </w:r>
      <w:r>
        <w:rPr>
          <w:spacing w:val="-81"/>
        </w:rPr>
        <w:t> </w:t>
      </w:r>
      <w:r>
        <w:rPr>
          <w:spacing w:val="-81"/>
        </w:rPr>
      </w:r>
      <w:r>
        <w:rPr/>
        <w:t>额计量的政府补助外的其他政府补助，在实际收到补助款项时予以确认。</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7、递延所得税资产/递延所得税负债" w:id="206"/>
      <w:bookmarkEnd w:id="206"/>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40" w:firstLine="420"/>
        <w:jc w:val="both"/>
      </w:pPr>
      <w:r>
        <w:rPr>
          <w:rFonts w:ascii="宋体" w:hAnsi="宋体" w:cs="宋体" w:eastAsia="宋体" w:hint="default"/>
        </w:rPr>
        <w:t>1</w:t>
      </w:r>
      <w:r>
        <w:rPr/>
        <w:t>、根据资产、负债的账面价值与其计税基础之间的差额（未作为资产和负债确认的项目按照税法规 </w:t>
      </w:r>
      <w:r>
        <w:rPr>
          <w:spacing w:val="-1"/>
        </w:rPr>
        <w:t>定可以确定其计税基础的，确定该计税基础为其差额），按照预期收回该资产或清偿该负债期间的适用税</w:t>
      </w:r>
      <w:r>
        <w:rPr>
          <w:spacing w:val="-94"/>
        </w:rPr>
        <w:t> </w:t>
      </w:r>
      <w:r>
        <w:rPr>
          <w:spacing w:val="-94"/>
        </w:rPr>
      </w:r>
      <w:r>
        <w:rPr/>
        <w:t>率计算确认递延所得税资产或递延所得税负债。</w:t>
      </w:r>
    </w:p>
    <w:p>
      <w:pPr>
        <w:pStyle w:val="BodyText"/>
        <w:spacing w:line="408" w:lineRule="auto"/>
        <w:ind w:right="1131" w:firstLine="420"/>
        <w:jc w:val="both"/>
      </w:pPr>
      <w:r>
        <w:rPr>
          <w:rFonts w:ascii="宋体" w:hAnsi="宋体" w:cs="宋体" w:eastAsia="宋体" w:hint="default"/>
        </w:rPr>
        <w:t>2</w:t>
      </w:r>
      <w:r>
        <w:rPr/>
        <w:t>、递延所得税资产的确认以很可能取得用来抵扣可抵扣暂时性差异的应纳税所得额为限。资产负债 </w:t>
      </w:r>
      <w:r>
        <w:rPr>
          <w:spacing w:val="-1"/>
        </w:rPr>
        <w:t>表日，有确凿证据表明未来期间很可能获得足够的应纳税所得额用来抵扣可抵扣暂时性差异的，确认以前</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会计期间未确认的递延所得税资产。如未来期间很可能无法获得足够的应纳税所得额用以抵扣递延所得税</w:t>
      </w:r>
      <w:r>
        <w:rPr>
          <w:spacing w:val="-81"/>
        </w:rPr>
        <w:t> </w:t>
      </w:r>
      <w:r>
        <w:rPr>
          <w:spacing w:val="-81"/>
        </w:rPr>
      </w:r>
      <w:r>
        <w:rPr/>
        <w:t>资产的，则减记递延所得税资产的账面价值。</w:t>
      </w:r>
    </w:p>
    <w:p>
      <w:pPr>
        <w:pStyle w:val="BodyText"/>
        <w:spacing w:line="408" w:lineRule="auto"/>
        <w:ind w:right="1132" w:firstLine="420"/>
        <w:jc w:val="both"/>
      </w:pPr>
      <w:r>
        <w:rPr>
          <w:rFonts w:ascii="宋体" w:hAnsi="宋体" w:cs="宋体" w:eastAsia="宋体" w:hint="default"/>
        </w:rPr>
        <w:t>3</w:t>
      </w:r>
      <w:r>
        <w:rPr/>
        <w:t>、对与子公司及联营企业投资相关的应纳税暂时性差异，确认递延所得税负债，除非本公司能够控 </w:t>
      </w:r>
      <w:r>
        <w:rPr>
          <w:spacing w:val="-1"/>
        </w:rPr>
        <w:t>制暂时性差异转回的时间且该暂时性差异在可预见的未来很可能不会转回。对与子公司及联营企业投资相</w:t>
      </w:r>
      <w:r>
        <w:rPr>
          <w:spacing w:val="-81"/>
        </w:rPr>
        <w:t> </w:t>
      </w:r>
      <w:r>
        <w:rPr>
          <w:spacing w:val="-81"/>
        </w:rPr>
      </w:r>
      <w:r>
        <w:rPr>
          <w:spacing w:val="-1"/>
        </w:rPr>
        <w:t>关的可抵扣暂时性差异，当该暂时性差异在可预见的未来很可能转回且未来很可能获得用来抵扣可抵扣暂</w:t>
      </w:r>
      <w:r>
        <w:rPr>
          <w:spacing w:val="-81"/>
        </w:rPr>
        <w:t> </w:t>
      </w:r>
      <w:r>
        <w:rPr>
          <w:spacing w:val="-81"/>
        </w:rPr>
      </w:r>
      <w:r>
        <w:rPr/>
        <w:t>时性差异的应纳税所得额时，确认递延所得税资产。</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8、租赁" w:id="207"/>
      <w:bookmarkEnd w:id="207"/>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spacing w:line="568" w:lineRule="auto" w:before="0"/>
        <w:ind w:left="574" w:right="3402" w:hanging="420"/>
        <w:jc w:val="left"/>
        <w:rPr>
          <w:rFonts w:ascii="宋体" w:hAnsi="宋体" w:cs="宋体" w:eastAsia="宋体" w:hint="default"/>
          <w:sz w:val="21"/>
          <w:szCs w:val="21"/>
        </w:rPr>
      </w:pPr>
      <w:bookmarkStart w:name="（1）经营租赁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pStyle w:val="Heading4"/>
        <w:spacing w:line="240" w:lineRule="auto" w:before="128"/>
        <w:ind w:right="0"/>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以租赁资产的公允价值与最低租赁付款额的现值两者中较低者作为租入资产的入账价值，租入资产的</w:t>
      </w:r>
      <w:r>
        <w:rPr/>
        <w:t> </w:t>
      </w:r>
      <w:r>
        <w:rPr>
          <w:spacing w:val="-1"/>
        </w:rPr>
        <w:t>入账价值与最低租赁付款额之间的差额作为未确认融资费用，在租赁期内按实际利率法摊销。最低租赁付</w:t>
      </w:r>
      <w:r>
        <w:rPr>
          <w:spacing w:val="-81"/>
        </w:rPr>
        <w:t> </w:t>
      </w:r>
      <w:r>
        <w:rPr>
          <w:spacing w:val="-81"/>
        </w:rPr>
      </w:r>
      <w:r>
        <w:rPr/>
        <w:t>款额扣除未确认融资费用后的余额作为长期应付款列示。</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9、重要会计政策和会计估计变更" w:id="210"/>
      <w:bookmarkEnd w:id="210"/>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855"/>
        <w:gridCol w:w="3402"/>
        <w:gridCol w:w="1417"/>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485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日发布了《财政部关于修订印发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30"/>
                <w:sz w:val="18"/>
                <w:szCs w:val="18"/>
              </w:rPr>
              <w:t>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执行企业会计准则的企业应按照企业会计准则和该通知要求 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本次变更已分别经公司第四届董事会第二 十二次会议及第四届监事会第十一次会议 </w:t>
            </w:r>
            <w:r>
              <w:rPr>
                <w:rFonts w:ascii="宋体" w:hAnsi="宋体" w:cs="宋体" w:eastAsia="宋体" w:hint="default"/>
                <w:spacing w:val="-4"/>
                <w:sz w:val="18"/>
                <w:szCs w:val="18"/>
              </w:rPr>
              <w:t>审议通过。根据相关规定，本次变更事项无</w:t>
            </w:r>
            <w:r>
              <w:rPr>
                <w:rFonts w:ascii="宋体" w:hAnsi="宋体" w:cs="宋体" w:eastAsia="宋体" w:hint="default"/>
                <w:sz w:val="18"/>
                <w:szCs w:val="18"/>
              </w:rPr>
              <w:t> 需提交股东大会审议。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2"/>
              <w:jc w:val="left"/>
              <w:rPr>
                <w:rFonts w:ascii="宋体" w:hAnsi="宋体" w:cs="宋体" w:eastAsia="宋体" w:hint="default"/>
                <w:sz w:val="18"/>
                <w:szCs w:val="18"/>
              </w:rPr>
            </w:pPr>
            <w:r>
              <w:rPr>
                <w:rFonts w:ascii="宋体" w:hAnsi="宋体" w:cs="宋体" w:eastAsia="宋体" w:hint="default"/>
                <w:sz w:val="18"/>
                <w:szCs w:val="18"/>
              </w:rPr>
              <w:t>对合并财务报表 的影响见下表。</w:t>
            </w:r>
          </w:p>
        </w:tc>
      </w:tr>
    </w:tbl>
    <w:p>
      <w:pPr>
        <w:pStyle w:val="BodyText"/>
        <w:spacing w:line="240" w:lineRule="auto" w:before="63"/>
        <w:ind w:left="574" w:right="0"/>
        <w:jc w:val="left"/>
      </w:pPr>
      <w:r>
        <w:rPr/>
        <w:t>本公司执行财会〔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54"/>
        </w:rPr>
        <w:t> </w:t>
      </w:r>
      <w:r>
        <w:rPr/>
        <w:t>号的主要影响如下：</w:t>
      </w:r>
    </w:p>
    <w:p>
      <w:pPr>
        <w:spacing w:line="240" w:lineRule="auto" w:before="13"/>
        <w:rPr>
          <w:rFonts w:ascii="宋体" w:hAnsi="宋体" w:cs="宋体" w:eastAsia="宋体" w:hint="default"/>
          <w:sz w:val="9"/>
          <w:szCs w:val="9"/>
        </w:rPr>
      </w:pPr>
    </w:p>
    <w:tbl>
      <w:tblPr>
        <w:tblW w:w="0" w:type="auto"/>
        <w:jc w:val="left"/>
        <w:tblInd w:w="156" w:type="dxa"/>
        <w:tblLayout w:type="fixed"/>
        <w:tblCellMar>
          <w:top w:w="0" w:type="dxa"/>
          <w:left w:w="0" w:type="dxa"/>
          <w:bottom w:w="0" w:type="dxa"/>
          <w:right w:w="0" w:type="dxa"/>
        </w:tblCellMar>
        <w:tblLook w:val="01E0"/>
      </w:tblPr>
      <w:tblGrid>
        <w:gridCol w:w="2685"/>
        <w:gridCol w:w="1702"/>
        <w:gridCol w:w="1700"/>
        <w:gridCol w:w="1276"/>
        <w:gridCol w:w="2256"/>
      </w:tblGrid>
      <w:tr>
        <w:trPr>
          <w:trHeight w:val="658" w:hRule="exact"/>
        </w:trPr>
        <w:tc>
          <w:tcPr>
            <w:tcW w:w="268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0"/>
              <w:ind w:left="2" w:right="1587"/>
              <w:jc w:val="left"/>
              <w:rPr>
                <w:rFonts w:ascii="宋体" w:hAnsi="宋体" w:cs="宋体" w:eastAsia="宋体" w:hint="default"/>
                <w:sz w:val="18"/>
                <w:szCs w:val="18"/>
              </w:rPr>
            </w:pPr>
            <w:r>
              <w:rPr>
                <w:rFonts w:ascii="宋体" w:hAnsi="宋体" w:cs="宋体" w:eastAsia="宋体" w:hint="default"/>
                <w:sz w:val="18"/>
                <w:szCs w:val="18"/>
              </w:rPr>
              <w:t>会计政策变更 内容和原因</w:t>
            </w:r>
          </w:p>
        </w:tc>
        <w:tc>
          <w:tcPr>
            <w:tcW w:w="170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6"/>
                <w:sz w:val="18"/>
                <w:szCs w:val="18"/>
              </w:rPr>
              <w:t>受影响的报表项目名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w:t>
            </w:r>
          </w:p>
        </w:tc>
        <w:tc>
          <w:tcPr>
            <w:tcW w:w="170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6"/>
                <w:sz w:val="18"/>
                <w:szCs w:val="18"/>
              </w:rPr>
              <w:t>本期受影响的报表项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目金额</w:t>
            </w:r>
          </w:p>
        </w:tc>
        <w:tc>
          <w:tcPr>
            <w:tcW w:w="127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225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0"/>
              <w:ind w:left="2" w:right="617"/>
              <w:jc w:val="left"/>
              <w:rPr>
                <w:rFonts w:ascii="宋体" w:hAnsi="宋体" w:cs="宋体" w:eastAsia="宋体" w:hint="default"/>
                <w:sz w:val="18"/>
                <w:szCs w:val="18"/>
              </w:rPr>
            </w:pPr>
            <w:r>
              <w:rPr>
                <w:rFonts w:ascii="宋体" w:hAnsi="宋体" w:cs="宋体" w:eastAsia="宋体" w:hint="default"/>
                <w:sz w:val="18"/>
                <w:szCs w:val="18"/>
              </w:rPr>
              <w:t>上期列报的报表项目 及金额</w:t>
            </w:r>
          </w:p>
        </w:tc>
      </w:tr>
      <w:tr>
        <w:trPr>
          <w:trHeight w:val="659" w:hRule="exact"/>
        </w:trPr>
        <w:tc>
          <w:tcPr>
            <w:tcW w:w="26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应收票据和应收账款合并列示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493,694,433.77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537,131,462.74</w:t>
            </w:r>
          </w:p>
        </w:tc>
        <w:tc>
          <w:tcPr>
            <w:tcW w:w="2256" w:type="dxa"/>
            <w:tcBorders>
              <w:top w:val="single" w:sz="10" w:space="0" w:color="000000"/>
              <w:left w:val="single" w:sz="6" w:space="0" w:color="000000"/>
              <w:bottom w:val="single" w:sz="6" w:space="0" w:color="000000"/>
              <w:right w:val="single" w:sz="6" w:space="0" w:color="000000"/>
            </w:tcBorders>
          </w:tcPr>
          <w:p>
            <w:pPr>
              <w:pStyle w:val="TableParagraph"/>
              <w:spacing w:line="300" w:lineRule="auto" w:before="16"/>
              <w:ind w:left="2" w:right="212"/>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39,704,670.68 </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497,426,792.06</w:t>
            </w:r>
          </w:p>
        </w:tc>
      </w:tr>
      <w:tr>
        <w:trPr>
          <w:trHeight w:val="971"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应收利息、应收股利并入其他应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收款项目列示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58"/>
              <w:jc w:val="right"/>
              <w:rPr>
                <w:rFonts w:ascii="Times New Roman" w:hAnsi="Times New Roman" w:cs="Times New Roman" w:eastAsia="Times New Roman" w:hint="default"/>
                <w:sz w:val="18"/>
                <w:szCs w:val="18"/>
              </w:rPr>
            </w:pPr>
            <w:r>
              <w:rPr>
                <w:rFonts w:ascii="Times New Roman"/>
                <w:spacing w:val="-1"/>
                <w:sz w:val="18"/>
              </w:rPr>
              <w:t>60,781,183.38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4" w:right="0"/>
              <w:jc w:val="left"/>
              <w:rPr>
                <w:rFonts w:ascii="Times New Roman" w:hAnsi="Times New Roman" w:cs="Times New Roman" w:eastAsia="Times New Roman" w:hint="default"/>
                <w:sz w:val="18"/>
                <w:szCs w:val="18"/>
              </w:rPr>
            </w:pPr>
            <w:r>
              <w:rPr>
                <w:rFonts w:ascii="Times New Roman"/>
                <w:sz w:val="18"/>
              </w:rPr>
              <w:t>60,384,415.96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0.00 </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0.00 </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60,384,415.96</w:t>
            </w:r>
          </w:p>
        </w:tc>
      </w:tr>
      <w:tr>
        <w:trPr>
          <w:trHeight w:val="348"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固定资产清理并入固定资产列示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pacing w:val="-1"/>
                <w:sz w:val="18"/>
              </w:rPr>
              <w:t>857,714,936.00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 w:right="0"/>
              <w:jc w:val="left"/>
              <w:rPr>
                <w:rFonts w:ascii="Times New Roman" w:hAnsi="Times New Roman" w:cs="Times New Roman" w:eastAsia="Times New Roman" w:hint="default"/>
                <w:sz w:val="18"/>
                <w:szCs w:val="18"/>
              </w:rPr>
            </w:pPr>
            <w:r>
              <w:rPr>
                <w:rFonts w:ascii="Times New Roman"/>
                <w:sz w:val="18"/>
              </w:rPr>
              <w:t>799,922,706.75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799,922,706.75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6" w:type="dxa"/>
        <w:tblLayout w:type="fixed"/>
        <w:tblCellMar>
          <w:top w:w="0" w:type="dxa"/>
          <w:left w:w="0" w:type="dxa"/>
          <w:bottom w:w="0" w:type="dxa"/>
          <w:right w:w="0" w:type="dxa"/>
        </w:tblCellMar>
        <w:tblLook w:val="01E0"/>
      </w:tblPr>
      <w:tblGrid>
        <w:gridCol w:w="2685"/>
        <w:gridCol w:w="1702"/>
        <w:gridCol w:w="1700"/>
        <w:gridCol w:w="1276"/>
        <w:gridCol w:w="2256"/>
      </w:tblGrid>
      <w:tr>
        <w:trPr>
          <w:trHeight w:val="347" w:hRule="exact"/>
        </w:trPr>
        <w:tc>
          <w:tcPr>
            <w:tcW w:w="268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0.00</w:t>
            </w:r>
          </w:p>
        </w:tc>
      </w:tr>
      <w:tr>
        <w:trPr>
          <w:trHeight w:val="659"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工程物资并入在建工程列示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225,049,799.70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219,844,574.70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219,844,574.70</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0.00</w:t>
            </w:r>
          </w:p>
        </w:tc>
      </w:tr>
      <w:tr>
        <w:trPr>
          <w:trHeight w:val="659"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应付票据和应付账款合并列示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384,124,466.00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406,397,950.77</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12"/>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0.00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406,397,950.77</w:t>
            </w:r>
          </w:p>
        </w:tc>
      </w:tr>
      <w:tr>
        <w:trPr>
          <w:trHeight w:val="972"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应付利息、应付股利计入其他应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付款项目列示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58"/>
              <w:jc w:val="right"/>
              <w:rPr>
                <w:rFonts w:ascii="Times New Roman" w:hAnsi="Times New Roman" w:cs="Times New Roman" w:eastAsia="Times New Roman" w:hint="default"/>
                <w:sz w:val="18"/>
                <w:szCs w:val="18"/>
              </w:rPr>
            </w:pPr>
            <w:r>
              <w:rPr>
                <w:rFonts w:ascii="Times New Roman"/>
                <w:spacing w:val="-1"/>
                <w:sz w:val="18"/>
              </w:rPr>
              <w:t>244,099,422.73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2" w:right="0"/>
              <w:jc w:val="center"/>
              <w:rPr>
                <w:rFonts w:ascii="Times New Roman" w:hAnsi="Times New Roman" w:cs="Times New Roman" w:eastAsia="Times New Roman" w:hint="default"/>
                <w:sz w:val="18"/>
                <w:szCs w:val="18"/>
              </w:rPr>
            </w:pPr>
            <w:r>
              <w:rPr>
                <w:rFonts w:ascii="Times New Roman"/>
                <w:sz w:val="18"/>
              </w:rPr>
              <w:t>268,089,047.58</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201,425.31 </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0.00 </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267,887,622.27</w:t>
            </w:r>
          </w:p>
        </w:tc>
      </w:tr>
      <w:tr>
        <w:trPr>
          <w:trHeight w:val="659"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专项应付款计入长期应付款列示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49,119,554.46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48,954,665.06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48,954,665.06 </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0.00</w:t>
            </w:r>
          </w:p>
        </w:tc>
      </w:tr>
      <w:tr>
        <w:trPr>
          <w:trHeight w:val="347"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管理费用列报调整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pacing w:val="-1"/>
                <w:sz w:val="18"/>
              </w:rPr>
              <w:t>164,677,451.44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148,369,316.45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239,466,692.72</w:t>
            </w:r>
          </w:p>
        </w:tc>
      </w:tr>
      <w:tr>
        <w:trPr>
          <w:trHeight w:val="348"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研发费用单独列示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pacing w:val="-1"/>
                <w:sz w:val="18"/>
              </w:rPr>
              <w:t>106,686,836.36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2" w:right="0"/>
              <w:jc w:val="center"/>
              <w:rPr>
                <w:rFonts w:ascii="Times New Roman" w:hAnsi="Times New Roman" w:cs="Times New Roman" w:eastAsia="Times New Roman" w:hint="default"/>
                <w:sz w:val="18"/>
                <w:szCs w:val="18"/>
              </w:rPr>
            </w:pPr>
            <w:r>
              <w:rPr>
                <w:rFonts w:ascii="Times New Roman"/>
                <w:sz w:val="18"/>
              </w:rPr>
              <w:t>91,097,376.27</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税项" w:id="212"/>
      <w:bookmarkEnd w:id="21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784"/>
        <w:gridCol w:w="4786"/>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福建恒嘉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4784"/>
        <w:gridCol w:w="4786"/>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017"/>
        <w:jc w:val="left"/>
      </w:pPr>
      <w:r>
        <w:rPr>
          <w:rFonts w:ascii="宋体" w:hAnsi="宋体" w:cs="宋体" w:eastAsia="宋体" w:hint="default"/>
        </w:rPr>
        <w:t>1</w:t>
      </w:r>
      <w:r>
        <w:rPr/>
        <w:t>、所得税税收优惠 </w:t>
      </w:r>
      <w:r>
        <w:rPr>
          <w:spacing w:val="-3"/>
        </w:rPr>
        <w:t>本公司及子公司炜盛科技、汉威智慧安全、上海英吉森、沈阳金建、鞍山易兴、嘉园环保、上海嘉园、</w:t>
      </w:r>
    </w:p>
    <w:p>
      <w:pPr>
        <w:pStyle w:val="BodyText"/>
        <w:spacing w:line="408" w:lineRule="auto"/>
        <w:ind w:right="1131"/>
        <w:jc w:val="both"/>
      </w:pPr>
      <w:r>
        <w:rPr>
          <w:spacing w:val="-1"/>
        </w:rPr>
        <w:t>雪城软件、汉威智能仪表、广东龙泉、苏州能斯达、沈阳汉威、智威宇讯、高新供水经相关部门批复认定</w:t>
      </w:r>
      <w:r>
        <w:rPr>
          <w:spacing w:val="-83"/>
        </w:rPr>
        <w:t> </w:t>
      </w:r>
      <w:r>
        <w:rPr>
          <w:spacing w:val="-83"/>
        </w:rPr>
      </w:r>
      <w:r>
        <w:rPr/>
        <w:t>为高新技术企业，根据《中华人民共和国企业所得税法》及《关于高新技术企业 </w:t>
      </w:r>
      <w:r>
        <w:rPr>
          <w:rFonts w:ascii="宋体" w:hAnsi="宋体" w:cs="宋体" w:eastAsia="宋体" w:hint="default"/>
        </w:rPr>
        <w:t>2008</w:t>
      </w:r>
      <w:r>
        <w:rPr>
          <w:rFonts w:ascii="宋体" w:hAnsi="宋体" w:cs="宋体" w:eastAsia="宋体" w:hint="default"/>
          <w:spacing w:val="-24"/>
        </w:rPr>
        <w:t> </w:t>
      </w:r>
      <w:r>
        <w:rPr/>
        <w:t>年度缴纳企业所得 </w:t>
      </w:r>
      <w:r>
        <w:rPr>
          <w:spacing w:val="-6"/>
        </w:rPr>
        <w:t>税问题的通知》（国税（</w:t>
      </w:r>
      <w:r>
        <w:rPr>
          <w:rFonts w:ascii="宋体" w:hAnsi="宋体" w:cs="宋体" w:eastAsia="宋体" w:hint="default"/>
          <w:spacing w:val="-6"/>
        </w:rPr>
        <w:t>2008</w:t>
      </w:r>
      <w:r>
        <w:rPr>
          <w:spacing w:val="-6"/>
        </w:rPr>
        <w:t>）</w:t>
      </w:r>
      <w:r>
        <w:rPr>
          <w:rFonts w:ascii="宋体" w:hAnsi="宋体" w:cs="宋体" w:eastAsia="宋体" w:hint="default"/>
          <w:spacing w:val="-6"/>
        </w:rPr>
        <w:t>985</w:t>
      </w:r>
      <w:r>
        <w:rPr>
          <w:rFonts w:ascii="宋体" w:hAnsi="宋体" w:cs="宋体" w:eastAsia="宋体" w:hint="default"/>
        </w:rPr>
        <w:t> </w:t>
      </w:r>
      <w:r>
        <w:rPr>
          <w:spacing w:val="-1"/>
        </w:rPr>
        <w:t>号）有关规定，适用</w:t>
      </w:r>
      <w:r>
        <w:rPr>
          <w:spacing w:val="-80"/>
        </w:rPr>
        <w:t> </w:t>
      </w:r>
      <w:r>
        <w:rPr>
          <w:rFonts w:ascii="宋体" w:hAnsi="宋体" w:cs="宋体" w:eastAsia="宋体" w:hint="default"/>
          <w:spacing w:val="-1"/>
        </w:rPr>
        <w:t>15%</w:t>
      </w:r>
      <w:r>
        <w:rPr>
          <w:spacing w:val="-1"/>
        </w:rPr>
        <w:t>的所得税优惠税率。</w:t>
      </w:r>
    </w:p>
    <w:p>
      <w:pPr>
        <w:pStyle w:val="BodyText"/>
        <w:spacing w:line="408" w:lineRule="auto"/>
        <w:ind w:right="0" w:firstLine="420"/>
        <w:jc w:val="left"/>
      </w:pPr>
      <w:r>
        <w:rPr>
          <w:spacing w:val="-6"/>
        </w:rPr>
        <w:t>合肥嘉园、福安嘉园、重庆嘉园、光山嘉园根据《中华人民共和国企业所得税法》第二十七条以及《中</w:t>
      </w:r>
      <w:r>
        <w:rPr/>
        <w:t> 华人民共和国企业所得税法实施条例》第八十八条的规定，享受企业所得税三免三减半税收优惠。</w:t>
      </w:r>
    </w:p>
    <w:p>
      <w:pPr>
        <w:pStyle w:val="BodyText"/>
        <w:spacing w:line="240" w:lineRule="auto"/>
        <w:ind w:left="574" w:right="0"/>
        <w:jc w:val="left"/>
      </w:pPr>
      <w:r>
        <w:rPr>
          <w:rFonts w:ascii="宋体" w:hAnsi="宋体" w:cs="宋体" w:eastAsia="宋体" w:hint="default"/>
        </w:rPr>
        <w:t>2</w:t>
      </w:r>
      <w:r>
        <w:rPr/>
        <w:t>、增值税税收优惠</w:t>
      </w:r>
    </w:p>
    <w:p>
      <w:pPr>
        <w:spacing w:line="240" w:lineRule="auto" w:before="10"/>
        <w:rPr>
          <w:rFonts w:ascii="宋体" w:hAnsi="宋体" w:cs="宋体" w:eastAsia="宋体" w:hint="default"/>
          <w:sz w:val="14"/>
          <w:szCs w:val="14"/>
        </w:rPr>
      </w:pPr>
    </w:p>
    <w:p>
      <w:pPr>
        <w:pStyle w:val="BodyText"/>
        <w:spacing w:line="408" w:lineRule="auto" w:before="0"/>
        <w:ind w:right="1014" w:firstLine="420"/>
        <w:jc w:val="left"/>
      </w:pPr>
      <w:r>
        <w:rPr>
          <w:spacing w:val="-2"/>
        </w:rPr>
        <w:t>公司根据“财税（</w:t>
      </w:r>
      <w:r>
        <w:rPr>
          <w:rFonts w:ascii="宋体" w:hAnsi="宋体" w:cs="宋体" w:eastAsia="宋体" w:hint="default"/>
          <w:spacing w:val="-2"/>
        </w:rPr>
        <w:t>2011</w:t>
      </w:r>
      <w:r>
        <w:rPr>
          <w:spacing w:val="-2"/>
        </w:rPr>
        <w:t>）</w:t>
      </w:r>
      <w:r>
        <w:rPr>
          <w:rFonts w:ascii="宋体" w:hAnsi="宋体" w:cs="宋体" w:eastAsia="宋体" w:hint="default"/>
          <w:spacing w:val="-2"/>
        </w:rPr>
        <w:t>100</w:t>
      </w:r>
      <w:r>
        <w:rPr>
          <w:rFonts w:ascii="宋体" w:hAnsi="宋体" w:cs="宋体" w:eastAsia="宋体" w:hint="default"/>
          <w:spacing w:val="-36"/>
        </w:rPr>
        <w:t> </w:t>
      </w:r>
      <w:r>
        <w:rPr>
          <w:spacing w:val="-2"/>
        </w:rPr>
        <w:t>号《财政部、国家税务总局关于软件产品增值税政策的通知》“的规定，</w:t>
      </w:r>
      <w:r>
        <w:rPr/>
        <w:t> 自</w:t>
      </w:r>
      <w:r>
        <w:rPr>
          <w:spacing w:val="-39"/>
        </w:rPr>
        <w:t> </w:t>
      </w:r>
      <w:r>
        <w:rPr>
          <w:rFonts w:ascii="宋体" w:hAnsi="宋体" w:cs="宋体" w:eastAsia="宋体" w:hint="default"/>
        </w:rPr>
        <w:t>2011</w:t>
      </w:r>
      <w:r>
        <w:rPr>
          <w:rFonts w:ascii="宋体" w:hAnsi="宋体" w:cs="宋体" w:eastAsia="宋体" w:hint="default"/>
          <w:spacing w:val="-38"/>
        </w:rPr>
        <w:t> </w:t>
      </w:r>
      <w:r>
        <w:rPr/>
        <w:t>年</w:t>
      </w:r>
      <w:r>
        <w:rPr>
          <w:spacing w:val="-39"/>
        </w:rPr>
        <w:t> </w:t>
      </w:r>
      <w:r>
        <w:rPr>
          <w:rFonts w:ascii="宋体" w:hAnsi="宋体" w:cs="宋体" w:eastAsia="宋体" w:hint="default"/>
        </w:rPr>
        <w:t>1</w:t>
      </w:r>
      <w:r>
        <w:rPr>
          <w:rFonts w:ascii="宋体" w:hAnsi="宋体" w:cs="宋体" w:eastAsia="宋体" w:hint="default"/>
          <w:spacing w:val="-40"/>
        </w:rPr>
        <w:t> </w:t>
      </w:r>
      <w:r>
        <w:rPr/>
        <w:t>月</w:t>
      </w:r>
      <w:r>
        <w:rPr>
          <w:spacing w:val="-39"/>
        </w:rPr>
        <w:t> </w:t>
      </w:r>
      <w:r>
        <w:rPr>
          <w:rFonts w:ascii="宋体" w:hAnsi="宋体" w:cs="宋体" w:eastAsia="宋体" w:hint="default"/>
        </w:rPr>
        <w:t>1</w:t>
      </w:r>
      <w:r>
        <w:rPr>
          <w:rFonts w:ascii="宋体" w:hAnsi="宋体" w:cs="宋体" w:eastAsia="宋体" w:hint="default"/>
          <w:spacing w:val="-39"/>
        </w:rPr>
        <w:t> </w:t>
      </w:r>
      <w:r>
        <w:rPr/>
        <w:t>日起对增值税一般纳税人销售其自行开发生产的软件产品，按法定税率征收增值税后， 对其增值税实际税负超过</w:t>
      </w:r>
      <w:r>
        <w:rPr>
          <w:spacing w:val="-54"/>
        </w:rPr>
        <w:t> </w:t>
      </w:r>
      <w:r>
        <w:rPr>
          <w:rFonts w:ascii="宋体" w:hAnsi="宋体" w:cs="宋体" w:eastAsia="宋体" w:hint="default"/>
        </w:rPr>
        <w:t>3%</w:t>
      </w:r>
      <w:r>
        <w:rPr/>
        <w:t>的部分实行即征即退政策。</w:t>
      </w:r>
    </w:p>
    <w:p>
      <w:pPr>
        <w:pStyle w:val="BodyText"/>
        <w:spacing w:line="408" w:lineRule="auto"/>
        <w:ind w:right="1117" w:firstLine="420"/>
        <w:jc w:val="left"/>
      </w:pPr>
      <w:r>
        <w:rPr/>
        <w:t>东山嘉园根据“财税</w:t>
      </w:r>
      <w:r>
        <w:rPr>
          <w:rFonts w:ascii="宋体" w:hAnsi="宋体" w:cs="宋体" w:eastAsia="宋体" w:hint="default"/>
        </w:rPr>
        <w:t>[2015]78</w:t>
      </w:r>
      <w:r>
        <w:rPr>
          <w:rFonts w:ascii="宋体" w:hAnsi="宋体" w:cs="宋体" w:eastAsia="宋体" w:hint="default"/>
          <w:spacing w:val="-25"/>
        </w:rPr>
        <w:t> </w:t>
      </w:r>
      <w:r>
        <w:rPr/>
        <w:t>号</w:t>
      </w:r>
      <w:r>
        <w:rPr>
          <w:rFonts w:ascii="宋体" w:hAnsi="宋体" w:cs="宋体" w:eastAsia="宋体" w:hint="default"/>
        </w:rPr>
        <w:t>-</w:t>
      </w:r>
      <w:r>
        <w:rPr/>
        <w:t>关于印发《资源综合利用产品和劳务增值税优惠目录》的通知”的 规定，对污水处理劳务按照</w:t>
      </w:r>
      <w:r>
        <w:rPr>
          <w:spacing w:val="-54"/>
        </w:rPr>
        <w:t> </w:t>
      </w:r>
      <w:r>
        <w:rPr>
          <w:rFonts w:ascii="宋体" w:hAnsi="宋体" w:cs="宋体" w:eastAsia="宋体" w:hint="default"/>
        </w:rPr>
        <w:t>70%</w:t>
      </w:r>
      <w:r>
        <w:rPr/>
        <w:t>享受增值税即征即退政策。</w:t>
      </w:r>
    </w:p>
    <w:p>
      <w:pPr>
        <w:pStyle w:val="BodyText"/>
        <w:spacing w:line="408" w:lineRule="auto"/>
        <w:ind w:right="1117" w:firstLine="420"/>
        <w:jc w:val="left"/>
      </w:pPr>
      <w:r>
        <w:rPr/>
        <w:t>合肥嘉园、福安嘉园根据“财税</w:t>
      </w:r>
      <w:r>
        <w:rPr>
          <w:rFonts w:ascii="宋体" w:hAnsi="宋体" w:cs="宋体" w:eastAsia="宋体" w:hint="default"/>
        </w:rPr>
        <w:t>[2015]78</w:t>
      </w:r>
      <w:r>
        <w:rPr>
          <w:rFonts w:ascii="宋体" w:hAnsi="宋体" w:cs="宋体" w:eastAsia="宋体" w:hint="default"/>
          <w:spacing w:val="-25"/>
        </w:rPr>
        <w:t> </w:t>
      </w:r>
      <w:r>
        <w:rPr/>
        <w:t>号</w:t>
      </w:r>
      <w:r>
        <w:rPr>
          <w:rFonts w:ascii="宋体" w:hAnsi="宋体" w:cs="宋体" w:eastAsia="宋体" w:hint="default"/>
        </w:rPr>
        <w:t>-</w:t>
      </w:r>
      <w:r>
        <w:rPr/>
        <w:t>关于印发《资源综合利用产品和劳务增值税优惠目录》 的通知”的规定，对垃圾处理厂渗透（滤）液按照</w:t>
      </w:r>
      <w:r>
        <w:rPr>
          <w:spacing w:val="-54"/>
        </w:rPr>
        <w:t> </w:t>
      </w:r>
      <w:r>
        <w:rPr>
          <w:rFonts w:ascii="宋体" w:hAnsi="宋体" w:cs="宋体" w:eastAsia="宋体" w:hint="default"/>
        </w:rPr>
        <w:t>50%</w:t>
      </w:r>
      <w:r>
        <w:rPr/>
        <w:t>享受增值税即征即退政策。</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合并财务报表项目注释" w:id="215"/>
      <w:bookmarkEnd w:id="215"/>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16"/>
      <w:bookmarkEnd w:id="21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279,050.29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304,726.71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1,446,994,428.79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770,693,576.53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5,247,271.96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9,428,118.85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pacing w:val="-1"/>
                <w:sz w:val="18"/>
              </w:rPr>
              <w:t>1,452,520,751.04</w:t>
            </w:r>
            <w:r>
              <w:rPr>
                <w:rFonts w:ascii="Times New Roman"/>
                <w:color w:val="FF0000"/>
                <w:spacing w:val="-1"/>
                <w:position w:val="8"/>
                <w:sz w:val="12"/>
              </w:rPr>
              <w:t>1</w:t>
            </w:r>
            <w:r>
              <w:rPr>
                <w:rFonts w:ascii="Times New Roman"/>
                <w:spacing w:val="-1"/>
                <w:sz w:val="12"/>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780,426,422.09</w:t>
            </w:r>
          </w:p>
        </w:tc>
      </w:tr>
    </w:tbl>
    <w:p>
      <w:pPr>
        <w:spacing w:line="355" w:lineRule="auto" w:before="51"/>
        <w:ind w:left="154" w:right="2912" w:firstLine="0"/>
        <w:jc w:val="left"/>
        <w:rPr>
          <w:rFonts w:ascii="宋体" w:hAnsi="宋体" w:cs="宋体" w:eastAsia="宋体" w:hint="default"/>
          <w:sz w:val="16"/>
          <w:szCs w:val="16"/>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期末货币资金较期初增加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86.12%</w:t>
      </w:r>
      <w:r>
        <w:rPr>
          <w:rFonts w:ascii="宋体" w:hAnsi="宋体" w:cs="宋体" w:eastAsia="宋体" w:hint="default"/>
          <w:sz w:val="18"/>
          <w:szCs w:val="18"/>
        </w:rPr>
        <w:t>，主要系公司结构性存款到期及收到的政府补助增加所致。 其他说明 </w:t>
      </w:r>
      <w:r>
        <w:rPr>
          <w:rFonts w:ascii="宋体" w:hAnsi="宋体" w:cs="宋体" w:eastAsia="宋体" w:hint="default"/>
          <w:sz w:val="16"/>
          <w:szCs w:val="16"/>
        </w:rPr>
        <w:t>期末其他货币资金中保证金</w:t>
      </w:r>
      <w:r>
        <w:rPr>
          <w:rFonts w:ascii="Times New Roman" w:hAnsi="Times New Roman" w:cs="Times New Roman" w:eastAsia="Times New Roman" w:hint="default"/>
          <w:sz w:val="16"/>
          <w:szCs w:val="16"/>
        </w:rPr>
        <w:t>5,247,271.96</w:t>
      </w:r>
      <w:r>
        <w:rPr>
          <w:rFonts w:ascii="宋体" w:hAnsi="宋体" w:cs="宋体" w:eastAsia="宋体" w:hint="default"/>
          <w:sz w:val="16"/>
          <w:szCs w:val="16"/>
        </w:rPr>
        <w:t>元，其中将于</w:t>
      </w:r>
      <w:r>
        <w:rPr>
          <w:rFonts w:ascii="Times New Roman" w:hAnsi="Times New Roman" w:cs="Times New Roman" w:eastAsia="Times New Roman" w:hint="default"/>
          <w:sz w:val="16"/>
          <w:szCs w:val="16"/>
        </w:rPr>
        <w:t>3</w:t>
      </w:r>
      <w:r>
        <w:rPr>
          <w:rFonts w:ascii="宋体" w:hAnsi="宋体" w:cs="宋体" w:eastAsia="宋体" w:hint="default"/>
          <w:sz w:val="16"/>
          <w:szCs w:val="16"/>
        </w:rPr>
        <w:t>个月后到期的汇票、保函、信用证保证金</w:t>
      </w:r>
      <w:r>
        <w:rPr>
          <w:rFonts w:ascii="Times New Roman" w:hAnsi="Times New Roman" w:cs="Times New Roman" w:eastAsia="Times New Roman" w:hint="default"/>
          <w:sz w:val="16"/>
          <w:szCs w:val="16"/>
        </w:rPr>
        <w:t>4,393,518.00</w:t>
      </w:r>
      <w:r>
        <w:rPr>
          <w:rFonts w:ascii="宋体" w:hAnsi="宋体" w:cs="宋体" w:eastAsia="宋体" w:hint="default"/>
          <w:sz w:val="16"/>
          <w:szCs w:val="16"/>
        </w:rPr>
        <w:t>元。</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2、应收票据及应收账款" w:id="217"/>
      <w:bookmarkEnd w:id="217"/>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23,550,664.69</w:t>
            </w:r>
            <w:r>
              <w:rPr>
                <w:rFonts w:ascii="Times New Roman"/>
                <w:color w:val="FF0000"/>
                <w:spacing w:val="-1"/>
                <w:position w:val="8"/>
                <w:sz w:val="12"/>
              </w:rPr>
              <w:t>1</w:t>
            </w:r>
            <w:r>
              <w:rPr>
                <w:rFonts w:ascii="Times New Roman"/>
                <w:spacing w:val="-1"/>
                <w:sz w:val="12"/>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39,704,670.68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470,143,769.08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497,426,792.06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493,694,433.77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537,131,462.74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应收票据较期初减少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40.69%</w:t>
      </w:r>
      <w:r>
        <w:rPr>
          <w:rFonts w:ascii="宋体" w:hAnsi="宋体" w:cs="宋体" w:eastAsia="宋体" w:hint="default"/>
          <w:sz w:val="18"/>
          <w:szCs w:val="18"/>
        </w:rPr>
        <w:t>，主要系票据到期解付及背书所致。</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应收票据" w:id="218"/>
      <w:bookmarkEnd w:id="21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21,582,608.19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15,969,530.50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1,968,056.50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23,735,140.18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23,550,664.69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39,704,670.68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1"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58,803,869.84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1,416,272.70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60,220,142.54</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219"/>
      <w:bookmarkEnd w:id="21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634"/>
        <w:gridCol w:w="1525"/>
        <w:gridCol w:w="1526"/>
        <w:gridCol w:w="788"/>
        <w:gridCol w:w="1416"/>
        <w:gridCol w:w="1746"/>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1611"/>
        <w:gridCol w:w="775"/>
        <w:gridCol w:w="762"/>
        <w:gridCol w:w="762"/>
        <w:gridCol w:w="763"/>
        <w:gridCol w:w="788"/>
        <w:gridCol w:w="654"/>
        <w:gridCol w:w="762"/>
        <w:gridCol w:w="814"/>
        <w:gridCol w:w="932"/>
        <w:gridCol w:w="931"/>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543,235,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801.30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73,092,0</w:t>
            </w:r>
          </w:p>
          <w:p>
            <w:pPr>
              <w:pStyle w:val="TableParagraph"/>
              <w:spacing w:line="240" w:lineRule="auto" w:before="106"/>
              <w:ind w:left="324" w:right="0"/>
              <w:jc w:val="left"/>
              <w:rPr>
                <w:rFonts w:ascii="Times New Roman" w:hAnsi="Times New Roman" w:cs="Times New Roman" w:eastAsia="Times New Roman" w:hint="default"/>
                <w:sz w:val="18"/>
                <w:szCs w:val="18"/>
              </w:rPr>
            </w:pPr>
            <w:r>
              <w:rPr>
                <w:rFonts w:ascii="Times New Roman"/>
                <w:sz w:val="18"/>
              </w:rPr>
              <w:t>32.22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470,143,7</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69.08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561,951</w:t>
            </w:r>
          </w:p>
          <w:p>
            <w:pPr>
              <w:pStyle w:val="TableParagraph"/>
              <w:spacing w:line="240" w:lineRule="auto" w:before="106"/>
              <w:ind w:left="81" w:right="0"/>
              <w:jc w:val="left"/>
              <w:rPr>
                <w:rFonts w:ascii="Times New Roman" w:hAnsi="Times New Roman" w:cs="Times New Roman" w:eastAsia="Times New Roman" w:hint="default"/>
                <w:sz w:val="18"/>
                <w:szCs w:val="18"/>
              </w:rPr>
            </w:pPr>
            <w:r>
              <w:rPr>
                <w:rFonts w:ascii="Times New Roman"/>
                <w:sz w:val="18"/>
              </w:rPr>
              <w:t>,239.43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64,697,24</w:t>
            </w:r>
          </w:p>
          <w:p>
            <w:pPr>
              <w:pStyle w:val="TableParagraph"/>
              <w:spacing w:line="240" w:lineRule="auto" w:before="106"/>
              <w:ind w:left="467" w:right="0"/>
              <w:jc w:val="left"/>
              <w:rPr>
                <w:rFonts w:ascii="Times New Roman" w:hAnsi="Times New Roman" w:cs="Times New Roman" w:eastAsia="Times New Roman" w:hint="default"/>
                <w:sz w:val="18"/>
                <w:szCs w:val="18"/>
              </w:rPr>
            </w:pPr>
            <w:r>
              <w:rPr>
                <w:rFonts w:ascii="Times New Roman"/>
                <w:sz w:val="18"/>
              </w:rPr>
              <w:t>7.37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497,253,99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2.06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1,974,2</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1,801,400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172,800.00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543,235,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801.30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73,092,0</w:t>
            </w:r>
          </w:p>
          <w:p>
            <w:pPr>
              <w:pStyle w:val="TableParagraph"/>
              <w:spacing w:line="240" w:lineRule="auto" w:before="106"/>
              <w:ind w:left="324" w:right="0"/>
              <w:jc w:val="left"/>
              <w:rPr>
                <w:rFonts w:ascii="Times New Roman" w:hAnsi="Times New Roman" w:cs="Times New Roman" w:eastAsia="Times New Roman" w:hint="default"/>
                <w:sz w:val="18"/>
                <w:szCs w:val="18"/>
              </w:rPr>
            </w:pPr>
            <w:r>
              <w:rPr>
                <w:rFonts w:ascii="Times New Roman"/>
                <w:sz w:val="18"/>
              </w:rPr>
              <w:t>32.22</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470,143,7</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69.08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563,925</w:t>
            </w:r>
          </w:p>
          <w:p>
            <w:pPr>
              <w:pStyle w:val="TableParagraph"/>
              <w:spacing w:line="240" w:lineRule="auto" w:before="106"/>
              <w:ind w:left="81" w:right="0"/>
              <w:jc w:val="left"/>
              <w:rPr>
                <w:rFonts w:ascii="Times New Roman" w:hAnsi="Times New Roman" w:cs="Times New Roman" w:eastAsia="Times New Roman" w:hint="default"/>
                <w:sz w:val="18"/>
                <w:szCs w:val="18"/>
              </w:rPr>
            </w:pPr>
            <w:r>
              <w:rPr>
                <w:rFonts w:ascii="Times New Roman"/>
                <w:sz w:val="18"/>
              </w:rPr>
              <w:t>,439.43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66,498,64</w:t>
            </w:r>
          </w:p>
          <w:p>
            <w:pPr>
              <w:pStyle w:val="TableParagraph"/>
              <w:spacing w:line="240" w:lineRule="auto" w:before="106"/>
              <w:ind w:left="467" w:right="0"/>
              <w:jc w:val="left"/>
              <w:rPr>
                <w:rFonts w:ascii="Times New Roman" w:hAnsi="Times New Roman" w:cs="Times New Roman" w:eastAsia="Times New Roman" w:hint="default"/>
                <w:sz w:val="18"/>
                <w:szCs w:val="18"/>
              </w:rPr>
            </w:pPr>
            <w:r>
              <w:rPr>
                <w:rFonts w:ascii="Times New Roman"/>
                <w:sz w:val="18"/>
              </w:rPr>
              <w:t>7.37</w:t>
            </w:r>
          </w:p>
        </w:tc>
        <w:tc>
          <w:tcPr>
            <w:tcW w:w="932"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497,426,79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2.06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376"/>
        <w:gridCol w:w="2398"/>
        <w:gridCol w:w="2393"/>
        <w:gridCol w:w="2392"/>
      </w:tblGrid>
      <w:tr>
        <w:trPr>
          <w:trHeight w:val="206"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6"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319,255,053.15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15,962,752.68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137,209,614.08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13,720,961.42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29,253,107.36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5,850,621.47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57,518,026.71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37,557,696.65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21,090,633.29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6,327,189.99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10,393,773.51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5,196,886.75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26,033,619.91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26,033,619.91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543,235,801.30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73,092,032.22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57" w:lineRule="auto" w:before="51"/>
        <w:ind w:left="154" w:right="204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4" w:right="24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4"/>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14,864,193.52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4785"/>
        <w:gridCol w:w="4785"/>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杭州新纪元安全产品有限公司</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1,872,900.00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杭州新纪元消防科技有限公司</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1,530,832.00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南京立夫贸易有限公司</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其他核销合计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4,525,076.67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8,270,808.67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97"/>
        <w:gridCol w:w="1594"/>
        <w:gridCol w:w="1594"/>
        <w:gridCol w:w="1595"/>
        <w:gridCol w:w="1594"/>
        <w:gridCol w:w="1594"/>
      </w:tblGrid>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28" w:lineRule="auto" w:before="52"/>
        <w:ind w:left="154" w:right="6447"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宋体" w:hAnsi="宋体" w:cs="宋体" w:eastAsia="宋体" w:hint="default"/>
          <w:sz w:val="21"/>
          <w:szCs w:val="21"/>
        </w:rPr>
        <w:t>账期超过</w:t>
      </w:r>
      <w:r>
        <w:rPr>
          <w:rFonts w:ascii="Times New Roman" w:hAnsi="Times New Roman" w:cs="Times New Roman" w:eastAsia="Times New Roman" w:hint="default"/>
          <w:sz w:val="21"/>
          <w:szCs w:val="21"/>
        </w:rPr>
        <w:t>5</w:t>
      </w:r>
      <w:r>
        <w:rPr>
          <w:rFonts w:ascii="宋体" w:hAnsi="宋体" w:cs="宋体" w:eastAsia="宋体" w:hint="default"/>
          <w:sz w:val="21"/>
          <w:szCs w:val="21"/>
        </w:rPr>
        <w:t>年且无法回收，经管理层审批核销。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before="49"/>
        <w:ind w:left="154"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200"/>
        <w:gridCol w:w="1853"/>
        <w:gridCol w:w="2868"/>
        <w:gridCol w:w="1738"/>
      </w:tblGrid>
      <w:tr>
        <w:trPr>
          <w:trHeight w:val="329" w:hRule="exact"/>
        </w:trPr>
        <w:tc>
          <w:tcPr>
            <w:tcW w:w="320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5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5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3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c>
          <w:tcPr>
            <w:tcW w:w="17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65" w:hRule="exact"/>
        </w:trPr>
        <w:tc>
          <w:tcPr>
            <w:tcW w:w="32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北京久安建设投资集团有限公司</w:t>
            </w:r>
          </w:p>
        </w:tc>
        <w:tc>
          <w:tcPr>
            <w:tcW w:w="18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18,263,802.25</w:t>
            </w:r>
          </w:p>
        </w:tc>
        <w:tc>
          <w:tcPr>
            <w:tcW w:w="28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z w:val="18"/>
              </w:rPr>
              <w:t>3.36</w:t>
            </w:r>
          </w:p>
        </w:tc>
        <w:tc>
          <w:tcPr>
            <w:tcW w:w="173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986,440.73</w:t>
            </w:r>
          </w:p>
        </w:tc>
      </w:tr>
      <w:tr>
        <w:trPr>
          <w:trHeight w:val="347"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16,858,901.87</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842,945.09</w:t>
            </w:r>
          </w:p>
        </w:tc>
      </w:tr>
      <w:tr>
        <w:trPr>
          <w:trHeight w:val="347"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郑州牟源水务发展有限公司</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9,148,932.48</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1,141,932.00</w:t>
            </w:r>
          </w:p>
        </w:tc>
      </w:tr>
      <w:tr>
        <w:trPr>
          <w:trHeight w:val="347"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河南三德置业有限公司</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8,560,000.00</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856,000.00</w:t>
            </w:r>
          </w:p>
        </w:tc>
      </w:tr>
      <w:tr>
        <w:trPr>
          <w:trHeight w:val="348"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湖南真旺塑料包材包装有限公司</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7,850,000.00</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636,438.75</w:t>
            </w:r>
          </w:p>
        </w:tc>
      </w:tr>
      <w:tr>
        <w:trPr>
          <w:trHeight w:val="347"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60,681,636.60</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11.17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4,463,756.57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3、预付款项" w:id="220"/>
      <w:bookmarkEnd w:id="220"/>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1"/>
      <w:bookmarkEnd w:id="22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890"/>
        <w:gridCol w:w="1927"/>
        <w:gridCol w:w="1914"/>
        <w:gridCol w:w="1914"/>
        <w:gridCol w:w="1915"/>
      </w:tblGrid>
      <w:tr>
        <w:trPr>
          <w:trHeight w:val="206" w:hRule="exact"/>
        </w:trPr>
        <w:tc>
          <w:tcPr>
            <w:tcW w:w="1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90"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145,144,179.36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46,755,623.74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90.64%</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2,220,749.71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1,638,510.39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507,730.29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555,140.84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2,770,133.38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2,635,132.79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7"/>
              <w:ind w:right="9"/>
              <w:jc w:val="right"/>
              <w:rPr>
                <w:rFonts w:ascii="Times New Roman" w:hAnsi="Times New Roman" w:cs="Times New Roman" w:eastAsia="Times New Roman" w:hint="default"/>
                <w:sz w:val="12"/>
                <w:szCs w:val="12"/>
              </w:rPr>
            </w:pPr>
            <w:r>
              <w:rPr>
                <w:rFonts w:ascii="Times New Roman"/>
                <w:spacing w:val="-1"/>
                <w:sz w:val="18"/>
              </w:rPr>
              <w:t>150,642,792.74</w:t>
            </w:r>
            <w:r>
              <w:rPr>
                <w:rFonts w:ascii="Times New Roman"/>
                <w:color w:val="FF0000"/>
                <w:spacing w:val="-1"/>
                <w:position w:val="8"/>
                <w:sz w:val="12"/>
              </w:rPr>
              <w:t>1</w:t>
            </w:r>
            <w:r>
              <w:rPr>
                <w:rFonts w:ascii="Times New Roman"/>
                <w:spacing w:val="-1"/>
                <w:sz w:val="12"/>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51,584,407.76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40" w:lineRule="auto" w:before="51"/>
        <w:ind w:left="154" w:right="277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预付账款较期初增加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192.03%</w:t>
      </w:r>
      <w:r>
        <w:rPr>
          <w:rFonts w:ascii="宋体" w:hAnsi="宋体" w:cs="宋体" w:eastAsia="宋体" w:hint="default"/>
          <w:sz w:val="18"/>
          <w:szCs w:val="18"/>
        </w:rPr>
        <w:t>，主要系公司智慧市政预付的采购款、项目款增加所致。 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按预付对象归集的期末余额前五名的预付款情况" w:id="222"/>
      <w:bookmarkEnd w:id="22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664"/>
        <w:gridCol w:w="2792"/>
        <w:gridCol w:w="3203"/>
      </w:tblGrid>
      <w:tr>
        <w:trPr>
          <w:trHeight w:val="347" w:hRule="exact"/>
        </w:trPr>
        <w:tc>
          <w:tcPr>
            <w:tcW w:w="366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5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347" w:hRule="exact"/>
        </w:trPr>
        <w:tc>
          <w:tcPr>
            <w:tcW w:w="3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郑州泰祥热电股份有限公司</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30,109,192.00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19.99</w:t>
            </w:r>
          </w:p>
        </w:tc>
      </w:tr>
      <w:tr>
        <w:trPr>
          <w:trHeight w:val="348" w:hRule="exact"/>
        </w:trPr>
        <w:tc>
          <w:tcPr>
            <w:tcW w:w="3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河南中兆建筑工程有限公司</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15,638,331.97</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10.38</w:t>
            </w:r>
          </w:p>
        </w:tc>
      </w:tr>
      <w:tr>
        <w:trPr>
          <w:trHeight w:val="347" w:hRule="exact"/>
        </w:trPr>
        <w:tc>
          <w:tcPr>
            <w:tcW w:w="3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河南国元实业有限公司</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15,307,890.30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10.16</w:t>
            </w:r>
          </w:p>
        </w:tc>
      </w:tr>
      <w:tr>
        <w:trPr>
          <w:trHeight w:val="347" w:hRule="exact"/>
        </w:trPr>
        <w:tc>
          <w:tcPr>
            <w:tcW w:w="3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河南绿城建设工程有限公司</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9,786,890.31</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6.50</w:t>
            </w:r>
          </w:p>
        </w:tc>
      </w:tr>
      <w:tr>
        <w:trPr>
          <w:trHeight w:val="347" w:hRule="exact"/>
        </w:trPr>
        <w:tc>
          <w:tcPr>
            <w:tcW w:w="3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郑州齐裕建筑工程有限公司</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9,672,142.00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6.42</w:t>
            </w:r>
          </w:p>
        </w:tc>
      </w:tr>
      <w:tr>
        <w:trPr>
          <w:trHeight w:val="348" w:hRule="exact"/>
        </w:trPr>
        <w:tc>
          <w:tcPr>
            <w:tcW w:w="3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80,514,446.58</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应收款" w:id="223"/>
      <w:bookmarkEnd w:id="223"/>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60,781,183.38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60,384,415.96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60,781,183.38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60,384,415.96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其他应收款" w:id="224"/>
      <w:bookmarkEnd w:id="224"/>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611"/>
        <w:gridCol w:w="775"/>
        <w:gridCol w:w="762"/>
        <w:gridCol w:w="762"/>
        <w:gridCol w:w="763"/>
        <w:gridCol w:w="788"/>
        <w:gridCol w:w="654"/>
        <w:gridCol w:w="762"/>
        <w:gridCol w:w="814"/>
        <w:gridCol w:w="932"/>
        <w:gridCol w:w="931"/>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6"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71,135,8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01.57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10,354,6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18.19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60,781,18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64,222,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887.05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3,838,471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60,384,415.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71,735,8</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01.57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10,954,6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18.19</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60,781,18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3.38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64,822,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887.05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4,438,471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32"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60,384,415.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2432"/>
        <w:gridCol w:w="2341"/>
        <w:gridCol w:w="2393"/>
        <w:gridCol w:w="2392"/>
      </w:tblGrid>
      <w:tr>
        <w:trPr>
          <w:trHeight w:val="206" w:hRule="exact"/>
        </w:trPr>
        <w:tc>
          <w:tcPr>
            <w:tcW w:w="24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26"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32" w:type="dxa"/>
            <w:vMerge/>
            <w:tcBorders>
              <w:left w:val="single" w:sz="4" w:space="0" w:color="000000"/>
              <w:bottom w:val="nil" w:sz="6" w:space="0" w:color="auto"/>
              <w:right w:val="single" w:sz="4" w:space="0" w:color="000000"/>
            </w:tcBorders>
            <w:shd w:val="clear" w:color="auto" w:fill="D2D2D2"/>
          </w:tcPr>
          <w:p>
            <w:pPr/>
          </w:p>
        </w:tc>
        <w:tc>
          <w:tcPr>
            <w:tcW w:w="23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3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41"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25,078,196.29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1,253,884.81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8,310,577.77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831,057.77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29,489,775.73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5,897,955.15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3,252,251.78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2,371,720.46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729,598.34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218,879.52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739,625.00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369,812.50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1,783,028.44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1,783,028.44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66,130,801.57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10,354,618.19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采用个别认定法计提坏账准备的其他应收款项情况</w:t>
      </w:r>
    </w:p>
    <w:tbl>
      <w:tblPr>
        <w:tblW w:w="0" w:type="auto"/>
        <w:jc w:val="left"/>
        <w:tblInd w:w="137" w:type="dxa"/>
        <w:tblLayout w:type="fixed"/>
        <w:tblCellMar>
          <w:top w:w="0" w:type="dxa"/>
          <w:left w:w="0" w:type="dxa"/>
          <w:bottom w:w="0" w:type="dxa"/>
          <w:right w:w="0" w:type="dxa"/>
        </w:tblCellMar>
        <w:tblLook w:val="01E0"/>
      </w:tblPr>
      <w:tblGrid>
        <w:gridCol w:w="2747"/>
        <w:gridCol w:w="1191"/>
        <w:gridCol w:w="1189"/>
        <w:gridCol w:w="894"/>
        <w:gridCol w:w="1191"/>
        <w:gridCol w:w="1190"/>
        <w:gridCol w:w="1256"/>
      </w:tblGrid>
      <w:tr>
        <w:trPr>
          <w:trHeight w:val="341" w:hRule="exact"/>
        </w:trPr>
        <w:tc>
          <w:tcPr>
            <w:tcW w:w="2747"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74"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38"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3" w:hRule="exact"/>
        </w:trPr>
        <w:tc>
          <w:tcPr>
            <w:tcW w:w="2747" w:type="dxa"/>
            <w:vMerge/>
            <w:tcBorders>
              <w:left w:val="single" w:sz="6" w:space="0" w:color="000000"/>
              <w:bottom w:val="single" w:sz="6" w:space="0" w:color="000000"/>
              <w:right w:val="single" w:sz="6" w:space="0" w:color="000000"/>
            </w:tcBorders>
            <w:shd w:val="clear" w:color="auto" w:fill="D0CECE"/>
          </w:tcPr>
          <w:p>
            <w:pPr/>
          </w:p>
        </w:tc>
        <w:tc>
          <w:tcPr>
            <w:tcW w:w="119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2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89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2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2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待注销子公司少数股东清算款项</w:t>
            </w:r>
          </w:p>
        </w:tc>
        <w:tc>
          <w:tcPr>
            <w:tcW w:w="11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7"/>
              <w:ind w:left="227" w:right="0"/>
              <w:jc w:val="left"/>
              <w:rPr>
                <w:rFonts w:ascii="Times New Roman" w:hAnsi="Times New Roman" w:cs="Times New Roman" w:eastAsia="Times New Roman" w:hint="default"/>
                <w:sz w:val="18"/>
                <w:szCs w:val="18"/>
              </w:rPr>
            </w:pPr>
            <w:r>
              <w:rPr>
                <w:rFonts w:ascii="Times New Roman"/>
                <w:sz w:val="18"/>
              </w:rPr>
              <w:t>3,915,000.00</w:t>
            </w:r>
          </w:p>
        </w:tc>
        <w:tc>
          <w:tcPr>
            <w:tcW w:w="118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z w:val="18"/>
              </w:rPr>
              <w:t>0.00</w:t>
            </w:r>
          </w:p>
        </w:tc>
        <w:tc>
          <w:tcPr>
            <w:tcW w:w="1191" w:type="dxa"/>
            <w:tcBorders>
              <w:top w:val="single" w:sz="10" w:space="0" w:color="000000"/>
              <w:left w:val="single" w:sz="6" w:space="0" w:color="000000"/>
              <w:bottom w:val="single" w:sz="6" w:space="0" w:color="000000"/>
              <w:right w:val="single" w:sz="6" w:space="0" w:color="000000"/>
            </w:tcBorders>
          </w:tcPr>
          <w:p>
            <w:pPr/>
          </w:p>
        </w:tc>
        <w:tc>
          <w:tcPr>
            <w:tcW w:w="1190" w:type="dxa"/>
            <w:tcBorders>
              <w:top w:val="single" w:sz="10" w:space="0" w:color="000000"/>
              <w:left w:val="single" w:sz="6" w:space="0" w:color="000000"/>
              <w:bottom w:val="single" w:sz="6" w:space="0" w:color="000000"/>
              <w:right w:val="single" w:sz="6" w:space="0" w:color="000000"/>
            </w:tcBorders>
          </w:tcPr>
          <w:p>
            <w:pPr/>
          </w:p>
        </w:tc>
        <w:tc>
          <w:tcPr>
            <w:tcW w:w="1256"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政府部门押金</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27" w:right="0"/>
              <w:jc w:val="left"/>
              <w:rPr>
                <w:rFonts w:ascii="Times New Roman" w:hAnsi="Times New Roman" w:cs="Times New Roman" w:eastAsia="Times New Roman" w:hint="default"/>
                <w:sz w:val="18"/>
                <w:szCs w:val="18"/>
              </w:rPr>
            </w:pPr>
            <w:r>
              <w:rPr>
                <w:rFonts w:ascii="Times New Roman"/>
                <w:sz w:val="18"/>
              </w:rPr>
              <w:t>1,090,000.00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z w:val="18"/>
              </w:rPr>
              <w:t>0.00</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1,090,000.00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z w:val="18"/>
              </w:rPr>
              <w:t>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应收重组事项或有对价补偿款</w:t>
            </w:r>
          </w:p>
        </w:tc>
        <w:tc>
          <w:tcPr>
            <w:tcW w:w="1191"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894"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28,605,872.22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z w:val="18"/>
              </w:rPr>
              <w:t>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z w:val="18"/>
              </w:rPr>
              <w:t>0.00</w:t>
            </w:r>
          </w:p>
        </w:tc>
      </w:tr>
      <w:tr>
        <w:trPr>
          <w:trHeight w:val="348"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27" w:right="0"/>
              <w:jc w:val="left"/>
              <w:rPr>
                <w:rFonts w:ascii="Times New Roman" w:hAnsi="Times New Roman" w:cs="Times New Roman" w:eastAsia="Times New Roman" w:hint="default"/>
                <w:sz w:val="18"/>
                <w:szCs w:val="18"/>
              </w:rPr>
            </w:pPr>
            <w:r>
              <w:rPr>
                <w:rFonts w:ascii="Times New Roman"/>
                <w:sz w:val="18"/>
              </w:rPr>
              <w:t>5,005,000.00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94"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29,695,872.22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5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before="49"/>
        <w:ind w:left="154"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6,516,147.09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其他应收款按款项性质分类情况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3,613,264.05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5,215,172.36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22,437,648.54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21,254,906.58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6,689,232.83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5,053,733.88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26,508,432.53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28,605,872.22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应收代垫职工款项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1,487,922.77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1,907,174.90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待注销子公司少数股东清算款项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7,084,300.85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2,786,027.11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71,735,801.57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64,822,887.05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95"/>
        <w:gridCol w:w="1594"/>
        <w:gridCol w:w="1595"/>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14,374,982.09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2,874,996.42</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6,646,967.91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1,329,393.58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9"/>
              <w:jc w:val="left"/>
              <w:rPr>
                <w:rFonts w:ascii="宋体" w:hAnsi="宋体" w:cs="宋体" w:eastAsia="宋体" w:hint="default"/>
                <w:sz w:val="18"/>
                <w:szCs w:val="18"/>
              </w:rPr>
            </w:pPr>
            <w:r>
              <w:rPr>
                <w:rFonts w:ascii="宋体" w:hAnsi="宋体" w:cs="宋体" w:eastAsia="宋体" w:hint="default"/>
                <w:sz w:val="18"/>
                <w:szCs w:val="18"/>
              </w:rPr>
              <w:t>沈阳赛斯特科技发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4,500,267.00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225,013.35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4,151,994.56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830,398.91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9"/>
              <w:jc w:val="left"/>
              <w:rPr>
                <w:rFonts w:ascii="宋体" w:hAnsi="宋体" w:cs="宋体" w:eastAsia="宋体" w:hint="default"/>
                <w:sz w:val="18"/>
                <w:szCs w:val="18"/>
              </w:rPr>
            </w:pPr>
            <w:r>
              <w:rPr>
                <w:rFonts w:ascii="宋体" w:hAnsi="宋体" w:cs="宋体" w:eastAsia="宋体" w:hint="default"/>
                <w:sz w:val="18"/>
                <w:szCs w:val="18"/>
              </w:rPr>
              <w:t>郑州齐裕建筑工程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33,674,211.56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5,659,802.26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存货" w:id="225"/>
      <w:bookmarkEnd w:id="225"/>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1）存货分类" w:id="226"/>
      <w:bookmarkEnd w:id="22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715" w:space="1114"/>
            <w:col w:w="2101"/>
          </w:cols>
        </w:sectPr>
      </w:pP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369"/>
        <w:gridCol w:w="1368"/>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按下列格式披露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开发成本</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主要项目及其利息资本化情况：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799"/>
        <w:gridCol w:w="797"/>
        <w:gridCol w:w="797"/>
        <w:gridCol w:w="796"/>
        <w:gridCol w:w="798"/>
        <w:gridCol w:w="798"/>
        <w:gridCol w:w="798"/>
        <w:gridCol w:w="798"/>
        <w:gridCol w:w="798"/>
        <w:gridCol w:w="798"/>
        <w:gridCol w:w="798"/>
        <w:gridCol w:w="798"/>
      </w:tblGrid>
      <w:tr>
        <w:trPr>
          <w:trHeight w:val="102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按下列格式项目披露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主要项目信息：</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41"/>
        <w:gridCol w:w="937"/>
        <w:gridCol w:w="1142"/>
        <w:gridCol w:w="1170"/>
        <w:gridCol w:w="1169"/>
        <w:gridCol w:w="1404"/>
        <w:gridCol w:w="1403"/>
        <w:gridCol w:w="1391"/>
      </w:tblGrid>
      <w:tr>
        <w:trPr>
          <w:trHeight w:val="714"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16" w:right="65" w:hanging="451"/>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5" w:right="53"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按下列格式分项目披露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分期收款开发产品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出租开发产品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周转房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29"/>
        <w:gridCol w:w="1783"/>
        <w:gridCol w:w="2153"/>
        <w:gridCol w:w="1655"/>
        <w:gridCol w:w="2650"/>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38" w:lineRule="auto" w:before="52"/>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27"/>
      <w:bookmarkEnd w:id="22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75" w:space="5255"/>
            <w:col w:w="2100"/>
          </w:cols>
        </w:sectPr>
      </w:pP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3"/>
        <w:gridCol w:w="899"/>
        <w:gridCol w:w="1195"/>
        <w:gridCol w:w="1064"/>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按主要项目分类：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3"/>
        <w:gridCol w:w="899"/>
        <w:gridCol w:w="1195"/>
        <w:gridCol w:w="1064"/>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中利息资本化率的情况" w:id="228"/>
      <w:bookmarkEnd w:id="228"/>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存货受限情况" w:id="229"/>
      <w:bookmarkEnd w:id="229"/>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按项目披露受限存货情况：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738"/>
        <w:gridCol w:w="1822"/>
        <w:gridCol w:w="2505"/>
        <w:gridCol w:w="2503"/>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期末建造合同形成的已完工未结算资产情况" w:id="230"/>
      <w:bookmarkEnd w:id="230"/>
      <w:r>
        <w:rPr>
          <w:b w:val="0"/>
          <w:bCs w:val="0"/>
        </w:rPr>
      </w:r>
      <w:r>
        <w:rPr/>
        <w:t>（</w:t>
      </w:r>
      <w:r>
        <w:rPr>
          <w:rFonts w:ascii="Times New Roman" w:hAnsi="Times New Roman" w:cs="Times New Roman" w:eastAsia="Times New Roman" w:hint="default"/>
        </w:rPr>
        <w:t>5</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40" w:lineRule="auto" w:before="116"/>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存货分类" w:id="231"/>
      <w:bookmarkEnd w:id="231"/>
      <w:r>
        <w:rPr>
          <w:b w:val="0"/>
          <w:bCs w:val="0"/>
        </w:rPr>
      </w:r>
      <w:r>
        <w:rPr/>
        <w:t>（</w:t>
      </w:r>
      <w:r>
        <w:rPr>
          <w:rFonts w:ascii="Times New Roman" w:hAnsi="Times New Roman" w:cs="Times New Roman" w:eastAsia="Times New Roman" w:hint="default"/>
        </w:rPr>
        <w:t>6</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346"/>
        <w:gridCol w:w="1380"/>
        <w:gridCol w:w="1367"/>
        <w:gridCol w:w="1367"/>
        <w:gridCol w:w="1367"/>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4"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51,797,501.81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51,797,501.81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43,350,895.09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43,350,895.09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123,399,716.62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123,399,716.62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75,811,766.71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75,811,766.71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43,172,537.87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43,172,537.87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34,265,439.63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34,265,439.63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675,791.68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675,791.68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1,081,291.20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1,081,291.20</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63"/>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188,862,297.27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188,862,297.27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188,595,601.65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188,595,601.65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1,150.90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1,150.90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407,907,845.25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407,907,845.25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343,106,145.18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343,106,145.18</w:t>
            </w:r>
          </w:p>
        </w:tc>
      </w:tr>
    </w:tbl>
    <w:p>
      <w:pPr>
        <w:spacing w:line="338"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3"/>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7）存货跌价准备" w:id="232"/>
      <w:bookmarkEnd w:id="232"/>
      <w:r>
        <w:rPr>
          <w:b w:val="0"/>
          <w:bCs w:val="0"/>
        </w:rPr>
      </w:r>
      <w:r>
        <w:rPr/>
        <w:t>（</w:t>
      </w:r>
      <w:r>
        <w:rPr>
          <w:rFonts w:ascii="Times New Roman" w:hAnsi="Times New Roman" w:cs="Times New Roman" w:eastAsia="Times New Roman" w:hint="default"/>
        </w:rPr>
        <w:t>7</w:t>
      </w:r>
      <w:r>
        <w:rPr/>
        <w:t>）存货跌价准备</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9"/>
        <w:gridCol w:w="1368"/>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存货期末余额含有借款费用资本化金额的说明" w:id="233"/>
      <w:bookmarkEnd w:id="233"/>
      <w:r>
        <w:rPr>
          <w:b w:val="0"/>
          <w:bCs w:val="0"/>
        </w:rPr>
      </w:r>
      <w:r>
        <w:rPr/>
        <w:t>（</w:t>
      </w:r>
      <w:r>
        <w:rPr>
          <w:rFonts w:ascii="Times New Roman" w:hAnsi="Times New Roman" w:cs="Times New Roman" w:eastAsia="Times New Roman" w:hint="default"/>
        </w:rPr>
        <w:t>8</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9）期末建造合同形成的已完工未结算资产情况" w:id="234"/>
      <w:bookmarkEnd w:id="234"/>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230,722,798.56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100,175,094.65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142,035,595.94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188,862,297.27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流动资产" w:id="235"/>
      <w:bookmarkEnd w:id="235"/>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27,738,091.95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21,011,699.02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10,294,106.73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1,740,357.32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231,522.97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251,896.14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84,513,721.65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178,503,952.48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0"/>
        <w:jc w:val="left"/>
      </w:pPr>
      <w:r>
        <w:rPr/>
        <w:t>其他流动资产较期初减少</w:t>
      </w:r>
      <w:r>
        <w:rPr>
          <w:spacing w:val="-53"/>
        </w:rPr>
        <w:t> </w:t>
      </w:r>
      <w:r>
        <w:rPr>
          <w:rFonts w:ascii="宋体" w:hAnsi="宋体" w:cs="宋体" w:eastAsia="宋体" w:hint="default"/>
        </w:rPr>
        <w:t>52.65%</w:t>
      </w:r>
      <w:r>
        <w:rPr/>
        <w:t>，主要系公司收回结构性存款所致。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7、可供出售金融资产" w:id="236"/>
      <w:bookmarkEnd w:id="236"/>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37"/>
      <w:bookmarkEnd w:id="23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001"/>
        <w:gridCol w:w="1195"/>
        <w:gridCol w:w="1197"/>
        <w:gridCol w:w="1195"/>
        <w:gridCol w:w="1248"/>
        <w:gridCol w:w="1368"/>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53,400,001.00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15,300,000.00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38,100,001.00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51,600,001.00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36,600,001.00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53,400,001.00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15,300,000.00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38,100,001.00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51,600,001.00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36,600,001.00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53,400,001.00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15,300,000.00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38,100,001.00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51,600,001.00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36,600,001.00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成本计量的可供出售金融资产" w:id="238"/>
      <w:bookmarkEnd w:id="238"/>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864"/>
        <w:gridCol w:w="870"/>
        <w:gridCol w:w="870"/>
        <w:gridCol w:w="870"/>
        <w:gridCol w:w="870"/>
        <w:gridCol w:w="870"/>
        <w:gridCol w:w="870"/>
        <w:gridCol w:w="870"/>
        <w:gridCol w:w="870"/>
        <w:gridCol w:w="870"/>
        <w:gridCol w:w="870"/>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7"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08"/>
              <w:jc w:val="both"/>
              <w:rPr>
                <w:rFonts w:ascii="宋体" w:hAnsi="宋体" w:cs="宋体" w:eastAsia="宋体" w:hint="default"/>
                <w:sz w:val="18"/>
                <w:szCs w:val="18"/>
              </w:rPr>
            </w:pPr>
            <w:r>
              <w:rPr>
                <w:rFonts w:ascii="宋体" w:hAnsi="宋体" w:cs="宋体" w:eastAsia="宋体" w:hint="default"/>
                <w:sz w:val="18"/>
                <w:szCs w:val="18"/>
              </w:rPr>
              <w:t>河南开云 信息技术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浙江风向 标科技有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864"/>
        <w:gridCol w:w="870"/>
        <w:gridCol w:w="870"/>
        <w:gridCol w:w="870"/>
        <w:gridCol w:w="870"/>
        <w:gridCol w:w="870"/>
        <w:gridCol w:w="870"/>
        <w:gridCol w:w="870"/>
        <w:gridCol w:w="870"/>
        <w:gridCol w:w="870"/>
        <w:gridCol w:w="870"/>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德煦智能 科技（上 海）有限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郑州易度 传感技术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河南华夏 海纳创业 投资集团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国仪投资</w:t>
            </w:r>
          </w:p>
          <w:p>
            <w:pPr>
              <w:pStyle w:val="TableParagraph"/>
              <w:spacing w:line="316" w:lineRule="auto" w:before="76"/>
              <w:ind w:left="24" w:right="108"/>
              <w:jc w:val="left"/>
              <w:rPr>
                <w:rFonts w:ascii="宋体" w:hAnsi="宋体" w:cs="宋体" w:eastAsia="宋体" w:hint="default"/>
                <w:sz w:val="18"/>
                <w:szCs w:val="18"/>
              </w:rPr>
            </w:pPr>
            <w:r>
              <w:rPr>
                <w:rFonts w:ascii="宋体" w:hAnsi="宋体" w:cs="宋体" w:eastAsia="宋体" w:hint="default"/>
                <w:sz w:val="18"/>
                <w:szCs w:val="18"/>
              </w:rPr>
              <w:t>（深圳） 合伙企业</w:t>
            </w:r>
          </w:p>
          <w:p>
            <w:pPr>
              <w:pStyle w:val="TableParagraph"/>
              <w:spacing w:line="319"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河南汉威 粮安科技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上海芯物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上海戴维 蓝普传感 技术有限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51,600,001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53,400,001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可供出售金融资产减值的变动情况" w:id="239"/>
      <w:bookmarkEnd w:id="239"/>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长期应收款" w:id="240"/>
      <w:bookmarkEnd w:id="240"/>
      <w:r>
        <w:rPr>
          <w:b w:val="0"/>
          <w:bCs w:val="0"/>
        </w:rPr>
      </w:r>
      <w:r>
        <w:rPr>
          <w:rFonts w:ascii="Times New Roman" w:hAnsi="Times New Roman" w:cs="Times New Roman" w:eastAsia="Times New Roman" w:hint="default"/>
        </w:rPr>
        <w:t>8</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41"/>
      <w:bookmarkEnd w:id="24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392"/>
        <w:gridCol w:w="1166"/>
        <w:gridCol w:w="1168"/>
        <w:gridCol w:w="1167"/>
        <w:gridCol w:w="1168"/>
        <w:gridCol w:w="1168"/>
        <w:gridCol w:w="1165"/>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right w:val="single" w:sz="4" w:space="0" w:color="000000"/>
            </w:tcBorders>
            <w:shd w:val="clear" w:color="auto" w:fill="D2D2D2"/>
          </w:tcPr>
          <w:p>
            <w:pPr/>
          </w:p>
        </w:tc>
      </w:tr>
      <w:tr>
        <w:trPr>
          <w:trHeight w:val="19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right w:val="single" w:sz="4" w:space="0" w:color="000000"/>
            </w:tcBorders>
            <w:shd w:val="clear" w:color="auto" w:fill="D2D2D2"/>
          </w:tcPr>
          <w:p>
            <w:pPr/>
          </w:p>
        </w:tc>
      </w:tr>
      <w:tr>
        <w:trPr>
          <w:trHeight w:val="205"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13" w:space="0" w:color="D2D2D2"/>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13" w:space="0" w:color="D2D2D2"/>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2"/>
                <w:szCs w:val="12"/>
              </w:rPr>
            </w:pPr>
            <w:r>
              <w:rPr>
                <w:rFonts w:ascii="Times New Roman"/>
                <w:color w:val="FF0000"/>
                <w:sz w:val="12"/>
              </w:rPr>
              <w:t>1</w:t>
            </w:r>
            <w:r>
              <w:rPr>
                <w:rFonts w:ascii="Times New Roman"/>
                <w:sz w:val="12"/>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长期应收款较期初减少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，主要系按合同约定收回项目款所致。</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9、长期股权投资" w:id="242"/>
      <w:bookmarkEnd w:id="242"/>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97"/>
        <w:gridCol w:w="797"/>
        <w:gridCol w:w="797"/>
        <w:gridCol w:w="798"/>
        <w:gridCol w:w="798"/>
        <w:gridCol w:w="798"/>
        <w:gridCol w:w="798"/>
        <w:gridCol w:w="798"/>
        <w:gridCol w:w="798"/>
        <w:gridCol w:w="798"/>
        <w:gridCol w:w="798"/>
        <w:gridCol w:w="798"/>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郑州高新 梧桐水务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50,518,04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1,034,349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51,552,39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50,518,04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8.60</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1,034,349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51,552,39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8.54</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河南中盾 云安信息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6,132,450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330,756.2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6,463,207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泰瑞数创 科技（北 京）有限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28,178,31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3,084,740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37,826,29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34,310,76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3,415,496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44,289,50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84,828,81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4,449,846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95,841,90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0、投资性房地产" w:id="243"/>
      <w:bookmarkEnd w:id="243"/>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44"/>
      <w:bookmarkEnd w:id="24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212,064,690.49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212,064,690.49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11,601,479.43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11,601,479.43</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2,077,669.91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2,077,669.91</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9,523,809.52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9,523,809.52</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223,666,169.92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223,666,169.92</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30,621,040.12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30,621,040.12</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8,344,633.36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8,344,633.36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7,703,765.66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7,703,765.66</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640,867.70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640,867.70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38,965,673.48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38,965,673.48</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184,700,496.44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184,700,496.44</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181,443,650.37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181,443,650.37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办妥产权证书的投资性房地产情况" w:id="245"/>
      <w:bookmarkEnd w:id="245"/>
      <w:r>
        <w:rPr>
          <w:b w:val="0"/>
          <w:bCs w:val="0"/>
        </w:rPr>
      </w: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105,515,636.09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嘉园环保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17,119,072.66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百隆建筑办公楼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8,732,149.42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固定资产" w:id="246"/>
      <w:bookmarkEnd w:id="246"/>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171"/>
        <w:gridCol w:w="3199"/>
        <w:gridCol w:w="3189"/>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857,714,936.00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799,922,706.75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857,714,936.00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799,922,706.75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47"/>
      <w:bookmarkEnd w:id="24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8"/>
        <w:gridCol w:w="1367"/>
        <w:gridCol w:w="1367"/>
        <w:gridCol w:w="1367"/>
        <w:gridCol w:w="1367"/>
        <w:gridCol w:w="1368"/>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管道沟槽</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431,864,637.80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81,178,798.39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24,635,215.28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401,977,826.95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50,808,429.86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990,464,908.28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24,654.77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60,718,045.34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3,137,122.57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79,095,636.15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3,109,978.47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146,085,437.30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24,654.77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17,059,081.29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3,137,122.57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3,109,978.47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23,330,837.10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43,658,964.05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79,095,636.15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122,754,600.20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368"/>
        <w:gridCol w:w="1367"/>
        <w:gridCol w:w="1367"/>
        <w:gridCol w:w="1367"/>
        <w:gridCol w:w="1367"/>
        <w:gridCol w:w="1368"/>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14,145,037.95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14,689,467.66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1,656,522.00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1,248,678.26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33,989,705.87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4,621,228.43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14,689,467.66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1,656,522.00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847,545.26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24,064,763.35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4" w:right="7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9,523,809.52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9,523,809.52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）合</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并减少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401,133.00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401,133.00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417,744,254.62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127,207,376.07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26,115,815.85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478,823,463.10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52,669,730.07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1,102,560,639.71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56,518,864.13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32,920,575.87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13,345,871.73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60,169,257.43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27,587,632.37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190,542,201.53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14,229,409.07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7,477,271.47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2,317,475.82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31,199,743.75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8,387,986.02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63,611,886.13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14,229,409.07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7,477,271.47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2,317,475.82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31,199,743.75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8,387,986.02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63,611,886.13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732,329.50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6,200,929.95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1,513,991.41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861,133.09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9,308,383.95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91,461.80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6,200,929.95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1,513,991.41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620,965.51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8,427,348.67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4" w:right="7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640,867.70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640,867.70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）合</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并减少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240,167.58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240,167.58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70,015,943.70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34,196,917.39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14,149,356.14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91,369,001.18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35,114,485.30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244,845,703.71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368"/>
        <w:gridCol w:w="1367"/>
        <w:gridCol w:w="1367"/>
        <w:gridCol w:w="1367"/>
        <w:gridCol w:w="1367"/>
        <w:gridCol w:w="1368"/>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7"/>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347,728,310.92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93,010,458.68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11,966,459.71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387,454,461.92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17,555,244.77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857,714,936.00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375,345,773.67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48,258,222.52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11,289,343.55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341,808,569.52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23,220,797.49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799,922,706.75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未办妥产权证书的固定资产情况" w:id="248"/>
      <w:bookmarkEnd w:id="248"/>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9,496,126.57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在建工程" w:id="249"/>
      <w:bookmarkEnd w:id="249"/>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872"/>
        <w:gridCol w:w="3826"/>
        <w:gridCol w:w="3860"/>
      </w:tblGrid>
      <w:tr>
        <w:trPr>
          <w:trHeight w:val="402"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225,049,799.70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219,844,574.70</w:t>
            </w:r>
          </w:p>
        </w:tc>
      </w:tr>
      <w:tr>
        <w:trPr>
          <w:trHeight w:val="402"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225,049,799.70</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219,844,574.70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50"/>
      <w:bookmarkEnd w:id="25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70"/>
        <w:gridCol w:w="1368"/>
        <w:gridCol w:w="1367"/>
        <w:gridCol w:w="1367"/>
        <w:gridCol w:w="1367"/>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管网及配套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153,720,378.29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153,720,378.29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147,433,706.11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147,433,706.11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物联网产业园二 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30,871,292.80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30,871,292.80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22,367,897.77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22,367,897.77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老港渗滤液处理 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21,575,422.16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21,575,422.16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智慧供热二期建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8,784,976.62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8,784,976.62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7,812,734.43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7,812,734.43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嘉园环保厂房建 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5,614,755.75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5,614,755.75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5,517,474.19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5,517,474.19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370"/>
        <w:gridCol w:w="1368"/>
        <w:gridCol w:w="1367"/>
        <w:gridCol w:w="1367"/>
        <w:gridCol w:w="1367"/>
        <w:gridCol w:w="1367"/>
        <w:gridCol w:w="1367"/>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郑州高新梧桐水 务有限公司水厂 二期改造工程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6,639,501.18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6,639,501.18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3,269,514.97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3,269,514.97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优化升级项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2,417,649.31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2,417,649.31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5,465,058.56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5,465,058.56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2,277,758.01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2,277,758.01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选择性波峰焊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1,328,794.82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1,328,794.82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智慧供热三期建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2,034,828.22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2,034,828.22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11,919,008.28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11,919,008.28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5,843,622.93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5,843,622.93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225,049,799.70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225,049,799.70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219,844,574.70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219,844,574.70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51"/>
      <w:bookmarkEnd w:id="25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34"/>
        <w:gridCol w:w="736"/>
        <w:gridCol w:w="736"/>
        <w:gridCol w:w="737"/>
        <w:gridCol w:w="736"/>
        <w:gridCol w:w="736"/>
        <w:gridCol w:w="737"/>
        <w:gridCol w:w="736"/>
        <w:gridCol w:w="736"/>
        <w:gridCol w:w="737"/>
        <w:gridCol w:w="736"/>
        <w:gridCol w:w="736"/>
        <w:gridCol w:w="737"/>
      </w:tblGrid>
      <w:tr>
        <w:trPr>
          <w:trHeight w:val="1338"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管网及 配套</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256,630,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147,433,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86,289,7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77,954,6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2,048,44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153,720,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378.29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3"/>
              <w:jc w:val="center"/>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256,630,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147,433,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86,289,7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77,954,6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2,048,44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153,720,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378.29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3、无形资产" w:id="252"/>
      <w:bookmarkEnd w:id="252"/>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53"/>
      <w:bookmarkEnd w:id="25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344"/>
        <w:gridCol w:w="1379"/>
        <w:gridCol w:w="1367"/>
        <w:gridCol w:w="1367"/>
        <w:gridCol w:w="1367"/>
        <w:gridCol w:w="1368"/>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143,194,686.97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59,357,902.26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23,589,042.09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20,272,285.60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Times New Roman" w:hAnsi="Times New Roman" w:cs="Times New Roman" w:eastAsia="Times New Roman" w:hint="default"/>
                <w:sz w:val="18"/>
                <w:szCs w:val="18"/>
              </w:rPr>
            </w:pPr>
            <w:r>
              <w:rPr>
                <w:rFonts w:ascii="Times New Roman"/>
                <w:sz w:val="18"/>
              </w:rPr>
              <w:t>335,559,891.39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581,973,808.31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2" w:right="10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10,344.83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4,191,930.32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111,492,600.00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115,694,875.15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10,344.83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277,489.45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4" w:right="0"/>
              <w:jc w:val="left"/>
              <w:rPr>
                <w:rFonts w:ascii="Times New Roman" w:hAnsi="Times New Roman" w:cs="Times New Roman" w:eastAsia="Times New Roman" w:hint="default"/>
                <w:sz w:val="18"/>
                <w:szCs w:val="18"/>
              </w:rPr>
            </w:pPr>
            <w:r>
              <w:rPr>
                <w:rFonts w:ascii="Times New Roman"/>
                <w:sz w:val="18"/>
              </w:rPr>
              <w:t>111,492,600.00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111,780,434.28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368"/>
        <w:gridCol w:w="1367"/>
        <w:gridCol w:w="1367"/>
        <w:gridCol w:w="1367"/>
        <w:gridCol w:w="1367"/>
        <w:gridCol w:w="1368"/>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22"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13" w:space="0" w:color="FFFFFF"/>
            </w:tcBorders>
            <w:shd w:val="clear" w:color="auto" w:fill="E0FFFF"/>
          </w:tcPr>
          <w:p>
            <w:pPr>
              <w:pStyle w:val="TableParagraph"/>
              <w:spacing w:line="240" w:lineRule="auto" w:before="51"/>
              <w:ind w:right="-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367" w:type="dxa"/>
            <w:tcBorders>
              <w:top w:val="single" w:sz="4" w:space="0" w:color="000000"/>
              <w:left w:val="single" w:sz="13"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3,914,440.87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3,914,440.87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13" w:space="0" w:color="FFFFFF"/>
            </w:tcBorders>
            <w:shd w:val="clear" w:color="auto" w:fill="E0FFFF"/>
          </w:tcPr>
          <w:p>
            <w:pPr>
              <w:pStyle w:val="TableParagraph"/>
              <w:spacing w:line="240" w:lineRule="auto" w:before="51"/>
              <w:ind w:right="-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合并减少</w:t>
            </w:r>
          </w:p>
        </w:tc>
        <w:tc>
          <w:tcPr>
            <w:tcW w:w="1367" w:type="dxa"/>
            <w:tcBorders>
              <w:top w:val="single" w:sz="4" w:space="0" w:color="000000"/>
              <w:left w:val="single" w:sz="13"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143,194,686.97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59,357,902.26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23,599,386.92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24,164,215.92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447,052,491.39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697,368,683.46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10,677,825.80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28,984,047.95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9,968,492.57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7,503,555.43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60,441,486.40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117,575,408.15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2,885,473.84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9,388,052.10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2,249,014.37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3,061,441.07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17,184,979.35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34,768,960.73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2,885,473.84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9,388,052.10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2,249,014.37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3,061,441.07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17,184,979.35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34,768,960.73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13" w:space="0" w:color="FFFFFF"/>
            </w:tcBorders>
            <w:shd w:val="clear" w:color="auto" w:fill="E0FFFF"/>
          </w:tcPr>
          <w:p>
            <w:pPr>
              <w:pStyle w:val="TableParagraph"/>
              <w:spacing w:line="240" w:lineRule="auto" w:before="51"/>
              <w:ind w:right="-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合并减少</w:t>
            </w:r>
          </w:p>
        </w:tc>
        <w:tc>
          <w:tcPr>
            <w:tcW w:w="1367" w:type="dxa"/>
            <w:tcBorders>
              <w:top w:val="single" w:sz="4" w:space="0" w:color="000000"/>
              <w:left w:val="single" w:sz="13"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13,563,299.64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38,372,100.05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12,217,506.94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10,499,996.50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77,626,465.75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152,279,368.88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129,631,387.33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20,985,802.21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11,381,879.98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13,664,219.42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369,426,025.64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545,089,314.58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368"/>
        <w:gridCol w:w="1367"/>
        <w:gridCol w:w="1367"/>
        <w:gridCol w:w="1367"/>
        <w:gridCol w:w="1367"/>
        <w:gridCol w:w="1368"/>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132,516,861.17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30,373,854.31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13,620,549.52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12,768,730.17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275,118,404.99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464,398,400.16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4、开发支出" w:id="254"/>
      <w:bookmarkEnd w:id="254"/>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868"/>
        <w:gridCol w:w="709"/>
        <w:gridCol w:w="1419"/>
        <w:gridCol w:w="568"/>
        <w:gridCol w:w="282"/>
        <w:gridCol w:w="1419"/>
        <w:gridCol w:w="1276"/>
        <w:gridCol w:w="426"/>
        <w:gridCol w:w="611"/>
      </w:tblGrid>
      <w:tr>
        <w:trPr>
          <w:trHeight w:val="402" w:hRule="exact"/>
        </w:trPr>
        <w:tc>
          <w:tcPr>
            <w:tcW w:w="2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59" w:right="7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6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09" w:right="29"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02" w:hRule="exact"/>
        </w:trPr>
        <w:tc>
          <w:tcPr>
            <w:tcW w:w="286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工业互联网平台</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9,953,461.29</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9,953,461.29</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分子筛转轮浓缩技术开发</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5,440,478.99</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5,440,478.99</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全固态电化学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传感器研发及 产业化</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5,233,530.64</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5,233,530.64</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便携式乙烷辨识仪及巡检系统</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4,897,914.64</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4,897,914.64</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智慧城市管控一体化云平台</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3,400,689.13</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3,400,689.13</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智慧物联网关平台</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3,291,831.15</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3,291,831.15</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智慧工厂气体安全检测系统</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3,210,769.65</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3,210,769.65</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中威园企公共服务平台</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3,205,287.74</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3,205,287.74</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垃圾渗滤液短程硝化技术研发</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2,685,942.46</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2,685,942.46</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工业激光气体检测仪</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2,609,134.35</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2,609,134.35</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电化学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传感器</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2,570,135.60</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2,570,135.60</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AT9000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智能警用酒精检测仪</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2,404,164.36</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2,404,164.36</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3"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MBR+</w:t>
            </w:r>
            <w:r>
              <w:rPr>
                <w:rFonts w:ascii="宋体" w:hAnsi="宋体" w:cs="宋体" w:eastAsia="宋体" w:hint="default"/>
                <w:sz w:val="18"/>
                <w:szCs w:val="18"/>
              </w:rPr>
              <w:t>臭氧</w:t>
            </w:r>
            <w:r>
              <w:rPr>
                <w:rFonts w:ascii="Times New Roman" w:hAnsi="Times New Roman" w:cs="Times New Roman" w:eastAsia="Times New Roman" w:hint="default"/>
                <w:sz w:val="18"/>
                <w:szCs w:val="18"/>
              </w:rPr>
              <w:t>+</w:t>
            </w:r>
            <w:r>
              <w:rPr>
                <w:rFonts w:ascii="宋体" w:hAnsi="宋体" w:cs="宋体" w:eastAsia="宋体" w:hint="default"/>
                <w:sz w:val="18"/>
                <w:szCs w:val="18"/>
              </w:rPr>
              <w:t>生物活性碳滤池的垃圾</w:t>
            </w:r>
            <w:r>
              <w:rPr>
                <w:rFonts w:ascii="宋体" w:hAnsi="宋体" w:cs="宋体" w:eastAsia="宋体" w:hint="default"/>
                <w:w w:val="99"/>
                <w:sz w:val="18"/>
                <w:szCs w:val="18"/>
              </w:rPr>
              <w:t> </w:t>
            </w:r>
            <w:r>
              <w:rPr>
                <w:rFonts w:ascii="宋体" w:hAnsi="宋体" w:cs="宋体" w:eastAsia="宋体" w:hint="default"/>
                <w:sz w:val="18"/>
                <w:szCs w:val="18"/>
              </w:rPr>
              <w:t>渗滤液处理工艺设备开发</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2,268,531.11</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2,268,531.11</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3" w:right="194"/>
              <w:jc w:val="left"/>
              <w:rPr>
                <w:rFonts w:ascii="宋体" w:hAnsi="宋体" w:cs="宋体" w:eastAsia="宋体" w:hint="default"/>
                <w:sz w:val="18"/>
                <w:szCs w:val="18"/>
              </w:rPr>
            </w:pPr>
            <w:r>
              <w:rPr>
                <w:rFonts w:ascii="宋体" w:hAnsi="宋体" w:cs="宋体" w:eastAsia="宋体" w:hint="default"/>
                <w:sz w:val="18"/>
                <w:szCs w:val="18"/>
              </w:rPr>
              <w:t>智能传感器</w:t>
            </w:r>
            <w:r>
              <w:rPr>
                <w:rFonts w:ascii="Times New Roman" w:hAnsi="Times New Roman" w:cs="Times New Roman" w:eastAsia="Times New Roman" w:hint="default"/>
                <w:sz w:val="18"/>
                <w:szCs w:val="18"/>
              </w:rPr>
              <w:t>--</w:t>
            </w:r>
            <w:r>
              <w:rPr>
                <w:rFonts w:ascii="宋体" w:hAnsi="宋体" w:cs="宋体" w:eastAsia="宋体" w:hint="default"/>
                <w:sz w:val="18"/>
                <w:szCs w:val="18"/>
              </w:rPr>
              <w:t>数字热释电传感器研 发</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2,038,471.53</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2,038,471.53</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基于大数据和人工智能的城市压力 管道爆管风险评价和预警研究</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1,840,257.20</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1,840,257.20</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光学粉尘传感器</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1,817,644.85</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1,817,644.85</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基于大数据的城市供水专题应用研 究</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1,743,814.11</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1,743,814.11</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柔性薄膜压力传感器</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1,609,324.13</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1,609,324.13</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智能传感器</w:t>
            </w:r>
            <w:r>
              <w:rPr>
                <w:rFonts w:ascii="Times New Roman" w:hAnsi="Times New Roman" w:cs="Times New Roman" w:eastAsia="Times New Roman" w:hint="default"/>
                <w:sz w:val="18"/>
                <w:szCs w:val="18"/>
              </w:rPr>
              <w:t>--</w:t>
            </w:r>
            <w:r>
              <w:rPr>
                <w:rFonts w:ascii="宋体" w:hAnsi="宋体" w:cs="宋体" w:eastAsia="宋体" w:hint="default"/>
                <w:sz w:val="18"/>
                <w:szCs w:val="18"/>
              </w:rPr>
              <w:t>数字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MEMS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气体传感 器产业化</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1,608,986.12</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1,608,986.12</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城市天眼系统</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1,546,334.23</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1,546,334.23</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智慧水务一体化平台研究</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1,510,473.79</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1,510,473.79</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水务节点压力分布管理用检测装置</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1,506,530.37</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1,506,530.37</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868"/>
        <w:gridCol w:w="709"/>
        <w:gridCol w:w="1419"/>
        <w:gridCol w:w="568"/>
        <w:gridCol w:w="282"/>
        <w:gridCol w:w="1419"/>
        <w:gridCol w:w="1276"/>
        <w:gridCol w:w="426"/>
        <w:gridCol w:w="611"/>
      </w:tblGrid>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的研发</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40,293,128.92</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40,293,128.92</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106,686,836.36</w:t>
            </w:r>
          </w:p>
        </w:tc>
        <w:tc>
          <w:tcPr>
            <w:tcW w:w="568"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106,686,836.36</w:t>
            </w:r>
          </w:p>
        </w:tc>
        <w:tc>
          <w:tcPr>
            <w:tcW w:w="426"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商誉" w:id="255"/>
      <w:bookmarkEnd w:id="255"/>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56"/>
      <w:bookmarkEnd w:id="25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93"/>
        <w:gridCol w:w="1559"/>
        <w:gridCol w:w="1559"/>
        <w:gridCol w:w="992"/>
        <w:gridCol w:w="1419"/>
        <w:gridCol w:w="1134"/>
        <w:gridCol w:w="1314"/>
      </w:tblGrid>
      <w:tr>
        <w:trPr>
          <w:trHeight w:val="404" w:hRule="exact"/>
        </w:trPr>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61" w:right="70"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93"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4"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25,819,827.09</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6" w:space="0" w:color="000000"/>
              <w:left w:val="single" w:sz="4" w:space="0" w:color="000000"/>
              <w:bottom w:val="single" w:sz="4" w:space="0" w:color="000000"/>
              <w:right w:val="single" w:sz="4" w:space="0" w:color="000000"/>
            </w:tcBorders>
          </w:tcPr>
          <w:p>
            <w:pPr/>
          </w:p>
        </w:tc>
        <w:tc>
          <w:tcPr>
            <w:tcW w:w="1419" w:type="dxa"/>
            <w:tcBorders>
              <w:top w:val="single" w:sz="6"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25,819,827.09</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8,089,254.51</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8,089,254.51</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222,690,686.33</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222,690,686.33</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14,419,607.42</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14,419,607.42</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1,131,181.30</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1,131,181.30</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16,546,736.87</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16,546,736.87</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16,485,863.87</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16,485,863.87</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2,539,079.66</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2,539,079.66</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1,582,761.39</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1,582,761.39</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百隆建筑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35,701,881.83</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35,701,881.83</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6,284,914.80</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6,284,914.80</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62,204,126.28</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62,204,126.28</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413,495,921.35</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413,495,921.35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57"/>
      <w:bookmarkEnd w:id="25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594"/>
        <w:gridCol w:w="1417"/>
        <w:gridCol w:w="1559"/>
        <w:gridCol w:w="1418"/>
        <w:gridCol w:w="1134"/>
        <w:gridCol w:w="1276"/>
        <w:gridCol w:w="1174"/>
      </w:tblGrid>
      <w:tr>
        <w:trPr>
          <w:trHeight w:val="520"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162" w:right="70"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78"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10"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0"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418"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276"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8,089,254.51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8,089,254.51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34,759,350.26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33,040,392.97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67,799,743.23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14,419,607.42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14,419,607.42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6,284,914.80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41,044,265.06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55,549,254.90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96,593,519.96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0"/>
        <w:rPr>
          <w:rFonts w:ascii="宋体" w:hAnsi="宋体" w:cs="宋体" w:eastAsia="宋体" w:hint="default"/>
          <w:sz w:val="12"/>
          <w:szCs w:val="12"/>
        </w:rPr>
      </w:pPr>
    </w:p>
    <w:p>
      <w:pPr>
        <w:pStyle w:val="BodyText"/>
        <w:spacing w:line="408" w:lineRule="auto" w:before="0"/>
        <w:ind w:right="1131" w:firstLine="420"/>
        <w:jc w:val="both"/>
      </w:pPr>
      <w:r>
        <w:rPr>
          <w:spacing w:val="-1"/>
        </w:rPr>
        <w:t>公司将商誉在所收购子公司的整体资产与业务确定为一个资产组或资产组组合进行减值测试，其主要</w:t>
      </w:r>
      <w:r>
        <w:rPr/>
        <w:t> </w:t>
      </w:r>
      <w:r>
        <w:rPr>
          <w:spacing w:val="-1"/>
        </w:rPr>
        <w:t>现金流入独立于其他资产或资产组的现金流入，资产组或资产组组合范围包括组成资产组的固定资产、无</w:t>
      </w:r>
      <w:r>
        <w:rPr>
          <w:spacing w:val="-81"/>
        </w:rPr>
        <w:t> </w:t>
      </w:r>
      <w:r>
        <w:rPr>
          <w:spacing w:val="-81"/>
        </w:rPr>
      </w:r>
      <w:r>
        <w:rPr/>
        <w:t>形资产等长期资产，各资产组或资产组组合与购买日及以前年度商誉减值测试所确认的资产组一致。</w:t>
      </w:r>
    </w:p>
    <w:p>
      <w:pPr>
        <w:pStyle w:val="BodyText"/>
        <w:spacing w:line="408" w:lineRule="auto"/>
        <w:ind w:right="1131" w:firstLine="420"/>
        <w:jc w:val="both"/>
      </w:pPr>
      <w:r>
        <w:rPr>
          <w:spacing w:val="-1"/>
        </w:rPr>
        <w:t>嘉园环保资产组组合、鞍山易兴资产组预计未来现金流量现值（可收回金额）参考利用了北京中企华</w:t>
      </w:r>
      <w:r>
        <w:rPr/>
        <w:t> </w:t>
      </w:r>
      <w:r>
        <w:rPr>
          <w:spacing w:val="-1"/>
        </w:rPr>
        <w:t>资产有限责任公司出具的《汉威科技集团股份有限公司拟进行商誉减值测试涉及的相关资产组可收回价值</w:t>
      </w:r>
      <w:r>
        <w:rPr>
          <w:spacing w:val="-81"/>
        </w:rPr>
        <w:t> </w:t>
      </w:r>
      <w:r>
        <w:rPr>
          <w:spacing w:val="-81"/>
        </w:rPr>
      </w:r>
      <w:r>
        <w:rPr>
          <w:spacing w:val="-14"/>
        </w:rPr>
        <w:t>资产评估报告》。</w:t>
      </w:r>
    </w:p>
    <w:p>
      <w:pPr>
        <w:pStyle w:val="BodyText"/>
        <w:spacing w:line="408" w:lineRule="auto"/>
        <w:ind w:right="1133" w:firstLine="420"/>
        <w:jc w:val="both"/>
      </w:pPr>
      <w:r>
        <w:rPr>
          <w:spacing w:val="-1"/>
        </w:rPr>
        <w:t>说明商誉减值测试过程、关键参数（如预计未来现金流量现值时的预测期增长率、稳定期增长率、利</w:t>
      </w:r>
      <w:r>
        <w:rPr/>
        <w:t> 润率、折现率、预测期等）及商誉减值损失的确认方法：</w:t>
      </w:r>
    </w:p>
    <w:p>
      <w:pPr>
        <w:pStyle w:val="BodyText"/>
        <w:spacing w:line="408" w:lineRule="auto"/>
        <w:ind w:right="1137" w:firstLine="420"/>
        <w:jc w:val="both"/>
      </w:pPr>
      <w:r>
        <w:rPr>
          <w:spacing w:val="3"/>
        </w:rPr>
        <w:t>公司按照资产组未来预计现金流量和能够反映相关资产组特定风险的税前折现利率计算现值确定资</w:t>
      </w:r>
      <w:r>
        <w:rPr/>
        <w:t> 产组可回收价值以</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日为基准日进行商誉减值测算</w:t>
      </w:r>
    </w:p>
    <w:p>
      <w:pPr>
        <w:pStyle w:val="BodyText"/>
        <w:spacing w:line="408" w:lineRule="auto"/>
        <w:ind w:left="574" w:right="0"/>
        <w:jc w:val="left"/>
      </w:pPr>
      <w:r>
        <w:rPr/>
        <w:t>可收回价值的测算假设、依据及方法： </w:t>
      </w:r>
      <w:r>
        <w:rPr>
          <w:rFonts w:ascii="宋体" w:hAnsi="宋体" w:cs="宋体" w:eastAsia="宋体" w:hint="default"/>
        </w:rPr>
        <w:t>1</w:t>
      </w:r>
      <w:r>
        <w:rPr/>
        <w:t>）假设预测对象所涉及企业将按照原有的经营目的、经营方式持续经营，管理方式和管理水平与目</w:t>
      </w:r>
    </w:p>
    <w:p>
      <w:pPr>
        <w:pStyle w:val="BodyText"/>
        <w:spacing w:line="408" w:lineRule="auto"/>
        <w:ind w:left="574" w:right="0" w:hanging="420"/>
        <w:jc w:val="left"/>
      </w:pPr>
      <w:r>
        <w:rPr/>
        <w:t>前保持一致，其收益可以预测； </w:t>
      </w:r>
      <w:r>
        <w:rPr>
          <w:rFonts w:ascii="宋体" w:hAnsi="宋体" w:cs="宋体" w:eastAsia="宋体" w:hint="default"/>
        </w:rPr>
        <w:t>2</w:t>
      </w:r>
      <w:r>
        <w:rPr/>
        <w:t>）预测对象生产经营所耗费的原材料、辅料的供应及价格无重大变化；预测对象产品价格无不可预</w:t>
      </w:r>
    </w:p>
    <w:p>
      <w:pPr>
        <w:pStyle w:val="BodyText"/>
        <w:spacing w:line="408" w:lineRule="auto"/>
        <w:ind w:left="574" w:right="3507" w:hanging="420"/>
        <w:jc w:val="left"/>
      </w:pPr>
      <w:r>
        <w:rPr/>
        <w:t>见的重大变化； </w:t>
      </w:r>
      <w:r>
        <w:rPr>
          <w:rFonts w:ascii="宋体" w:hAnsi="宋体" w:cs="宋体" w:eastAsia="宋体" w:hint="default"/>
        </w:rPr>
        <w:t>3</w:t>
      </w:r>
      <w:r>
        <w:rPr/>
        <w:t>）预测对象在未来的经营期限内的财务结构、资本规模未发生重大变化；</w:t>
      </w:r>
    </w:p>
    <w:p>
      <w:pPr>
        <w:pStyle w:val="BodyText"/>
        <w:spacing w:line="240" w:lineRule="auto"/>
        <w:ind w:left="574" w:right="0"/>
        <w:jc w:val="left"/>
      </w:pPr>
      <w:r>
        <w:rPr>
          <w:rFonts w:ascii="宋体" w:hAnsi="宋体" w:cs="宋体" w:eastAsia="宋体" w:hint="default"/>
        </w:rPr>
        <w:t>4</w:t>
      </w:r>
      <w:r>
        <w:rPr/>
        <w:t>）假设减值测试基准日后资产组现金流入为均匀流入，现金流出为均匀流出；</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rFonts w:ascii="宋体" w:hAnsi="宋体" w:cs="宋体" w:eastAsia="宋体" w:hint="default"/>
        </w:rPr>
        <w:t>5</w:t>
      </w:r>
      <w:r>
        <w:rPr/>
        <w:t>）国家现行的经济政策方针无重大变化，在预测年份内有关利率、汇率、税率无重大变化，预测企 </w:t>
      </w:r>
      <w:r>
        <w:rPr>
          <w:spacing w:val="-1"/>
        </w:rPr>
        <w:t>业所占地区的社会经济环境无重大变化，预测企业所属行业的发展态势稳定，与预测企业生产经营有关的</w:t>
      </w:r>
      <w:r>
        <w:rPr>
          <w:spacing w:val="-81"/>
        </w:rPr>
        <w:t> </w:t>
      </w:r>
      <w:r>
        <w:rPr>
          <w:spacing w:val="-81"/>
        </w:rPr>
      </w:r>
      <w:r>
        <w:rPr/>
        <w:t>现行法律、法规、经济政策保持稳定。</w:t>
      </w:r>
    </w:p>
    <w:p>
      <w:pPr>
        <w:pStyle w:val="BodyText"/>
        <w:spacing w:line="243" w:lineRule="exact" w:before="0"/>
        <w:ind w:left="574" w:right="0"/>
        <w:jc w:val="left"/>
      </w:pPr>
      <w:r>
        <w:rPr/>
        <w:t>关键参数信息：</w:t>
      </w:r>
    </w:p>
    <w:p>
      <w:pPr>
        <w:spacing w:line="240" w:lineRule="auto" w:before="13"/>
        <w:rPr>
          <w:rFonts w:ascii="宋体" w:hAnsi="宋体" w:cs="宋体" w:eastAsia="宋体" w:hint="default"/>
          <w:sz w:val="3"/>
          <w:szCs w:val="3"/>
        </w:rPr>
      </w:pPr>
    </w:p>
    <w:tbl>
      <w:tblPr>
        <w:tblW w:w="0" w:type="auto"/>
        <w:jc w:val="left"/>
        <w:tblInd w:w="281" w:type="dxa"/>
        <w:tblLayout w:type="fixed"/>
        <w:tblCellMar>
          <w:top w:w="0" w:type="dxa"/>
          <w:left w:w="0" w:type="dxa"/>
          <w:bottom w:w="0" w:type="dxa"/>
          <w:right w:w="0" w:type="dxa"/>
        </w:tblCellMar>
        <w:tblLook w:val="01E0"/>
      </w:tblPr>
      <w:tblGrid>
        <w:gridCol w:w="1432"/>
        <w:gridCol w:w="992"/>
        <w:gridCol w:w="1274"/>
        <w:gridCol w:w="1278"/>
        <w:gridCol w:w="2687"/>
        <w:gridCol w:w="1708"/>
      </w:tblGrid>
      <w:tr>
        <w:trPr>
          <w:trHeight w:val="347" w:hRule="exact"/>
        </w:trPr>
        <w:tc>
          <w:tcPr>
            <w:tcW w:w="1432"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48" w:right="77" w:hanging="271"/>
              <w:jc w:val="left"/>
              <w:rPr>
                <w:rFonts w:ascii="宋体" w:hAnsi="宋体" w:cs="宋体" w:eastAsia="宋体" w:hint="default"/>
                <w:sz w:val="18"/>
                <w:szCs w:val="18"/>
              </w:rPr>
            </w:pPr>
            <w:r>
              <w:rPr>
                <w:rFonts w:ascii="宋体" w:hAnsi="宋体" w:cs="宋体" w:eastAsia="宋体" w:hint="default"/>
                <w:sz w:val="18"/>
                <w:szCs w:val="18"/>
              </w:rPr>
              <w:t>资产组或资产组 组合名称</w:t>
            </w:r>
          </w:p>
        </w:tc>
        <w:tc>
          <w:tcPr>
            <w:tcW w:w="7939" w:type="dxa"/>
            <w:gridSpan w:val="5"/>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659" w:hRule="exact"/>
        </w:trPr>
        <w:tc>
          <w:tcPr>
            <w:tcW w:w="1432" w:type="dxa"/>
            <w:vMerge/>
            <w:tcBorders>
              <w:left w:val="single" w:sz="6" w:space="0" w:color="000000"/>
              <w:bottom w:val="single" w:sz="6" w:space="0" w:color="000000"/>
              <w:right w:val="single" w:sz="6" w:space="0" w:color="000000"/>
            </w:tcBorders>
            <w:shd w:val="clear" w:color="auto" w:fill="D0CECE"/>
          </w:tcPr>
          <w:p>
            <w:pPr/>
          </w:p>
        </w:tc>
        <w:tc>
          <w:tcPr>
            <w:tcW w:w="99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预测期</w:t>
            </w:r>
          </w:p>
        </w:tc>
        <w:tc>
          <w:tcPr>
            <w:tcW w:w="127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预测期增长率</w:t>
            </w:r>
          </w:p>
        </w:tc>
        <w:tc>
          <w:tcPr>
            <w:tcW w:w="12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稳定期增长率</w:t>
            </w:r>
          </w:p>
        </w:tc>
        <w:tc>
          <w:tcPr>
            <w:tcW w:w="268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170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按加权平均资本成本</w:t>
            </w:r>
          </w:p>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WACC</w:t>
            </w:r>
            <w:r>
              <w:rPr>
                <w:rFonts w:ascii="宋体" w:hAnsi="宋体" w:cs="宋体" w:eastAsia="宋体" w:hint="default"/>
                <w:sz w:val="18"/>
                <w:szCs w:val="18"/>
              </w:rPr>
              <w:t>计算的折现率</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68" w:right="0"/>
              <w:jc w:val="left"/>
              <w:rPr>
                <w:rFonts w:ascii="Times New Roman" w:hAnsi="Times New Roman" w:cs="Times New Roman" w:eastAsia="Times New Roman" w:hint="default"/>
                <w:sz w:val="18"/>
                <w:szCs w:val="18"/>
              </w:rPr>
            </w:pPr>
            <w:r>
              <w:rPr>
                <w:rFonts w:ascii="Times New Roman"/>
                <w:sz w:val="18"/>
              </w:rPr>
              <w:t>14.77%</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8" w:right="0"/>
              <w:jc w:val="left"/>
              <w:rPr>
                <w:rFonts w:ascii="Times New Roman" w:hAnsi="Times New Roman" w:cs="Times New Roman" w:eastAsia="Times New Roman" w:hint="default"/>
                <w:sz w:val="18"/>
                <w:szCs w:val="18"/>
              </w:rPr>
            </w:pPr>
            <w:r>
              <w:rPr>
                <w:rFonts w:ascii="Times New Roman"/>
                <w:sz w:val="18"/>
              </w:rPr>
              <w:t>13.26%</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8" w:right="0"/>
              <w:jc w:val="left"/>
              <w:rPr>
                <w:rFonts w:ascii="Times New Roman" w:hAnsi="Times New Roman" w:cs="Times New Roman" w:eastAsia="Times New Roman" w:hint="default"/>
                <w:sz w:val="18"/>
                <w:szCs w:val="18"/>
              </w:rPr>
            </w:pPr>
            <w:r>
              <w:rPr>
                <w:rFonts w:ascii="Times New Roman"/>
                <w:sz w:val="18"/>
              </w:rPr>
              <w:t>14.74%</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8" w:right="0"/>
              <w:jc w:val="left"/>
              <w:rPr>
                <w:rFonts w:ascii="Times New Roman" w:hAnsi="Times New Roman" w:cs="Times New Roman" w:eastAsia="Times New Roman" w:hint="default"/>
                <w:sz w:val="18"/>
                <w:szCs w:val="18"/>
              </w:rPr>
            </w:pPr>
            <w:r>
              <w:rPr>
                <w:rFonts w:ascii="Times New Roman"/>
                <w:sz w:val="18"/>
              </w:rPr>
              <w:t>13.47%</w:t>
            </w:r>
          </w:p>
        </w:tc>
      </w:tr>
      <w:tr>
        <w:trPr>
          <w:trHeight w:val="348"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8" w:right="0"/>
              <w:jc w:val="left"/>
              <w:rPr>
                <w:rFonts w:ascii="Times New Roman" w:hAnsi="Times New Roman" w:cs="Times New Roman" w:eastAsia="Times New Roman" w:hint="default"/>
                <w:sz w:val="18"/>
                <w:szCs w:val="18"/>
              </w:rPr>
            </w:pPr>
            <w:r>
              <w:rPr>
                <w:rFonts w:ascii="Times New Roman"/>
                <w:sz w:val="18"/>
              </w:rPr>
              <w:t>14.60%</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68" w:right="0"/>
              <w:jc w:val="left"/>
              <w:rPr>
                <w:rFonts w:ascii="Times New Roman" w:hAnsi="Times New Roman" w:cs="Times New Roman" w:eastAsia="Times New Roman" w:hint="default"/>
                <w:sz w:val="18"/>
                <w:szCs w:val="18"/>
              </w:rPr>
            </w:pPr>
            <w:r>
              <w:rPr>
                <w:rFonts w:ascii="Times New Roman"/>
                <w:sz w:val="18"/>
              </w:rPr>
              <w:t>13.07%</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8" w:right="0"/>
              <w:jc w:val="left"/>
              <w:rPr>
                <w:rFonts w:ascii="Times New Roman" w:hAnsi="Times New Roman" w:cs="Times New Roman" w:eastAsia="Times New Roman" w:hint="default"/>
                <w:sz w:val="18"/>
                <w:szCs w:val="18"/>
              </w:rPr>
            </w:pPr>
            <w:r>
              <w:rPr>
                <w:rFonts w:ascii="Times New Roman"/>
                <w:sz w:val="18"/>
              </w:rPr>
              <w:t>13.43%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81" w:type="dxa"/>
        <w:tblLayout w:type="fixed"/>
        <w:tblCellMar>
          <w:top w:w="0" w:type="dxa"/>
          <w:left w:w="0" w:type="dxa"/>
          <w:bottom w:w="0" w:type="dxa"/>
          <w:right w:w="0" w:type="dxa"/>
        </w:tblCellMar>
        <w:tblLook w:val="01E0"/>
      </w:tblPr>
      <w:tblGrid>
        <w:gridCol w:w="1432"/>
        <w:gridCol w:w="992"/>
        <w:gridCol w:w="1274"/>
        <w:gridCol w:w="1278"/>
        <w:gridCol w:w="2687"/>
        <w:gridCol w:w="1708"/>
      </w:tblGrid>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13.03%</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百隆建筑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14.00%</w:t>
            </w:r>
          </w:p>
        </w:tc>
      </w:tr>
      <w:tr>
        <w:trPr>
          <w:trHeight w:val="348"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13.04%</w:t>
            </w:r>
          </w:p>
        </w:tc>
      </w:tr>
    </w:tbl>
    <w:p>
      <w:pPr>
        <w:spacing w:line="348" w:lineRule="auto" w:before="25"/>
        <w:ind w:left="154" w:right="1131" w:firstLine="320"/>
        <w:jc w:val="both"/>
        <w:rPr>
          <w:rFonts w:ascii="宋体" w:hAnsi="宋体" w:cs="宋体" w:eastAsia="宋体" w:hint="default"/>
          <w:sz w:val="16"/>
          <w:szCs w:val="16"/>
        </w:rPr>
      </w:pPr>
      <w:r>
        <w:rPr>
          <w:rFonts w:ascii="宋体" w:hAnsi="宋体" w:cs="宋体" w:eastAsia="宋体" w:hint="default"/>
          <w:sz w:val="16"/>
          <w:szCs w:val="16"/>
        </w:rPr>
        <w:t>注：公司根据各资产组已经签订的合同、协议、发展规划、历年经营趋势和市场竞争等因素综合分析，结合在建项目、已中标未开工</w:t>
      </w:r>
      <w:r>
        <w:rPr>
          <w:rFonts w:ascii="宋体" w:hAnsi="宋体" w:cs="宋体" w:eastAsia="宋体" w:hint="default"/>
          <w:w w:val="99"/>
          <w:sz w:val="16"/>
          <w:szCs w:val="16"/>
        </w:rPr>
        <w:t> </w:t>
      </w:r>
      <w:r>
        <w:rPr>
          <w:rFonts w:ascii="宋体" w:hAnsi="宋体" w:cs="宋体" w:eastAsia="宋体" w:hint="default"/>
          <w:spacing w:val="-3"/>
          <w:sz w:val="16"/>
          <w:szCs w:val="16"/>
        </w:rPr>
        <w:t>项目、预计中标项目情况以及考虑行业特性、行业发展前景、行业竞争的激烈程度及企业所处市场地位等综合因素，对预测日未来</w:t>
      </w:r>
      <w:r>
        <w:rPr>
          <w:rFonts w:ascii="Times New Roman" w:hAnsi="Times New Roman" w:cs="Times New Roman" w:eastAsia="Times New Roman" w:hint="default"/>
          <w:spacing w:val="-3"/>
          <w:sz w:val="16"/>
          <w:szCs w:val="16"/>
        </w:rPr>
        <w:t>2019-2023</w:t>
      </w:r>
      <w:r>
        <w:rPr>
          <w:rFonts w:ascii="Times New Roman" w:hAnsi="Times New Roman" w:cs="Times New Roman" w:eastAsia="Times New Roman" w:hint="default"/>
          <w:spacing w:val="-27"/>
          <w:sz w:val="16"/>
          <w:szCs w:val="16"/>
        </w:rPr>
        <w:t> </w:t>
      </w:r>
      <w:r>
        <w:rPr>
          <w:rFonts w:ascii="Times New Roman" w:hAnsi="Times New Roman" w:cs="Times New Roman" w:eastAsia="Times New Roman" w:hint="default"/>
          <w:spacing w:val="-27"/>
          <w:sz w:val="16"/>
          <w:szCs w:val="16"/>
        </w:rPr>
      </w:r>
      <w:r>
        <w:rPr>
          <w:rFonts w:ascii="宋体" w:hAnsi="宋体" w:cs="宋体" w:eastAsia="宋体" w:hint="default"/>
          <w:sz w:val="16"/>
          <w:szCs w:val="16"/>
        </w:rPr>
        <w:t>年的收入、成本、费用等进行预测。</w:t>
      </w:r>
    </w:p>
    <w:p>
      <w:pPr>
        <w:spacing w:before="3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）沈阳金建主要从事地理信息系统软件开发、服务及软硬件销售，</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20%</w:t>
      </w:r>
      <w:r>
        <w:rPr>
          <w:rFonts w:ascii="宋体" w:hAnsi="宋体" w:cs="宋体" w:eastAsia="宋体" w:hint="default"/>
          <w:sz w:val="16"/>
          <w:szCs w:val="16"/>
        </w:rPr>
        <w:t>、</w:t>
      </w:r>
      <w:r>
        <w:rPr>
          <w:rFonts w:ascii="Times New Roman" w:hAnsi="Times New Roman" w:cs="Times New Roman" w:eastAsia="Times New Roman" w:hint="default"/>
          <w:sz w:val="16"/>
          <w:szCs w:val="16"/>
        </w:rPr>
        <w:t>20%</w:t>
      </w:r>
      <w:r>
        <w:rPr>
          <w:rFonts w:ascii="宋体" w:hAnsi="宋体" w:cs="宋体" w:eastAsia="宋体" w:hint="default"/>
          <w:sz w:val="16"/>
          <w:szCs w:val="16"/>
        </w:rPr>
        <w:t>、</w:t>
      </w:r>
      <w:r>
        <w:rPr>
          <w:rFonts w:ascii="Times New Roman" w:hAnsi="Times New Roman" w:cs="Times New Roman" w:eastAsia="Times New Roman" w:hint="default"/>
          <w:sz w:val="16"/>
          <w:szCs w:val="16"/>
        </w:rPr>
        <w:t>20%</w:t>
      </w:r>
      <w:r>
        <w:rPr>
          <w:rFonts w:ascii="宋体" w:hAnsi="宋体" w:cs="宋体" w:eastAsia="宋体" w:hint="default"/>
          <w:sz w:val="16"/>
          <w:szCs w:val="16"/>
        </w:rPr>
        <w:t>、</w:t>
      </w:r>
      <w:r>
        <w:rPr>
          <w:rFonts w:ascii="Times New Roman" w:hAnsi="Times New Roman" w:cs="Times New Roman" w:eastAsia="Times New Roman" w:hint="default"/>
          <w:sz w:val="16"/>
          <w:szCs w:val="16"/>
        </w:rPr>
        <w:t>15%</w:t>
      </w:r>
      <w:r>
        <w:rPr>
          <w:rFonts w:ascii="宋体" w:hAnsi="宋体" w:cs="宋体" w:eastAsia="宋体" w:hint="default"/>
          <w:sz w:val="16"/>
          <w:szCs w:val="16"/>
        </w:rPr>
        <w:t>、</w:t>
      </w:r>
      <w:r>
        <w:rPr>
          <w:rFonts w:ascii="Times New Roman" w:hAnsi="Times New Roman" w:cs="Times New Roman" w:eastAsia="Times New Roman" w:hint="default"/>
          <w:sz w:val="16"/>
          <w:szCs w:val="16"/>
        </w:rPr>
        <w:t>15%</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）上海英吉森主要从事气体检测仪器仪表的销售及开发服务，</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8%</w:t>
      </w:r>
      <w:r>
        <w:rPr>
          <w:rFonts w:ascii="宋体" w:hAnsi="宋体" w:cs="宋体" w:eastAsia="宋体" w:hint="default"/>
          <w:sz w:val="16"/>
          <w:szCs w:val="16"/>
        </w:rPr>
        <w:t>、</w:t>
      </w:r>
      <w:r>
        <w:rPr>
          <w:rFonts w:ascii="Times New Roman" w:hAnsi="Times New Roman" w:cs="Times New Roman" w:eastAsia="Times New Roman" w:hint="default"/>
          <w:sz w:val="16"/>
          <w:szCs w:val="16"/>
        </w:rPr>
        <w:t>8%</w:t>
      </w:r>
      <w:r>
        <w:rPr>
          <w:rFonts w:ascii="宋体" w:hAnsi="宋体" w:cs="宋体" w:eastAsia="宋体" w:hint="default"/>
          <w:sz w:val="16"/>
          <w:szCs w:val="16"/>
        </w:rPr>
        <w:t>、</w:t>
      </w:r>
      <w:r>
        <w:rPr>
          <w:rFonts w:ascii="Times New Roman" w:hAnsi="Times New Roman" w:cs="Times New Roman" w:eastAsia="Times New Roman" w:hint="default"/>
          <w:sz w:val="16"/>
          <w:szCs w:val="16"/>
        </w:rPr>
        <w:t>6%</w:t>
      </w: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w:t>
      </w:r>
    </w:p>
    <w:p>
      <w:pPr>
        <w:spacing w:line="338" w:lineRule="auto" w:before="90"/>
        <w:ind w:left="154" w:right="0" w:firstLine="32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）嘉园环保主要从事环保工程及</w:t>
      </w:r>
      <w:r>
        <w:rPr>
          <w:rFonts w:ascii="Times New Roman" w:hAnsi="Times New Roman" w:cs="Times New Roman" w:eastAsia="Times New Roman" w:hint="default"/>
          <w:sz w:val="16"/>
          <w:szCs w:val="16"/>
        </w:rPr>
        <w:t>BOT</w:t>
      </w:r>
      <w:r>
        <w:rPr>
          <w:rFonts w:ascii="宋体" w:hAnsi="宋体" w:cs="宋体" w:eastAsia="宋体" w:hint="default"/>
          <w:sz w:val="16"/>
          <w:szCs w:val="16"/>
        </w:rPr>
        <w:t>项目运营，资产组组合中非</w:t>
      </w:r>
      <w:r>
        <w:rPr>
          <w:rFonts w:ascii="Times New Roman" w:hAnsi="Times New Roman" w:cs="Times New Roman" w:eastAsia="Times New Roman" w:hint="default"/>
          <w:sz w:val="16"/>
          <w:szCs w:val="16"/>
        </w:rPr>
        <w:t>BOT</w:t>
      </w:r>
      <w:r>
        <w:rPr>
          <w:rFonts w:ascii="宋体" w:hAnsi="宋体" w:cs="宋体" w:eastAsia="宋体" w:hint="default"/>
          <w:sz w:val="16"/>
          <w:szCs w:val="16"/>
        </w:rPr>
        <w:t>资产组预测期</w:t>
      </w:r>
      <w:r>
        <w:rPr>
          <w:rFonts w:ascii="Times New Roman" w:hAnsi="Times New Roman" w:cs="Times New Roman" w:eastAsia="Times New Roman" w:hint="default"/>
          <w:sz w:val="16"/>
          <w:szCs w:val="16"/>
        </w:rPr>
        <w:t>5</w:t>
      </w:r>
      <w:r>
        <w:rPr>
          <w:rFonts w:ascii="宋体" w:hAnsi="宋体" w:cs="宋体" w:eastAsia="宋体" w:hint="default"/>
          <w:sz w:val="16"/>
          <w:szCs w:val="16"/>
        </w:rPr>
        <w:t>年，折现率</w:t>
      </w:r>
      <w:r>
        <w:rPr>
          <w:rFonts w:ascii="Times New Roman" w:hAnsi="Times New Roman" w:cs="Times New Roman" w:eastAsia="Times New Roman" w:hint="default"/>
          <w:sz w:val="16"/>
          <w:szCs w:val="16"/>
        </w:rPr>
        <w:t>12.97%</w:t>
      </w:r>
      <w:r>
        <w:rPr>
          <w:rFonts w:ascii="宋体" w:hAnsi="宋体" w:cs="宋体" w:eastAsia="宋体" w:hint="default"/>
          <w:sz w:val="16"/>
          <w:szCs w:val="16"/>
        </w:rPr>
        <w:t>；</w:t>
      </w:r>
      <w:r>
        <w:rPr>
          <w:rFonts w:ascii="Times New Roman" w:hAnsi="Times New Roman" w:cs="Times New Roman" w:eastAsia="Times New Roman" w:hint="default"/>
          <w:sz w:val="16"/>
          <w:szCs w:val="16"/>
        </w:rPr>
        <w:t>BOT</w:t>
      </w:r>
      <w:r>
        <w:rPr>
          <w:rFonts w:ascii="宋体" w:hAnsi="宋体" w:cs="宋体" w:eastAsia="宋体" w:hint="default"/>
          <w:sz w:val="16"/>
          <w:szCs w:val="16"/>
        </w:rPr>
        <w:t>资产组预测期根据合同</w:t>
      </w:r>
      <w:r>
        <w:rPr>
          <w:rFonts w:ascii="宋体" w:hAnsi="宋体" w:cs="宋体" w:eastAsia="宋体" w:hint="default"/>
          <w:w w:val="99"/>
          <w:sz w:val="16"/>
          <w:szCs w:val="16"/>
        </w:rPr>
        <w:t> </w:t>
      </w:r>
      <w:r>
        <w:rPr>
          <w:rFonts w:ascii="宋体" w:hAnsi="宋体" w:cs="宋体" w:eastAsia="宋体" w:hint="default"/>
          <w:sz w:val="16"/>
          <w:szCs w:val="16"/>
        </w:rPr>
        <w:t>约定运营期年限确定，折现率</w:t>
      </w:r>
      <w:r>
        <w:rPr>
          <w:rFonts w:ascii="Times New Roman" w:hAnsi="Times New Roman" w:cs="Times New Roman" w:eastAsia="Times New Roman" w:hint="default"/>
          <w:sz w:val="16"/>
          <w:szCs w:val="16"/>
        </w:rPr>
        <w:t>11.08%</w:t>
      </w:r>
      <w:r>
        <w:rPr>
          <w:rFonts w:ascii="宋体" w:hAnsi="宋体" w:cs="宋体" w:eastAsia="宋体" w:hint="default"/>
          <w:sz w:val="16"/>
          <w:szCs w:val="16"/>
        </w:rPr>
        <w:t>；预测期增长率按照资产组组合中的资产组分别确定；</w:t>
      </w:r>
    </w:p>
    <w:p>
      <w:pPr>
        <w:spacing w:before="18"/>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）鞍山易兴主要从事公共、环保领域</w:t>
      </w:r>
      <w:r>
        <w:rPr>
          <w:rFonts w:ascii="Times New Roman" w:hAnsi="Times New Roman" w:cs="Times New Roman" w:eastAsia="Times New Roman" w:hint="default"/>
          <w:sz w:val="16"/>
          <w:szCs w:val="16"/>
        </w:rPr>
        <w:t>SCADA</w:t>
      </w:r>
      <w:r>
        <w:rPr>
          <w:rFonts w:ascii="宋体" w:hAnsi="宋体" w:cs="宋体" w:eastAsia="宋体" w:hint="default"/>
          <w:sz w:val="16"/>
          <w:szCs w:val="16"/>
        </w:rPr>
        <w:t>系统开发业务，</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40%</w:t>
      </w:r>
      <w:r>
        <w:rPr>
          <w:rFonts w:ascii="宋体" w:hAnsi="宋体" w:cs="宋体" w:eastAsia="宋体" w:hint="default"/>
          <w:sz w:val="16"/>
          <w:szCs w:val="16"/>
        </w:rPr>
        <w:t>、</w:t>
      </w:r>
      <w:r>
        <w:rPr>
          <w:rFonts w:ascii="Times New Roman" w:hAnsi="Times New Roman" w:cs="Times New Roman" w:eastAsia="Times New Roman" w:hint="default"/>
          <w:sz w:val="16"/>
          <w:szCs w:val="16"/>
        </w:rPr>
        <w:t>25%</w:t>
      </w:r>
      <w:r>
        <w:rPr>
          <w:rFonts w:ascii="宋体" w:hAnsi="宋体" w:cs="宋体" w:eastAsia="宋体" w:hint="default"/>
          <w:sz w:val="16"/>
          <w:szCs w:val="16"/>
        </w:rPr>
        <w:t>、</w:t>
      </w:r>
      <w:r>
        <w:rPr>
          <w:rFonts w:ascii="Times New Roman" w:hAnsi="Times New Roman" w:cs="Times New Roman" w:eastAsia="Times New Roman" w:hint="default"/>
          <w:sz w:val="16"/>
          <w:szCs w:val="16"/>
        </w:rPr>
        <w:t>15%</w:t>
      </w:r>
      <w:r>
        <w:rPr>
          <w:rFonts w:ascii="宋体" w:hAnsi="宋体" w:cs="宋体" w:eastAsia="宋体" w:hint="default"/>
          <w:sz w:val="16"/>
          <w:szCs w:val="16"/>
        </w:rPr>
        <w:t>、</w:t>
      </w:r>
      <w:r>
        <w:rPr>
          <w:rFonts w:ascii="Times New Roman" w:hAnsi="Times New Roman" w:cs="Times New Roman" w:eastAsia="Times New Roman" w:hint="default"/>
          <w:sz w:val="16"/>
          <w:szCs w:val="16"/>
        </w:rPr>
        <w:t>10%</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宋体" w:hAnsi="宋体" w:cs="宋体" w:eastAsia="宋体" w:hint="default"/>
          <w:sz w:val="16"/>
          <w:szCs w:val="16"/>
        </w:rPr>
        <w:t>）高新供水主要从事供水和供水工程，</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宋体" w:hAnsi="宋体" w:cs="宋体" w:eastAsia="宋体" w:hint="default"/>
          <w:sz w:val="16"/>
          <w:szCs w:val="16"/>
        </w:rPr>
        <w:t>）广东龙泉主要从事技术服务及供水管网探漏，</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44%</w:t>
      </w:r>
      <w:r>
        <w:rPr>
          <w:rFonts w:ascii="宋体" w:hAnsi="宋体" w:cs="宋体" w:eastAsia="宋体" w:hint="default"/>
          <w:sz w:val="16"/>
          <w:szCs w:val="16"/>
        </w:rPr>
        <w:t>、</w:t>
      </w:r>
      <w:r>
        <w:rPr>
          <w:rFonts w:ascii="Times New Roman" w:hAnsi="Times New Roman" w:cs="Times New Roman" w:eastAsia="Times New Roman" w:hint="default"/>
          <w:sz w:val="16"/>
          <w:szCs w:val="16"/>
        </w:rPr>
        <w:t>20%</w:t>
      </w:r>
      <w:r>
        <w:rPr>
          <w:rFonts w:ascii="宋体" w:hAnsi="宋体" w:cs="宋体" w:eastAsia="宋体" w:hint="default"/>
          <w:sz w:val="16"/>
          <w:szCs w:val="16"/>
        </w:rPr>
        <w:t>、</w:t>
      </w:r>
      <w:r>
        <w:rPr>
          <w:rFonts w:ascii="Times New Roman" w:hAnsi="Times New Roman" w:cs="Times New Roman" w:eastAsia="Times New Roman" w:hint="default"/>
          <w:sz w:val="16"/>
          <w:szCs w:val="16"/>
        </w:rPr>
        <w:t>28%</w:t>
      </w:r>
      <w:r>
        <w:rPr>
          <w:rFonts w:ascii="宋体" w:hAnsi="宋体" w:cs="宋体" w:eastAsia="宋体" w:hint="default"/>
          <w:sz w:val="16"/>
          <w:szCs w:val="16"/>
        </w:rPr>
        <w:t>、</w:t>
      </w:r>
      <w:r>
        <w:rPr>
          <w:rFonts w:ascii="Times New Roman" w:hAnsi="Times New Roman" w:cs="Times New Roman" w:eastAsia="Times New Roman" w:hint="default"/>
          <w:sz w:val="16"/>
          <w:szCs w:val="16"/>
        </w:rPr>
        <w:t>30%</w:t>
      </w:r>
      <w:r>
        <w:rPr>
          <w:rFonts w:ascii="宋体" w:hAnsi="宋体" w:cs="宋体" w:eastAsia="宋体" w:hint="default"/>
          <w:sz w:val="16"/>
          <w:szCs w:val="16"/>
        </w:rPr>
        <w:t>、</w:t>
      </w:r>
      <w:r>
        <w:rPr>
          <w:rFonts w:ascii="Times New Roman" w:hAnsi="Times New Roman" w:cs="Times New Roman" w:eastAsia="Times New Roman" w:hint="default"/>
          <w:sz w:val="16"/>
          <w:szCs w:val="16"/>
        </w:rPr>
        <w:t>32%</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宋体" w:hAnsi="宋体" w:cs="宋体" w:eastAsia="宋体" w:hint="default"/>
          <w:sz w:val="16"/>
          <w:szCs w:val="16"/>
        </w:rPr>
        <w:t>）雪城软件主要从事软件产品、监测设备、</w:t>
      </w:r>
      <w:r>
        <w:rPr>
          <w:rFonts w:ascii="Times New Roman" w:hAnsi="Times New Roman" w:cs="Times New Roman" w:eastAsia="Times New Roman" w:hint="default"/>
          <w:sz w:val="16"/>
          <w:szCs w:val="16"/>
        </w:rPr>
        <w:t>IT</w:t>
      </w:r>
      <w:r>
        <w:rPr>
          <w:rFonts w:ascii="宋体" w:hAnsi="宋体" w:cs="宋体" w:eastAsia="宋体" w:hint="default"/>
          <w:sz w:val="16"/>
          <w:szCs w:val="16"/>
        </w:rPr>
        <w:t>咨询服务、集成服务，</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15%</w:t>
      </w:r>
      <w:r>
        <w:rPr>
          <w:rFonts w:ascii="宋体" w:hAnsi="宋体" w:cs="宋体" w:eastAsia="宋体" w:hint="default"/>
          <w:sz w:val="16"/>
          <w:szCs w:val="16"/>
        </w:rPr>
        <w:t>、</w:t>
      </w:r>
      <w:r>
        <w:rPr>
          <w:rFonts w:ascii="Times New Roman" w:hAnsi="Times New Roman" w:cs="Times New Roman" w:eastAsia="Times New Roman" w:hint="default"/>
          <w:sz w:val="16"/>
          <w:szCs w:val="16"/>
        </w:rPr>
        <w:t>15%</w:t>
      </w:r>
      <w:r>
        <w:rPr>
          <w:rFonts w:ascii="宋体" w:hAnsi="宋体" w:cs="宋体" w:eastAsia="宋体" w:hint="default"/>
          <w:sz w:val="16"/>
          <w:szCs w:val="16"/>
        </w:rPr>
        <w:t>、</w:t>
      </w:r>
      <w:r>
        <w:rPr>
          <w:rFonts w:ascii="Times New Roman" w:hAnsi="Times New Roman" w:cs="Times New Roman" w:eastAsia="Times New Roman" w:hint="default"/>
          <w:sz w:val="16"/>
          <w:szCs w:val="16"/>
        </w:rPr>
        <w:t>15%</w:t>
      </w:r>
      <w:r>
        <w:rPr>
          <w:rFonts w:ascii="宋体" w:hAnsi="宋体" w:cs="宋体" w:eastAsia="宋体" w:hint="default"/>
          <w:sz w:val="16"/>
          <w:szCs w:val="16"/>
        </w:rPr>
        <w:t>、</w:t>
      </w:r>
      <w:r>
        <w:rPr>
          <w:rFonts w:ascii="Times New Roman" w:hAnsi="Times New Roman" w:cs="Times New Roman" w:eastAsia="Times New Roman" w:hint="default"/>
          <w:sz w:val="16"/>
          <w:szCs w:val="16"/>
        </w:rPr>
        <w:t>10%</w:t>
      </w:r>
      <w:r>
        <w:rPr>
          <w:rFonts w:ascii="宋体" w:hAnsi="宋体" w:cs="宋体" w:eastAsia="宋体" w:hint="default"/>
          <w:sz w:val="16"/>
          <w:szCs w:val="16"/>
        </w:rPr>
        <w:t>、</w:t>
      </w:r>
      <w:r>
        <w:rPr>
          <w:rFonts w:ascii="Times New Roman" w:hAnsi="Times New Roman" w:cs="Times New Roman" w:eastAsia="Times New Roman" w:hint="default"/>
          <w:sz w:val="16"/>
          <w:szCs w:val="16"/>
        </w:rPr>
        <w:t>10%</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宋体" w:hAnsi="宋体" w:cs="宋体" w:eastAsia="宋体" w:hint="default"/>
          <w:sz w:val="16"/>
          <w:szCs w:val="16"/>
        </w:rPr>
        <w:t>）和阳环境主要从事环境检测，</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10%</w:t>
      </w: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9</w:t>
      </w:r>
      <w:r>
        <w:rPr>
          <w:rFonts w:ascii="宋体" w:hAnsi="宋体" w:cs="宋体" w:eastAsia="宋体" w:hint="default"/>
          <w:sz w:val="16"/>
          <w:szCs w:val="16"/>
        </w:rPr>
        <w:t>）德析检测主要从事环境检测，</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-10%</w:t>
      </w: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）百隆建筑主要从事市政建设工程，</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p>
    <w:p>
      <w:pPr>
        <w:spacing w:before="90"/>
        <w:ind w:left="474"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11</w:t>
      </w:r>
      <w:r>
        <w:rPr>
          <w:rFonts w:ascii="宋体" w:hAnsi="宋体" w:cs="宋体" w:eastAsia="宋体" w:hint="default"/>
          <w:sz w:val="16"/>
          <w:szCs w:val="16"/>
        </w:rPr>
        <w:t>）高新热力主要从事供热和供热工程，</w:t>
      </w:r>
      <w:r>
        <w:rPr>
          <w:rFonts w:ascii="Times New Roman" w:hAnsi="Times New Roman" w:cs="Times New Roman" w:eastAsia="Times New Roman" w:hint="default"/>
          <w:sz w:val="16"/>
          <w:szCs w:val="16"/>
        </w:rPr>
        <w:t>5</w:t>
      </w:r>
      <w:r>
        <w:rPr>
          <w:rFonts w:ascii="宋体" w:hAnsi="宋体" w:cs="宋体" w:eastAsia="宋体" w:hint="default"/>
          <w:sz w:val="16"/>
          <w:szCs w:val="16"/>
        </w:rPr>
        <w:t>年预测期增长率为</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Times New Roman" w:hAnsi="Times New Roman" w:cs="Times New Roman" w:eastAsia="Times New Roman" w:hint="default"/>
          <w:sz w:val="16"/>
          <w:szCs w:val="16"/>
        </w:rPr>
        <w:t>5%</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240" w:lineRule="auto" w:before="12"/>
        <w:rPr>
          <w:rFonts w:ascii="宋体" w:hAnsi="宋体" w:cs="宋体" w:eastAsia="宋体" w:hint="default"/>
          <w:sz w:val="12"/>
          <w:szCs w:val="12"/>
        </w:rPr>
      </w:pPr>
    </w:p>
    <w:p>
      <w:pPr>
        <w:pStyle w:val="BodyText"/>
        <w:spacing w:line="408" w:lineRule="auto" w:before="0"/>
        <w:ind w:right="1118" w:firstLine="420"/>
        <w:jc w:val="left"/>
      </w:pPr>
      <w:r>
        <w:rPr>
          <w:rFonts w:ascii="宋体" w:hAnsi="宋体" w:cs="宋体" w:eastAsia="宋体" w:hint="default"/>
          <w:spacing w:val="-3"/>
        </w:rPr>
        <w:t>1</w:t>
      </w:r>
      <w:r>
        <w:rPr>
          <w:spacing w:val="-3"/>
        </w:rPr>
        <w:t>）本公司收购鞍山易兴的业绩对赌期为</w:t>
      </w:r>
      <w:r>
        <w:rPr>
          <w:spacing w:val="-47"/>
        </w:rPr>
        <w:t> </w:t>
      </w:r>
      <w:r>
        <w:rPr>
          <w:rFonts w:ascii="宋体" w:hAnsi="宋体" w:cs="宋体" w:eastAsia="宋体" w:hint="default"/>
        </w:rPr>
        <w:t>2015-2017</w:t>
      </w:r>
      <w:r>
        <w:rPr>
          <w:rFonts w:ascii="宋体" w:hAnsi="宋体" w:cs="宋体" w:eastAsia="宋体" w:hint="default"/>
          <w:spacing w:val="-45"/>
        </w:rPr>
        <w:t> </w:t>
      </w:r>
      <w:r>
        <w:rPr>
          <w:spacing w:val="-4"/>
        </w:rPr>
        <w:t>年度，</w:t>
      </w:r>
      <w:r>
        <w:rPr>
          <w:rFonts w:ascii="宋体" w:hAnsi="宋体" w:cs="宋体" w:eastAsia="宋体" w:hint="default"/>
          <w:spacing w:val="-4"/>
        </w:rPr>
        <w:t>2018-2019</w:t>
      </w:r>
      <w:r>
        <w:rPr>
          <w:rFonts w:ascii="宋体" w:hAnsi="宋体" w:cs="宋体" w:eastAsia="宋体" w:hint="default"/>
          <w:spacing w:val="-45"/>
        </w:rPr>
        <w:t> </w:t>
      </w:r>
      <w:r>
        <w:rPr/>
        <w:t>年度承诺扣除非经常性损益的净 利润不低于</w:t>
      </w:r>
      <w:r>
        <w:rPr>
          <w:spacing w:val="-33"/>
        </w:rPr>
        <w:t> </w:t>
      </w:r>
      <w:r>
        <w:rPr>
          <w:rFonts w:ascii="宋体" w:hAnsi="宋体" w:cs="宋体" w:eastAsia="宋体" w:hint="default"/>
        </w:rPr>
        <w:t>1,000</w:t>
      </w:r>
      <w:r>
        <w:rPr>
          <w:rFonts w:ascii="宋体" w:hAnsi="宋体" w:cs="宋体" w:eastAsia="宋体" w:hint="default"/>
          <w:spacing w:val="-33"/>
        </w:rPr>
        <w:t> </w:t>
      </w:r>
      <w:r>
        <w:rPr/>
        <w:t>万元，鞍山易兴</w:t>
      </w:r>
      <w:r>
        <w:rPr>
          <w:spacing w:val="-33"/>
        </w:rPr>
        <w:t> </w:t>
      </w:r>
      <w:r>
        <w:rPr>
          <w:rFonts w:ascii="宋体" w:hAnsi="宋体" w:cs="宋体" w:eastAsia="宋体" w:hint="default"/>
        </w:rPr>
        <w:t>2018</w:t>
      </w:r>
      <w:r>
        <w:rPr>
          <w:rFonts w:ascii="宋体" w:hAnsi="宋体" w:cs="宋体" w:eastAsia="宋体" w:hint="default"/>
          <w:spacing w:val="-32"/>
        </w:rPr>
        <w:t> </w:t>
      </w:r>
      <w:r>
        <w:rPr/>
        <w:t>年度未完成业绩承诺。经测试，公司收购鞍山易兴形成的商誉减</w:t>
      </w:r>
    </w:p>
    <w:p>
      <w:pPr>
        <w:pStyle w:val="BodyText"/>
        <w:spacing w:line="240" w:lineRule="auto"/>
        <w:ind w:right="0"/>
        <w:jc w:val="left"/>
      </w:pPr>
      <w:r>
        <w:rPr/>
        <w:t>值</w:t>
      </w:r>
      <w:r>
        <w:rPr>
          <w:spacing w:val="-55"/>
        </w:rPr>
        <w:t> </w:t>
      </w:r>
      <w:r>
        <w:rPr>
          <w:rFonts w:ascii="宋体" w:hAnsi="宋体" w:cs="宋体" w:eastAsia="宋体" w:hint="default"/>
        </w:rPr>
        <w:t>14,419,607.42</w:t>
      </w:r>
      <w:r>
        <w:rPr>
          <w:rFonts w:ascii="宋体" w:hAnsi="宋体" w:cs="宋体" w:eastAsia="宋体" w:hint="default"/>
          <w:spacing w:val="-54"/>
        </w:rPr>
        <w:t> </w:t>
      </w:r>
      <w:r>
        <w:rPr/>
        <w:t>元，本期计提</w:t>
      </w:r>
      <w:r>
        <w:rPr>
          <w:spacing w:val="-55"/>
        </w:rPr>
        <w:t> </w:t>
      </w:r>
      <w:r>
        <w:rPr>
          <w:rFonts w:ascii="宋体" w:hAnsi="宋体" w:cs="宋体" w:eastAsia="宋体" w:hint="default"/>
        </w:rPr>
        <w:t>14,419,607.42</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408" w:lineRule="auto" w:before="0"/>
        <w:ind w:right="1116" w:firstLine="420"/>
        <w:jc w:val="left"/>
      </w:pPr>
      <w:r>
        <w:rPr>
          <w:rFonts w:ascii="宋体" w:hAnsi="宋体" w:cs="宋体" w:eastAsia="宋体" w:hint="default"/>
        </w:rPr>
        <w:t>2</w:t>
      </w:r>
      <w:r>
        <w:rPr/>
        <w:t>）本公司收购广东龙泉的业绩对赌期为</w:t>
      </w:r>
      <w:r>
        <w:rPr>
          <w:spacing w:val="-47"/>
        </w:rPr>
        <w:t> </w:t>
      </w:r>
      <w:r>
        <w:rPr>
          <w:rFonts w:ascii="宋体" w:hAnsi="宋体" w:cs="宋体" w:eastAsia="宋体" w:hint="default"/>
        </w:rPr>
        <w:t>2016</w:t>
      </w:r>
      <w:r>
        <w:rPr>
          <w:rFonts w:ascii="宋体" w:hAnsi="宋体" w:cs="宋体" w:eastAsia="宋体" w:hint="default"/>
          <w:spacing w:val="-46"/>
        </w:rPr>
        <w:t> </w:t>
      </w:r>
      <w:r>
        <w:rPr/>
        <w:t>年、</w:t>
      </w:r>
      <w:r>
        <w:rPr>
          <w:rFonts w:ascii="宋体" w:hAnsi="宋体" w:cs="宋体" w:eastAsia="宋体" w:hint="default"/>
        </w:rPr>
        <w:t>2017</w:t>
      </w:r>
      <w:r>
        <w:rPr>
          <w:rFonts w:ascii="宋体" w:hAnsi="宋体" w:cs="宋体" w:eastAsia="宋体" w:hint="default"/>
          <w:spacing w:val="-46"/>
        </w:rPr>
        <w:t> </w:t>
      </w:r>
      <w:r>
        <w:rPr/>
        <w:t>年和</w:t>
      </w:r>
      <w:r>
        <w:rPr>
          <w:spacing w:val="-49"/>
        </w:rPr>
        <w:t> </w:t>
      </w:r>
      <w:r>
        <w:rPr>
          <w:rFonts w:ascii="宋体" w:hAnsi="宋体" w:cs="宋体" w:eastAsia="宋体" w:hint="default"/>
        </w:rPr>
        <w:t>2018</w:t>
      </w:r>
      <w:r>
        <w:rPr>
          <w:rFonts w:ascii="宋体" w:hAnsi="宋体" w:cs="宋体" w:eastAsia="宋体" w:hint="default"/>
          <w:spacing w:val="-46"/>
        </w:rPr>
        <w:t> </w:t>
      </w:r>
      <w:r>
        <w:rPr/>
        <w:t>年三个会计年度，广东龙泉已完成 业绩承诺。经测试，公司收购广东龙泉形成的商誉无需计提减值准备。</w:t>
      </w:r>
    </w:p>
    <w:p>
      <w:pPr>
        <w:pStyle w:val="BodyText"/>
        <w:spacing w:line="408" w:lineRule="auto"/>
        <w:ind w:right="1116" w:firstLine="420"/>
        <w:jc w:val="left"/>
      </w:pPr>
      <w:r>
        <w:rPr>
          <w:rFonts w:ascii="宋体" w:hAnsi="宋体" w:cs="宋体" w:eastAsia="宋体" w:hint="default"/>
        </w:rPr>
        <w:t>3</w:t>
      </w:r>
      <w:r>
        <w:rPr/>
        <w:t>）本公司收购德析检测的业绩对赌期为</w:t>
      </w:r>
      <w:r>
        <w:rPr>
          <w:spacing w:val="-47"/>
        </w:rPr>
        <w:t> </w:t>
      </w:r>
      <w:r>
        <w:rPr>
          <w:rFonts w:ascii="宋体" w:hAnsi="宋体" w:cs="宋体" w:eastAsia="宋体" w:hint="default"/>
        </w:rPr>
        <w:t>2016</w:t>
      </w:r>
      <w:r>
        <w:rPr>
          <w:rFonts w:ascii="宋体" w:hAnsi="宋体" w:cs="宋体" w:eastAsia="宋体" w:hint="default"/>
          <w:spacing w:val="-46"/>
        </w:rPr>
        <w:t> </w:t>
      </w:r>
      <w:r>
        <w:rPr/>
        <w:t>年、</w:t>
      </w:r>
      <w:r>
        <w:rPr>
          <w:rFonts w:ascii="宋体" w:hAnsi="宋体" w:cs="宋体" w:eastAsia="宋体" w:hint="default"/>
        </w:rPr>
        <w:t>2017</w:t>
      </w:r>
      <w:r>
        <w:rPr>
          <w:rFonts w:ascii="宋体" w:hAnsi="宋体" w:cs="宋体" w:eastAsia="宋体" w:hint="default"/>
          <w:spacing w:val="-46"/>
        </w:rPr>
        <w:t> </w:t>
      </w:r>
      <w:r>
        <w:rPr/>
        <w:t>年和</w:t>
      </w:r>
      <w:r>
        <w:rPr>
          <w:spacing w:val="-49"/>
        </w:rPr>
        <w:t> </w:t>
      </w:r>
      <w:r>
        <w:rPr>
          <w:rFonts w:ascii="宋体" w:hAnsi="宋体" w:cs="宋体" w:eastAsia="宋体" w:hint="default"/>
        </w:rPr>
        <w:t>2018</w:t>
      </w:r>
      <w:r>
        <w:rPr>
          <w:rFonts w:ascii="宋体" w:hAnsi="宋体" w:cs="宋体" w:eastAsia="宋体" w:hint="default"/>
          <w:spacing w:val="-46"/>
        </w:rPr>
        <w:t> </w:t>
      </w:r>
      <w:r>
        <w:rPr/>
        <w:t>年三个会计年度，德析检测已完成 业绩承诺。经测试，公司收购德析检测形成的商誉无需计提减值准备。</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6、长期待摊费用" w:id="258"/>
      <w:bookmarkEnd w:id="258"/>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95"/>
        <w:gridCol w:w="1596"/>
        <w:gridCol w:w="1594"/>
        <w:gridCol w:w="1595"/>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29,666,666.77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25,666,666.74</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9,358,976.18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7,609,949.56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3,368,269.03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13,600,656.71</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1,591,516.67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213,090.91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474,448.76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1,330,158.82</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40,617,159.62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7,823,040.47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7,842,717.82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40,597,482.27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递延所得税资产/递延所得税负债" w:id="259"/>
      <w:bookmarkEnd w:id="259"/>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60"/>
      <w:bookmarkEnd w:id="26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83,433,866.72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13,584,878.08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73,003,753.75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12,621,503.86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49,427,894.15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9,485,862.69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38,952,412.49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9,846,347.39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41,594,093.37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6,870,326.00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45,562,201.47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7,026,461.48</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343,861,298.40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77,594,901.07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358,602,073.40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88,621,529.66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64,217.87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64,217.87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9,632.68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518,381,370.51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107,545,600.52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516,184,658.98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118,125,475.07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61"/>
      <w:bookmarkEnd w:id="26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58,762,879.92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12,428,585.35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71,532,389.05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14,851,408.58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特许经营权</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52,719,422.74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8,630,474.17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46,912,817.33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7,188,187.06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111,482,302.66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21,059,059.52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118,445,206.38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22,039,595.64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62"/>
      <w:bookmarkEnd w:id="26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902"/>
        <w:gridCol w:w="1928"/>
        <w:gridCol w:w="1914"/>
        <w:gridCol w:w="1914"/>
        <w:gridCol w:w="1914"/>
      </w:tblGrid>
      <w:tr>
        <w:trPr>
          <w:trHeight w:val="161" w:hRule="exact"/>
        </w:trPr>
        <w:tc>
          <w:tcPr>
            <w:tcW w:w="19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4"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107,545,600.52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118,125,475.07</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21,059,059.52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22,039,595.64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63"/>
      <w:bookmarkEnd w:id="26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111,893,519.96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56,044,265.06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156,190,285.13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105,527,410.87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187"/>
        <w:gridCol w:w="3194"/>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6" w:right="0"/>
              <w:jc w:val="left"/>
              <w:rPr>
                <w:rFonts w:ascii="Times New Roman" w:hAnsi="Times New Roman" w:cs="Times New Roman" w:eastAsia="Times New Roman" w:hint="default"/>
                <w:sz w:val="18"/>
                <w:szCs w:val="18"/>
              </w:rPr>
            </w:pPr>
            <w:r>
              <w:rPr>
                <w:rFonts w:ascii="Times New Roman"/>
                <w:sz w:val="18"/>
              </w:rPr>
              <w:t>268,083,805.09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161,571,675.93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8、其他非流动资产" w:id="264"/>
      <w:bookmarkEnd w:id="264"/>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运营维护保证金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5,507,078.40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5,507,078.40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1,322,630.12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6,829,708.52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5,507,078.40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9、短期借款" w:id="265"/>
      <w:bookmarkEnd w:id="265"/>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66"/>
      <w:bookmarkEnd w:id="26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0、应付票据及应付账款" w:id="267"/>
      <w:bookmarkEnd w:id="267"/>
      <w:r>
        <w:rPr>
          <w:b w:val="0"/>
          <w:bCs w:val="0"/>
        </w:rPr>
      </w:r>
      <w:r>
        <w:rPr>
          <w:rFonts w:ascii="Times New Roman" w:hAnsi="Times New Roman" w:cs="Times New Roman" w:eastAsia="Times New Roman" w:hint="default"/>
        </w:rPr>
        <w:t>20</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384,124,466.00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406,397,950.77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384,124,466.00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406,397,950.77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账款列示" w:id="268"/>
      <w:bookmarkEnd w:id="26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309,330,002.04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324,868,290.77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74,794,463.96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81,529,660.00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384,124,466.00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406,397,950.77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账龄超过1年的重要应付账款" w:id="269"/>
      <w:bookmarkEnd w:id="26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郑州清源智能装备科技有限公司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7,445,063.24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濮阳市中信建设工程有限公司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7,213,515.22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郑州水业工程有限公司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河南超之越建筑劳务有限公司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5,468,568.24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26,127,146.70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预收款项" w:id="270"/>
      <w:bookmarkEnd w:id="270"/>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71"/>
      <w:bookmarkEnd w:id="27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414,117,232.19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205,680,838.42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25,829,375.80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38,272,207.35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439,946,607.99</w:t>
            </w:r>
            <w:r>
              <w:rPr>
                <w:rFonts w:ascii="Times New Roman"/>
                <w:color w:val="FF0000"/>
                <w:spacing w:val="-1"/>
                <w:position w:val="8"/>
                <w:sz w:val="12"/>
              </w:rPr>
              <w:t>1</w:t>
            </w:r>
            <w:r>
              <w:rPr>
                <w:rFonts w:ascii="Times New Roman"/>
                <w:spacing w:val="-1"/>
                <w:sz w:val="1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243,953,045.77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预收款项较期初增加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80.34%</w:t>
      </w:r>
      <w:r>
        <w:rPr>
          <w:rFonts w:ascii="宋体" w:hAnsi="宋体" w:cs="宋体" w:eastAsia="宋体" w:hint="default"/>
          <w:sz w:val="18"/>
          <w:szCs w:val="18"/>
        </w:rPr>
        <w:t>，主要系预收的货款较上年同期增加所致。</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账龄超过1年的重要预收款项" w:id="272"/>
      <w:bookmarkEnd w:id="27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中国建筑第七工程局有限公司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7,350,776.78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项目开工延迟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郑州合广置业有限公司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5,545,779.96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项目开工延迟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12,896,556.74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2、应付职工薪酬" w:id="273"/>
      <w:bookmarkEnd w:id="273"/>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74"/>
      <w:bookmarkEnd w:id="27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90"/>
        <w:gridCol w:w="1928"/>
        <w:gridCol w:w="1914"/>
        <w:gridCol w:w="1914"/>
        <w:gridCol w:w="1914"/>
      </w:tblGrid>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43,302,524.16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278,499,251.97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275,914,018.35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45,887,757.78</w:t>
            </w:r>
          </w:p>
        </w:tc>
      </w:tr>
      <w:tr>
        <w:trPr>
          <w:trHeight w:val="715"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2"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24,253.27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16,213,727.20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16,181,506.28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56,474.19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76,687.50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76,687.50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43,326,777.43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294,789,666.67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292,172,212.13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45,944,231.97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75"/>
      <w:bookmarkEnd w:id="27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890"/>
        <w:gridCol w:w="1928"/>
        <w:gridCol w:w="1914"/>
        <w:gridCol w:w="1914"/>
        <w:gridCol w:w="1914"/>
      </w:tblGrid>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43,014,553.06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247,056,812.79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244,779,537.13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45,291,828.72</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12,916,138.65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12,723,354.13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192,784.52</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9,525,677.59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9,507,880.44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29,198.35</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8,022,108.90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8,006,100.16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26,131.24</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682,391.24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682,293.47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310.87</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821,177.45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819,486.81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2,756.24</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6,283,213.52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6,191,001.16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134,424.36</w:t>
            </w:r>
          </w:p>
        </w:tc>
      </w:tr>
      <w:tr>
        <w:trPr>
          <w:trHeight w:val="714"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234,357.90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2,717,409.42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2,712,245.49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239,521.83</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43,302,524.16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278,499,251.97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275,914,018.35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45,887,757.78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76"/>
      <w:bookmarkEnd w:id="27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90"/>
        <w:gridCol w:w="1928"/>
        <w:gridCol w:w="1914"/>
        <w:gridCol w:w="1914"/>
        <w:gridCol w:w="1914"/>
      </w:tblGrid>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15,686,345.05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15,652,566.43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55,089.02</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527,382.15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528,939.85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1,385.17</w:t>
            </w:r>
          </w:p>
        </w:tc>
      </w:tr>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24,253.27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16,213,727.20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16,181,506.28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56,474.19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应交税费" w:id="277"/>
      <w:bookmarkEnd w:id="277"/>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10,788,739.39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14,252,246.92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6,718,302.12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59,046,090.61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414,031.85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745,793.13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822,070.40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1,306,836.44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1,812,623.88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564,119.93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575,441.60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541,902.98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636,869.34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56,440.22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21,325,658.88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77,615,814.82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0"/>
        <w:jc w:val="left"/>
      </w:pPr>
      <w:r>
        <w:rPr/>
        <w:t>应交税费较期初减少</w:t>
      </w:r>
      <w:r>
        <w:rPr>
          <w:spacing w:val="-54"/>
        </w:rPr>
        <w:t> </w:t>
      </w:r>
      <w:r>
        <w:rPr>
          <w:rFonts w:ascii="宋体" w:hAnsi="宋体" w:cs="宋体" w:eastAsia="宋体" w:hint="default"/>
        </w:rPr>
        <w:t>72.70%</w:t>
      </w:r>
      <w:r>
        <w:rPr/>
        <w:t>，主要系本年汇算清缴企业所得税所致。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24、其他应付款" w:id="278"/>
      <w:bookmarkEnd w:id="278"/>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400,277.78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201,425.31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243,699,144.95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267,887,622.27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244,099,422.73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268,089,047.58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279"/>
      <w:bookmarkEnd w:id="27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201,425.31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201,425.31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87"/>
        <w:gridCol w:w="3194"/>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其他应付款" w:id="280"/>
      <w:bookmarkEnd w:id="280"/>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136,056,760.27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135,576,679.34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9,854,303.32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16,156,326.61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代收待付款项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96,973,001.38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77,924,071.43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36,819,900.00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815,079.98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1,410,644.89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243,699,144.95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267,887,622.27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郑州高新区管委会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113,393,264.80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政府往来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代收自来水附加税费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61,142,874.48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代收款项待上缴</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174,536,139.28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持有待售负债" w:id="281"/>
      <w:bookmarkEnd w:id="281"/>
      <w:r>
        <w:rPr>
          <w:b w:val="0"/>
          <w:bCs w:val="0"/>
        </w:rPr>
      </w:r>
      <w:r>
        <w:rPr>
          <w:rFonts w:ascii="Times New Roman" w:hAnsi="Times New Roman" w:cs="Times New Roman" w:eastAsia="Times New Roman" w:hint="default"/>
        </w:rPr>
        <w:t>25</w:t>
      </w:r>
      <w:r>
        <w:rPr/>
        <w:t>、持有待售负债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20,108.53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20,108.53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一年内到期的非流动负债" w:id="282"/>
      <w:bookmarkEnd w:id="282"/>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234,729,092.35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61,704,200.98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30,972,432.26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296,433,293.33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55,592,432.26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长期借款" w:id="283"/>
      <w:bookmarkEnd w:id="283"/>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284"/>
      <w:bookmarkEnd w:id="28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395,350,927.63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394,144,327.60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670,350,927.63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584,144,327.60</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8、长期应付款" w:id="285"/>
      <w:bookmarkEnd w:id="285"/>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49,119,554.46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48,954,665.06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49,119,554.46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48,954,665.06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286"/>
      <w:bookmarkEnd w:id="28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国开发展基金夹层投资款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49,119,554.46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48,954,665.06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9、长期应付职工薪酬" w:id="287"/>
      <w:bookmarkEnd w:id="287"/>
      <w:r>
        <w:rPr>
          <w:b w:val="0"/>
          <w:bCs w:val="0"/>
        </w:rPr>
      </w:r>
      <w:r>
        <w:rPr>
          <w:rFonts w:ascii="Times New Roman" w:hAnsi="Times New Roman" w:cs="Times New Roman" w:eastAsia="Times New Roman" w:hint="default"/>
        </w:rPr>
        <w:t>29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288"/>
      <w:bookmarkEnd w:id="28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11,686,073.93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12,517,460.08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11,686,073.93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12,517,460.08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289"/>
      <w:bookmarkEnd w:id="28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12,517,460.08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14,276,085.45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924,882.04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219,606.94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当期服务成本</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437,910.16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-210,103.23</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利息净额</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486,971.88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429,710.17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1,756,268.19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1,978,232.31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已支付的福利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1,756,268.19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1,978,232.31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11,686,073.93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12,517,460.08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87"/>
        <w:gridCol w:w="3194"/>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12,517,460.08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14,276,085.45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924,882.04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219,606.94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1,756,268.19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1,978,232.31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11,686,073.93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12,517,460.08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w:t>
      </w:r>
    </w:p>
    <w:p>
      <w:pPr>
        <w:spacing w:line="240" w:lineRule="auto" w:before="12"/>
        <w:rPr>
          <w:rFonts w:ascii="宋体" w:hAnsi="宋体" w:cs="宋体" w:eastAsia="宋体" w:hint="default"/>
          <w:sz w:val="12"/>
          <w:szCs w:val="12"/>
        </w:rPr>
      </w:pPr>
    </w:p>
    <w:p>
      <w:pPr>
        <w:pStyle w:val="BodyText"/>
        <w:spacing w:line="408" w:lineRule="auto" w:before="0"/>
        <w:ind w:right="1012" w:firstLine="420"/>
        <w:jc w:val="left"/>
      </w:pPr>
      <w:r>
        <w:rPr>
          <w:spacing w:val="3"/>
        </w:rPr>
        <w:t>设定收益计划为由于历史原因形成的，公司按照郑州高新技术产业开发区热力公司文件郑开热司字</w:t>
      </w:r>
      <w:r>
        <w:rPr/>
        <w:t> </w:t>
      </w:r>
      <w:r>
        <w:rPr>
          <w:rFonts w:ascii="宋体" w:hAnsi="宋体" w:cs="宋体" w:eastAsia="宋体" w:hint="default"/>
        </w:rPr>
        <w:t>[2006]08</w:t>
      </w:r>
      <w:r>
        <w:rPr>
          <w:rFonts w:ascii="宋体" w:hAnsi="宋体" w:cs="宋体" w:eastAsia="宋体" w:hint="default"/>
          <w:spacing w:val="-20"/>
        </w:rPr>
        <w:t> </w:t>
      </w:r>
      <w:r>
        <w:rPr>
          <w:spacing w:val="-5"/>
        </w:rPr>
        <w:t>号《郑州高新技术产业开发区热力公司内部退养制度》的规定给予内退职工一定金额的薪酬补贴。</w:t>
      </w:r>
    </w:p>
    <w:p>
      <w:pPr>
        <w:pStyle w:val="BodyText"/>
        <w:spacing w:line="408" w:lineRule="auto"/>
        <w:ind w:right="1131" w:firstLine="420"/>
        <w:jc w:val="both"/>
      </w:pPr>
      <w:r>
        <w:rPr>
          <w:spacing w:val="-1"/>
        </w:rPr>
        <w:t>该计划主要涉及利率风险及福利水平增长风险，利率风险指计算计划福利义务现值时所采用的折现率</w:t>
      </w:r>
      <w:r>
        <w:rPr/>
        <w:t> </w:t>
      </w:r>
      <w:r>
        <w:rPr>
          <w:spacing w:val="-1"/>
        </w:rPr>
        <w:t>的选取依据是银行间债券市场的国债到期收益率，银行间债券市场的国债到期收益率的下降会产生精算损</w:t>
      </w:r>
      <w:r>
        <w:rPr>
          <w:spacing w:val="-81"/>
        </w:rPr>
        <w:t> </w:t>
      </w:r>
      <w:r>
        <w:rPr>
          <w:spacing w:val="-81"/>
        </w:rPr>
      </w:r>
      <w:r>
        <w:rPr/>
        <w:t>失</w:t>
      </w:r>
      <w:r>
        <w:rPr>
          <w:rFonts w:ascii="宋体" w:hAnsi="宋体" w:cs="宋体" w:eastAsia="宋体" w:hint="default"/>
        </w:rPr>
        <w:t>;</w:t>
      </w:r>
      <w:r>
        <w:rPr/>
        <w:t>福利水平增长风险指计算计划福利义务现值时所采用的各项福利增长率假设的选取依据是各项福利的</w:t>
      </w:r>
      <w:r>
        <w:rPr>
          <w:spacing w:val="-35"/>
        </w:rPr>
        <w:t> </w:t>
      </w:r>
      <w:r>
        <w:rPr>
          <w:spacing w:val="-35"/>
        </w:rPr>
      </w:r>
      <w:r>
        <w:rPr>
          <w:spacing w:val="-1"/>
        </w:rPr>
        <w:t>历史增长率水平和公司管理层对各项福利增长率的长期预期，若实际福利增长率水平高于精算假设，会产</w:t>
      </w:r>
      <w:r>
        <w:rPr>
          <w:spacing w:val="-81"/>
        </w:rPr>
        <w:t> </w:t>
      </w:r>
      <w:r>
        <w:rPr>
          <w:spacing w:val="-81"/>
        </w:rPr>
      </w:r>
      <w:r>
        <w:rPr/>
        <w:t>生精算损失。</w:t>
      </w:r>
    </w:p>
    <w:p>
      <w:pPr>
        <w:pStyle w:val="BodyText"/>
        <w:spacing w:line="240" w:lineRule="auto"/>
        <w:ind w:left="574" w:right="0"/>
        <w:jc w:val="left"/>
      </w:pPr>
      <w:r>
        <w:rPr/>
        <w:t>该计划对公司未来现金流量、时间和不确定性不存在重大影响。</w:t>
      </w:r>
    </w:p>
    <w:p>
      <w:pPr>
        <w:spacing w:line="240" w:lineRule="auto" w:before="12"/>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设定受益计划重大精算假设及敏感性分析结果说明：</w:t>
      </w:r>
    </w:p>
    <w:p>
      <w:pPr>
        <w:pStyle w:val="BodyText"/>
        <w:spacing w:line="240" w:lineRule="auto" w:before="89"/>
        <w:ind w:left="574" w:right="0"/>
        <w:jc w:val="left"/>
      </w:pPr>
      <w:r>
        <w:rPr/>
        <w:t>设定受益计划重大精算假设：</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046"/>
        <w:gridCol w:w="5613"/>
      </w:tblGrid>
      <w:tr>
        <w:trPr>
          <w:trHeight w:val="347" w:hRule="exact"/>
        </w:trPr>
        <w:tc>
          <w:tcPr>
            <w:tcW w:w="404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精算假设</w:t>
            </w:r>
          </w:p>
        </w:tc>
        <w:tc>
          <w:tcPr>
            <w:tcW w:w="561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确定标准</w:t>
            </w:r>
          </w:p>
        </w:tc>
      </w:tr>
      <w:tr>
        <w:trPr>
          <w:trHeight w:val="348" w:hRule="exact"/>
        </w:trPr>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5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同期银行间债券市场的国债到期收益率</w:t>
            </w:r>
          </w:p>
        </w:tc>
      </w:tr>
      <w:tr>
        <w:trPr>
          <w:trHeight w:val="347" w:hRule="exact"/>
        </w:trPr>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离职率</w:t>
            </w:r>
          </w:p>
        </w:tc>
        <w:tc>
          <w:tcPr>
            <w:tcW w:w="5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福利增长率</w:t>
            </w:r>
          </w:p>
        </w:tc>
        <w:tc>
          <w:tcPr>
            <w:tcW w:w="5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4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正式退休年龄</w:t>
            </w:r>
          </w:p>
        </w:tc>
        <w:tc>
          <w:tcPr>
            <w:tcW w:w="5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男：干部</w:t>
            </w:r>
            <w:r>
              <w:rPr>
                <w:rFonts w:ascii="Times New Roman" w:hAnsi="Times New Roman" w:cs="Times New Roman" w:eastAsia="Times New Roman" w:hint="default"/>
                <w:sz w:val="18"/>
                <w:szCs w:val="18"/>
              </w:rPr>
              <w:t>60</w:t>
            </w:r>
            <w:r>
              <w:rPr>
                <w:rFonts w:ascii="宋体" w:hAnsi="宋体" w:cs="宋体" w:eastAsia="宋体" w:hint="default"/>
                <w:sz w:val="18"/>
                <w:szCs w:val="18"/>
              </w:rPr>
              <w:t>岁、工人</w:t>
            </w:r>
            <w:r>
              <w:rPr>
                <w:rFonts w:ascii="Times New Roman" w:hAnsi="Times New Roman" w:cs="Times New Roman" w:eastAsia="Times New Roman" w:hint="default"/>
                <w:sz w:val="18"/>
                <w:szCs w:val="18"/>
              </w:rPr>
              <w:t>60</w:t>
            </w:r>
            <w:r>
              <w:rPr>
                <w:rFonts w:ascii="宋体" w:hAnsi="宋体" w:cs="宋体" w:eastAsia="宋体" w:hint="default"/>
                <w:sz w:val="18"/>
                <w:szCs w:val="18"/>
              </w:rPr>
              <w:t>岁，女：干部</w:t>
            </w:r>
            <w:r>
              <w:rPr>
                <w:rFonts w:ascii="Times New Roman" w:hAnsi="Times New Roman" w:cs="Times New Roman" w:eastAsia="Times New Roman" w:hint="default"/>
                <w:sz w:val="18"/>
                <w:szCs w:val="18"/>
              </w:rPr>
              <w:t>55</w:t>
            </w:r>
            <w:r>
              <w:rPr>
                <w:rFonts w:ascii="宋体" w:hAnsi="宋体" w:cs="宋体" w:eastAsia="宋体" w:hint="default"/>
                <w:sz w:val="18"/>
                <w:szCs w:val="18"/>
              </w:rPr>
              <w:t>岁、工人</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r>
    </w:tbl>
    <w:p>
      <w:pPr>
        <w:spacing w:line="240" w:lineRule="auto" w:before="0"/>
        <w:rPr>
          <w:rFonts w:ascii="宋体" w:hAnsi="宋体" w:cs="宋体" w:eastAsia="宋体" w:hint="default"/>
          <w:sz w:val="20"/>
          <w:szCs w:val="20"/>
        </w:rPr>
      </w:pPr>
    </w:p>
    <w:p>
      <w:pPr>
        <w:pStyle w:val="BodyText"/>
        <w:spacing w:line="240" w:lineRule="auto" w:before="35"/>
        <w:ind w:left="574" w:right="0"/>
        <w:jc w:val="left"/>
      </w:pPr>
      <w:r>
        <w:rPr/>
        <w:t>敏感性分析结果说明：</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790"/>
        <w:gridCol w:w="3434"/>
        <w:gridCol w:w="3435"/>
      </w:tblGrid>
      <w:tr>
        <w:trPr>
          <w:trHeight w:val="349" w:hRule="exact"/>
        </w:trPr>
        <w:tc>
          <w:tcPr>
            <w:tcW w:w="2790" w:type="dxa"/>
            <w:tcBorders>
              <w:top w:val="single" w:sz="6" w:space="0" w:color="000000"/>
              <w:left w:val="single" w:sz="6" w:space="0" w:color="000000"/>
              <w:bottom w:val="single" w:sz="12" w:space="0" w:color="000000"/>
              <w:right w:val="single" w:sz="6"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精算假设</w:t>
            </w:r>
          </w:p>
        </w:tc>
        <w:tc>
          <w:tcPr>
            <w:tcW w:w="3434" w:type="dxa"/>
            <w:tcBorders>
              <w:top w:val="single" w:sz="6" w:space="0" w:color="000000"/>
              <w:left w:val="single" w:sz="6" w:space="0" w:color="000000"/>
              <w:bottom w:val="single" w:sz="12" w:space="0" w:color="000000"/>
              <w:right w:val="single" w:sz="6" w:space="0" w:color="000000"/>
            </w:tcBorders>
            <w:shd w:val="clear" w:color="auto" w:fill="D0CECE"/>
          </w:tcPr>
          <w:p>
            <w:pPr>
              <w:pStyle w:val="TableParagraph"/>
              <w:spacing w:line="240" w:lineRule="auto" w:before="20"/>
              <w:ind w:left="358" w:right="0"/>
              <w:jc w:val="left"/>
              <w:rPr>
                <w:rFonts w:ascii="宋体" w:hAnsi="宋体" w:cs="宋体" w:eastAsia="宋体" w:hint="default"/>
                <w:sz w:val="18"/>
                <w:szCs w:val="18"/>
              </w:rPr>
            </w:pPr>
            <w:r>
              <w:rPr>
                <w:rFonts w:ascii="宋体" w:hAnsi="宋体" w:cs="宋体" w:eastAsia="宋体" w:hint="default"/>
                <w:sz w:val="18"/>
                <w:szCs w:val="18"/>
              </w:rPr>
              <w:t>对计划福利义务现值的影响（元）</w:t>
            </w:r>
          </w:p>
        </w:tc>
        <w:tc>
          <w:tcPr>
            <w:tcW w:w="3435" w:type="dxa"/>
            <w:tcBorders>
              <w:top w:val="single" w:sz="6" w:space="0" w:color="000000"/>
              <w:left w:val="single" w:sz="6" w:space="0" w:color="000000"/>
              <w:bottom w:val="single" w:sz="12" w:space="0" w:color="000000"/>
              <w:right w:val="single" w:sz="6" w:space="0" w:color="000000"/>
            </w:tcBorders>
            <w:shd w:val="clear" w:color="auto" w:fill="D0CECE"/>
          </w:tcPr>
          <w:p>
            <w:pPr>
              <w:pStyle w:val="TableParagraph"/>
              <w:spacing w:line="240" w:lineRule="auto" w:before="20"/>
              <w:ind w:left="375" w:right="0"/>
              <w:jc w:val="left"/>
              <w:rPr>
                <w:rFonts w:ascii="宋体" w:hAnsi="宋体" w:cs="宋体" w:eastAsia="宋体" w:hint="default"/>
                <w:sz w:val="18"/>
                <w:szCs w:val="18"/>
              </w:rPr>
            </w:pPr>
            <w:r>
              <w:rPr>
                <w:rFonts w:ascii="宋体" w:hAnsi="宋体" w:cs="宋体" w:eastAsia="宋体" w:hint="default"/>
                <w:sz w:val="18"/>
                <w:szCs w:val="18"/>
              </w:rPr>
              <w:t>对计划福利义务现值的影响（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7" w:hRule="exact"/>
        </w:trPr>
        <w:tc>
          <w:tcPr>
            <w:tcW w:w="2790"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+0.25%</w:t>
            </w:r>
          </w:p>
        </w:tc>
        <w:tc>
          <w:tcPr>
            <w:tcW w:w="3434"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-175,518.49</w:t>
            </w:r>
          </w:p>
        </w:tc>
        <w:tc>
          <w:tcPr>
            <w:tcW w:w="3435"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-1.50%</w:t>
            </w:r>
          </w:p>
        </w:tc>
      </w:tr>
      <w:tr>
        <w:trPr>
          <w:trHeight w:val="352" w:hRule="exact"/>
        </w:trPr>
        <w:tc>
          <w:tcPr>
            <w:tcW w:w="27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-0.25%</w:t>
            </w:r>
          </w:p>
        </w:tc>
        <w:tc>
          <w:tcPr>
            <w:tcW w:w="3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179,899.59</w:t>
            </w:r>
          </w:p>
        </w:tc>
        <w:tc>
          <w:tcPr>
            <w:tcW w:w="3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1.54%</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预计负债" w:id="290"/>
      <w:bookmarkEnd w:id="290"/>
      <w:r>
        <w:rPr>
          <w:b w:val="0"/>
          <w:bCs w:val="0"/>
        </w:rPr>
      </w:r>
      <w:r>
        <w:rPr>
          <w:rFonts w:ascii="Times New Roman" w:hAnsi="Times New Roman" w:cs="Times New Roman" w:eastAsia="Times New Roman" w:hint="default"/>
        </w:rPr>
        <w:t>30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2366"/>
        <w:gridCol w:w="2407"/>
        <w:gridCol w:w="2393"/>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8" w:right="0"/>
              <w:jc w:val="left"/>
              <w:rPr>
                <w:rFonts w:ascii="Times New Roman" w:hAnsi="Times New Roman" w:cs="Times New Roman" w:eastAsia="Times New Roman" w:hint="default"/>
                <w:sz w:val="18"/>
                <w:szCs w:val="18"/>
              </w:rPr>
            </w:pPr>
            <w:r>
              <w:rPr>
                <w:rFonts w:ascii="Times New Roman"/>
                <w:sz w:val="18"/>
              </w:rPr>
              <w:t>41,594,093.36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48,254,014.45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5"/>
              <w:jc w:val="center"/>
              <w:rPr>
                <w:rFonts w:ascii="宋体" w:hAnsi="宋体" w:cs="宋体" w:eastAsia="宋体" w:hint="default"/>
                <w:sz w:val="18"/>
                <w:szCs w:val="18"/>
              </w:rPr>
            </w:pPr>
            <w:r>
              <w:rPr>
                <w:rFonts w:ascii="宋体" w:hAnsi="宋体" w:cs="宋体" w:eastAsia="宋体" w:hint="default"/>
                <w:sz w:val="18"/>
                <w:szCs w:val="18"/>
              </w:rPr>
              <w:t>工程质量维修基金及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389"/>
        <w:gridCol w:w="2396"/>
        <w:gridCol w:w="2393"/>
        <w:gridCol w:w="2392"/>
      </w:tblGrid>
      <w:tr>
        <w:trPr>
          <w:trHeight w:val="36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目恢复性大修费用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8" w:right="0"/>
              <w:jc w:val="left"/>
              <w:rPr>
                <w:rFonts w:ascii="Times New Roman" w:hAnsi="Times New Roman" w:cs="Times New Roman" w:eastAsia="Times New Roman" w:hint="default"/>
                <w:sz w:val="18"/>
                <w:szCs w:val="18"/>
              </w:rPr>
            </w:pPr>
            <w:r>
              <w:rPr>
                <w:rFonts w:ascii="Times New Roman"/>
                <w:sz w:val="18"/>
              </w:rPr>
              <w:t>41,594,093.36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48,254,014.45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1、递延收益" w:id="291"/>
      <w:bookmarkEnd w:id="291"/>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95"/>
        <w:gridCol w:w="1596"/>
        <w:gridCol w:w="1594"/>
        <w:gridCol w:w="1595"/>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362,410,148.43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384,376,300.00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56,973,741.05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689,812,707.38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10"/>
                <w:sz w:val="18"/>
                <w:szCs w:val="18"/>
              </w:rPr>
              <w:t>减：将于一年内结转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损益的递延收益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-30,972,432.26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-61,704,200.98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-30,972,432.26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-61,704,200.98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331,437,716.17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322,672,099.02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26,001,308.79</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67"/>
              <w:ind w:right="13"/>
              <w:jc w:val="right"/>
              <w:rPr>
                <w:rFonts w:ascii="Times New Roman" w:hAnsi="Times New Roman" w:cs="Times New Roman" w:eastAsia="Times New Roman" w:hint="default"/>
                <w:sz w:val="12"/>
                <w:szCs w:val="12"/>
              </w:rPr>
            </w:pPr>
            <w:r>
              <w:rPr>
                <w:rFonts w:ascii="Times New Roman"/>
                <w:spacing w:val="-1"/>
                <w:sz w:val="18"/>
              </w:rPr>
              <w:t>628,108,506.40</w:t>
            </w:r>
            <w:r>
              <w:rPr>
                <w:rFonts w:ascii="Times New Roman"/>
                <w:color w:val="FF0000"/>
                <w:spacing w:val="-1"/>
                <w:position w:val="8"/>
                <w:sz w:val="12"/>
              </w:rPr>
              <w:t>1</w:t>
            </w:r>
            <w:r>
              <w:rPr>
                <w:rFonts w:ascii="Times New Roman"/>
                <w:spacing w:val="-1"/>
                <w:sz w:val="12"/>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340"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递延收益较期初增加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89.51%</w:t>
      </w:r>
      <w:r>
        <w:rPr>
          <w:rFonts w:ascii="宋体" w:hAnsi="宋体" w:cs="宋体" w:eastAsia="宋体" w:hint="default"/>
          <w:sz w:val="18"/>
          <w:szCs w:val="18"/>
        </w:rPr>
        <w:t>，主要系公司收到了较大金额的政府补助所致。 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694" w:space="2136"/>
            <w:col w:w="2100"/>
          </w:cols>
        </w:sectPr>
      </w:pP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064"/>
        <w:gridCol w:w="1066"/>
        <w:gridCol w:w="1063"/>
        <w:gridCol w:w="1064"/>
        <w:gridCol w:w="1062"/>
        <w:gridCol w:w="1063"/>
        <w:gridCol w:w="1064"/>
        <w:gridCol w:w="1063"/>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城市基础设 施配套费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346,012,555.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365,376,300.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47,675,814.2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663,713,040.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年新一 代信息基础 设施建设工 程和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p>
          <w:p>
            <w:pPr>
              <w:pStyle w:val="TableParagraph"/>
              <w:spacing w:line="302" w:lineRule="auto" w:before="3"/>
              <w:ind w:left="24"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重大工程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9,230,769.23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7,556,561.09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11,674,208.1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能源节约补 助资金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JY-RTO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型大</w:t>
            </w:r>
          </w:p>
          <w:p>
            <w:pPr>
              <w:pStyle w:val="TableParagraph"/>
              <w:spacing w:line="319" w:lineRule="auto" w:before="61"/>
              <w:ind w:left="24" w:right="129"/>
              <w:jc w:val="both"/>
              <w:rPr>
                <w:rFonts w:ascii="宋体" w:hAnsi="宋体" w:cs="宋体" w:eastAsia="宋体" w:hint="default"/>
                <w:sz w:val="18"/>
                <w:szCs w:val="18"/>
              </w:rPr>
            </w:pPr>
            <w:r>
              <w:rPr>
                <w:rFonts w:ascii="宋体" w:hAnsi="宋体" w:cs="宋体" w:eastAsia="宋体" w:hint="default"/>
                <w:sz w:val="18"/>
                <w:szCs w:val="18"/>
              </w:rPr>
              <w:t>风量复杂挥 发性有机气 体控制项目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both"/>
              <w:rPr>
                <w:rFonts w:ascii="宋体" w:hAnsi="宋体" w:cs="宋体" w:eastAsia="宋体" w:hint="default"/>
                <w:sz w:val="18"/>
                <w:szCs w:val="18"/>
              </w:rPr>
            </w:pPr>
            <w:r>
              <w:rPr>
                <w:rFonts w:ascii="宋体" w:hAnsi="宋体" w:cs="宋体" w:eastAsia="宋体" w:hint="default"/>
                <w:sz w:val="18"/>
                <w:szCs w:val="18"/>
              </w:rPr>
              <w:t>危险化学品 事故应急快 速响应软硬 件装备产业 化关键技术 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1,532,131.38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687,999.84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844,131.54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智慧市政管 理系统关键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670,344.76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103,696.58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566,648.18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064"/>
        <w:gridCol w:w="1066"/>
        <w:gridCol w:w="1063"/>
        <w:gridCol w:w="1064"/>
        <w:gridCol w:w="1062"/>
        <w:gridCol w:w="1063"/>
        <w:gridCol w:w="1064"/>
        <w:gridCol w:w="1063"/>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9"/>
              <w:jc w:val="left"/>
              <w:rPr>
                <w:rFonts w:ascii="宋体" w:hAnsi="宋体" w:cs="宋体" w:eastAsia="宋体" w:hint="default"/>
                <w:sz w:val="18"/>
                <w:szCs w:val="18"/>
              </w:rPr>
            </w:pPr>
            <w:r>
              <w:rPr>
                <w:rFonts w:ascii="宋体" w:hAnsi="宋体" w:cs="宋体" w:eastAsia="宋体" w:hint="default"/>
                <w:sz w:val="18"/>
                <w:szCs w:val="18"/>
              </w:rPr>
              <w:t>技术研究及 应用示范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安全生产网 络一体化监 控系统关键 技术开发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356,847.92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162,169.35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194,678.57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362,410,148.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384,376,300.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56,973,741.0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689,812,707.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股本" w:id="292"/>
      <w:bookmarkEnd w:id="292"/>
      <w:r>
        <w:rPr>
          <w:b w:val="0"/>
          <w:bCs w:val="0"/>
        </w:rPr>
      </w:r>
      <w:r>
        <w:rPr>
          <w:rFonts w:ascii="Times New Roman" w:hAnsi="Times New Roman" w:cs="Times New Roman" w:eastAsia="Times New Roman" w:hint="default"/>
        </w:rPr>
        <w:t>32</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184"/>
        <w:gridCol w:w="1209"/>
        <w:gridCol w:w="1185"/>
        <w:gridCol w:w="1196"/>
        <w:gridCol w:w="1196"/>
        <w:gridCol w:w="1197"/>
        <w:gridCol w:w="1184"/>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293,022,806.00</w:t>
            </w:r>
          </w:p>
        </w:tc>
        <w:tc>
          <w:tcPr>
            <w:tcW w:w="118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293,022,806.00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资本公积" w:id="293"/>
      <w:bookmarkEnd w:id="293"/>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890"/>
        <w:gridCol w:w="1928"/>
        <w:gridCol w:w="1914"/>
        <w:gridCol w:w="1914"/>
        <w:gridCol w:w="1914"/>
      </w:tblGrid>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580,863,493.72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4,593,674.52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585,457,168.24</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6,808,136.00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6,563,242.10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13,371,378.10</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587,671,629.72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11,156,916.62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598,828,546.34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338" w:lineRule="auto" w:before="131"/>
        <w:ind w:left="154" w:right="1133" w:firstLine="320"/>
        <w:jc w:val="both"/>
        <w:rPr>
          <w:rFonts w:ascii="宋体" w:hAnsi="宋体" w:cs="宋体" w:eastAsia="宋体" w:hint="default"/>
          <w:sz w:val="16"/>
          <w:szCs w:val="16"/>
        </w:rPr>
      </w:pPr>
      <w:r>
        <w:rPr>
          <w:rFonts w:ascii="宋体" w:hAnsi="宋体" w:cs="宋体" w:eastAsia="宋体" w:hint="default"/>
          <w:spacing w:val="-1"/>
          <w:sz w:val="16"/>
          <w:szCs w:val="16"/>
        </w:rPr>
        <w:t>本期资本溢价增加</w:t>
      </w:r>
      <w:r>
        <w:rPr>
          <w:rFonts w:ascii="Times New Roman" w:hAnsi="Times New Roman" w:cs="Times New Roman" w:eastAsia="Times New Roman" w:hint="default"/>
          <w:spacing w:val="-1"/>
          <w:sz w:val="16"/>
          <w:szCs w:val="16"/>
        </w:rPr>
        <w:t>4,593,674.52</w:t>
      </w:r>
      <w:r>
        <w:rPr>
          <w:rFonts w:ascii="宋体" w:hAnsi="宋体" w:cs="宋体" w:eastAsia="宋体" w:hint="default"/>
          <w:spacing w:val="-1"/>
          <w:sz w:val="16"/>
          <w:szCs w:val="16"/>
        </w:rPr>
        <w:t>元，其中：本期增加额</w:t>
      </w:r>
      <w:r>
        <w:rPr>
          <w:rFonts w:ascii="Times New Roman" w:hAnsi="Times New Roman" w:cs="Times New Roman" w:eastAsia="Times New Roman" w:hint="default"/>
          <w:spacing w:val="-1"/>
          <w:sz w:val="16"/>
          <w:szCs w:val="16"/>
        </w:rPr>
        <w:t>4,467,596.83</w:t>
      </w:r>
      <w:r>
        <w:rPr>
          <w:rFonts w:ascii="宋体" w:hAnsi="宋体" w:cs="宋体" w:eastAsia="宋体" w:hint="default"/>
          <w:spacing w:val="-1"/>
          <w:sz w:val="16"/>
          <w:szCs w:val="16"/>
        </w:rPr>
        <w:t>元系子公司汉威智慧安全增资稀释本公司权益比例变动所致，本期增</w:t>
      </w:r>
      <w:r>
        <w:rPr>
          <w:rFonts w:ascii="宋体" w:hAnsi="宋体" w:cs="宋体" w:eastAsia="宋体" w:hint="default"/>
          <w:w w:val="99"/>
          <w:sz w:val="16"/>
          <w:szCs w:val="16"/>
        </w:rPr>
        <w:t> </w:t>
      </w:r>
      <w:r>
        <w:rPr>
          <w:rFonts w:ascii="宋体" w:hAnsi="宋体" w:cs="宋体" w:eastAsia="宋体" w:hint="default"/>
          <w:sz w:val="16"/>
          <w:szCs w:val="16"/>
        </w:rPr>
        <w:t>加额</w:t>
      </w:r>
      <w:r>
        <w:rPr>
          <w:rFonts w:ascii="Times New Roman" w:hAnsi="Times New Roman" w:cs="Times New Roman" w:eastAsia="Times New Roman" w:hint="default"/>
          <w:sz w:val="16"/>
          <w:szCs w:val="16"/>
        </w:rPr>
        <w:t>126,077.68</w:t>
      </w:r>
      <w:r>
        <w:rPr>
          <w:rFonts w:ascii="宋体" w:hAnsi="宋体" w:cs="宋体" w:eastAsia="宋体" w:hint="default"/>
          <w:sz w:val="16"/>
          <w:szCs w:val="16"/>
        </w:rPr>
        <w:t>元系子公司雪城软件增资引起少数股东权益比例变动所致；本期其他资本公积增加</w:t>
      </w:r>
      <w:r>
        <w:rPr>
          <w:rFonts w:ascii="Times New Roman" w:hAnsi="Times New Roman" w:cs="Times New Roman" w:eastAsia="Times New Roman" w:hint="default"/>
          <w:sz w:val="16"/>
          <w:szCs w:val="16"/>
        </w:rPr>
        <w:t>6,563,242.10</w:t>
      </w:r>
      <w:r>
        <w:rPr>
          <w:rFonts w:ascii="宋体" w:hAnsi="宋体" w:cs="宋体" w:eastAsia="宋体" w:hint="default"/>
          <w:sz w:val="16"/>
          <w:szCs w:val="16"/>
        </w:rPr>
        <w:t>元系权益法核算的享有的被</w:t>
      </w:r>
      <w:r>
        <w:rPr>
          <w:rFonts w:ascii="宋体" w:hAnsi="宋体" w:cs="宋体" w:eastAsia="宋体" w:hint="default"/>
          <w:spacing w:val="-20"/>
          <w:sz w:val="16"/>
          <w:szCs w:val="16"/>
        </w:rPr>
        <w:t> </w:t>
      </w:r>
      <w:r>
        <w:rPr>
          <w:rFonts w:ascii="宋体" w:hAnsi="宋体" w:cs="宋体" w:eastAsia="宋体" w:hint="default"/>
          <w:spacing w:val="-20"/>
          <w:sz w:val="16"/>
          <w:szCs w:val="16"/>
        </w:rPr>
      </w:r>
      <w:r>
        <w:rPr>
          <w:rFonts w:ascii="宋体" w:hAnsi="宋体" w:cs="宋体" w:eastAsia="宋体" w:hint="default"/>
          <w:sz w:val="16"/>
          <w:szCs w:val="16"/>
        </w:rPr>
        <w:t>投资单位除净利润、利润分配以及其他综合收益以外所有者权益的其他变动所致。</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34、盈余公积" w:id="294"/>
      <w:bookmarkEnd w:id="294"/>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90"/>
        <w:gridCol w:w="1928"/>
        <w:gridCol w:w="1914"/>
        <w:gridCol w:w="1914"/>
        <w:gridCol w:w="1914"/>
      </w:tblGrid>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8" w:right="0"/>
              <w:jc w:val="left"/>
              <w:rPr>
                <w:rFonts w:ascii="Times New Roman" w:hAnsi="Times New Roman" w:cs="Times New Roman" w:eastAsia="Times New Roman" w:hint="default"/>
                <w:sz w:val="18"/>
                <w:szCs w:val="18"/>
              </w:rPr>
            </w:pPr>
            <w:r>
              <w:rPr>
                <w:rFonts w:ascii="Times New Roman"/>
                <w:sz w:val="18"/>
              </w:rPr>
              <w:t>35,352,920.00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1,492,121.05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36,845,041.05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35,352,920.00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1,492,121.05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36,845,041.05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before="131"/>
        <w:ind w:left="345" w:right="0" w:firstLine="0"/>
        <w:jc w:val="left"/>
        <w:rPr>
          <w:rFonts w:ascii="宋体" w:hAnsi="宋体" w:cs="宋体" w:eastAsia="宋体" w:hint="default"/>
          <w:sz w:val="16"/>
          <w:szCs w:val="16"/>
        </w:rPr>
      </w:pPr>
      <w:r>
        <w:rPr>
          <w:rFonts w:ascii="宋体" w:hAnsi="宋体" w:cs="宋体" w:eastAsia="宋体" w:hint="default"/>
          <w:sz w:val="16"/>
          <w:szCs w:val="16"/>
        </w:rPr>
        <w:t>报告期内盈余公积增加数为本公司依据公司章程规定的计提数。</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1"/>
          <w:szCs w:val="11"/>
        </w:rPr>
      </w:pPr>
    </w:p>
    <w:p>
      <w:pPr>
        <w:pStyle w:val="Heading4"/>
        <w:spacing w:line="240" w:lineRule="auto"/>
        <w:ind w:right="0"/>
        <w:jc w:val="left"/>
        <w:rPr>
          <w:b w:val="0"/>
          <w:bCs w:val="0"/>
        </w:rPr>
      </w:pPr>
      <w:bookmarkStart w:name="35、未分配利润" w:id="295"/>
      <w:bookmarkEnd w:id="295"/>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479,930,612.23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382,955,569.32</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479,930,612.23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382,955,569.32</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61,657,351.15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110,320,925.94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1,492,121.05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3,090,085.47</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13,186,025.71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10,255,797.56</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526,909,816.62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479,930,612.23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6、营业收入和营业成本" w:id="296"/>
      <w:bookmarkEnd w:id="296"/>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1,459,857,629.60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946,322,583.91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1,401,973,691.52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880,364,707.45</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52,472,959.26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33,286,867.28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42,205,398.39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24,837,668.49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1,512,330,588.86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979,609,451.19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1,444,179,089.91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905,202,375.94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7、税金及附加" w:id="297"/>
      <w:bookmarkEnd w:id="297"/>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4,976,338.30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5,071,755.24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3,613,575.79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3,750,866.10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6,360,066.52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5,367,341.58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1,667,202.18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1,584,258.90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863,649.82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743,647.52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379,983.11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467,883.48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17,860,815.72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16,985,752.82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销售费用" w:id="298"/>
      <w:bookmarkEnd w:id="298"/>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54,495,561.63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44,906,067.43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11,162,777.93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10,541,210.55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7,276,976.51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5,886,551.42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4,258,963.70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3,893,510.06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5,376,634.65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7,223,225.97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6,188,804.10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4,305,604.89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办公费、水电、电话及低耗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5,975,923.08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6,114,120.61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1,512,359.23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1,544,998.16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1,283,790.81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1,202,829.38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1,809,572.57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1,755,629.61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8,081,259.88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6,247,671.75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1,161,396.10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1,349,141.46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4,268,747.95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6,358,437.47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112,852,768.14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101,328,998.76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管理费用" w:id="299"/>
      <w:bookmarkEnd w:id="299"/>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93,633,242.31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84,864,771.01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折旧及无形资产摊销费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21,176,231.72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19,025,295.80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10,844,040.01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9,567,087.23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14,385,690.37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12,247,160.73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3,068,187.85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2,973,541.36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7,656,295.89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5,845,456.57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3,759,185.31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4,364,797.30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2,288,328.36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2,663,699.57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7,866,249.62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6,817,506.88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164,677,451.44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148,369,316.45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研发费用" w:id="300"/>
      <w:bookmarkEnd w:id="300"/>
      <w:r>
        <w:rPr>
          <w:b w:val="0"/>
          <w:bCs w:val="0"/>
        </w:rPr>
      </w:r>
      <w:r>
        <w:rPr>
          <w:rFonts w:ascii="Times New Roman" w:hAnsi="Times New Roman" w:cs="Times New Roman" w:eastAsia="Times New Roman" w:hint="default"/>
        </w:rPr>
        <w:t>40</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66,627,563.39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58,405,013.78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材料、燃料及动力费用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14,920,599.80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11,292,192.34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折旧费、摊销、租赁费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10,461,604.94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7,921,364.35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技术服务及委托开发费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4,088,406.49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5,204,173.49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办公、物业、展会费及低耗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2,438,024.11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1,293,286.73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论证、设计、评审、验收费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2,330,918.70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1,521,103.90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2,176,902.92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2,651,610.63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952,084.82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619,839.64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模具、装备、检验检测费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783,282.15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504,703.64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207,859.51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199,505.65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1,699,589.53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1,484,582.12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106,686,836.36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91,097,376.27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1、财务费用" w:id="301"/>
      <w:bookmarkEnd w:id="301"/>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55,321,936.72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44,150,434.69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1,652,974.40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1,138,590.42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2,866,816.10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1,030,876.21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3,474,685.42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290,697.83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1,034,930.00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1,009,461.22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54,096,023.00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44,761,483.87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2、资产减值损失" w:id="302"/>
      <w:bookmarkEnd w:id="302"/>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21,380,340.61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15,062,390.74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55,549,254.90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6,284,914.80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77,229,595.51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36,347,305.54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574" w:right="0"/>
        <w:jc w:val="left"/>
      </w:pPr>
      <w:r>
        <w:rPr/>
        <w:t>资产减值损失较上年同期增加</w:t>
      </w:r>
      <w:r>
        <w:rPr>
          <w:spacing w:val="-54"/>
        </w:rPr>
        <w:t> </w:t>
      </w:r>
      <w:r>
        <w:rPr>
          <w:rFonts w:ascii="宋体" w:hAnsi="宋体" w:cs="宋体" w:eastAsia="宋体" w:hint="default"/>
        </w:rPr>
        <w:t>112.48%</w:t>
      </w:r>
      <w:r>
        <w:rPr/>
        <w:t>，主要系公司本期计提商誉减值损失增加所致。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43、其他收益" w:id="303"/>
      <w:bookmarkEnd w:id="303"/>
      <w:r>
        <w:rPr>
          <w:b w:val="0"/>
          <w:bCs w:val="0"/>
        </w:rPr>
      </w:r>
      <w:r>
        <w:rPr>
          <w:rFonts w:ascii="Times New Roman" w:hAnsi="Times New Roman" w:cs="Times New Roman" w:eastAsia="Times New Roman" w:hint="default"/>
        </w:rPr>
        <w:t>43</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城市基础设施配套费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47,675,814.23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24,291,031.06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企业技术中心的补助资金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传感器国家专业化众创空间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信息化发展专项资金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郑州市气体检测仪表科技公共服务平台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先进制造业发展专项资金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国家智能制造传感器智能制造项目配套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8,670,991.90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7,799,732.82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年新一代信息基础设施建设工程和</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重大工程项目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7,556,561.09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年科技企业研发费用补助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年度科技重大专项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闽侯财政局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年科技小巨人研发费用 加计扣除补助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814,000.00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福州市鼓楼区财政局省级企业技术中心 市级奖励金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年度科技重大专项连续支持 项目经费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郑州高新区管委会科技局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年度科技 创新优秀企业奖励款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郑州高新区管委会财政局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年省产业 聚集区科研服务平台专项资金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其他与日常经营活动相关的政府补助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9,216,706.18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13,089,398.00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82,034,073.40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62,450,161.88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4、投资收益" w:id="304"/>
      <w:bookmarkEnd w:id="304"/>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461"/>
        <w:gridCol w:w="3190"/>
        <w:gridCol w:w="2919"/>
      </w:tblGrid>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4,449,846.75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5,048,300.57</w:t>
            </w:r>
          </w:p>
        </w:tc>
      </w:tr>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426,498.61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或有对价形成的投资收益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4,708,500.00</w:t>
            </w:r>
          </w:p>
        </w:tc>
      </w:tr>
      <w:tr>
        <w:trPr>
          <w:trHeight w:val="402"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结构性存款收益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42,906,705.90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14,792,196.80</w:t>
            </w:r>
          </w:p>
        </w:tc>
      </w:tr>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47,783,051.26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24,548,997.37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0"/>
        <w:jc w:val="left"/>
      </w:pPr>
      <w:r>
        <w:rPr/>
        <w:t>投资收益较上年同期增加</w:t>
      </w:r>
      <w:r>
        <w:rPr>
          <w:spacing w:val="-53"/>
        </w:rPr>
        <w:t> </w:t>
      </w:r>
      <w:r>
        <w:rPr>
          <w:rFonts w:ascii="宋体" w:hAnsi="宋体" w:cs="宋体" w:eastAsia="宋体" w:hint="default"/>
        </w:rPr>
        <w:t>94.64%</w:t>
      </w:r>
      <w:r>
        <w:rPr/>
        <w:t>，主要系结构性存款收益增加所致。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45、资产处置收益" w:id="305"/>
      <w:bookmarkEnd w:id="305"/>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-895,232.20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6、营业外收入" w:id="306"/>
      <w:bookmarkEnd w:id="306"/>
      <w:r>
        <w:rPr>
          <w:b w:val="0"/>
          <w:bCs w:val="0"/>
        </w:rPr>
      </w:r>
      <w:r>
        <w:rPr>
          <w:rFonts w:ascii="Times New Roman" w:hAnsi="Times New Roman" w:cs="Times New Roman" w:eastAsia="Times New Roman" w:hint="default"/>
        </w:rPr>
        <w:t>46</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390"/>
        <w:gridCol w:w="2396"/>
        <w:gridCol w:w="2393"/>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428,500.00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1,013,774.73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737,027.23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1,013,774.73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26,440,274.73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737,027.23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26,440,274.73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065"/>
        <w:gridCol w:w="1063"/>
        <w:gridCol w:w="1063"/>
        <w:gridCol w:w="1064"/>
        <w:gridCol w:w="1062"/>
        <w:gridCol w:w="1063"/>
        <w:gridCol w:w="1064"/>
        <w:gridCol w:w="1063"/>
        <w:gridCol w:w="1051"/>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5" w:right="3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line="357" w:lineRule="auto" w:before="52"/>
        <w:ind w:left="154" w:right="6972" w:firstLine="0"/>
        <w:jc w:val="left"/>
        <w:rPr>
          <w:rFonts w:ascii="宋体" w:hAnsi="宋体" w:cs="宋体" w:eastAsia="宋体" w:hint="default"/>
          <w:sz w:val="18"/>
          <w:szCs w:val="18"/>
        </w:rPr>
      </w:pPr>
      <w:r>
        <w:rPr>
          <w:rFonts w:ascii="宋体" w:hAnsi="宋体" w:cs="宋体" w:eastAsia="宋体" w:hint="default"/>
          <w:sz w:val="18"/>
          <w:szCs w:val="18"/>
        </w:rPr>
        <w:t>其他说明： 营业外收入主要系收到政府给予的拆迁补偿款。</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7、营业外支出" w:id="307"/>
      <w:bookmarkEnd w:id="307"/>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90"/>
        <w:gridCol w:w="2396"/>
        <w:gridCol w:w="2393"/>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871,869.63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94,936.80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871,869.63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赞助费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1,270,904.93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709,805.13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1,270,904.93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2,356,774.56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804,741.93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2,356,774.56</w:t>
            </w:r>
          </w:p>
        </w:tc>
      </w:tr>
    </w:tbl>
    <w:p>
      <w:pPr>
        <w:spacing w:line="357" w:lineRule="auto" w:before="51"/>
        <w:ind w:left="154" w:right="4887" w:firstLine="0"/>
        <w:jc w:val="left"/>
        <w:rPr>
          <w:rFonts w:ascii="宋体" w:hAnsi="宋体" w:cs="宋体" w:eastAsia="宋体" w:hint="default"/>
          <w:sz w:val="18"/>
          <w:szCs w:val="18"/>
        </w:rPr>
      </w:pPr>
      <w:r>
        <w:rPr>
          <w:rFonts w:ascii="宋体" w:hAnsi="宋体" w:cs="宋体" w:eastAsia="宋体" w:hint="default"/>
          <w:sz w:val="18"/>
          <w:szCs w:val="18"/>
        </w:rPr>
        <w:t>其他说明： 营业外支出较上年同期增加</w:t>
      </w:r>
      <w:r>
        <w:rPr>
          <w:rFonts w:ascii="Times New Roman" w:hAnsi="Times New Roman" w:cs="Times New Roman" w:eastAsia="Times New Roman" w:hint="default"/>
          <w:sz w:val="18"/>
          <w:szCs w:val="18"/>
        </w:rPr>
        <w:t>192.86%</w:t>
      </w:r>
      <w:r>
        <w:rPr>
          <w:rFonts w:ascii="宋体" w:hAnsi="宋体" w:cs="宋体" w:eastAsia="宋体" w:hint="default"/>
          <w:sz w:val="18"/>
          <w:szCs w:val="18"/>
        </w:rPr>
        <w:t>，主要系本期债务重组损失增加所致。</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48、所得税费用" w:id="308"/>
      <w:bookmarkEnd w:id="308"/>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09"/>
      <w:bookmarkEnd w:id="30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34,673,909.88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94,764,884.19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9,599,338.43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-57,437,733.47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44,273,248.31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37,327,150.72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10"/>
      <w:bookmarkEnd w:id="31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768"/>
        <w:gridCol w:w="4801"/>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152,323,040.13</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38,080,760.03</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-1,107,460.55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177,536.61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-9,658,521.52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3,278,980.26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-4,453,454.81</w:t>
            </w:r>
          </w:p>
        </w:tc>
      </w:tr>
      <w:tr>
        <w:trPr>
          <w:trHeight w:val="71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23,565,308.54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-12,399,712.49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7,845,746.35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4780"/>
        <w:gridCol w:w="4790"/>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-1,055,934.11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44,273,248.31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现金流量表项目" w:id="311"/>
      <w:bookmarkEnd w:id="311"/>
      <w:r>
        <w:rPr>
          <w:b w:val="0"/>
          <w:bCs w:val="0"/>
        </w:rPr>
      </w:r>
      <w:r>
        <w:rPr>
          <w:rFonts w:ascii="Times New Roman" w:hAnsi="Times New Roman" w:cs="Times New Roman" w:eastAsia="Times New Roman" w:hint="default"/>
        </w:rPr>
        <w:t>49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12"/>
      <w:bookmarkEnd w:id="31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422,706,755.48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46,968,093.21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1,652,959.26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1,138,590.42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38,186,528.95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20,603,138.03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16,615,035.01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38,812,628.50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3,605,199.95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241,283.23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482,766,478.65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107,763,733.39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345" w:lineRule="auto" w:before="131"/>
        <w:ind w:left="154" w:right="1157" w:firstLine="255"/>
        <w:jc w:val="left"/>
        <w:rPr>
          <w:rFonts w:ascii="宋体" w:hAnsi="宋体" w:cs="宋体" w:eastAsia="宋体" w:hint="default"/>
          <w:sz w:val="16"/>
          <w:szCs w:val="16"/>
        </w:rPr>
      </w:pPr>
      <w:r>
        <w:rPr>
          <w:rFonts w:ascii="宋体" w:hAnsi="宋体" w:cs="宋体" w:eastAsia="宋体" w:hint="default"/>
          <w:w w:val="95"/>
          <w:sz w:val="16"/>
          <w:szCs w:val="16"/>
        </w:rPr>
        <w:t>根据财政部于</w:t>
      </w:r>
      <w:r>
        <w:rPr>
          <w:rFonts w:ascii="Times New Roman" w:hAnsi="Times New Roman" w:cs="Times New Roman" w:eastAsia="Times New Roman" w:hint="default"/>
          <w:w w:val="95"/>
          <w:sz w:val="16"/>
          <w:szCs w:val="16"/>
        </w:rPr>
        <w:t>2018</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6</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15</w:t>
      </w:r>
      <w:r>
        <w:rPr>
          <w:rFonts w:ascii="宋体" w:hAnsi="宋体" w:cs="宋体" w:eastAsia="宋体" w:hint="default"/>
          <w:w w:val="95"/>
          <w:sz w:val="16"/>
          <w:szCs w:val="16"/>
        </w:rPr>
        <w:t>日发布的《关于修订印发</w:t>
      </w:r>
      <w:r>
        <w:rPr>
          <w:rFonts w:ascii="Times New Roman" w:hAnsi="Times New Roman" w:cs="Times New Roman" w:eastAsia="Times New Roman" w:hint="default"/>
          <w:w w:val="95"/>
          <w:sz w:val="16"/>
          <w:szCs w:val="16"/>
        </w:rPr>
        <w:t>2018</w:t>
      </w:r>
      <w:r>
        <w:rPr>
          <w:rFonts w:ascii="宋体" w:hAnsi="宋体" w:cs="宋体" w:eastAsia="宋体" w:hint="default"/>
          <w:w w:val="95"/>
          <w:sz w:val="16"/>
          <w:szCs w:val="16"/>
        </w:rPr>
        <w:t>年度一般企业财务报表格式的通知》，企业实际收到的政府补助，无论是与资</w:t>
      </w:r>
      <w:r>
        <w:rPr>
          <w:rFonts w:ascii="宋体" w:hAnsi="宋体" w:cs="宋体" w:eastAsia="宋体" w:hint="default"/>
          <w:spacing w:val="49"/>
          <w:w w:val="95"/>
          <w:sz w:val="16"/>
          <w:szCs w:val="16"/>
        </w:rPr>
        <w:t> </w:t>
      </w:r>
      <w:r>
        <w:rPr>
          <w:rFonts w:ascii="宋体" w:hAnsi="宋体" w:cs="宋体" w:eastAsia="宋体" w:hint="default"/>
          <w:spacing w:val="49"/>
          <w:w w:val="95"/>
          <w:sz w:val="16"/>
          <w:szCs w:val="16"/>
        </w:rPr>
      </w:r>
      <w:r>
        <w:rPr>
          <w:rFonts w:ascii="宋体" w:hAnsi="宋体" w:cs="宋体" w:eastAsia="宋体" w:hint="default"/>
          <w:sz w:val="16"/>
          <w:szCs w:val="16"/>
        </w:rPr>
        <w:t>产相关还是与收益相关，在编制现金流量表时均作为经营活动产生的现金流量列报。本报告期实际收到的与资产相关的政府补助</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374,376,300.00</w:t>
      </w:r>
      <w:r>
        <w:rPr>
          <w:rFonts w:ascii="宋体" w:hAnsi="宋体" w:cs="宋体" w:eastAsia="宋体" w:hint="default"/>
          <w:sz w:val="16"/>
          <w:szCs w:val="16"/>
        </w:rPr>
        <w:t>元在收到其他与经营活动有关的现金</w:t>
      </w:r>
      <w:r>
        <w:rPr>
          <w:rFonts w:ascii="Times New Roman" w:hAnsi="Times New Roman" w:cs="Times New Roman" w:eastAsia="Times New Roman" w:hint="default"/>
          <w:sz w:val="16"/>
          <w:szCs w:val="16"/>
        </w:rPr>
        <w:t>-</w:t>
      </w:r>
      <w:r>
        <w:rPr>
          <w:rFonts w:ascii="宋体" w:hAnsi="宋体" w:cs="宋体" w:eastAsia="宋体" w:hint="default"/>
          <w:sz w:val="16"/>
          <w:szCs w:val="16"/>
        </w:rPr>
        <w:t>政府补助列报，上期实际收到的与资产相关的政府补助</w:t>
      </w:r>
      <w:r>
        <w:rPr>
          <w:rFonts w:ascii="Times New Roman" w:hAnsi="Times New Roman" w:cs="Times New Roman" w:eastAsia="Times New Roman" w:hint="default"/>
          <w:sz w:val="16"/>
          <w:szCs w:val="16"/>
        </w:rPr>
        <w:t>207,093,697.25</w:t>
      </w:r>
      <w:r>
        <w:rPr>
          <w:rFonts w:ascii="宋体" w:hAnsi="宋体" w:cs="宋体" w:eastAsia="宋体" w:hint="default"/>
          <w:sz w:val="16"/>
          <w:szCs w:val="16"/>
        </w:rPr>
        <w:t>元在收到其他与</w:t>
      </w:r>
      <w:r>
        <w:rPr>
          <w:rFonts w:ascii="宋体" w:hAnsi="宋体" w:cs="宋体" w:eastAsia="宋体" w:hint="default"/>
          <w:w w:val="99"/>
          <w:sz w:val="16"/>
          <w:szCs w:val="16"/>
        </w:rPr>
        <w:t> </w:t>
      </w:r>
      <w:r>
        <w:rPr>
          <w:rFonts w:ascii="宋体" w:hAnsi="宋体" w:cs="宋体" w:eastAsia="宋体" w:hint="default"/>
          <w:sz w:val="16"/>
          <w:szCs w:val="16"/>
        </w:rPr>
        <w:t>投资活动有关的现金列报。</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2）支付的其他与经营活动有关的现金" w:id="313"/>
      <w:bookmarkEnd w:id="31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50,018,950.73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45,342,655.14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50,275,946.63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45,812,212.67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10,492,545.58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8,274,632.31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27,416,394.30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59,465,549.56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1,034,930.00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1,146,521.04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1,715,688.21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1,502,316.87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140,954,455.45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161,543,887.59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14"/>
      <w:bookmarkEnd w:id="31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207,093,697.25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合并子公司收到的现金净额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收到的征地费退回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208,093,697.25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345" w:lineRule="auto" w:before="131"/>
        <w:ind w:left="154" w:right="1157" w:firstLine="255"/>
        <w:jc w:val="left"/>
        <w:rPr>
          <w:rFonts w:ascii="宋体" w:hAnsi="宋体" w:cs="宋体" w:eastAsia="宋体" w:hint="default"/>
          <w:sz w:val="16"/>
          <w:szCs w:val="16"/>
        </w:rPr>
      </w:pPr>
      <w:r>
        <w:rPr>
          <w:rFonts w:ascii="宋体" w:hAnsi="宋体" w:cs="宋体" w:eastAsia="宋体" w:hint="default"/>
          <w:w w:val="95"/>
          <w:sz w:val="16"/>
          <w:szCs w:val="16"/>
        </w:rPr>
        <w:t>根据财政部于</w:t>
      </w:r>
      <w:r>
        <w:rPr>
          <w:rFonts w:ascii="Times New Roman" w:hAnsi="Times New Roman" w:cs="Times New Roman" w:eastAsia="Times New Roman" w:hint="default"/>
          <w:w w:val="95"/>
          <w:sz w:val="16"/>
          <w:szCs w:val="16"/>
        </w:rPr>
        <w:t>2018</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6</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15</w:t>
      </w:r>
      <w:r>
        <w:rPr>
          <w:rFonts w:ascii="宋体" w:hAnsi="宋体" w:cs="宋体" w:eastAsia="宋体" w:hint="default"/>
          <w:w w:val="95"/>
          <w:sz w:val="16"/>
          <w:szCs w:val="16"/>
        </w:rPr>
        <w:t>日发布的《关于修订印发</w:t>
      </w:r>
      <w:r>
        <w:rPr>
          <w:rFonts w:ascii="Times New Roman" w:hAnsi="Times New Roman" w:cs="Times New Roman" w:eastAsia="Times New Roman" w:hint="default"/>
          <w:w w:val="95"/>
          <w:sz w:val="16"/>
          <w:szCs w:val="16"/>
        </w:rPr>
        <w:t>2018</w:t>
      </w:r>
      <w:r>
        <w:rPr>
          <w:rFonts w:ascii="宋体" w:hAnsi="宋体" w:cs="宋体" w:eastAsia="宋体" w:hint="default"/>
          <w:w w:val="95"/>
          <w:sz w:val="16"/>
          <w:szCs w:val="16"/>
        </w:rPr>
        <w:t>年度一般企业财务报表格式的通知》，企业实际收到的政府补助，无论是与资</w:t>
      </w:r>
      <w:r>
        <w:rPr>
          <w:rFonts w:ascii="宋体" w:hAnsi="宋体" w:cs="宋体" w:eastAsia="宋体" w:hint="default"/>
          <w:spacing w:val="49"/>
          <w:w w:val="95"/>
          <w:sz w:val="16"/>
          <w:szCs w:val="16"/>
        </w:rPr>
        <w:t> </w:t>
      </w:r>
      <w:r>
        <w:rPr>
          <w:rFonts w:ascii="宋体" w:hAnsi="宋体" w:cs="宋体" w:eastAsia="宋体" w:hint="default"/>
          <w:spacing w:val="49"/>
          <w:w w:val="95"/>
          <w:sz w:val="16"/>
          <w:szCs w:val="16"/>
        </w:rPr>
      </w:r>
      <w:r>
        <w:rPr>
          <w:rFonts w:ascii="宋体" w:hAnsi="宋体" w:cs="宋体" w:eastAsia="宋体" w:hint="default"/>
          <w:sz w:val="16"/>
          <w:szCs w:val="16"/>
        </w:rPr>
        <w:t>产相关还是与收益相关，在编制现金流量表时均作为经营活动产生的现金流量列报。本报告期实际收到的与资产相关的政府补助</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374,376,300.00</w:t>
      </w:r>
      <w:r>
        <w:rPr>
          <w:rFonts w:ascii="宋体" w:hAnsi="宋体" w:cs="宋体" w:eastAsia="宋体" w:hint="default"/>
          <w:sz w:val="16"/>
          <w:szCs w:val="16"/>
        </w:rPr>
        <w:t>元在收到其他与经营活动有关的现金</w:t>
      </w:r>
      <w:r>
        <w:rPr>
          <w:rFonts w:ascii="Times New Roman" w:hAnsi="Times New Roman" w:cs="Times New Roman" w:eastAsia="Times New Roman" w:hint="default"/>
          <w:sz w:val="16"/>
          <w:szCs w:val="16"/>
        </w:rPr>
        <w:t>-</w:t>
      </w:r>
      <w:r>
        <w:rPr>
          <w:rFonts w:ascii="宋体" w:hAnsi="宋体" w:cs="宋体" w:eastAsia="宋体" w:hint="default"/>
          <w:sz w:val="16"/>
          <w:szCs w:val="16"/>
        </w:rPr>
        <w:t>政府补助列报，上期实际收到的与资产相关的政府补助</w:t>
      </w:r>
      <w:r>
        <w:rPr>
          <w:rFonts w:ascii="Times New Roman" w:hAnsi="Times New Roman" w:cs="Times New Roman" w:eastAsia="Times New Roman" w:hint="default"/>
          <w:sz w:val="16"/>
          <w:szCs w:val="16"/>
        </w:rPr>
        <w:t>207,093,697.25</w:t>
      </w:r>
      <w:r>
        <w:rPr>
          <w:rFonts w:ascii="宋体" w:hAnsi="宋体" w:cs="宋体" w:eastAsia="宋体" w:hint="default"/>
          <w:sz w:val="16"/>
          <w:szCs w:val="16"/>
        </w:rPr>
        <w:t>元在收到其他与</w:t>
      </w:r>
      <w:r>
        <w:rPr>
          <w:rFonts w:ascii="宋体" w:hAnsi="宋体" w:cs="宋体" w:eastAsia="宋体" w:hint="default"/>
          <w:w w:val="99"/>
          <w:sz w:val="16"/>
          <w:szCs w:val="16"/>
        </w:rPr>
        <w:t> </w:t>
      </w:r>
      <w:r>
        <w:rPr>
          <w:rFonts w:ascii="宋体" w:hAnsi="宋体" w:cs="宋体" w:eastAsia="宋体" w:hint="default"/>
          <w:sz w:val="16"/>
          <w:szCs w:val="16"/>
        </w:rPr>
        <w:t>投资活动有关的现金列报。</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bookmarkStart w:name="（4）支付的其他与筹资活动有关的现金" w:id="315"/>
      <w:bookmarkEnd w:id="315"/>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88"/>
        <w:gridCol w:w="3194"/>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归还其他借款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购买子公司少数股东权益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15,519,900.00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股利支付手续费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20,756.70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15,519,900.00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7,629,556.70</w:t>
            </w:r>
          </w:p>
        </w:tc>
      </w:tr>
    </w:tbl>
    <w:p>
      <w:pPr>
        <w:spacing w:line="357" w:lineRule="auto" w:before="51"/>
        <w:ind w:left="154" w:right="6972"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主要系支付购买少数股东权益形成的款项所致。</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0、现金流量表补充资料" w:id="316"/>
      <w:bookmarkEnd w:id="316"/>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17"/>
      <w:bookmarkEnd w:id="31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108,049,791.82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149,235,209.16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77,229,595.51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36,347,305.54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71,315,651.79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66,889,916.45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34,768,960.73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31,998,716.86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7,837,626.92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6,152,931.23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887,699.62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412,762.84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2.800003pt;margin-top:132.779984pt;width:150.1pt;height:39.75pt;mso-position-horizontal-relative:page;mso-position-vertical-relative:page;z-index:-1011208" coordorigin="4456,2656" coordsize="3002,795">
            <v:group style="position:absolute;left:4456;top:2656;width:3002;height:393" coordorigin="4456,2656" coordsize="3002,393">
              <v:shape style="position:absolute;left:4456;top:2656;width:3002;height:393" coordorigin="4456,2656" coordsize="3002,393" path="m4456,3048l7458,3048,7458,2656,4456,2656,4456,3048xe" filled="true" fillcolor="#ffffff" stroked="false">
                <v:path arrowok="t"/>
                <v:fill type="solid"/>
              </v:shape>
            </v:group>
            <v:group style="position:absolute;left:4456;top:3058;width:3002;height:393" coordorigin="4456,3058" coordsize="3002,393">
              <v:shape style="position:absolute;left:4456;top:3058;width:3002;height:393" coordorigin="4456,3058" coordsize="3002,393" path="m4456,3450l7458,3450,7458,3058,4456,3058,4456,3450xe" filled="true" fillcolor="#ffffff" stroked="false">
                <v:path arrowok="t"/>
                <v:fill type="solid"/>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3305"/>
        <w:gridCol w:w="1040"/>
        <w:gridCol w:w="202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7,532.58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42,802.09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54,548,905.17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44,655,635.13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-47,783,051.26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-24,548,997.37</w:t>
            </w:r>
          </w:p>
        </w:tc>
      </w:tr>
      <w:tr>
        <w:trPr>
          <w:trHeight w:val="402"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22"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10,579,874.55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-54,117,831.28</w:t>
            </w:r>
          </w:p>
        </w:tc>
      </w:tr>
      <w:tr>
        <w:trPr>
          <w:trHeight w:val="402"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22"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-980,536.12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-3,319,902.19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0" w:right="0"/>
              <w:jc w:val="left"/>
              <w:rPr>
                <w:rFonts w:ascii="Times New Roman" w:hAnsi="Times New Roman" w:cs="Times New Roman" w:eastAsia="Times New Roman" w:hint="default"/>
                <w:sz w:val="18"/>
                <w:szCs w:val="18"/>
              </w:rPr>
            </w:pPr>
            <w:r>
              <w:rPr>
                <w:rFonts w:ascii="Times New Roman"/>
                <w:sz w:val="18"/>
              </w:rPr>
              <w:t>-129,149,233.91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-35,742,538.41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0" w:right="0"/>
              <w:jc w:val="left"/>
              <w:rPr>
                <w:rFonts w:ascii="Times New Roman" w:hAnsi="Times New Roman" w:cs="Times New Roman" w:eastAsia="Times New Roman" w:hint="default"/>
                <w:sz w:val="18"/>
                <w:szCs w:val="18"/>
              </w:rPr>
            </w:pPr>
            <w:r>
              <w:rPr>
                <w:rFonts w:ascii="Times New Roman"/>
                <w:sz w:val="18"/>
              </w:rPr>
              <w:t>-82,484,597.24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-162,893,412.91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0" w:right="0"/>
              <w:jc w:val="left"/>
              <w:rPr>
                <w:rFonts w:ascii="Times New Roman" w:hAnsi="Times New Roman" w:cs="Times New Roman" w:eastAsia="Times New Roman" w:hint="default"/>
                <w:sz w:val="18"/>
                <w:szCs w:val="18"/>
              </w:rPr>
            </w:pPr>
            <w:r>
              <w:rPr>
                <w:rFonts w:ascii="Times New Roman"/>
                <w:sz w:val="18"/>
              </w:rPr>
              <w:t>423,835,490.60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76,134,101.89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528,663,710.76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131,246,699.03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1,448,127,233.04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771,007,515.74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771,007,515.74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626,390,764.93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677,119,717.30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144,616,750.81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18"/>
      <w:bookmarkEnd w:id="31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4966"/>
        <w:gridCol w:w="4592"/>
      </w:tblGrid>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百隆建筑</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19"/>
      <w:bookmarkEnd w:id="31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4966"/>
        <w:gridCol w:w="4592"/>
      </w:tblGrid>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2" w:hRule="exact"/>
        </w:trPr>
        <w:tc>
          <w:tcPr>
            <w:tcW w:w="4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4989"/>
        <w:gridCol w:w="4581"/>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上海英吉森消防设备有限公司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2,612.13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深圳市明咨物联科技有限公司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2,612.13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哈尔滨盈江科技有限公司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2,697,387.87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20"/>
      <w:bookmarkEnd w:id="32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1,448,127,233.04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771,007,515.74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279,050.29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304,726.71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1,446,994,428.79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770,693,576.53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853,753.96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9,212.50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1,448,127,233.04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771,007,515.74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1、所有者权益变动表项目注释" w:id="321"/>
      <w:bookmarkEnd w:id="321"/>
      <w:r>
        <w:rPr>
          <w:b w:val="0"/>
          <w:bCs w:val="0"/>
        </w:rPr>
      </w:r>
      <w:r>
        <w:rPr>
          <w:rFonts w:ascii="Times New Roman" w:hAnsi="Times New Roman" w:cs="Times New Roman" w:eastAsia="Times New Roman" w:hint="default"/>
        </w:rPr>
        <w:t>51</w:t>
      </w:r>
      <w:r>
        <w:rPr/>
        <w:t>、所有者权益变动表项目注释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pStyle w:val="BodyText"/>
        <w:spacing w:line="408" w:lineRule="auto" w:before="153"/>
        <w:ind w:right="1131" w:firstLine="420"/>
        <w:jc w:val="both"/>
      </w:pPr>
      <w:r>
        <w:rPr/>
        <w:t>所有者权益变动表“其他</w:t>
      </w:r>
      <w:r>
        <w:rPr>
          <w:rFonts w:ascii="宋体" w:hAnsi="宋体" w:cs="宋体" w:eastAsia="宋体" w:hint="default"/>
        </w:rPr>
        <w:t>-</w:t>
      </w:r>
      <w:r>
        <w:rPr/>
        <w:t>资本公积”项目增加</w:t>
      </w:r>
      <w:r>
        <w:rPr>
          <w:spacing w:val="-64"/>
        </w:rPr>
        <w:t> </w:t>
      </w:r>
      <w:r>
        <w:rPr>
          <w:rFonts w:ascii="宋体" w:hAnsi="宋体" w:cs="宋体" w:eastAsia="宋体" w:hint="default"/>
        </w:rPr>
        <w:t>6,563,242.10</w:t>
      </w:r>
      <w:r>
        <w:rPr>
          <w:rFonts w:ascii="宋体" w:hAnsi="宋体" w:cs="宋体" w:eastAsia="宋体" w:hint="default"/>
          <w:spacing w:val="-66"/>
        </w:rPr>
        <w:t> </w:t>
      </w:r>
      <w:r>
        <w:rPr/>
        <w:t>元系权益法核算的联营单位泰瑞数创科 </w:t>
      </w:r>
      <w:r>
        <w:rPr>
          <w:spacing w:val="-1"/>
        </w:rPr>
        <w:t>技（北京）有限公司增资形成公司享有的被投资单位除净利润、利润分配以及其他综合收益以外所有者权</w:t>
      </w:r>
      <w:r>
        <w:rPr>
          <w:spacing w:val="-83"/>
        </w:rPr>
        <w:t> </w:t>
      </w:r>
      <w:r>
        <w:rPr>
          <w:spacing w:val="-83"/>
        </w:rPr>
      </w:r>
      <w:r>
        <w:rPr/>
        <w:t>益的其他变动所致。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52、所有权或使用权受到限制的资产" w:id="322"/>
      <w:bookmarkEnd w:id="322"/>
      <w:r>
        <w:rPr>
          <w:b w:val="0"/>
          <w:bCs w:val="0"/>
        </w:rPr>
      </w:r>
      <w:r>
        <w:rPr>
          <w:rFonts w:ascii="Times New Roman" w:hAnsi="Times New Roman" w:cs="Times New Roman" w:eastAsia="Times New Roman" w:hint="default"/>
        </w:rPr>
        <w:t>52</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4,393,518.00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6,714,992.46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97,012,457.52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4,816,555.11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328"/>
        <w:gridCol w:w="3058"/>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3,766,995.44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116,704,518.53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3、外币货币性项目" w:id="323"/>
      <w:bookmarkEnd w:id="323"/>
      <w:r>
        <w:rPr>
          <w:b w:val="0"/>
          <w:bCs w:val="0"/>
        </w:rPr>
      </w:r>
      <w:r>
        <w:rPr>
          <w:rFonts w:ascii="Times New Roman" w:hAnsi="Times New Roman" w:cs="Times New Roman" w:eastAsia="Times New Roman" w:hint="default"/>
        </w:rPr>
        <w:t>53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24"/>
      <w:bookmarkEnd w:id="32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496"/>
        <w:gridCol w:w="2294"/>
        <w:gridCol w:w="2390"/>
        <w:gridCol w:w="2390"/>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12,503,137.56</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1,667,952.24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11,447,839.64</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134,269.04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1,053,649.44</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1,648.48</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2,279,090.47</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309,711.43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2,125,611.49</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19,558.19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153,478.98</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4、政府补助" w:id="325"/>
      <w:bookmarkEnd w:id="325"/>
      <w:r>
        <w:rPr>
          <w:b w:val="0"/>
          <w:bCs w:val="0"/>
        </w:rPr>
      </w:r>
      <w:r>
        <w:rPr>
          <w:rFonts w:ascii="Times New Roman" w:hAnsi="Times New Roman" w:cs="Times New Roman" w:eastAsia="Times New Roman" w:hint="default"/>
        </w:rPr>
        <w:t>54</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26"/>
      <w:bookmarkEnd w:id="32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287"/>
        <w:gridCol w:w="1417"/>
        <w:gridCol w:w="2127"/>
        <w:gridCol w:w="1738"/>
      </w:tblGrid>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城市基础设施配套费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365,376,300.00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345,887,650.15 </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19,488,649.85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19,488,649.85</w:t>
            </w:r>
          </w:p>
        </w:tc>
      </w:tr>
      <w:tr>
        <w:trPr>
          <w:trHeight w:val="715"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年新一代信息基础设施和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重大工程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248"/>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7,058,823.52 </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2,941,176.48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2,941,176.48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4287"/>
        <w:gridCol w:w="1417"/>
        <w:gridCol w:w="2127"/>
        <w:gridCol w:w="1738"/>
      </w:tblGrid>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能源补助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软件企业增值税退税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8,352,781.51</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8,352,781.51</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年科技型企业研发费用后补助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年度科技重大专项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闽侯财政局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年科技小巨人研发费用加计扣除补助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鼓楼区财政局省级企业技术中心市级奖励金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年度科技重大专项连续支持项目经费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管委会科技局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年度科技创新优秀企业奖励款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郑州高新区管委会财政局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年省产业聚集区科研服 务平台专项资金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福州市财政局下发中小企业发展专项资金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480,000.00</w:t>
            </w:r>
          </w:p>
        </w:tc>
      </w:tr>
      <w:tr>
        <w:trPr>
          <w:trHeight w:val="71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管委会财政金融局补助款</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年河南研究开发资金和 市配套资金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鼓楼区财政局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年第二批省级技术创新专项资金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年河南省研究开发资金和市配套资金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375,000.00</w:t>
            </w:r>
          </w:p>
        </w:tc>
      </w:tr>
      <w:tr>
        <w:trPr>
          <w:trHeight w:val="71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危险化学品事故应急快速响应软硬件装备产业化关键 技术开发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344,000.04</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344,000.04</w:t>
            </w:r>
          </w:p>
        </w:tc>
      </w:tr>
      <w:tr>
        <w:trPr>
          <w:trHeight w:val="402" w:hRule="exact"/>
        </w:trPr>
        <w:tc>
          <w:tcPr>
            <w:tcW w:w="4287" w:type="dxa"/>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中国人民解放军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项目款</w:t>
            </w:r>
          </w:p>
        </w:tc>
        <w:tc>
          <w:tcPr>
            <w:tcW w:w="141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331,800.00</w:t>
            </w:r>
          </w:p>
        </w:tc>
        <w:tc>
          <w:tcPr>
            <w:tcW w:w="2127" w:type="dxa"/>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331,800.00</w:t>
            </w:r>
          </w:p>
        </w:tc>
      </w:tr>
      <w:tr>
        <w:trPr>
          <w:trHeight w:val="552" w:hRule="exact"/>
        </w:trPr>
        <w:tc>
          <w:tcPr>
            <w:tcW w:w="4287" w:type="dxa"/>
            <w:tcBorders>
              <w:top w:val="single" w:sz="4" w:space="0" w:color="FFFFFF"/>
              <w:left w:val="single" w:sz="4" w:space="0" w:color="000000"/>
              <w:bottom w:val="single" w:sz="4" w:space="0" w:color="000000"/>
              <w:right w:val="single" w:sz="4" w:space="0" w:color="000000"/>
            </w:tcBorders>
            <w:shd w:val="clear" w:color="auto" w:fill="CCE8CF"/>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财政局新型研发奖励金</w:t>
            </w:r>
          </w:p>
        </w:tc>
        <w:tc>
          <w:tcPr>
            <w:tcW w:w="14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127" w:type="dxa"/>
            <w:tcBorders>
              <w:top w:val="single" w:sz="4" w:space="0" w:color="FFFFFF"/>
              <w:left w:val="single" w:sz="4" w:space="0" w:color="000000"/>
              <w:bottom w:val="single" w:sz="4" w:space="0" w:color="000000"/>
              <w:right w:val="single" w:sz="4" w:space="0" w:color="000000"/>
            </w:tcBorders>
            <w:shd w:val="clear" w:color="auto" w:fill="CCE8CF"/>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高新区财政国库支付中心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年首次认定高新技术企 业奖励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危险化学品事故应急快速响应软硬件装备产业化关键 技术开发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280,523.64</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280,523.64</w:t>
            </w:r>
          </w:p>
        </w:tc>
      </w:tr>
      <w:tr>
        <w:trPr>
          <w:trHeight w:val="56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年度企业研究开发省级财政补助项目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248,500.00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248,500.00</w:t>
            </w:r>
          </w:p>
        </w:tc>
      </w:tr>
      <w:tr>
        <w:trPr>
          <w:trHeight w:val="58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42"/>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JY-RTO</w:t>
            </w:r>
            <w:r>
              <w:rPr>
                <w:rFonts w:ascii="Times New Roman" w:hAnsi="Times New Roman" w:cs="Times New Roman" w:eastAsia="Times New Roman" w:hint="default"/>
                <w:sz w:val="18"/>
                <w:szCs w:val="18"/>
              </w:rPr>
              <w:t> </w:t>
            </w:r>
            <w:r>
              <w:rPr>
                <w:rFonts w:ascii="宋体" w:hAnsi="宋体" w:cs="宋体" w:eastAsia="宋体" w:hint="default"/>
                <w:sz w:val="18"/>
                <w:szCs w:val="18"/>
              </w:rPr>
              <w:t>型大风量复杂挥发性有机气体控制项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r>
      <w:tr>
        <w:trPr>
          <w:trHeight w:val="462"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安全生产网络一体化监控系统关键技术开发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219,999.96</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219,999.96</w:t>
            </w:r>
          </w:p>
        </w:tc>
      </w:tr>
      <w:tr>
        <w:trPr>
          <w:trHeight w:val="484" w:hRule="exact"/>
        </w:trPr>
        <w:tc>
          <w:tcPr>
            <w:tcW w:w="42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宋体" w:hAnsi="宋体" w:cs="宋体" w:eastAsia="宋体" w:hint="default"/>
                <w:sz w:val="18"/>
                <w:szCs w:val="18"/>
              </w:rPr>
            </w:pPr>
            <w:r>
              <w:rPr>
                <w:rFonts w:ascii="宋体" w:hAnsi="宋体" w:cs="宋体" w:eastAsia="宋体" w:hint="default"/>
                <w:sz w:val="18"/>
                <w:szCs w:val="18"/>
              </w:rPr>
              <w:t>其他政府补助项目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pacing w:val="-1"/>
                <w:sz w:val="18"/>
              </w:rPr>
              <w:t>5,590,092.93</w:t>
            </w:r>
          </w:p>
        </w:tc>
        <w:tc>
          <w:tcPr>
            <w:tcW w:w="2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pacing w:val="-1"/>
                <w:sz w:val="18"/>
              </w:rPr>
              <w:t>5,590,092.93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八、合并范围的变更" w:id="327"/>
      <w:bookmarkEnd w:id="32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处置子公司" w:id="328"/>
      <w:bookmarkEnd w:id="328"/>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737"/>
        <w:gridCol w:w="736"/>
        <w:gridCol w:w="737"/>
        <w:gridCol w:w="734"/>
        <w:gridCol w:w="736"/>
        <w:gridCol w:w="735"/>
        <w:gridCol w:w="736"/>
        <w:gridCol w:w="734"/>
        <w:gridCol w:w="737"/>
        <w:gridCol w:w="737"/>
        <w:gridCol w:w="736"/>
        <w:gridCol w:w="736"/>
        <w:gridCol w:w="737"/>
      </w:tblGrid>
      <w:tr>
        <w:trPr>
          <w:trHeight w:val="3834"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3"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0"/>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2"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2"/>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82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0"/>
              <w:ind w:left="24" w:right="161"/>
              <w:jc w:val="both"/>
              <w:rPr>
                <w:rFonts w:ascii="宋体" w:hAnsi="宋体" w:cs="宋体" w:eastAsia="宋体" w:hint="default"/>
                <w:sz w:val="18"/>
                <w:szCs w:val="18"/>
              </w:rPr>
            </w:pPr>
            <w:r>
              <w:rPr>
                <w:rFonts w:ascii="宋体" w:hAnsi="宋体" w:cs="宋体" w:eastAsia="宋体" w:hint="default"/>
                <w:sz w:val="18"/>
                <w:szCs w:val="18"/>
              </w:rPr>
              <w:t>深圳市 明咨物 联科技 有限公 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2" w:right="160"/>
              <w:jc w:val="left"/>
              <w:rPr>
                <w:rFonts w:ascii="宋体" w:hAnsi="宋体" w:cs="宋体" w:eastAsia="宋体" w:hint="default"/>
                <w:sz w:val="18"/>
                <w:szCs w:val="18"/>
              </w:rPr>
            </w:pPr>
            <w:r>
              <w:rPr>
                <w:rFonts w:ascii="宋体" w:hAnsi="宋体" w:cs="宋体" w:eastAsia="宋体" w:hint="default"/>
                <w:sz w:val="18"/>
                <w:szCs w:val="18"/>
              </w:rPr>
              <w:t>工商变 更日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85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3"/>
              <w:ind w:left="24" w:right="161"/>
              <w:jc w:val="both"/>
              <w:rPr>
                <w:rFonts w:ascii="宋体" w:hAnsi="宋体" w:cs="宋体" w:eastAsia="宋体" w:hint="default"/>
                <w:sz w:val="18"/>
                <w:szCs w:val="18"/>
              </w:rPr>
            </w:pPr>
            <w:r>
              <w:rPr>
                <w:rFonts w:ascii="宋体" w:hAnsi="宋体" w:cs="宋体" w:eastAsia="宋体" w:hint="default"/>
                <w:sz w:val="18"/>
                <w:szCs w:val="18"/>
              </w:rPr>
              <w:t>上海英 吉森消 防设备 有限公 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22" w:right="160"/>
              <w:jc w:val="left"/>
              <w:rPr>
                <w:rFonts w:ascii="宋体" w:hAnsi="宋体" w:cs="宋体" w:eastAsia="宋体" w:hint="default"/>
                <w:sz w:val="18"/>
                <w:szCs w:val="18"/>
              </w:rPr>
            </w:pPr>
            <w:r>
              <w:rPr>
                <w:rFonts w:ascii="宋体" w:hAnsi="宋体" w:cs="宋体" w:eastAsia="宋体" w:hint="default"/>
                <w:sz w:val="18"/>
                <w:szCs w:val="18"/>
              </w:rPr>
              <w:t>工商变 更日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4992"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其他原因的合并范围变动" w:id="329"/>
      <w:bookmarkEnd w:id="329"/>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12"/>
          <w:szCs w:val="12"/>
        </w:rPr>
      </w:pPr>
    </w:p>
    <w:p>
      <w:pPr>
        <w:pStyle w:val="BodyText"/>
        <w:spacing w:line="408" w:lineRule="auto" w:before="0"/>
        <w:ind w:right="1127" w:firstLine="420"/>
        <w:jc w:val="left"/>
      </w:pPr>
      <w:r>
        <w:rPr>
          <w:rFonts w:ascii="宋体" w:hAnsi="宋体" w:cs="宋体" w:eastAsia="宋体" w:hint="default"/>
        </w:rPr>
        <w:t>2018</w:t>
      </w:r>
      <w:r>
        <w:rPr>
          <w:rFonts w:ascii="宋体" w:hAnsi="宋体" w:cs="宋体" w:eastAsia="宋体" w:hint="default"/>
          <w:spacing w:val="-51"/>
        </w:rPr>
        <w:t> </w:t>
      </w:r>
      <w:r>
        <w:rPr/>
        <w:t>年</w:t>
      </w:r>
      <w:r>
        <w:rPr>
          <w:spacing w:val="-52"/>
        </w:rPr>
        <w:t> </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rPr>
        <w:t>27</w:t>
      </w:r>
      <w:r>
        <w:rPr>
          <w:rFonts w:ascii="宋体" w:hAnsi="宋体" w:cs="宋体" w:eastAsia="宋体" w:hint="default"/>
          <w:spacing w:val="-51"/>
        </w:rPr>
        <w:t> </w:t>
      </w:r>
      <w:r>
        <w:rPr>
          <w:spacing w:val="-5"/>
        </w:rPr>
        <w:t>日，本公司设立子公司汉威智慧消防，截至</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日本公司按照实缴出资的 持股比例</w:t>
      </w:r>
      <w:r>
        <w:rPr>
          <w:spacing w:val="-54"/>
        </w:rPr>
        <w:t> </w:t>
      </w:r>
      <w:r>
        <w:rPr>
          <w:rFonts w:ascii="宋体" w:hAnsi="宋体" w:cs="宋体" w:eastAsia="宋体" w:hint="default"/>
        </w:rPr>
        <w:t>70.59%</w:t>
      </w:r>
      <w:r>
        <w:rPr/>
        <w:t>，本报告期将汉威智慧消防纳入合并范围。</w:t>
      </w:r>
    </w:p>
    <w:p>
      <w:pPr>
        <w:pStyle w:val="BodyText"/>
        <w:spacing w:line="408" w:lineRule="auto"/>
        <w:ind w:right="1125" w:firstLine="420"/>
        <w:jc w:val="left"/>
      </w:pPr>
      <w:r>
        <w:rPr>
          <w:rFonts w:ascii="宋体" w:hAnsi="宋体" w:cs="宋体" w:eastAsia="宋体" w:hint="default"/>
        </w:rPr>
        <w:t>2018</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12</w:t>
      </w:r>
      <w:r>
        <w:rPr>
          <w:rFonts w:ascii="宋体" w:hAnsi="宋体" w:cs="宋体" w:eastAsia="宋体" w:hint="default"/>
          <w:spacing w:val="-51"/>
        </w:rPr>
        <w:t> </w:t>
      </w:r>
      <w:r>
        <w:rPr>
          <w:spacing w:val="-5"/>
        </w:rPr>
        <w:t>日，子公司广东龙泉设立广州全通，截至</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日广东龙泉按照实缴出资的 持股比例</w:t>
      </w:r>
      <w:r>
        <w:rPr>
          <w:spacing w:val="-54"/>
        </w:rPr>
        <w:t> </w:t>
      </w:r>
      <w:r>
        <w:rPr>
          <w:rFonts w:ascii="宋体" w:hAnsi="宋体" w:cs="宋体" w:eastAsia="宋体" w:hint="default"/>
        </w:rPr>
        <w:t>100.00%</w:t>
      </w:r>
      <w:r>
        <w:rPr/>
        <w:t>，本报告期将广州全通纳入合并范围。</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在其他主体中的权益" w:id="330"/>
      <w:bookmarkEnd w:id="33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31"/>
      <w:bookmarkEnd w:id="33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32"/>
      <w:bookmarkEnd w:id="33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168"/>
        <w:gridCol w:w="1571"/>
        <w:gridCol w:w="697"/>
        <w:gridCol w:w="3119"/>
        <w:gridCol w:w="851"/>
        <w:gridCol w:w="1276"/>
        <w:gridCol w:w="890"/>
      </w:tblGrid>
      <w:tr>
        <w:trPr>
          <w:trHeight w:val="402" w:hRule="exact"/>
        </w:trPr>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168"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3119"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气敏元件、传感器的开发、生产、销售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监控、检测仪表的研发、生产、销售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技术推广、自主经营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公共安全设备及器材的研发、销售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电子地图、地理信息工程项目开发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仪器仪表研发、生产、销售、技术服务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公共、环保领域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SCADA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系统开发、设 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废水、废气环保工程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60.67%</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城市基础设施建设、工程设计及施工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技术推广服务及电子产品销售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技术推广服务及电子产品销售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智能水表及智能软件系统的研发、销售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软件、系统开发及管线测漏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软件、系统开发及运营维护</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99.09%</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百隆建筑</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市政公用工程施工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电子产品的研发及销售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14"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环境监测、公共卫生检测与评价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城市供热工程的承包、建设及运营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上海祥云</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数据服务，技术开发、咨询、服务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数据科技等领域内的技术开发、咨询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15" w:type="dxa"/>
        <w:tblLayout w:type="fixed"/>
        <w:tblCellMar>
          <w:top w:w="0" w:type="dxa"/>
          <w:left w:w="0" w:type="dxa"/>
          <w:bottom w:w="0" w:type="dxa"/>
          <w:right w:w="0" w:type="dxa"/>
        </w:tblCellMar>
        <w:tblLook w:val="01E0"/>
      </w:tblPr>
      <w:tblGrid>
        <w:gridCol w:w="1168"/>
        <w:gridCol w:w="1571"/>
        <w:gridCol w:w="697"/>
        <w:gridCol w:w="3119"/>
        <w:gridCol w:w="851"/>
        <w:gridCol w:w="1276"/>
        <w:gridCol w:w="890"/>
      </w:tblGrid>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检测仪器仪表的研发、生产、销售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传感器、检测仪器的研发、生产、销售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51.09%</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消防专用设备研发、生产、销售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240" w:lineRule="auto" w:before="12"/>
        <w:rPr>
          <w:rFonts w:ascii="宋体" w:hAnsi="宋体" w:cs="宋体" w:eastAsia="宋体" w:hint="default"/>
          <w:sz w:val="12"/>
          <w:szCs w:val="12"/>
        </w:rPr>
      </w:pPr>
    </w:p>
    <w:p>
      <w:pPr>
        <w:pStyle w:val="BodyText"/>
        <w:spacing w:line="408" w:lineRule="auto" w:before="0"/>
        <w:ind w:right="1130" w:firstLine="420"/>
        <w:jc w:val="right"/>
        <w:rPr>
          <w:rFonts w:ascii="宋体" w:hAnsi="宋体" w:cs="宋体" w:eastAsia="宋体" w:hint="default"/>
        </w:rPr>
      </w:pPr>
      <w:r>
        <w:rPr/>
        <w:t>子公司嘉园环保股权持股比例 </w:t>
      </w:r>
      <w:r>
        <w:rPr>
          <w:rFonts w:ascii="宋体" w:hAnsi="宋体" w:cs="宋体" w:eastAsia="宋体" w:hint="default"/>
        </w:rPr>
        <w:t>60.67%</w:t>
      </w:r>
      <w:r>
        <w:rPr/>
        <w:t>，表决权比例</w:t>
      </w:r>
      <w:r>
        <w:rPr>
          <w:spacing w:val="-26"/>
        </w:rPr>
        <w:t> </w:t>
      </w:r>
      <w:r>
        <w:rPr>
          <w:rFonts w:ascii="宋体" w:hAnsi="宋体" w:cs="宋体" w:eastAsia="宋体" w:hint="default"/>
        </w:rPr>
        <w:t>80.00%</w:t>
      </w:r>
      <w:r>
        <w:rPr/>
        <w:t>，持股比例不同于表决权比例。根据本公 </w:t>
      </w:r>
      <w:r>
        <w:rPr>
          <w:spacing w:val="-7"/>
        </w:rPr>
        <w:t>司与招商证券资产管理有限公司签订的《股权转让及回购协议》，在本公司股权回购前提下申请融资</w:t>
      </w:r>
      <w:r>
        <w:rPr>
          <w:spacing w:val="-30"/>
        </w:rPr>
        <w:t> </w:t>
      </w:r>
      <w:r>
        <w:rPr>
          <w:rFonts w:ascii="宋体" w:hAnsi="宋体" w:cs="宋体" w:eastAsia="宋体" w:hint="default"/>
        </w:rPr>
        <w:t>30,000</w:t>
      </w:r>
    </w:p>
    <w:p>
      <w:pPr>
        <w:pStyle w:val="BodyText"/>
        <w:spacing w:line="408" w:lineRule="auto"/>
        <w:ind w:right="1131"/>
        <w:jc w:val="both"/>
      </w:pPr>
      <w:r>
        <w:rPr/>
        <w:t>万元并转让嘉园环保</w:t>
      </w:r>
      <w:r>
        <w:rPr>
          <w:spacing w:val="-50"/>
        </w:rPr>
        <w:t> </w:t>
      </w:r>
      <w:r>
        <w:rPr>
          <w:rFonts w:ascii="宋体" w:hAnsi="宋体" w:cs="宋体" w:eastAsia="宋体" w:hint="default"/>
        </w:rPr>
        <w:t>29%</w:t>
      </w:r>
      <w:r>
        <w:rPr/>
        <w:t>股权，截至</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t>日，融资余额</w:t>
      </w:r>
      <w:r>
        <w:rPr>
          <w:spacing w:val="-50"/>
        </w:rPr>
        <w:t> </w:t>
      </w:r>
      <w:r>
        <w:rPr>
          <w:rFonts w:ascii="宋体" w:hAnsi="宋体" w:cs="宋体" w:eastAsia="宋体" w:hint="default"/>
        </w:rPr>
        <w:t>20,000</w:t>
      </w:r>
      <w:r>
        <w:rPr>
          <w:rFonts w:ascii="宋体" w:hAnsi="宋体" w:cs="宋体" w:eastAsia="宋体" w:hint="default"/>
          <w:spacing w:val="-51"/>
        </w:rPr>
        <w:t> </w:t>
      </w:r>
      <w:r>
        <w:rPr/>
        <w:t>万元，招商证券资产管理有限 公司持有嘉园环保</w:t>
      </w:r>
      <w:r>
        <w:rPr>
          <w:spacing w:val="-48"/>
        </w:rPr>
        <w:t> </w:t>
      </w:r>
      <w:r>
        <w:rPr>
          <w:rFonts w:ascii="宋体" w:hAnsi="宋体" w:cs="宋体" w:eastAsia="宋体" w:hint="default"/>
          <w:spacing w:val="-2"/>
        </w:rPr>
        <w:t>19.33%</w:t>
      </w:r>
      <w:r>
        <w:rPr>
          <w:spacing w:val="-2"/>
        </w:rPr>
        <w:t>股权，协议约定招商证券资产管理有限公司转让取得的嘉园环保股权委托本公司</w:t>
      </w:r>
      <w:r>
        <w:rPr/>
        <w:t> 进行管理。</w:t>
      </w:r>
    </w:p>
    <w:p>
      <w:pPr>
        <w:spacing w:line="360" w:lineRule="auto" w:before="34"/>
        <w:ind w:left="154" w:right="2832"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2）重要的非全资子公司" w:id="333"/>
      <w:bookmarkEnd w:id="33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917"/>
        <w:gridCol w:w="1914"/>
        <w:gridCol w:w="1914"/>
        <w:gridCol w:w="1913"/>
        <w:gridCol w:w="1914"/>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2,816,086.11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83,568,884.64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12,492,676.67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218,294,208.41</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30,481,322.88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196,073,798.19</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重要非全资子公司的主要财务信息" w:id="334"/>
      <w:bookmarkEnd w:id="33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37"/>
        <w:gridCol w:w="736"/>
        <w:gridCol w:w="737"/>
        <w:gridCol w:w="736"/>
        <w:gridCol w:w="736"/>
        <w:gridCol w:w="736"/>
        <w:gridCol w:w="734"/>
        <w:gridCol w:w="736"/>
        <w:gridCol w:w="734"/>
        <w:gridCol w:w="736"/>
        <w:gridCol w:w="737"/>
        <w:gridCol w:w="736"/>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3"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2"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3"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嘉园环 保</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334,401,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077.35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481,527,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640.28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815,928,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717.63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297,707,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028.64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143,685,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495.16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441,392,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523.80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343,069,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905.20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367,156,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525.02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710,226,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430.22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214,571,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910.56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146,436,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529.11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361,008,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439.67</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汉威公 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926,733,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517.75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400,321,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754.21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1,327,05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5,271.96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283,481,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667.21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419,875,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866.44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703,357,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533.65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779,406,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220.88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405,916,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369.53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1,185,32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2,590.41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219,003,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984.28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378,314,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229.16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597,318,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213.44</w:t>
            </w:r>
          </w:p>
        </w:tc>
      </w:tr>
      <w:tr>
        <w:trPr>
          <w:trHeight w:val="71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汉威智 源</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1,220,35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2,546.89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487,970,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696.68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1,708,32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3,243.57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572,960,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678.77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575,151,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712.84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1,148,11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2,391.61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815,351,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658.40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439,217,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1,254,56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8,751.84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464,684,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476.13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316,762,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917.69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781,447,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393.82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062"/>
        <w:gridCol w:w="1061"/>
        <w:gridCol w:w="1062"/>
        <w:gridCol w:w="1065"/>
        <w:gridCol w:w="1066"/>
        <w:gridCol w:w="1063"/>
        <w:gridCol w:w="1064"/>
        <w:gridCol w:w="1062"/>
        <w:gridCol w:w="1067"/>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8"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326,232,741.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25,318,203.2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25,318,203.2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-15,782,127.3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308,359,669.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40,711,761.8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40,711,761.8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-21,207,679.7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201,754,647.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35,693,361.3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35,693,361.3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43,594,664.3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243,876,937.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45,629,435.6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45,629,435.6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-26,860,485.9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235,374,321.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87,089,493.9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87,089,493.9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325,633,821.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193,810,010.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30,016,866.9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30,016,866.9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-299,020,597.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335"/>
      <w:bookmarkEnd w:id="33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336"/>
      <w:bookmarkEnd w:id="33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19" w:firstLine="420"/>
        <w:jc w:val="left"/>
      </w:pPr>
      <w:r>
        <w:rPr/>
        <w:t>根据本公司与雪城软件于</w:t>
      </w:r>
      <w:r>
        <w:rPr>
          <w:spacing w:val="-38"/>
        </w:rPr>
        <w:t> </w:t>
      </w:r>
      <w:r>
        <w:rPr>
          <w:rFonts w:ascii="宋体" w:hAnsi="宋体" w:cs="宋体" w:eastAsia="宋体" w:hint="default"/>
        </w:rPr>
        <w:t>2018</w:t>
      </w:r>
      <w:r>
        <w:rPr>
          <w:rFonts w:ascii="宋体" w:hAnsi="宋体" w:cs="宋体" w:eastAsia="宋体" w:hint="default"/>
          <w:spacing w:val="-38"/>
        </w:rPr>
        <w:t> </w:t>
      </w:r>
      <w:r>
        <w:rPr/>
        <w:t>年</w:t>
      </w:r>
      <w:r>
        <w:rPr>
          <w:spacing w:val="-38"/>
        </w:rPr>
        <w:t> </w:t>
      </w:r>
      <w:r>
        <w:rPr>
          <w:rFonts w:ascii="宋体" w:hAnsi="宋体" w:cs="宋体" w:eastAsia="宋体" w:hint="default"/>
        </w:rPr>
        <w:t>2</w:t>
      </w:r>
      <w:r>
        <w:rPr>
          <w:rFonts w:ascii="宋体" w:hAnsi="宋体" w:cs="宋体" w:eastAsia="宋体" w:hint="default"/>
          <w:spacing w:val="-40"/>
        </w:rPr>
        <w:t> </w:t>
      </w:r>
      <w:r>
        <w:rPr>
          <w:spacing w:val="-5"/>
        </w:rPr>
        <w:t>月签订的《增资协议书》，本公司对雪城软件增资</w:t>
      </w:r>
      <w:r>
        <w:rPr>
          <w:spacing w:val="-38"/>
        </w:rPr>
        <w:t> </w:t>
      </w:r>
      <w:r>
        <w:rPr>
          <w:rFonts w:ascii="宋体" w:hAnsi="宋体" w:cs="宋体" w:eastAsia="宋体" w:hint="default"/>
        </w:rPr>
        <w:t>990.00</w:t>
      </w:r>
      <w:r>
        <w:rPr>
          <w:rFonts w:ascii="宋体" w:hAnsi="宋体" w:cs="宋体" w:eastAsia="宋体" w:hint="default"/>
          <w:spacing w:val="-37"/>
        </w:rPr>
        <w:t> </w:t>
      </w:r>
      <w:r>
        <w:rPr>
          <w:spacing w:val="-1"/>
        </w:rPr>
        <w:t>万元，</w:t>
      </w:r>
      <w:r>
        <w:rPr/>
        <w:t> 增资后持有雪城软件比例由</w:t>
      </w:r>
      <w:r>
        <w:rPr>
          <w:spacing w:val="-52"/>
        </w:rPr>
        <w:t> </w:t>
      </w:r>
      <w:r>
        <w:rPr>
          <w:rFonts w:ascii="宋体" w:hAnsi="宋体" w:cs="宋体" w:eastAsia="宋体" w:hint="default"/>
        </w:rPr>
        <w:t>98.50%</w:t>
      </w:r>
      <w:r>
        <w:rPr/>
        <w:t>变更为</w:t>
      </w:r>
      <w:r>
        <w:rPr>
          <w:spacing w:val="-52"/>
        </w:rPr>
        <w:t> </w:t>
      </w:r>
      <w:r>
        <w:rPr>
          <w:rFonts w:ascii="宋体" w:hAnsi="宋体" w:cs="宋体" w:eastAsia="宋体" w:hint="default"/>
        </w:rPr>
        <w:t>99.09%</w:t>
      </w:r>
      <w:r>
        <w:rPr/>
        <w:t>。</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交易对于少数股东权益及归属于母公司所有者权益的影响" w:id="337"/>
      <w:bookmarkEnd w:id="33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10,026,077.69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126,077.69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126,077.69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在合营安排或联营企业中的权益" w:id="338"/>
      <w:bookmarkEnd w:id="33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不重要的合营企业和联营企业的汇总财务信息" w:id="339"/>
      <w:bookmarkEnd w:id="339"/>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51,552,398.54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50,518,048.60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1,034,349.93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321,410.47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1,034,349.93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321,410.47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44,289,503.40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34,310,764.49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3,415,496.81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4,726,890.10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3,415,496.81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4,726,890.10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关联方及关联交易" w:id="340"/>
      <w:bookmarkEnd w:id="340"/>
      <w:r>
        <w:rPr>
          <w:b w:val="0"/>
          <w:bCs w:val="0"/>
        </w:rPr>
      </w:r>
      <w:r>
        <w:rPr/>
        <w:t>十、关联方及关联交易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41"/>
      <w:bookmarkEnd w:id="34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596"/>
        <w:gridCol w:w="1594"/>
        <w:gridCol w:w="1594"/>
        <w:gridCol w:w="1595"/>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2"/>
        <w:ind w:left="154" w:right="787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本企业最终控制方是任红军、钟超。 其他说明：</w:t>
      </w:r>
    </w:p>
    <w:p>
      <w:pPr>
        <w:spacing w:line="240" w:lineRule="auto" w:before="11"/>
        <w:rPr>
          <w:rFonts w:ascii="宋体" w:hAnsi="宋体" w:cs="宋体" w:eastAsia="宋体" w:hint="default"/>
          <w:sz w:val="19"/>
          <w:szCs w:val="19"/>
        </w:rPr>
      </w:pPr>
    </w:p>
    <w:p>
      <w:pPr>
        <w:spacing w:line="547" w:lineRule="auto" w:before="0"/>
        <w:ind w:left="154" w:right="4677" w:firstLine="0"/>
        <w:jc w:val="left"/>
        <w:rPr>
          <w:rFonts w:ascii="宋体" w:hAnsi="宋体" w:cs="宋体" w:eastAsia="宋体" w:hint="default"/>
          <w:sz w:val="21"/>
          <w:szCs w:val="21"/>
        </w:rPr>
      </w:pPr>
      <w:bookmarkStart w:name="2、本企业的子公司情况" w:id="342"/>
      <w:bookmarkEnd w:id="3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、在子公司的权益。 </w:t>
      </w:r>
      <w:bookmarkStart w:name="3、本企业合营和联营企业情况" w:id="343"/>
      <w:bookmarkEnd w:id="3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51"/>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本企业重要的合营或联营企业详见附注九、在其他主体中权益。 本期与本公司发生关联方交易，或前期与本公司发生关联方交易形成余额的其他合营或联营企业情况如下：</w:t>
      </w:r>
    </w:p>
    <w:tbl>
      <w:tblPr>
        <w:tblW w:w="0" w:type="auto"/>
        <w:jc w:val="left"/>
        <w:tblInd w:w="115" w:type="dxa"/>
        <w:tblLayout w:type="fixed"/>
        <w:tblCellMar>
          <w:top w:w="0" w:type="dxa"/>
          <w:left w:w="0" w:type="dxa"/>
          <w:bottom w:w="0" w:type="dxa"/>
          <w:right w:w="0" w:type="dxa"/>
        </w:tblCellMar>
        <w:tblLook w:val="01E0"/>
      </w:tblPr>
      <w:tblGrid>
        <w:gridCol w:w="4784"/>
        <w:gridCol w:w="4786"/>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河南中盾云安信息科技有限公司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784"/>
        <w:gridCol w:w="4786"/>
      </w:tblGrid>
      <w:tr>
        <w:trPr>
          <w:trHeight w:val="332" w:hRule="exact"/>
        </w:trPr>
        <w:tc>
          <w:tcPr>
            <w:tcW w:w="4784"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泰瑞数创科技（北京）有限公司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101118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44"/>
      <w:bookmarkEnd w:id="34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4784"/>
        <w:gridCol w:w="4786"/>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45"/>
      <w:bookmarkEnd w:id="34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46"/>
      <w:bookmarkEnd w:id="34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41"/>
        <w:gridCol w:w="1454"/>
        <w:gridCol w:w="1454"/>
        <w:gridCol w:w="1708"/>
        <w:gridCol w:w="1707"/>
        <w:gridCol w:w="1708"/>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郑州高新梧桐水务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自来水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39,800,531.99</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33,933,267.00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泰瑞数创科技（北 京）有限公司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数据采集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4,871,698.10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97"/>
        <w:gridCol w:w="2260"/>
        <w:gridCol w:w="2258"/>
        <w:gridCol w:w="264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担保情况" w:id="347"/>
      <w:bookmarkEnd w:id="347"/>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914"/>
        <w:gridCol w:w="1916"/>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郑州高新梧桐水务有限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914"/>
        <w:gridCol w:w="1915"/>
        <w:gridCol w:w="1915"/>
        <w:gridCol w:w="1914"/>
        <w:gridCol w:w="191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关键管理人员报酬" w:id="348"/>
      <w:bookmarkEnd w:id="34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189"/>
        <w:gridCol w:w="3191"/>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6,548,300.00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5,363,800.00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应收应付款项" w:id="349"/>
      <w:bookmarkEnd w:id="34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付项目" w:id="350"/>
      <w:bookmarkEnd w:id="350"/>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92"/>
        <w:gridCol w:w="2393"/>
        <w:gridCol w:w="239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泰瑞数创科技（北京）有限公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3,530,400.00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5,164,000.00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承诺及或有事项" w:id="351"/>
      <w:bookmarkEnd w:id="351"/>
      <w:r>
        <w:rPr>
          <w:b w:val="0"/>
          <w:bCs w:val="0"/>
        </w:rPr>
      </w:r>
      <w:r>
        <w:rPr/>
        <w:t>十一、承诺及或有事项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52"/>
      <w:bookmarkEnd w:id="35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right="0"/>
        <w:jc w:val="left"/>
      </w:pPr>
      <w:r>
        <w:rPr/>
        <w:t>报告期无重要的承诺事项。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或有事项" w:id="353"/>
      <w:bookmarkEnd w:id="35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54"/>
      <w:bookmarkEnd w:id="35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0" w:right="1130"/>
        <w:jc w:val="right"/>
      </w:pP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2"/>
        </w:rPr>
        <w:t> </w:t>
      </w:r>
      <w:r>
        <w:rPr>
          <w:rFonts w:ascii="宋体" w:hAnsi="宋体" w:cs="宋体" w:eastAsia="宋体" w:hint="default"/>
        </w:rPr>
        <w:t>23</w:t>
      </w:r>
      <w:r>
        <w:rPr>
          <w:rFonts w:ascii="宋体" w:hAnsi="宋体" w:cs="宋体" w:eastAsia="宋体" w:hint="default"/>
          <w:spacing w:val="-50"/>
        </w:rPr>
        <w:t> </w:t>
      </w:r>
      <w:r>
        <w:rPr>
          <w:spacing w:val="-3"/>
        </w:rPr>
        <w:t>日，公司孙公司高新供水为其合营公司郑州高新梧桐水务有限公司借款</w:t>
      </w:r>
      <w:r>
        <w:rPr>
          <w:spacing w:val="-50"/>
        </w:rPr>
        <w:t> </w:t>
      </w:r>
      <w:r>
        <w:rPr>
          <w:rFonts w:ascii="宋体" w:hAnsi="宋体" w:cs="宋体" w:eastAsia="宋体" w:hint="default"/>
        </w:rPr>
        <w:t>6,500.00</w:t>
      </w:r>
      <w:r>
        <w:rPr>
          <w:rFonts w:ascii="宋体" w:hAnsi="宋体" w:cs="宋体" w:eastAsia="宋体" w:hint="default"/>
          <w:spacing w:val="-51"/>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right="1126"/>
        <w:jc w:val="left"/>
      </w:pPr>
      <w:r>
        <w:rPr/>
        <w:t>提供担保，该项借款截止</w:t>
      </w:r>
      <w:r>
        <w:rPr>
          <w:spacing w:val="-56"/>
        </w:rPr>
        <w:t> </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日尚未到期，借款余额</w:t>
      </w:r>
      <w:r>
        <w:rPr>
          <w:spacing w:val="-57"/>
        </w:rPr>
        <w:t> </w:t>
      </w:r>
      <w:r>
        <w:rPr>
          <w:rFonts w:ascii="宋体" w:hAnsi="宋体" w:cs="宋体" w:eastAsia="宋体" w:hint="default"/>
        </w:rPr>
        <w:t>4,100.00</w:t>
      </w:r>
      <w:r>
        <w:rPr>
          <w:rFonts w:ascii="宋体" w:hAnsi="宋体" w:cs="宋体" w:eastAsia="宋体" w:hint="default"/>
          <w:spacing w:val="-57"/>
        </w:rPr>
        <w:t> </w:t>
      </w:r>
      <w:r>
        <w:rPr/>
        <w:t>万元。截止报告期末，郑州高 新梧桐水务有限公司经营及财务状况正常，公司无需确认或有负债。</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公司没有需要披露的重要或有事项，也应予以说明" w:id="355"/>
      <w:bookmarkEnd w:id="35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二、资产负债表日后事项" w:id="356"/>
      <w:bookmarkEnd w:id="356"/>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利润分配情况" w:id="357"/>
      <w:bookmarkEnd w:id="357"/>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984"/>
        <w:gridCol w:w="4586"/>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4,395,342.09</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4,395,342.09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其他重要事项" w:id="358"/>
      <w:bookmarkEnd w:id="358"/>
      <w:r>
        <w:rPr>
          <w:b w:val="0"/>
          <w:bCs w:val="0"/>
        </w:rPr>
      </w:r>
      <w:r>
        <w:rPr/>
        <w:t>十三、其他重要事项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分部信息" w:id="359"/>
      <w:bookmarkEnd w:id="359"/>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60"/>
      <w:bookmarkEnd w:id="36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680" w:right="0" w:hanging="106"/>
        <w:jc w:val="left"/>
      </w:pPr>
      <w:r>
        <w:rPr/>
        <w:t>本公司以内部组织结构、管理要求、内部报告制度为依据确定业务分部。 本公司的业务分部是指同时满足下列条件的组成部分：该组成部分能够在日常活动中产生收入、发</w:t>
      </w:r>
    </w:p>
    <w:p>
      <w:pPr>
        <w:pStyle w:val="BodyText"/>
        <w:spacing w:line="408" w:lineRule="auto"/>
        <w:ind w:right="0"/>
        <w:jc w:val="left"/>
      </w:pPr>
      <w:r>
        <w:rPr>
          <w:spacing w:val="-1"/>
        </w:rPr>
        <w:t>生费用；管理层能够定期评价该组成部分的经营成果，以决定向其配置资源、评价其业绩；能够取得该组</w:t>
      </w:r>
      <w:r>
        <w:rPr>
          <w:spacing w:val="-86"/>
        </w:rPr>
        <w:t> </w:t>
      </w:r>
      <w:r>
        <w:rPr>
          <w:spacing w:val="-86"/>
        </w:rPr>
      </w:r>
      <w:r>
        <w:rPr/>
        <w:t>成部分的财务状况、经营成果和现金流量等有关会计信息。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报告分部的财务信息" w:id="361"/>
      <w:bookmarkEnd w:id="36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344"/>
        <w:gridCol w:w="1379"/>
        <w:gridCol w:w="1367"/>
        <w:gridCol w:w="1367"/>
        <w:gridCol w:w="1367"/>
        <w:gridCol w:w="1368"/>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工业安全</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智慧市政</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智慧环保</w:t>
            </w:r>
          </w:p>
        </w:tc>
        <w:tc>
          <w:tcPr>
            <w:tcW w:w="1368"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一、主营业务收 入</w:t>
            </w:r>
          </w:p>
        </w:tc>
        <w:tc>
          <w:tcPr>
            <w:tcW w:w="137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162,788,298.82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329,726,531.76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576,399,661.83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429,986,337.92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-39,043,200.73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1,459,857,629.60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二、主营业务成 本</w:t>
            </w:r>
          </w:p>
        </w:tc>
        <w:tc>
          <w:tcPr>
            <w:tcW w:w="137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88,868,595.91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181,312,748.69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416,202,132.76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293,557,632.43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-33,618,525.88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946,322,583.91</w:t>
            </w:r>
          </w:p>
        </w:tc>
      </w:tr>
      <w:tr>
        <w:trPr>
          <w:trHeight w:val="1026"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2" w:right="60"/>
              <w:jc w:val="both"/>
              <w:rPr>
                <w:rFonts w:ascii="宋体" w:hAnsi="宋体" w:cs="宋体" w:eastAsia="宋体" w:hint="default"/>
                <w:sz w:val="18"/>
                <w:szCs w:val="18"/>
              </w:rPr>
            </w:pPr>
            <w:r>
              <w:rPr>
                <w:rFonts w:ascii="宋体" w:hAnsi="宋体" w:cs="宋体" w:eastAsia="宋体" w:hint="default"/>
                <w:sz w:val="18"/>
                <w:szCs w:val="18"/>
              </w:rPr>
              <w:t>三、对联营和合 营企业的投资收 益</w:t>
            </w:r>
          </w:p>
        </w:tc>
        <w:tc>
          <w:tcPr>
            <w:tcW w:w="1379" w:type="dxa"/>
            <w:tcBorders>
              <w:top w:val="single" w:sz="4" w:space="0" w:color="000000"/>
              <w:left w:val="single" w:sz="13" w:space="0" w:color="E0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3,415,496.81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1,034,349.94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4,449,846.75</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四、资产减值损 失</w:t>
            </w:r>
          </w:p>
        </w:tc>
        <w:tc>
          <w:tcPr>
            <w:tcW w:w="137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482,321.92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20,069,484.85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5,967,476.01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2,683,675.82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48,026,636.91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77,229,595.51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五、折旧费和摊 销费</w:t>
            </w:r>
          </w:p>
        </w:tc>
        <w:tc>
          <w:tcPr>
            <w:tcW w:w="137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3,871,943.71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27,328,439.35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46,821,059.76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25,162,296.21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10,738,500.41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113,922,239.44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37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40,372,951.06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17,940,532.07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155,813,512.37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38,722,645.53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-100,526,600.90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152,323,040.13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37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4,600,588.51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-787,150.44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38,294,746.80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3,536,463.11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-1,371,399.67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44,273,248.31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37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35,772,362.55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18,727,682.51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117,518,765.57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35,186,182.42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-99,155,201.23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108,049,791.82</w:t>
            </w:r>
          </w:p>
        </w:tc>
      </w:tr>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E0FFFF"/>
          </w:tcPr>
          <w:p>
            <w:pPr/>
          </w:p>
        </w:tc>
        <w:tc>
          <w:tcPr>
            <w:tcW w:w="1379" w:type="dxa"/>
            <w:vMerge w:val="restart"/>
            <w:tcBorders>
              <w:top w:val="single" w:sz="4" w:space="0" w:color="000000"/>
              <w:left w:val="single" w:sz="10" w:space="0" w:color="E0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164,573,737.15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3,467,547,922.68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3,505,566,842.00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923,053,580.05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-2,992,309,711.6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5,068,432,370.19</w:t>
            </w:r>
          </w:p>
        </w:tc>
      </w:tr>
      <w:tr>
        <w:trPr>
          <w:trHeight w:val="392" w:hRule="exact"/>
        </w:trPr>
        <w:tc>
          <w:tcPr>
            <w:tcW w:w="1344"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379" w:type="dxa"/>
            <w:vMerge/>
            <w:tcBorders>
              <w:left w:val="single" w:sz="10" w:space="0" w:color="E0FFFF"/>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E0FFFF"/>
          </w:tcPr>
          <w:p>
            <w:pPr/>
          </w:p>
        </w:tc>
        <w:tc>
          <w:tcPr>
            <w:tcW w:w="1379" w:type="dxa"/>
            <w:vMerge/>
            <w:tcBorders>
              <w:left w:val="single" w:sz="10" w:space="0" w:color="E0FFFF"/>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E0FFFF"/>
          </w:tcPr>
          <w:p>
            <w:pPr/>
          </w:p>
        </w:tc>
        <w:tc>
          <w:tcPr>
            <w:tcW w:w="1379" w:type="dxa"/>
            <w:vMerge w:val="restart"/>
            <w:tcBorders>
              <w:top w:val="single" w:sz="4" w:space="0" w:color="000000"/>
              <w:left w:val="single" w:sz="10" w:space="0" w:color="E0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37,694,165.24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2,270,290,983.65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1,953,515,157.44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483,031,746.33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-1,695,090,156.4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3,049,441,896.20</w:t>
            </w:r>
          </w:p>
        </w:tc>
      </w:tr>
      <w:tr>
        <w:trPr>
          <w:trHeight w:val="392" w:hRule="exact"/>
        </w:trPr>
        <w:tc>
          <w:tcPr>
            <w:tcW w:w="1344"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379" w:type="dxa"/>
            <w:vMerge/>
            <w:tcBorders>
              <w:left w:val="single" w:sz="10" w:space="0" w:color="E0FFFF"/>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E0FFFF"/>
          </w:tcPr>
          <w:p>
            <w:pPr/>
          </w:p>
        </w:tc>
        <w:tc>
          <w:tcPr>
            <w:tcW w:w="1379" w:type="dxa"/>
            <w:vMerge/>
            <w:tcBorders>
              <w:left w:val="single" w:sz="10" w:space="0" w:color="E0FFFF"/>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其他" w:id="362"/>
      <w:bookmarkEnd w:id="362"/>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rFonts w:ascii="宋体" w:hAnsi="宋体" w:cs="宋体" w:eastAsia="宋体" w:hint="default"/>
        </w:rPr>
        <w:t>1</w:t>
      </w:r>
      <w:r>
        <w:rPr>
          <w:rFonts w:ascii="宋体" w:hAnsi="宋体" w:cs="宋体" w:eastAsia="宋体" w:hint="default"/>
          <w:spacing w:val="1"/>
        </w:rPr>
        <w:t>.</w:t>
      </w:r>
      <w:r>
        <w:rPr/>
        <w:t>根据</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2"/>
        </w:rPr>
        <w:t> </w:t>
      </w:r>
      <w:r>
        <w:rPr>
          <w:spacing w:val="-2"/>
        </w:rPr>
        <w:t>日</w:t>
      </w:r>
      <w:r>
        <w:rPr/>
        <w:t>签订</w:t>
      </w:r>
      <w:r>
        <w:rPr>
          <w:spacing w:val="-11"/>
        </w:rPr>
        <w:t>的</w:t>
      </w:r>
      <w:r>
        <w:rPr/>
        <w:t>《股权转让及回购协议</w:t>
      </w:r>
      <w:r>
        <w:rPr>
          <w:spacing w:val="-105"/>
        </w:rPr>
        <w:t>》</w:t>
      </w:r>
      <w:r>
        <w:rPr>
          <w:spacing w:val="-11"/>
        </w:rPr>
        <w:t>，</w:t>
      </w:r>
      <w:r>
        <w:rPr>
          <w:spacing w:val="-2"/>
        </w:rPr>
        <w:t>本</w:t>
      </w:r>
      <w:r>
        <w:rPr/>
        <w:t>公司在股权回购前提下通过向招商证券资</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产管理有限公司转让公司持有的控股子公司嘉园环保</w:t>
      </w:r>
      <w:r>
        <w:rPr>
          <w:spacing w:val="-47"/>
        </w:rPr>
        <w:t> </w:t>
      </w:r>
      <w:r>
        <w:rPr>
          <w:rFonts w:ascii="宋体" w:hAnsi="宋体" w:cs="宋体" w:eastAsia="宋体" w:hint="default"/>
        </w:rPr>
        <w:t>29%</w:t>
      </w:r>
      <w:r>
        <w:rPr/>
        <w:t>股权的方式申请融资</w:t>
      </w:r>
      <w:r>
        <w:rPr>
          <w:spacing w:val="-47"/>
        </w:rPr>
        <w:t> </w:t>
      </w:r>
      <w:r>
        <w:rPr>
          <w:rFonts w:ascii="宋体" w:hAnsi="宋体" w:cs="宋体" w:eastAsia="宋体" w:hint="default"/>
        </w:rPr>
        <w:t>30,000</w:t>
      </w:r>
      <w:r>
        <w:rPr>
          <w:rFonts w:ascii="宋体" w:hAnsi="宋体" w:cs="宋体" w:eastAsia="宋体" w:hint="default"/>
          <w:spacing w:val="-48"/>
        </w:rPr>
        <w:t> </w:t>
      </w:r>
      <w:r>
        <w:rPr/>
        <w:t>万元，期限为</w:t>
      </w:r>
      <w:r>
        <w:rPr>
          <w:spacing w:val="-48"/>
        </w:rPr>
        <w:t> </w:t>
      </w:r>
      <w:r>
        <w:rPr>
          <w:rFonts w:ascii="宋体" w:hAnsi="宋体" w:cs="宋体" w:eastAsia="宋体" w:hint="default"/>
        </w:rPr>
        <w:t>36</w:t>
      </w:r>
      <w:r>
        <w:rPr>
          <w:rFonts w:ascii="宋体" w:hAnsi="宋体" w:cs="宋体" w:eastAsia="宋体" w:hint="default"/>
          <w:spacing w:val="-47"/>
        </w:rPr>
        <w:t> </w:t>
      </w:r>
      <w:r>
        <w:rPr/>
        <w:t>个</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月，相关股权变更已完成。</w:t>
      </w:r>
      <w:r>
        <w:rPr>
          <w:rFonts w:ascii="宋体" w:hAnsi="宋体" w:cs="宋体" w:eastAsia="宋体" w:hint="default"/>
        </w:rPr>
        <w:t>2018</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t>月双方</w:t>
      </w:r>
      <w:r>
        <w:rPr>
          <w:spacing w:val="-2"/>
        </w:rPr>
        <w:t>签</w:t>
      </w:r>
      <w:r>
        <w:rPr/>
        <w:t>订《补充协议</w:t>
      </w:r>
      <w:r>
        <w:rPr>
          <w:spacing w:val="-105"/>
        </w:rPr>
        <w:t>》</w:t>
      </w:r>
      <w:r>
        <w:rPr/>
        <w:t>，公司</w:t>
      </w:r>
      <w:r>
        <w:rPr>
          <w:spacing w:val="-2"/>
        </w:rPr>
        <w:t>拟</w:t>
      </w:r>
      <w:r>
        <w:rPr/>
        <w:t>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0"/>
        </w:rPr>
        <w:t> </w:t>
      </w:r>
      <w:r>
        <w:rPr>
          <w:rFonts w:ascii="宋体" w:hAnsi="宋体" w:cs="宋体" w:eastAsia="宋体" w:hint="default"/>
        </w:rPr>
        <w:t>4</w:t>
      </w:r>
      <w:r>
        <w:rPr>
          <w:rFonts w:ascii="宋体" w:hAnsi="宋体" w:cs="宋体" w:eastAsia="宋体" w:hint="default"/>
          <w:spacing w:val="-50"/>
        </w:rPr>
        <w:t> </w:t>
      </w:r>
      <w:r>
        <w:rPr/>
        <w:t>月</w:t>
      </w:r>
      <w:r>
        <w:rPr>
          <w:spacing w:val="-49"/>
        </w:rPr>
        <w:t> </w:t>
      </w:r>
      <w:r>
        <w:rPr>
          <w:rFonts w:ascii="宋体" w:hAnsi="宋体" w:cs="宋体" w:eastAsia="宋体" w:hint="default"/>
        </w:rPr>
        <w:t>1</w:t>
      </w:r>
      <w:r>
        <w:rPr>
          <w:rFonts w:ascii="宋体" w:hAnsi="宋体" w:cs="宋体" w:eastAsia="宋体" w:hint="default"/>
          <w:spacing w:val="-48"/>
        </w:rPr>
        <w:t> </w:t>
      </w:r>
      <w:r>
        <w:rPr/>
        <w:t>日前</w:t>
      </w:r>
      <w:r>
        <w:rPr>
          <w:spacing w:val="-2"/>
        </w:rPr>
        <w:t>提</w:t>
      </w:r>
      <w:r>
        <w:rPr/>
        <w:t>前支付价</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款及回购嘉园环保股权。截至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日，公司该项融资款余额</w:t>
      </w:r>
      <w:r>
        <w:rPr>
          <w:spacing w:val="-54"/>
        </w:rPr>
        <w:t> </w:t>
      </w:r>
      <w:r>
        <w:rPr>
          <w:rFonts w:ascii="宋体" w:hAnsi="宋体" w:cs="宋体" w:eastAsia="宋体" w:hint="default"/>
        </w:rPr>
        <w:t>20,000</w:t>
      </w:r>
      <w:r>
        <w:rPr>
          <w:rFonts w:ascii="宋体" w:hAnsi="宋体" w:cs="宋体" w:eastAsia="宋体" w:hint="default"/>
          <w:spacing w:val="-53"/>
        </w:rPr>
        <w:t> </w:t>
      </w:r>
      <w:r>
        <w:rPr/>
        <w:t>万元。</w:t>
      </w:r>
    </w:p>
    <w:p>
      <w:pPr>
        <w:spacing w:line="240" w:lineRule="auto" w:before="10"/>
        <w:rPr>
          <w:rFonts w:ascii="宋体" w:hAnsi="宋体" w:cs="宋体" w:eastAsia="宋体" w:hint="default"/>
          <w:sz w:val="14"/>
          <w:szCs w:val="14"/>
        </w:rPr>
      </w:pPr>
    </w:p>
    <w:p>
      <w:pPr>
        <w:pStyle w:val="BodyText"/>
        <w:spacing w:line="240" w:lineRule="auto" w:before="0"/>
        <w:ind w:left="0" w:right="1130"/>
        <w:jc w:val="right"/>
        <w:rPr>
          <w:rFonts w:ascii="宋体" w:hAnsi="宋体" w:cs="宋体" w:eastAsia="宋体" w:hint="default"/>
        </w:rPr>
      </w:pPr>
      <w:r>
        <w:rPr>
          <w:rFonts w:ascii="宋体" w:hAnsi="宋体" w:cs="宋体" w:eastAsia="宋体" w:hint="default"/>
        </w:rPr>
        <w:t>2.</w:t>
      </w:r>
      <w:r>
        <w:rPr/>
        <w:t>经公司第四届董事会第十八次会议审议通过，公司将子公司北京威果实施清算、 注销。截至</w:t>
      </w:r>
      <w:r>
        <w:rPr>
          <w:spacing w:val="-24"/>
        </w:rPr>
        <w:t> </w:t>
      </w:r>
      <w:r>
        <w:rPr>
          <w:rFonts w:ascii="宋体" w:hAnsi="宋体" w:cs="宋体" w:eastAsia="宋体" w:hint="default"/>
        </w:rPr>
        <w:t>2018</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日，清算、注销工作正在办理中。</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四、母公司财务报表主要项目注释" w:id="363"/>
      <w:bookmarkEnd w:id="363"/>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364"/>
      <w:bookmarkEnd w:id="364"/>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15,474,752.24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3,403,199.14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171,485,062.44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144,976,341.84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186,959,814.68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148,379,540.98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365"/>
      <w:bookmarkEnd w:id="36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14,935,095.74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3,403,199.14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539,656.50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15,474,752.24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3,403,199.14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366"/>
      <w:bookmarkEnd w:id="36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611"/>
        <w:gridCol w:w="775"/>
        <w:gridCol w:w="762"/>
        <w:gridCol w:w="762"/>
        <w:gridCol w:w="763"/>
        <w:gridCol w:w="788"/>
        <w:gridCol w:w="654"/>
        <w:gridCol w:w="762"/>
        <w:gridCol w:w="814"/>
        <w:gridCol w:w="932"/>
        <w:gridCol w:w="931"/>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6"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192,069,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20,584,1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49.55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171,485,0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62.44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164,339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,443.58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19,363,10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11.78%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144,976,34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192,069,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211.99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20,584,1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49.55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171,485,0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62.44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164,339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,443.58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19,363,10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11.78%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144,976,34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116,589,890.88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5,829,494.54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23,906,318.06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2,390,631.81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6,272,051.55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1,254,410.31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14,551,514.26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11,109,612.89</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2,837,910.92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851,373.28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2,910,727.45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1,455,363.73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8,802,875.89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8,802,875.88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161,319,774.75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20,584,149.55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pStyle w:val="BodyText"/>
        <w:spacing w:line="240" w:lineRule="auto" w:before="15"/>
        <w:ind w:left="994" w:right="0"/>
        <w:jc w:val="left"/>
      </w:pPr>
      <w:r>
        <w:rPr/>
        <w:t>采用个别计提法计提坏账准备的应收账款情况</w:t>
      </w:r>
    </w:p>
    <w:p>
      <w:pPr>
        <w:spacing w:line="240" w:lineRule="auto" w:before="11"/>
        <w:rPr>
          <w:rFonts w:ascii="宋体" w:hAnsi="宋体" w:cs="宋体" w:eastAsia="宋体" w:hint="default"/>
          <w:sz w:val="27"/>
          <w:szCs w:val="27"/>
        </w:rPr>
      </w:pPr>
    </w:p>
    <w:tbl>
      <w:tblPr>
        <w:tblW w:w="0" w:type="auto"/>
        <w:jc w:val="left"/>
        <w:tblInd w:w="128" w:type="dxa"/>
        <w:tblLayout w:type="fixed"/>
        <w:tblCellMar>
          <w:top w:w="0" w:type="dxa"/>
          <w:left w:w="0" w:type="dxa"/>
          <w:bottom w:w="0" w:type="dxa"/>
          <w:right w:w="0" w:type="dxa"/>
        </w:tblCellMar>
        <w:tblLook w:val="01E0"/>
      </w:tblPr>
      <w:tblGrid>
        <w:gridCol w:w="1720"/>
        <w:gridCol w:w="1214"/>
        <w:gridCol w:w="1356"/>
        <w:gridCol w:w="1211"/>
        <w:gridCol w:w="1344"/>
        <w:gridCol w:w="1313"/>
        <w:gridCol w:w="1298"/>
      </w:tblGrid>
      <w:tr>
        <w:trPr>
          <w:trHeight w:val="347" w:hRule="exact"/>
        </w:trPr>
        <w:tc>
          <w:tcPr>
            <w:tcW w:w="172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9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782"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6"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94" w:hRule="exact"/>
        </w:trPr>
        <w:tc>
          <w:tcPr>
            <w:tcW w:w="1720" w:type="dxa"/>
            <w:vMerge/>
            <w:tcBorders>
              <w:left w:val="single" w:sz="6" w:space="0" w:color="000000"/>
              <w:bottom w:val="single" w:sz="6" w:space="0" w:color="000000"/>
              <w:right w:val="single" w:sz="6" w:space="0" w:color="000000"/>
            </w:tcBorders>
            <w:shd w:val="clear" w:color="auto" w:fill="D0CECE"/>
          </w:tcPr>
          <w:p>
            <w:pPr/>
          </w:p>
        </w:tc>
        <w:tc>
          <w:tcPr>
            <w:tcW w:w="121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21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29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8"/>
              <w:jc w:val="center"/>
              <w:rPr>
                <w:rFonts w:ascii="宋体" w:hAnsi="宋体" w:cs="宋体" w:eastAsia="宋体" w:hint="default"/>
                <w:sz w:val="18"/>
                <w:szCs w:val="18"/>
              </w:rPr>
            </w:pPr>
            <w:r>
              <w:rPr>
                <w:rFonts w:ascii="宋体" w:hAnsi="宋体" w:cs="宋体" w:eastAsia="宋体" w:hint="default"/>
                <w:sz w:val="18"/>
                <w:szCs w:val="18"/>
              </w:rPr>
              <w:t>应收关联方款项组合</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30,749,437.24</w:t>
            </w:r>
          </w:p>
        </w:tc>
        <w:tc>
          <w:tcPr>
            <w:tcW w:w="135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1" w:right="0"/>
              <w:jc w:val="left"/>
              <w:rPr>
                <w:rFonts w:ascii="Times New Roman" w:hAnsi="Times New Roman" w:cs="Times New Roman" w:eastAsia="Times New Roman" w:hint="default"/>
                <w:sz w:val="18"/>
                <w:szCs w:val="18"/>
              </w:rPr>
            </w:pPr>
            <w:r>
              <w:rPr>
                <w:rFonts w:ascii="Times New Roman"/>
                <w:sz w:val="18"/>
              </w:rPr>
              <w:t>25,452,516.85</w:t>
            </w:r>
          </w:p>
        </w:tc>
        <w:tc>
          <w:tcPr>
            <w:tcW w:w="1313"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30,749,437.24</w:t>
            </w:r>
          </w:p>
        </w:tc>
        <w:tc>
          <w:tcPr>
            <w:tcW w:w="1356"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1" w:right="0"/>
              <w:jc w:val="left"/>
              <w:rPr>
                <w:rFonts w:ascii="Times New Roman" w:hAnsi="Times New Roman" w:cs="Times New Roman" w:eastAsia="Times New Roman" w:hint="default"/>
                <w:sz w:val="18"/>
                <w:szCs w:val="18"/>
              </w:rPr>
            </w:pPr>
            <w:r>
              <w:rPr>
                <w:rFonts w:ascii="Times New Roman"/>
                <w:sz w:val="18"/>
              </w:rPr>
              <w:t>25,452,516.85</w:t>
            </w:r>
          </w:p>
        </w:tc>
        <w:tc>
          <w:tcPr>
            <w:tcW w:w="1313"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spacing w:before="44"/>
        <w:ind w:left="154"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3,098,569.22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49" w:space="2780"/>
            <w:col w:w="2101"/>
          </w:cols>
        </w:sectPr>
      </w:pP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68"/>
        <w:gridCol w:w="3101"/>
        <w:gridCol w:w="3088"/>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984"/>
        <w:gridCol w:w="4586"/>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1,877,521.41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t>账期超过</w:t>
      </w:r>
      <w:r>
        <w:rPr>
          <w:spacing w:val="-52"/>
        </w:rPr>
        <w:t> </w:t>
      </w:r>
      <w:r>
        <w:rPr>
          <w:rFonts w:ascii="宋体" w:hAnsi="宋体" w:cs="宋体" w:eastAsia="宋体" w:hint="default"/>
        </w:rPr>
        <w:t>5</w:t>
      </w:r>
      <w:r>
        <w:rPr>
          <w:rFonts w:ascii="宋体" w:hAnsi="宋体" w:cs="宋体" w:eastAsia="宋体" w:hint="default"/>
          <w:spacing w:val="-53"/>
        </w:rPr>
        <w:t> </w:t>
      </w:r>
      <w:r>
        <w:rPr/>
        <w:t>年且无法回收，经管理层审批核销。</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40" w:lineRule="auto" w:before="77"/>
        <w:ind w:left="574" w:right="0"/>
        <w:jc w:val="left"/>
      </w:pPr>
      <w:r>
        <w:rPr/>
        <w:t>按欠款方归集的期末余额前五名的应收账款情况</w:t>
      </w:r>
    </w:p>
    <w:p>
      <w:pPr>
        <w:spacing w:line="240" w:lineRule="auto" w:before="12"/>
        <w:rPr>
          <w:rFonts w:ascii="宋体" w:hAnsi="宋体" w:cs="宋体" w:eastAsia="宋体" w:hint="default"/>
          <w:sz w:val="15"/>
          <w:szCs w:val="15"/>
        </w:rPr>
      </w:pPr>
    </w:p>
    <w:tbl>
      <w:tblPr>
        <w:tblW w:w="0" w:type="auto"/>
        <w:jc w:val="left"/>
        <w:tblInd w:w="128" w:type="dxa"/>
        <w:tblLayout w:type="fixed"/>
        <w:tblCellMar>
          <w:top w:w="0" w:type="dxa"/>
          <w:left w:w="0" w:type="dxa"/>
          <w:bottom w:w="0" w:type="dxa"/>
          <w:right w:w="0" w:type="dxa"/>
        </w:tblCellMar>
        <w:tblLook w:val="01E0"/>
      </w:tblPr>
      <w:tblGrid>
        <w:gridCol w:w="3622"/>
        <w:gridCol w:w="2016"/>
        <w:gridCol w:w="2178"/>
        <w:gridCol w:w="1700"/>
      </w:tblGrid>
      <w:tr>
        <w:trPr>
          <w:trHeight w:val="347" w:hRule="exact"/>
        </w:trPr>
        <w:tc>
          <w:tcPr>
            <w:tcW w:w="36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1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6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c>
          <w:tcPr>
            <w:tcW w:w="170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7" w:hRule="exact"/>
        </w:trPr>
        <w:tc>
          <w:tcPr>
            <w:tcW w:w="3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16,858,901.87</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8.78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842,945.09</w:t>
            </w:r>
          </w:p>
        </w:tc>
      </w:tr>
      <w:tr>
        <w:trPr>
          <w:trHeight w:val="347" w:hRule="exact"/>
        </w:trPr>
        <w:tc>
          <w:tcPr>
            <w:tcW w:w="3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河南汉威智慧安全科技有限公司</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13,533,940.24</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7.05</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沈阳金建数字城市软件有限公司</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7,384,175.13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3.84</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浙江石油化工有限公司</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6,352,723.00</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317,636.15</w:t>
            </w:r>
          </w:p>
        </w:tc>
      </w:tr>
      <w:tr>
        <w:trPr>
          <w:trHeight w:val="348" w:hRule="exact"/>
        </w:trPr>
        <w:tc>
          <w:tcPr>
            <w:tcW w:w="3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郑州畅威物联网科技有限公司</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6,160,447.94</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3.21</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50,290,188.18</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26.19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1,160,581.24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其他应收款" w:id="367"/>
      <w:bookmarkEnd w:id="36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3167"/>
        <w:gridCol w:w="3201"/>
        <w:gridCol w:w="319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192,288,697.27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107,961,759.30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192,288,697.27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107,961,759.30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其他应收款" w:id="368"/>
      <w:bookmarkEnd w:id="36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35"/>
        <w:gridCol w:w="763"/>
        <w:gridCol w:w="762"/>
        <w:gridCol w:w="762"/>
        <w:gridCol w:w="763"/>
        <w:gridCol w:w="788"/>
        <w:gridCol w:w="654"/>
        <w:gridCol w:w="762"/>
        <w:gridCol w:w="814"/>
        <w:gridCol w:w="932"/>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6"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0"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3" w:space="0" w:color="D2D2D2"/>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198,637,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834.15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6,349,13</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6.88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3.20%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192,288,6</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97.27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108,792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,802.78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831,043.4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107,961,75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9.30</w:t>
            </w:r>
          </w:p>
        </w:tc>
      </w:tr>
      <w:tr>
        <w:trPr>
          <w:trHeight w:val="111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229"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59"/>
              <w:ind w:left="69" w:right="0"/>
              <w:jc w:val="center"/>
              <w:rPr>
                <w:rFonts w:ascii="Times New Roman" w:hAnsi="Times New Roman" w:cs="Times New Roman" w:eastAsia="Times New Roman" w:hint="default"/>
                <w:sz w:val="18"/>
                <w:szCs w:val="18"/>
              </w:rPr>
            </w:pPr>
            <w:r>
              <w:rPr>
                <w:rFonts w:ascii="Times New Roman"/>
                <w:sz w:val="18"/>
              </w:rPr>
              <w:t>198,637,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834.15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59"/>
              <w:ind w:left="98" w:right="0"/>
              <w:jc w:val="left"/>
              <w:rPr>
                <w:rFonts w:ascii="Times New Roman" w:hAnsi="Times New Roman" w:cs="Times New Roman" w:eastAsia="Times New Roman" w:hint="default"/>
                <w:sz w:val="18"/>
                <w:szCs w:val="18"/>
              </w:rPr>
            </w:pPr>
            <w:r>
              <w:rPr>
                <w:rFonts w:ascii="Times New Roman"/>
                <w:sz w:val="18"/>
              </w:rPr>
              <w:t>6,349,13</w:t>
            </w:r>
          </w:p>
          <w:p>
            <w:pPr>
              <w:pStyle w:val="TableParagraph"/>
              <w:spacing w:line="240" w:lineRule="auto" w:before="106"/>
              <w:ind w:left="414" w:right="0"/>
              <w:jc w:val="left"/>
              <w:rPr>
                <w:rFonts w:ascii="Times New Roman" w:hAnsi="Times New Roman" w:cs="Times New Roman" w:eastAsia="Times New Roman" w:hint="default"/>
                <w:sz w:val="18"/>
                <w:szCs w:val="18"/>
              </w:rPr>
            </w:pPr>
            <w:r>
              <w:rPr>
                <w:rFonts w:ascii="Times New Roman"/>
                <w:sz w:val="18"/>
              </w:rPr>
              <w:t>6.88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3.20%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59"/>
              <w:ind w:left="35" w:right="0"/>
              <w:jc w:val="left"/>
              <w:rPr>
                <w:rFonts w:ascii="Times New Roman" w:hAnsi="Times New Roman" w:cs="Times New Roman" w:eastAsia="Times New Roman" w:hint="default"/>
                <w:sz w:val="18"/>
                <w:szCs w:val="18"/>
              </w:rPr>
            </w:pPr>
            <w:r>
              <w:rPr>
                <w:rFonts w:ascii="Times New Roman"/>
                <w:sz w:val="18"/>
              </w:rPr>
              <w:t>192,288,6</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97.27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59"/>
              <w:ind w:left="37" w:right="0"/>
              <w:jc w:val="left"/>
              <w:rPr>
                <w:rFonts w:ascii="Times New Roman" w:hAnsi="Times New Roman" w:cs="Times New Roman" w:eastAsia="Times New Roman" w:hint="default"/>
                <w:sz w:val="18"/>
                <w:szCs w:val="18"/>
              </w:rPr>
            </w:pPr>
            <w:r>
              <w:rPr>
                <w:rFonts w:ascii="Times New Roman"/>
                <w:sz w:val="18"/>
              </w:rPr>
              <w:t>108,792</w:t>
            </w:r>
          </w:p>
          <w:p>
            <w:pPr>
              <w:pStyle w:val="TableParagraph"/>
              <w:spacing w:line="240" w:lineRule="auto" w:before="106"/>
              <w:ind w:left="81" w:right="0"/>
              <w:jc w:val="left"/>
              <w:rPr>
                <w:rFonts w:ascii="Times New Roman" w:hAnsi="Times New Roman" w:cs="Times New Roman" w:eastAsia="Times New Roman" w:hint="default"/>
                <w:sz w:val="18"/>
                <w:szCs w:val="18"/>
              </w:rPr>
            </w:pPr>
            <w:r>
              <w:rPr>
                <w:rFonts w:ascii="Times New Roman"/>
                <w:sz w:val="18"/>
              </w:rPr>
              <w:t>,802.78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831,043.4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59"/>
              <w:ind w:left="88" w:right="0"/>
              <w:jc w:val="left"/>
              <w:rPr>
                <w:rFonts w:ascii="Times New Roman" w:hAnsi="Times New Roman" w:cs="Times New Roman" w:eastAsia="Times New Roman" w:hint="default"/>
                <w:sz w:val="18"/>
                <w:szCs w:val="18"/>
              </w:rPr>
            </w:pPr>
            <w:r>
              <w:rPr>
                <w:rFonts w:ascii="Times New Roman"/>
                <w:sz w:val="18"/>
              </w:rPr>
              <w:t>107,961,75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9.30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229"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2482"/>
        <w:gridCol w:w="2296"/>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6"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3,503,385.50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175,169.28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672,532.50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67,253.25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27,570,795.53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5,514,159.11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1,015,280.38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592,555.24</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322,073.05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96,621.92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394,548.00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197,274.00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298,659.33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298,659.32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32,761,993.91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6,349,136.88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采用个别计提法计提坏账准备的其他应收款项</w:t>
      </w:r>
    </w:p>
    <w:tbl>
      <w:tblPr>
        <w:tblW w:w="0" w:type="auto"/>
        <w:jc w:val="left"/>
        <w:tblInd w:w="137" w:type="dxa"/>
        <w:tblLayout w:type="fixed"/>
        <w:tblCellMar>
          <w:top w:w="0" w:type="dxa"/>
          <w:left w:w="0" w:type="dxa"/>
          <w:bottom w:w="0" w:type="dxa"/>
          <w:right w:w="0" w:type="dxa"/>
        </w:tblCellMar>
        <w:tblLook w:val="01E0"/>
      </w:tblPr>
      <w:tblGrid>
        <w:gridCol w:w="2062"/>
        <w:gridCol w:w="1512"/>
        <w:gridCol w:w="1262"/>
        <w:gridCol w:w="1060"/>
        <w:gridCol w:w="1448"/>
        <w:gridCol w:w="1250"/>
        <w:gridCol w:w="1066"/>
      </w:tblGrid>
      <w:tr>
        <w:trPr>
          <w:trHeight w:val="347" w:hRule="exact"/>
        </w:trPr>
        <w:tc>
          <w:tcPr>
            <w:tcW w:w="2062"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833"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4"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2062" w:type="dxa"/>
            <w:vMerge/>
            <w:tcBorders>
              <w:left w:val="single" w:sz="6" w:space="0" w:color="000000"/>
              <w:bottom w:val="single" w:sz="6" w:space="0" w:color="000000"/>
              <w:right w:val="single" w:sz="6" w:space="0" w:color="000000"/>
            </w:tcBorders>
            <w:shd w:val="clear" w:color="auto" w:fill="D0CECE"/>
          </w:tcPr>
          <w:p>
            <w:pPr/>
          </w:p>
        </w:tc>
        <w:tc>
          <w:tcPr>
            <w:tcW w:w="151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4"/>
              <w:ind w:left="3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0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4"/>
              <w:ind w:left="1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4"/>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06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4"/>
              <w:ind w:left="1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划分为低风险的款项</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69" w:right="0"/>
              <w:jc w:val="left"/>
              <w:rPr>
                <w:rFonts w:ascii="Times New Roman" w:hAnsi="Times New Roman" w:cs="Times New Roman" w:eastAsia="Times New Roman" w:hint="default"/>
                <w:sz w:val="18"/>
                <w:szCs w:val="18"/>
              </w:rPr>
            </w:pPr>
            <w:r>
              <w:rPr>
                <w:rFonts w:ascii="Times New Roman"/>
                <w:sz w:val="18"/>
              </w:rPr>
              <w:t>165,875,840.24</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60"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04" w:right="0"/>
              <w:jc w:val="left"/>
              <w:rPr>
                <w:rFonts w:ascii="Times New Roman" w:hAnsi="Times New Roman" w:cs="Times New Roman" w:eastAsia="Times New Roman" w:hint="default"/>
                <w:sz w:val="18"/>
                <w:szCs w:val="18"/>
              </w:rPr>
            </w:pPr>
            <w:r>
              <w:rPr>
                <w:rFonts w:ascii="Times New Roman"/>
                <w:sz w:val="18"/>
              </w:rPr>
              <w:t>102,739,544.40</w:t>
            </w:r>
          </w:p>
        </w:tc>
        <w:tc>
          <w:tcPr>
            <w:tcW w:w="125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69" w:right="0"/>
              <w:jc w:val="left"/>
              <w:rPr>
                <w:rFonts w:ascii="Times New Roman" w:hAnsi="Times New Roman" w:cs="Times New Roman" w:eastAsia="Times New Roman" w:hint="default"/>
                <w:sz w:val="18"/>
                <w:szCs w:val="18"/>
              </w:rPr>
            </w:pPr>
            <w:r>
              <w:rPr>
                <w:rFonts w:ascii="Times New Roman"/>
                <w:sz w:val="18"/>
              </w:rPr>
              <w:t>165,875,840.24</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60"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04" w:right="0"/>
              <w:jc w:val="left"/>
              <w:rPr>
                <w:rFonts w:ascii="Times New Roman" w:hAnsi="Times New Roman" w:cs="Times New Roman" w:eastAsia="Times New Roman" w:hint="default"/>
                <w:sz w:val="18"/>
                <w:szCs w:val="18"/>
              </w:rPr>
            </w:pPr>
            <w:r>
              <w:rPr>
                <w:rFonts w:ascii="Times New Roman"/>
                <w:sz w:val="18"/>
              </w:rPr>
              <w:t>102,739,544.40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5,518,093.40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368"/>
        <w:gridCol w:w="3101"/>
        <w:gridCol w:w="3088"/>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984"/>
        <w:gridCol w:w="4586"/>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685"/>
        <w:gridCol w:w="1550"/>
        <w:gridCol w:w="1553"/>
        <w:gridCol w:w="1552"/>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1" w:right="83"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369"/>
        <w:gridCol w:w="3101"/>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165,875,840.24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74,133,672.18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5,146,662.05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3,950,515.55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484,946.60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26,508,432.53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28,605,872.22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828,899.33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617,796.23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198,637,834.15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108,792,802.78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162"/>
        <w:gridCol w:w="1074"/>
        <w:gridCol w:w="1553"/>
        <w:gridCol w:w="1552"/>
        <w:gridCol w:w="1616"/>
        <w:gridCol w:w="1615"/>
      </w:tblGrid>
      <w:tr>
        <w:trPr>
          <w:trHeight w:val="71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14,374,982.09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2,874,996.42</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6,646,967.91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1,329,393.58</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4,151,994.56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830,398.91</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许金炉</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1,334,487.97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266,897.59</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郑州高新区管委会环保局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100,750.00</w:t>
            </w:r>
          </w:p>
        </w:tc>
      </w:tr>
      <w:tr>
        <w:trPr>
          <w:trHeight w:val="404"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27,593,432.53</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5,402,436.50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长期股权投资" w:id="369"/>
      <w:bookmarkEnd w:id="36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346"/>
        <w:gridCol w:w="1380"/>
        <w:gridCol w:w="1367"/>
        <w:gridCol w:w="1367"/>
        <w:gridCol w:w="1367"/>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4"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1,689,267,298.56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28,091,674.90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1,661,175,623.66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1,651,267,798.56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1,648,473,334.41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44,289,503.40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44,289,503.40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34,310,764.49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34,310,764.49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1,733,556,801.96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28,091,674.90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1,705,465,127.06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1,685,578,563.05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1,682,784,098.90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370"/>
      <w:bookmarkEnd w:id="37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48"/>
        <w:gridCol w:w="1337"/>
        <w:gridCol w:w="1335"/>
        <w:gridCol w:w="1336"/>
        <w:gridCol w:w="1334"/>
        <w:gridCol w:w="1390"/>
        <w:gridCol w:w="1388"/>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49,000,000.00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49,000,000.00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41,686,910.38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41,686,910.38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23,875,000.00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23,875,000.00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448"/>
        <w:gridCol w:w="1337"/>
        <w:gridCol w:w="1335"/>
        <w:gridCol w:w="1336"/>
        <w:gridCol w:w="1334"/>
        <w:gridCol w:w="1390"/>
        <w:gridCol w:w="1388"/>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40,238,715.82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40,238,715.82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100,367,990.51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100,367,990.51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22,015,900.00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22,015,900.00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17,774,592.76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17,774,592.76</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26,479,200.00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26,479,200.00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7,522,617.99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7,522,617.99</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439,999,998.40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439,999,998.40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9,385,000.00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295,406,900.00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295,406,900.00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20,981,961.00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20,981,961.00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5,249,842.45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5,249,842.45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2,794,464.15</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61,878,700.00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71,778,700.00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277,481,900.00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277,481,900.00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142,293,780.00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142,293,780.00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百隆建筑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上海祥云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535,500.00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1,651,267,798.56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37,999,500.00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1,689,267,298.56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25,297,210.75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28,091,674.90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371"/>
      <w:bookmarkEnd w:id="37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797"/>
        <w:gridCol w:w="797"/>
        <w:gridCol w:w="797"/>
        <w:gridCol w:w="798"/>
        <w:gridCol w:w="798"/>
        <w:gridCol w:w="798"/>
        <w:gridCol w:w="798"/>
        <w:gridCol w:w="798"/>
        <w:gridCol w:w="798"/>
        <w:gridCol w:w="798"/>
        <w:gridCol w:w="798"/>
        <w:gridCol w:w="798"/>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河南中盾 云安信息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6,132,450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330,756.2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6,463,207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797"/>
        <w:gridCol w:w="797"/>
        <w:gridCol w:w="797"/>
        <w:gridCol w:w="798"/>
        <w:gridCol w:w="798"/>
        <w:gridCol w:w="798"/>
        <w:gridCol w:w="798"/>
        <w:gridCol w:w="798"/>
        <w:gridCol w:w="798"/>
        <w:gridCol w:w="798"/>
        <w:gridCol w:w="798"/>
        <w:gridCol w:w="798"/>
      </w:tblGrid>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泰瑞数创 科技（北 京）有限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28,178,31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3,084,740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37,826,29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34,310,76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3,415,496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44,289,50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34,310,76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3,415,496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6,563,242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44,289,50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营业收入和营业成本" w:id="372"/>
      <w:bookmarkEnd w:id="37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983"/>
        <w:gridCol w:w="1838"/>
        <w:gridCol w:w="1913"/>
        <w:gridCol w:w="1913"/>
        <w:gridCol w:w="1914"/>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280,490,713.94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171,775,082.90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236,604,966.32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135,547,435.31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43,548,057.35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19,188,667.84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35,161,681.80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15,835,060.34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324,038,771.29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190,963,750.74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271,766,648.12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151,382,495.65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373"/>
      <w:bookmarkEnd w:id="37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326"/>
        <w:gridCol w:w="3059"/>
        <w:gridCol w:w="3186"/>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41,856,000.00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29,258,000.00</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3,415,496.81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4,726,890.10</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或有对价实现的投资收益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10,950,000.00</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7,425,193.57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1,207,469.68</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52,696,690.38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46,142,359.78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五、补充资料" w:id="374"/>
      <w:bookmarkEnd w:id="374"/>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75"/>
      <w:bookmarkEnd w:id="37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-895,232.20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98,223,081.50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324"/>
        <w:gridCol w:w="3060"/>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-443,369.63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-333,130.19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1,230,738.07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 系联营及合营企业权益法核算的投资收 益中属于非经常性损益的部分 </w:t>
            </w:r>
            <w:r>
              <w:rPr>
                <w:rFonts w:ascii="Times New Roman" w:hAnsi="Times New Roman" w:cs="Times New Roman" w:eastAsia="Times New Roman" w:hint="default"/>
                <w:sz w:val="18"/>
                <w:szCs w:val="18"/>
              </w:rPr>
              <w:t>1,230,738.07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20,940,997.80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21,745,583.02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55,095,506.73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76"/>
      <w:bookmarkEnd w:id="37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663"/>
        <w:gridCol w:w="3081"/>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71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377"/>
      <w:bookmarkEnd w:id="377"/>
      <w:r>
        <w:rPr>
          <w:b w:val="0"/>
          <w:bCs w:val="0"/>
        </w:rPr>
      </w:r>
      <w:bookmarkStart w:name="_bookmark11" w:id="378"/>
      <w:bookmarkEnd w:id="378"/>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574" w:right="2142"/>
        <w:jc w:val="left"/>
      </w:pPr>
      <w:r>
        <w:rPr/>
        <w:t>一、载有法定代表人、主管会计工作负责人、会计机构负责人签名并盖章的财务报表。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pStyle w:val="BodyText"/>
        <w:spacing w:line="240" w:lineRule="auto"/>
        <w:ind w:left="574" w:right="0"/>
        <w:jc w:val="left"/>
      </w:pPr>
      <w:r>
        <w:rPr/>
        <w:t>以上备查文件的备置地点：公司证券投资部办公室。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408" w:lineRule="auto" w:before="0"/>
        <w:ind w:left="7693" w:right="1113" w:hanging="420"/>
        <w:jc w:val="left"/>
      </w:pPr>
      <w:r>
        <w:rPr/>
        <w:t>汉威科技集团股份有限公司 法定代表人：任红军</w:t>
      </w:r>
    </w:p>
    <w:p>
      <w:pPr>
        <w:pStyle w:val="BodyText"/>
        <w:spacing w:line="240" w:lineRule="auto"/>
        <w:ind w:left="0" w:right="1130"/>
        <w:jc w:val="right"/>
      </w:pPr>
      <w:r>
        <w:rPr/>
        <w:t>二〇一九年三月二十九日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1784" type="#_x0000_t75" stroked="false">
          <v:imagedata r:id="rId1" o:title=""/>
        </v:shape>
      </w:pict>
    </w:r>
    <w:r>
      <w:rPr/>
      <w:pict>
        <v:shape style="position:absolute;margin-left:533.179993pt;margin-top:795.517944pt;width:6.5pt;height:11pt;mso-position-horizontal-relative:page;mso-position-vertical-relative:page;z-index:-1011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1736" type="#_x0000_t75" stroked="false">
          <v:imagedata r:id="rId1" o:title=""/>
        </v:shape>
      </w:pict>
    </w:r>
    <w:r>
      <w:rPr/>
      <w:pict>
        <v:shape style="position:absolute;margin-left:527.679993pt;margin-top:781.957947pt;width:13pt;height:11pt;mso-position-horizontal-relative:page;mso-position-vertical-relative:page;z-index:-101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1688" type="#_x0000_t75" stroked="false">
          <v:imagedata r:id="rId1" o:title=""/>
        </v:shape>
      </w:pict>
    </w:r>
    <w:r>
      <w:rPr/>
      <w:pict>
        <v:shape style="position:absolute;margin-left:524.179993pt;margin-top:781.957947pt;width:15.5pt;height:11pt;mso-position-horizontal-relative:page;mso-position-vertical-relative:page;z-index:-1011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1640" type="#_x0000_t75" stroked="false">
          <v:imagedata r:id="rId1" o:title=""/>
        </v:shape>
      </w:pict>
    </w:r>
    <w:r>
      <w:rPr/>
      <w:pict>
        <v:shape style="position:absolute;margin-left:523.179993pt;margin-top:781.957947pt;width:17.5pt;height:11pt;mso-position-horizontal-relative:page;mso-position-vertical-relative:page;z-index:-1011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11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sz w:val="28"/>
      <w:szCs w:val="28"/>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574"/>
      <w:outlineLvl w:val="3"/>
    </w:pPr>
    <w:rPr>
      <w:rFonts w:ascii="黑体" w:hAnsi="黑体" w:eastAsia="黑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nwei.cn/" TargetMode="External"/><Relationship Id="rId10" Type="http://schemas.openxmlformats.org/officeDocument/2006/relationships/hyperlink" Target="mailto:hwdz@hwsensor.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 TargetMode="External"/><Relationship Id="rId14" Type="http://schemas.openxmlformats.org/officeDocument/2006/relationships/image" Target="media/image4.jpeg"/><Relationship Id="rId15" Type="http://schemas.openxmlformats.org/officeDocument/2006/relationships/hyperlink" Target="http://rs.p5w.net/" TargetMode="External"/><Relationship Id="rId16" Type="http://schemas.openxmlformats.org/officeDocument/2006/relationships/hyperlink" Target="http://ircs.p5w.net/ircs/ssgs/index.do" TargetMode="External"/><Relationship Id="rId17" Type="http://schemas.openxmlformats.org/officeDocument/2006/relationships/footer" Target="footer3.xml"/><Relationship Id="rId1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汉威科技集团股份有限公司</dc:creator>
  <dc:title>汉威科技集团股份有限公司2018年年度报告全文</dc:title>
  <dcterms:created xsi:type="dcterms:W3CDTF">2020-05-04T20:36:36Z</dcterms:created>
  <dcterms:modified xsi:type="dcterms:W3CDTF">2020-05-04T20:36:36Z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2020-05-04T00:00:00Z</vt:filetime>
  </property>
</Properties>
</file>