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2400" w:lineRule="exact"/>
        <w:ind w:left="383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445992" cy="15240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45992" cy="1524000"/>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5"/>
        <w:rPr>
          <w:rFonts w:ascii="Times New Roman" w:hAnsi="Times New Roman" w:cs="Times New Roman" w:eastAsia="Times New Roman" w:hint="default"/>
          <w:sz w:val="20"/>
          <w:szCs w:val="20"/>
        </w:rPr>
      </w:pPr>
    </w:p>
    <w:p>
      <w:pPr>
        <w:spacing w:line="460" w:lineRule="exact" w:before="0"/>
        <w:ind w:left="0" w:right="980" w:firstLine="0"/>
        <w:jc w:val="center"/>
        <w:rPr>
          <w:rFonts w:ascii="宋体" w:hAnsi="宋体" w:cs="宋体" w:eastAsia="宋体" w:hint="default"/>
          <w:sz w:val="36"/>
          <w:szCs w:val="36"/>
        </w:rPr>
      </w:pPr>
      <w:r>
        <w:rPr>
          <w:rFonts w:ascii="宋体" w:hAnsi="宋体" w:cs="宋体" w:eastAsia="宋体" w:hint="default"/>
          <w:b/>
          <w:bCs/>
          <w:sz w:val="36"/>
          <w:szCs w:val="36"/>
        </w:rPr>
        <w:t>汉威科技集团股份有限公司</w:t>
      </w:r>
      <w:r>
        <w:rPr>
          <w:rFonts w:ascii="宋体" w:hAnsi="宋体" w:cs="宋体" w:eastAsia="宋体" w:hint="default"/>
          <w:sz w:val="36"/>
          <w:szCs w:val="36"/>
        </w:rPr>
      </w:r>
    </w:p>
    <w:p>
      <w:pPr>
        <w:spacing w:before="281"/>
        <w:ind w:left="0" w:right="9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8"/>
          <w:szCs w:val="48"/>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pStyle w:val="Heading1"/>
        <w:spacing w:line="240" w:lineRule="auto"/>
        <w:ind w:left="2803"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6"/>
        </w:rPr>
        <w:t> </w:t>
      </w:r>
      <w:r>
        <w:rPr/>
        <w:t>重要提示、目录和释义</w:t>
      </w:r>
      <w:r>
        <w:rPr>
          <w:b w:val="0"/>
          <w:bCs w:val="0"/>
        </w:rPr>
      </w:r>
    </w:p>
    <w:p>
      <w:pPr>
        <w:spacing w:line="240" w:lineRule="auto" w:before="8"/>
        <w:rPr>
          <w:rFonts w:ascii="宋体" w:hAnsi="宋体" w:cs="宋体" w:eastAsia="宋体" w:hint="default"/>
          <w:b/>
          <w:bCs/>
          <w:sz w:val="28"/>
          <w:szCs w:val="28"/>
        </w:rPr>
      </w:pPr>
    </w:p>
    <w:p>
      <w:pPr>
        <w:pStyle w:val="BodyText"/>
        <w:spacing w:line="408" w:lineRule="auto" w:before="0"/>
        <w:ind w:right="0" w:firstLine="420"/>
        <w:jc w:val="left"/>
      </w:pPr>
      <w:r>
        <w:rPr>
          <w:spacing w:val="-2"/>
        </w:rPr>
        <w:t>公司董事会、监事会及董事、监事、高级管理人员保证年度报告内容的真实、准确、完整，不存在虚</w:t>
      </w:r>
      <w:r>
        <w:rPr>
          <w:w w:val="100"/>
        </w:rPr>
        <w:t> </w:t>
      </w:r>
      <w:r>
        <w:rPr/>
        <w:t>假记载、误导性陈述或重大遗漏，并承担个别和连带的法律责任。</w:t>
      </w:r>
    </w:p>
    <w:p>
      <w:pPr>
        <w:pStyle w:val="BodyText"/>
        <w:spacing w:line="408" w:lineRule="auto"/>
        <w:ind w:right="0" w:firstLine="420"/>
        <w:jc w:val="left"/>
      </w:pPr>
      <w:r>
        <w:rPr>
          <w:spacing w:val="-2"/>
        </w:rPr>
        <w:t>公司负责人任红军、主管会计工作负责人刘瑞玲及会计机构负责人</w:t>
      </w:r>
      <w:r>
        <w:rPr>
          <w:rFonts w:ascii="宋体" w:hAnsi="宋体" w:cs="宋体" w:eastAsia="宋体" w:hint="default"/>
          <w:spacing w:val="-2"/>
        </w:rPr>
        <w:t>(</w:t>
      </w:r>
      <w:r>
        <w:rPr>
          <w:spacing w:val="-2"/>
        </w:rPr>
        <w:t>会计主管人员</w:t>
      </w:r>
      <w:r>
        <w:rPr>
          <w:rFonts w:ascii="宋体" w:hAnsi="宋体" w:cs="宋体" w:eastAsia="宋体" w:hint="default"/>
          <w:spacing w:val="-2"/>
        </w:rPr>
        <w:t>)</w:t>
      </w:r>
      <w:r>
        <w:rPr>
          <w:spacing w:val="-2"/>
        </w:rPr>
        <w:t>肖桂华声明：保证</w:t>
      </w:r>
      <w:r>
        <w:rPr>
          <w:w w:val="100"/>
        </w:rPr>
        <w:t> </w:t>
      </w:r>
      <w:r>
        <w:rPr/>
        <w:t>年度报告中财务报告的真实、准确、完整。</w:t>
      </w:r>
    </w:p>
    <w:p>
      <w:pPr>
        <w:pStyle w:val="BodyText"/>
        <w:spacing w:line="408" w:lineRule="auto"/>
        <w:ind w:left="573" w:right="0"/>
        <w:jc w:val="left"/>
      </w:pPr>
      <w:r>
        <w:rPr/>
        <w:t>所有董事均已出席了审议本报告的董事会会议。</w:t>
      </w:r>
      <w:r>
        <w:rPr>
          <w:w w:val="100"/>
        </w:rPr>
        <w:t> </w:t>
      </w:r>
      <w:r>
        <w:rPr>
          <w:spacing w:val="-2"/>
        </w:rPr>
        <w:t>本年度报告中涉及未来计划或规划等前瞻性陈述的，均不构成公司对投资者的实质承诺，投资者及相</w:t>
      </w:r>
    </w:p>
    <w:p>
      <w:pPr>
        <w:pStyle w:val="BodyText"/>
        <w:spacing w:line="408" w:lineRule="auto"/>
        <w:ind w:left="573" w:right="0" w:hanging="421"/>
        <w:jc w:val="left"/>
      </w:pPr>
      <w:r>
        <w:rPr/>
        <w:t>关人士均应当对此保持足够的风险认识，并且应当理解计划、预测与承诺之间的差异。</w:t>
      </w:r>
      <w:r>
        <w:rPr>
          <w:w w:val="100"/>
        </w:rPr>
        <w:t> </w:t>
      </w:r>
      <w:r>
        <w:rPr>
          <w:rFonts w:ascii="宋体" w:hAnsi="宋体" w:cs="宋体" w:eastAsia="宋体" w:hint="default"/>
        </w:rPr>
        <w:t>1</w:t>
      </w:r>
      <w:r>
        <w:rPr/>
        <w:t>、物联网行业竞争加剧带来的市场风险</w:t>
      </w:r>
      <w:r>
        <w:rPr>
          <w:w w:val="100"/>
        </w:rPr>
        <w:t> </w:t>
      </w:r>
      <w:r>
        <w:rPr>
          <w:spacing w:val="-2"/>
        </w:rPr>
        <w:t>近年来物联网行业市场竞争日趋激烈，智慧城市、智慧环保等领域的蓬勃发展逐渐吸引了大批市场竞</w:t>
      </w:r>
    </w:p>
    <w:p>
      <w:pPr>
        <w:pStyle w:val="BodyText"/>
        <w:spacing w:line="408" w:lineRule="auto"/>
        <w:ind w:right="1126"/>
        <w:jc w:val="both"/>
      </w:pPr>
      <w:r>
        <w:rPr>
          <w:spacing w:val="-2"/>
        </w:rPr>
        <w:t>争对手及联合体，同时公司还面临来自国际企业的竞争。如果公司不能保持现有的核心技术优势、品牌优</w:t>
      </w:r>
      <w:r>
        <w:rPr>
          <w:spacing w:val="-45"/>
        </w:rPr>
        <w:t> </w:t>
      </w:r>
      <w:r>
        <w:rPr>
          <w:spacing w:val="-45"/>
        </w:rPr>
      </w:r>
      <w:r>
        <w:rPr>
          <w:spacing w:val="-2"/>
        </w:rPr>
        <w:t>势与重点市场的既有优势，并不断开发新产品与开拓新市场，公司将受行业分化的影响丧失领先优势，对</w:t>
      </w:r>
      <w:r>
        <w:rPr>
          <w:spacing w:val="-44"/>
        </w:rPr>
        <w:t> </w:t>
      </w:r>
      <w:r>
        <w:rPr>
          <w:spacing w:val="-44"/>
        </w:rPr>
      </w:r>
      <w:r>
        <w:rPr>
          <w:spacing w:val="-2"/>
        </w:rPr>
        <w:t>公司未来业绩增长产生不利影响。为此，公司将不断加强自主研发及对外合作，持续增加产品、服务的种</w:t>
      </w:r>
      <w:r>
        <w:rPr>
          <w:spacing w:val="-44"/>
        </w:rPr>
        <w:t> </w:t>
      </w:r>
      <w:r>
        <w:rPr>
          <w:spacing w:val="-44"/>
        </w:rPr>
      </w:r>
      <w:r>
        <w:rPr>
          <w:spacing w:val="-2"/>
        </w:rPr>
        <w:t>类和业务覆盖范围，持续巩固传感器核心优势，不断完善物联网产业生态圈，增强获得项目订单的竞争实</w:t>
      </w:r>
      <w:r>
        <w:rPr>
          <w:spacing w:val="-44"/>
        </w:rPr>
        <w:t> </w:t>
      </w:r>
      <w:r>
        <w:rPr>
          <w:spacing w:val="-44"/>
        </w:rPr>
      </w:r>
      <w:r>
        <w:rPr/>
        <w:t>力。</w:t>
      </w:r>
    </w:p>
    <w:p>
      <w:pPr>
        <w:pStyle w:val="BodyText"/>
        <w:spacing w:line="408" w:lineRule="auto"/>
        <w:ind w:left="573" w:right="0"/>
        <w:jc w:val="left"/>
      </w:pPr>
      <w:r>
        <w:rPr>
          <w:rFonts w:ascii="宋体" w:hAnsi="宋体" w:cs="宋体" w:eastAsia="宋体" w:hint="default"/>
        </w:rPr>
        <w:t>2</w:t>
      </w:r>
      <w:r>
        <w:rPr/>
        <w:t>、创新能力不足带来的技术风险</w:t>
      </w:r>
      <w:r>
        <w:rPr>
          <w:w w:val="100"/>
        </w:rPr>
        <w:t> </w:t>
      </w:r>
      <w:r>
        <w:rPr>
          <w:spacing w:val="-2"/>
        </w:rPr>
        <w:t>公司所处的物联网行业正处于快速发展的时期，无论在硬件或者软件方面，未来下游应用都将随着客</w:t>
      </w:r>
    </w:p>
    <w:p>
      <w:pPr>
        <w:pStyle w:val="BodyText"/>
        <w:spacing w:line="408" w:lineRule="auto"/>
        <w:ind w:right="1126"/>
        <w:jc w:val="both"/>
      </w:pPr>
      <w:r>
        <w:rPr>
          <w:spacing w:val="-2"/>
        </w:rPr>
        <w:t>户需求的逐步提高出现快速迭代，如果公司不能保持核心技术的持续领先，将面临技术落后的风险。公司</w:t>
      </w:r>
      <w:r>
        <w:rPr>
          <w:spacing w:val="-42"/>
        </w:rPr>
        <w:t> </w:t>
      </w:r>
      <w:r>
        <w:rPr>
          <w:spacing w:val="-42"/>
        </w:rPr>
      </w:r>
      <w:r>
        <w:rPr>
          <w:spacing w:val="-2"/>
        </w:rPr>
        <w:t>提供的传感器、智能终端设备以及物联网综合解决方案均具有软硬件核心的自主知识产权，未来公司将始</w:t>
      </w:r>
      <w:r>
        <w:rPr>
          <w:spacing w:val="-42"/>
        </w:rPr>
        <w:t> </w:t>
      </w:r>
      <w:r>
        <w:rPr>
          <w:spacing w:val="-42"/>
        </w:rPr>
      </w:r>
      <w:r>
        <w:rPr>
          <w:spacing w:val="-2"/>
        </w:rPr>
        <w:t>终强化技术研发创新能力，在气体传感器细分领域保持国内龙头地位，同时继续实施并购战略，在国内外</w:t>
      </w:r>
      <w:r>
        <w:rPr>
          <w:spacing w:val="-43"/>
        </w:rPr>
        <w:t> </w:t>
      </w:r>
      <w:r>
        <w:rPr>
          <w:spacing w:val="-43"/>
        </w:rPr>
      </w:r>
      <w:r>
        <w:rPr/>
        <w:t>寻求先进的技术标的，针对不同客户建立多层次的产品线，进一步保持并加强行业技术领先的优势。</w:t>
      </w:r>
    </w:p>
    <w:p>
      <w:pPr>
        <w:pStyle w:val="BodyText"/>
        <w:spacing w:line="410" w:lineRule="auto"/>
        <w:ind w:left="573" w:right="0"/>
        <w:jc w:val="left"/>
      </w:pPr>
      <w:r>
        <w:rPr>
          <w:rFonts w:ascii="宋体" w:hAnsi="宋体" w:cs="宋体" w:eastAsia="宋体" w:hint="default"/>
        </w:rPr>
        <w:t>3</w:t>
      </w:r>
      <w:r>
        <w:rPr/>
        <w:t>、集团化经营带来的管理风险</w:t>
      </w:r>
      <w:r>
        <w:rPr>
          <w:w w:val="100"/>
        </w:rPr>
        <w:t> </w:t>
      </w:r>
      <w:r>
        <w:rPr/>
        <w:t>公司近几年来通过坚持“内生增长</w:t>
      </w:r>
      <w:r>
        <w:rPr>
          <w:rFonts w:ascii="宋体" w:hAnsi="宋体" w:cs="宋体" w:eastAsia="宋体" w:hint="default"/>
        </w:rPr>
        <w:t>+</w:t>
      </w:r>
      <w:r>
        <w:rPr/>
        <w:t>外延并购”的战略途径，构建了以传感器为核心的物联网产业生</w:t>
      </w:r>
    </w:p>
    <w:p>
      <w:pPr>
        <w:pStyle w:val="BodyText"/>
        <w:spacing w:line="408" w:lineRule="auto" w:before="44"/>
        <w:ind w:right="1126"/>
        <w:jc w:val="both"/>
      </w:pPr>
      <w:r>
        <w:rPr>
          <w:spacing w:val="-2"/>
        </w:rPr>
        <w:t>态集团。目前，公司旗下二十余家全资及控股子公司，地理区域遍布全国，客户和服务领域广泛，如果公</w:t>
      </w:r>
      <w:r>
        <w:rPr>
          <w:spacing w:val="-43"/>
        </w:rPr>
        <w:t> </w:t>
      </w:r>
      <w:r>
        <w:rPr>
          <w:spacing w:val="-43"/>
        </w:rPr>
      </w:r>
      <w:r>
        <w:rPr>
          <w:spacing w:val="-2"/>
        </w:rPr>
        <w:t>司集团化管控能力不足，将存在无法充分发挥产业协同性的风险。为此，公司将进一步完善集团化管控制</w:t>
      </w:r>
      <w:r>
        <w:rPr>
          <w:spacing w:val="-43"/>
        </w:rPr>
        <w:t> </w:t>
      </w:r>
      <w:r>
        <w:rPr>
          <w:spacing w:val="-43"/>
        </w:rPr>
      </w:r>
      <w:r>
        <w:rPr/>
        <w:t>度，夯实集团化管理的基础，增进各子公司之间的业务协同，真正形成融合统一的物联网产业集团。</w:t>
      </w:r>
    </w:p>
    <w:p>
      <w:pPr>
        <w:pStyle w:val="BodyText"/>
        <w:spacing w:line="240" w:lineRule="auto"/>
        <w:ind w:left="573" w:right="0"/>
        <w:jc w:val="left"/>
      </w:pPr>
      <w:r>
        <w:rPr/>
        <w:t>公司经本次董事会审议通过的利润分配预案为：以</w:t>
      </w:r>
      <w:r>
        <w:rPr>
          <w:spacing w:val="-35"/>
        </w:rPr>
        <w:t> </w:t>
      </w:r>
      <w:r>
        <w:rPr>
          <w:rFonts w:ascii="宋体" w:hAnsi="宋体" w:cs="宋体" w:eastAsia="宋体" w:hint="default"/>
        </w:rPr>
        <w:t>293,022,806</w:t>
      </w:r>
      <w:r>
        <w:rPr>
          <w:rFonts w:ascii="宋体" w:hAnsi="宋体" w:cs="宋体" w:eastAsia="宋体" w:hint="default"/>
          <w:spacing w:val="-34"/>
        </w:rPr>
        <w:t> </w:t>
      </w:r>
      <w:r>
        <w:rPr/>
        <w:t>股为基数，向全体股东每</w:t>
      </w:r>
      <w:r>
        <w:rPr>
          <w:spacing w:val="-34"/>
        </w:rPr>
        <w:t> </w:t>
      </w:r>
      <w:r>
        <w:rPr>
          <w:rFonts w:ascii="宋体" w:hAnsi="宋体" w:cs="宋体" w:eastAsia="宋体" w:hint="default"/>
        </w:rPr>
        <w:t>10</w:t>
      </w:r>
      <w:r>
        <w:rPr>
          <w:rFonts w:ascii="宋体" w:hAnsi="宋体" w:cs="宋体" w:eastAsia="宋体" w:hint="default"/>
          <w:spacing w:val="-34"/>
        </w:rPr>
        <w:t> </w:t>
      </w:r>
      <w:r>
        <w:rPr/>
        <w:t>股派发</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w w:val="100"/>
        </w:rPr>
        <w:t>现金</w:t>
      </w:r>
      <w:r>
        <w:rPr>
          <w:spacing w:val="-3"/>
          <w:w w:val="100"/>
        </w:rPr>
        <w:t>红</w:t>
      </w:r>
      <w:r>
        <w:rPr>
          <w:w w:val="100"/>
        </w:rPr>
        <w:t>利</w:t>
      </w:r>
      <w:r>
        <w:rPr>
          <w:spacing w:val="-52"/>
        </w:rPr>
        <w:t> </w:t>
      </w:r>
      <w:r>
        <w:rPr>
          <w:rFonts w:ascii="宋体" w:hAnsi="宋体" w:cs="宋体" w:eastAsia="宋体" w:hint="default"/>
          <w:spacing w:val="-3"/>
          <w:w w:val="100"/>
        </w:rPr>
        <w:t>0</w:t>
      </w:r>
      <w:r>
        <w:rPr>
          <w:rFonts w:ascii="宋体" w:hAnsi="宋体" w:cs="宋体" w:eastAsia="宋体" w:hint="default"/>
          <w:w w:val="100"/>
        </w:rPr>
        <w:t>.22</w:t>
      </w:r>
      <w:r>
        <w:rPr>
          <w:rFonts w:ascii="宋体" w:hAnsi="宋体" w:cs="宋体" w:eastAsia="宋体" w:hint="default"/>
          <w:spacing w:val="-55"/>
        </w:rPr>
        <w:t> </w:t>
      </w:r>
      <w:r>
        <w:rPr>
          <w:w w:val="100"/>
        </w:rPr>
        <w:t>元</w:t>
      </w:r>
      <w:r>
        <w:rPr>
          <w:spacing w:val="-3"/>
          <w:w w:val="100"/>
        </w:rPr>
        <w:t>（</w:t>
      </w:r>
      <w:r>
        <w:rPr>
          <w:w w:val="100"/>
        </w:rPr>
        <w:t>含税</w:t>
      </w:r>
      <w:r>
        <w:rPr>
          <w:spacing w:val="-108"/>
          <w:w w:val="100"/>
        </w:rPr>
        <w:t>）</w:t>
      </w:r>
      <w:r>
        <w:rPr>
          <w:w w:val="100"/>
        </w:rPr>
        <w:t>，送</w:t>
      </w:r>
      <w:r>
        <w:rPr>
          <w:spacing w:val="-3"/>
          <w:w w:val="100"/>
        </w:rPr>
        <w:t>红</w:t>
      </w:r>
      <w:r>
        <w:rPr>
          <w:w w:val="100"/>
        </w:rPr>
        <w:t>股</w:t>
      </w:r>
      <w:r>
        <w:rPr>
          <w:spacing w:val="-52"/>
        </w:rPr>
        <w:t> </w:t>
      </w:r>
      <w:r>
        <w:rPr>
          <w:rFonts w:ascii="宋体" w:hAnsi="宋体" w:cs="宋体" w:eastAsia="宋体" w:hint="default"/>
          <w:w w:val="100"/>
        </w:rPr>
        <w:t>0</w:t>
      </w:r>
      <w:r>
        <w:rPr>
          <w:rFonts w:ascii="宋体" w:hAnsi="宋体" w:cs="宋体" w:eastAsia="宋体" w:hint="default"/>
          <w:spacing w:val="-55"/>
        </w:rPr>
        <w:t> </w:t>
      </w:r>
      <w:r>
        <w:rPr>
          <w:w w:val="100"/>
        </w:rPr>
        <w:t>股</w:t>
      </w:r>
      <w:r>
        <w:rPr>
          <w:spacing w:val="-3"/>
          <w:w w:val="100"/>
        </w:rPr>
        <w:t>（</w:t>
      </w:r>
      <w:r>
        <w:rPr>
          <w:w w:val="100"/>
        </w:rPr>
        <w:t>含</w:t>
      </w:r>
      <w:r>
        <w:rPr>
          <w:spacing w:val="-3"/>
          <w:w w:val="100"/>
        </w:rPr>
        <w:t>税</w:t>
      </w:r>
      <w:r>
        <w:rPr>
          <w:spacing w:val="-106"/>
          <w:w w:val="100"/>
        </w:rPr>
        <w:t>）</w:t>
      </w:r>
      <w:r>
        <w:rPr>
          <w:spacing w:val="-3"/>
          <w:w w:val="100"/>
        </w:rPr>
        <w:t>，以</w:t>
      </w:r>
      <w:r>
        <w:rPr>
          <w:w w:val="100"/>
        </w:rPr>
        <w:t>资本</w:t>
      </w:r>
      <w:r>
        <w:rPr>
          <w:spacing w:val="-3"/>
          <w:w w:val="100"/>
        </w:rPr>
        <w:t>公</w:t>
      </w:r>
      <w:r>
        <w:rPr>
          <w:w w:val="100"/>
        </w:rPr>
        <w:t>积</w:t>
      </w:r>
      <w:r>
        <w:rPr>
          <w:spacing w:val="-3"/>
          <w:w w:val="100"/>
        </w:rPr>
        <w:t>金</w:t>
      </w:r>
      <w:r>
        <w:rPr>
          <w:w w:val="100"/>
        </w:rPr>
        <w:t>向</w:t>
      </w:r>
      <w:r>
        <w:rPr>
          <w:spacing w:val="-3"/>
          <w:w w:val="100"/>
        </w:rPr>
        <w:t>全</w:t>
      </w:r>
      <w:r>
        <w:rPr>
          <w:w w:val="100"/>
        </w:rPr>
        <w:t>体</w:t>
      </w:r>
      <w:r>
        <w:rPr>
          <w:spacing w:val="-3"/>
          <w:w w:val="100"/>
        </w:rPr>
        <w:t>股东</w:t>
      </w:r>
      <w:r>
        <w:rPr>
          <w:w w:val="100"/>
        </w:rPr>
        <w:t>每</w:t>
      </w:r>
      <w:r>
        <w:rPr>
          <w:spacing w:val="-55"/>
        </w:rPr>
        <w:t> </w:t>
      </w:r>
      <w:r>
        <w:rPr>
          <w:rFonts w:ascii="宋体" w:hAnsi="宋体" w:cs="宋体" w:eastAsia="宋体" w:hint="default"/>
          <w:w w:val="100"/>
        </w:rPr>
        <w:t>10</w:t>
      </w:r>
      <w:r>
        <w:rPr>
          <w:rFonts w:ascii="宋体" w:hAnsi="宋体" w:cs="宋体" w:eastAsia="宋体" w:hint="default"/>
          <w:spacing w:val="-53"/>
        </w:rPr>
        <w:t> </w:t>
      </w:r>
      <w:r>
        <w:rPr>
          <w:spacing w:val="-3"/>
          <w:w w:val="100"/>
        </w:rPr>
        <w:t>股</w:t>
      </w:r>
      <w:r>
        <w:rPr>
          <w:w w:val="100"/>
        </w:rPr>
        <w:t>转增</w:t>
      </w:r>
      <w:r>
        <w:rPr>
          <w:spacing w:val="-55"/>
        </w:rPr>
        <w:t> </w:t>
      </w:r>
      <w:r>
        <w:rPr>
          <w:rFonts w:ascii="宋体" w:hAnsi="宋体" w:cs="宋体" w:eastAsia="宋体" w:hint="default"/>
          <w:w w:val="100"/>
        </w:rPr>
        <w:t>0</w:t>
      </w:r>
      <w:r>
        <w:rPr>
          <w:rFonts w:ascii="宋体" w:hAnsi="宋体" w:cs="宋体" w:eastAsia="宋体" w:hint="default"/>
          <w:spacing w:val="-53"/>
        </w:rPr>
        <w:t> </w:t>
      </w:r>
      <w:r>
        <w:rPr>
          <w:spacing w:val="-3"/>
          <w:w w:val="100"/>
        </w:rPr>
        <w:t>股。</w:t>
      </w:r>
      <w:r>
        <w:rPr>
          <w:w w:val="100"/>
        </w:rPr>
      </w:r>
    </w:p>
    <w:p>
      <w:pPr>
        <w:spacing w:after="0" w:line="240" w:lineRule="auto"/>
        <w:jc w:val="both"/>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tabs>
          <w:tab w:pos="724" w:val="left" w:leader="none"/>
        </w:tabs>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4" w:val="right" w:leader="dot"/>
            </w:tabs>
            <w:spacing w:line="240" w:lineRule="auto" w:before="237"/>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56</w:t>
            </w:r>
          </w:hyperlink>
        </w:p>
        <w:p>
          <w:pPr>
            <w:pStyle w:val="TOC1"/>
            <w:tabs>
              <w:tab w:pos="9785" w:val="right" w:leader="dot"/>
            </w:tabs>
            <w:spacing w:line="240" w:lineRule="auto" w:before="237"/>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63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rPr>
              <w:tab/>
              <w:t>64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公司治理</w:t>
            </w:r>
            <w:r>
              <w:rPr>
                <w:rFonts w:ascii="Times New Roman" w:hAnsi="Times New Roman" w:cs="Times New Roman" w:eastAsia="Times New Roman" w:hint="default"/>
              </w:rPr>
              <w:tab/>
              <w:t>72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公司债券相关情况</w:t>
            </w:r>
            <w:r>
              <w:rPr>
                <w:rFonts w:ascii="Times New Roman" w:hAnsi="Times New Roman" w:cs="Times New Roman" w:eastAsia="Times New Roman" w:hint="default"/>
              </w:rPr>
              <w:tab/>
              <w:t>82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1">
            <w:r>
              <w:rPr/>
              <w:t>第十二节</w:t>
            </w:r>
            <w:r>
              <w:rPr>
                <w:spacing w:val="-1"/>
              </w:rPr>
              <w:t> </w:t>
            </w:r>
            <w:r>
              <w:rPr/>
              <w:t>财务报告</w:t>
            </w:r>
            <w:r>
              <w:rPr>
                <w:rFonts w:ascii="Times New Roman" w:hAnsi="Times New Roman" w:cs="Times New Roman" w:eastAsia="Times New Roman" w:hint="default"/>
              </w:rPr>
              <w:tab/>
              <w:t>83</w:t>
            </w:r>
          </w:hyperlink>
        </w:p>
        <w:p>
          <w:pPr>
            <w:pStyle w:val="TOC1"/>
            <w:tabs>
              <w:tab w:pos="9784" w:val="right" w:leader="dot"/>
            </w:tabs>
            <w:spacing w:line="240" w:lineRule="auto" w:before="237"/>
            <w:ind w:right="0"/>
            <w:jc w:val="left"/>
            <w:rPr>
              <w:rFonts w:ascii="Times New Roman" w:hAnsi="Times New Roman" w:cs="Times New Roman" w:eastAsia="Times New Roman" w:hint="default"/>
            </w:rPr>
          </w:pPr>
          <w:hyperlink w:history="true" w:anchor="_bookmark12">
            <w:r>
              <w:rPr/>
              <w:t>第十三节</w:t>
            </w:r>
            <w:r>
              <w:rPr>
                <w:spacing w:val="-1"/>
              </w:rPr>
              <w:t> </w:t>
            </w:r>
            <w:r>
              <w:rPr/>
              <w:t>备查文件目录</w:t>
            </w:r>
            <w:r>
              <w:rPr>
                <w:rFonts w:ascii="Times New Roman" w:hAnsi="Times New Roman" w:cs="Times New Roman" w:eastAsia="Times New Roman" w:hint="default"/>
              </w:rPr>
              <w:tab/>
              <w:t>196</w:t>
            </w:r>
          </w:hyperlink>
        </w:p>
        <w:p>
          <w:pPr/>
          <w:r>
            <w:fldChar w:fldCharType="end"/>
          </w:r>
        </w:p>
      </w:sdtContent>
    </w:sdt>
    <w:p>
      <w:pPr>
        <w:spacing w:after="0"/>
        <w:sectPr>
          <w:pgSz w:w="11910" w:h="16840"/>
          <w:pgMar w:header="745" w:footer="980" w:top="1060" w:bottom="1160" w:left="980" w:right="0"/>
        </w:sectPr>
      </w:pPr>
    </w:p>
    <w:p>
      <w:pPr>
        <w:spacing w:before="945"/>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592"/>
        <w:gridCol w:w="688"/>
        <w:gridCol w:w="6417"/>
      </w:tblGrid>
      <w:tr>
        <w:trPr>
          <w:trHeight w:val="412" w:hRule="exact"/>
        </w:trPr>
        <w:tc>
          <w:tcPr>
            <w:tcW w:w="259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1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7"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年度报告</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报告期、上年同期</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r>
      <w:tr>
        <w:trPr>
          <w:trHeight w:val="403"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董事会</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汉威科技集团股份有限公司董事会</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监事会</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汉威科技集团股份有限公司监事会</w:t>
            </w:r>
          </w:p>
        </w:tc>
      </w:tr>
      <w:tr>
        <w:trPr>
          <w:trHeight w:val="404"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股东大会</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汉威科技集团股份有限公司股东大会</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创业板</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3"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元</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汉威科技、公司</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p>
        </w:tc>
      </w:tr>
      <w:tr>
        <w:trPr>
          <w:trHeight w:val="403"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炜盛科技</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郑州炜盛电子科技有限公司</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沈阳金建</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沈阳金建数字城市软件有限公司</w:t>
            </w:r>
          </w:p>
        </w:tc>
      </w:tr>
      <w:tr>
        <w:trPr>
          <w:trHeight w:val="403"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嘉园环保</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嘉园环保有限公司</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汉威公用</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郑州汉威公用事业科技有限公司</w:t>
            </w:r>
          </w:p>
        </w:tc>
      </w:tr>
      <w:tr>
        <w:trPr>
          <w:trHeight w:val="404"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汉威智源</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郑州汉威智源科技有限公司</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高新供水</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郑州高新供水有限责任公司</w:t>
            </w:r>
          </w:p>
        </w:tc>
      </w:tr>
      <w:tr>
        <w:trPr>
          <w:trHeight w:val="403"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水务工程</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郑州高新水务工程有限公司</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高新热力</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郑州高新热力有限责任公司</w:t>
            </w:r>
          </w:p>
        </w:tc>
      </w:tr>
      <w:tr>
        <w:trPr>
          <w:trHeight w:val="403"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热力工程</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郑州高新时代热力工程有限公司</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鞍山易兴</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鞍山易兴自动化工程有限公司</w:t>
            </w:r>
          </w:p>
        </w:tc>
      </w:tr>
      <w:tr>
        <w:trPr>
          <w:trHeight w:val="403"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广东龙泉</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广东龙泉科技有限公司</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雪城软件</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河南雪城软件有限公司</w:t>
            </w:r>
          </w:p>
        </w:tc>
      </w:tr>
      <w:tr>
        <w:trPr>
          <w:trHeight w:val="403"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和阳环境</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河南和阳环境科技有限公司</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汉威智慧安全</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河南汉威智慧安全科技有限公司</w:t>
            </w:r>
          </w:p>
        </w:tc>
      </w:tr>
      <w:tr>
        <w:trPr>
          <w:trHeight w:val="403"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沈阳汉威</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沈阳汉威科技有限公司</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智威宇讯</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北京智威宇讯科技有限公司</w:t>
            </w:r>
          </w:p>
        </w:tc>
      </w:tr>
      <w:tr>
        <w:trPr>
          <w:trHeight w:val="403"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上海中威</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上海中威天安公共安全科技有限公司</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上海英吉森</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英吉森安全消防系统（上海）有限公司，曾用名</w:t>
            </w:r>
            <w:r>
              <w:rPr>
                <w:rFonts w:ascii="Times New Roman" w:hAnsi="Times New Roman" w:cs="Times New Roman" w:eastAsia="Times New Roman" w:hint="default"/>
                <w:sz w:val="18"/>
                <w:szCs w:val="18"/>
              </w:rPr>
              <w:t>"</w:t>
            </w:r>
            <w:r>
              <w:rPr>
                <w:rFonts w:ascii="宋体" w:hAnsi="宋体" w:cs="宋体" w:eastAsia="宋体" w:hint="default"/>
                <w:sz w:val="18"/>
                <w:szCs w:val="18"/>
              </w:rPr>
              <w:t>英森电气系统</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p>
        </w:tc>
      </w:tr>
      <w:tr>
        <w:trPr>
          <w:trHeight w:val="403"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河南威果</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河南威果智能科技有限公司</w:t>
            </w:r>
          </w:p>
        </w:tc>
      </w:tr>
      <w:tr>
        <w:trPr>
          <w:trHeight w:val="401" w:hRule="exact"/>
        </w:trPr>
        <w:tc>
          <w:tcPr>
            <w:tcW w:w="2592" w:type="dxa"/>
            <w:tcBorders>
              <w:top w:val="single" w:sz="4" w:space="0" w:color="000000"/>
              <w:left w:val="single" w:sz="12" w:space="0" w:color="000000"/>
              <w:bottom w:val="single" w:sz="4"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汉威智能仪表</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郑州汉威智能仪表有限公司</w:t>
            </w:r>
          </w:p>
        </w:tc>
      </w:tr>
      <w:tr>
        <w:trPr>
          <w:trHeight w:val="410" w:hRule="exact"/>
        </w:trPr>
        <w:tc>
          <w:tcPr>
            <w:tcW w:w="2592" w:type="dxa"/>
            <w:tcBorders>
              <w:top w:val="single" w:sz="4" w:space="0" w:color="000000"/>
              <w:left w:val="single" w:sz="12" w:space="0" w:color="000000"/>
              <w:bottom w:val="single" w:sz="12" w:space="0" w:color="000000"/>
              <w:right w:val="single" w:sz="13" w:space="0" w:color="D2D2D2"/>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德析检测</w:t>
            </w:r>
          </w:p>
        </w:tc>
        <w:tc>
          <w:tcPr>
            <w:tcW w:w="68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17" w:type="dxa"/>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郑州德析检测技术有限公司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shape style="position:absolute;margin-left:54.48pt;margin-top:71.999985pt;width:487.1pt;height:663.3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82"/>
                    <w:gridCol w:w="710"/>
                    <w:gridCol w:w="6407"/>
                  </w:tblGrid>
                  <w:tr>
                    <w:trPr>
                      <w:trHeight w:val="413" w:hRule="exact"/>
                    </w:trPr>
                    <w:tc>
                      <w:tcPr>
                        <w:tcW w:w="258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汉威祥云</w:t>
                        </w:r>
                      </w:p>
                    </w:tc>
                    <w:tc>
                      <w:tcPr>
                        <w:tcW w:w="7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汉威祥云（上海）数据服务有限公司</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威研融创</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上海威研融创实业有限公司</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畅威物联</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郑州畅威物联网科技有限公司</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苏州能斯达</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苏州能斯达电子科技有限公司</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吉地艾斯</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郑州吉地艾斯仪器有限公司</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国仪投资</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国仪投资</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合伙企业（有限合伙）</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中盾云安</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河南中盾云安信息科技有限公司</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泰瑞数创</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泰瑞数创科技（北京）有限公司</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百隆工程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河南省百隆建筑工程有限公司</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易度传感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郑州易度传感技术有限公司</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福建恒嘉</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福建恒嘉环保设备有限公司</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东山嘉园</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嘉园</w:t>
                        </w:r>
                        <w:r>
                          <w:rPr>
                            <w:rFonts w:ascii="Times New Roman" w:hAnsi="Times New Roman" w:cs="Times New Roman" w:eastAsia="Times New Roman" w:hint="default"/>
                            <w:sz w:val="18"/>
                            <w:szCs w:val="18"/>
                          </w:rPr>
                          <w:t>(</w:t>
                        </w:r>
                        <w:r>
                          <w:rPr>
                            <w:rFonts w:ascii="宋体" w:hAnsi="宋体" w:cs="宋体" w:eastAsia="宋体" w:hint="default"/>
                            <w:sz w:val="18"/>
                            <w:szCs w:val="18"/>
                          </w:rPr>
                          <w:t>东山</w:t>
                        </w:r>
                        <w:r>
                          <w:rPr>
                            <w:rFonts w:ascii="Times New Roman" w:hAnsi="Times New Roman" w:cs="Times New Roman" w:eastAsia="Times New Roman" w:hint="default"/>
                            <w:sz w:val="18"/>
                            <w:szCs w:val="18"/>
                          </w:rPr>
                          <w:t>)</w:t>
                        </w:r>
                        <w:r>
                          <w:rPr>
                            <w:rFonts w:ascii="宋体" w:hAnsi="宋体" w:cs="宋体" w:eastAsia="宋体" w:hint="default"/>
                            <w:sz w:val="18"/>
                            <w:szCs w:val="18"/>
                          </w:rPr>
                          <w:t>水处理有限公司</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福建嘉园</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福建嘉园环保有限责任公司</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福州丰泽</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福州丰泽自动化有限公司</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合肥嘉园</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合肥嘉园水处理投资有限公司</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重庆嘉恒</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重庆市巴南区嘉恒污水处理有限公司</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福安嘉园</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福安市嘉园水处理有限公司</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光山嘉园</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光山县嘉园水处理有限公司</w:t>
                        </w:r>
                      </w:p>
                    </w:tc>
                  </w:tr>
                  <w:tr>
                    <w:trPr>
                      <w:trHeight w:val="404"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上海嘉园</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上海嘉园环保科技有限公司</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汉威智慧消防</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河南汉威智慧消防科技有限公司</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梧桐水务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郑州高新梧桐水务有限公司</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山西腾星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山西腾星传感技术有限公司</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旭海光电</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徐州旭海光电科技有限公司</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中水智慧</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中水智慧水务科技（北京）有限公司</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中泰创安</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新疆中泰创安环境科技股份有限公司</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艾森斯波兰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艾森斯波兰有限公司</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汉威香港</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汉威科技集团（香港）有限公司</w:t>
                        </w:r>
                      </w:p>
                    </w:tc>
                  </w:tr>
                  <w:tr>
                    <w:trPr>
                      <w:trHeight w:val="71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区块链</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4" w:right="13"/>
                          <w:jc w:val="left"/>
                          <w:rPr>
                            <w:rFonts w:ascii="宋体" w:hAnsi="宋体" w:cs="宋体" w:eastAsia="宋体" w:hint="default"/>
                            <w:sz w:val="18"/>
                            <w:szCs w:val="18"/>
                          </w:rPr>
                        </w:pPr>
                        <w:r>
                          <w:rPr>
                            <w:rFonts w:ascii="宋体" w:hAnsi="宋体" w:cs="宋体" w:eastAsia="宋体" w:hint="default"/>
                            <w:sz w:val="18"/>
                            <w:szCs w:val="18"/>
                          </w:rPr>
                          <w:t>分布式数据存储、点对点传输、共识机制、加密算法等计算机技术的新型应用模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式。</w:t>
                        </w:r>
                      </w:p>
                    </w:tc>
                  </w:tr>
                  <w:tr>
                    <w:trPr>
                      <w:trHeight w:val="1658" w:hRule="exact"/>
                    </w:trPr>
                    <w:tc>
                      <w:tcPr>
                        <w:tcW w:w="258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工业互联网平台</w:t>
                        </w:r>
                      </w:p>
                    </w:tc>
                    <w:tc>
                      <w:tcPr>
                        <w:tcW w:w="71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12" w:space="0" w:color="000000"/>
                          <w:right w:val="single" w:sz="12" w:space="0" w:color="000000"/>
                        </w:tcBorders>
                      </w:tcPr>
                      <w:p>
                        <w:pPr>
                          <w:pStyle w:val="TableParagraph"/>
                          <w:spacing w:line="314"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在传统云平台的基础上叠加物联网、大数据、人工智能等新兴技术，构建更精准 实时、高效的数据采集体系，建设包括存储、集成、访问、分析、管理功能的使</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能平台，实现工业技术、经验、知识模型化、软件化、复用化，以工业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的形 式为制造企业各类创新应用，最终形成资源富集、多方参与、合作共赢、协同演</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进的制造业生态，其构架包括边缘、平台（工业</w:t>
                        </w:r>
                        <w:r>
                          <w:rPr>
                            <w:rFonts w:ascii="宋体" w:hAnsi="宋体" w:cs="宋体" w:eastAsia="宋体" w:hint="default"/>
                            <w:spacing w:val="-34"/>
                            <w:sz w:val="18"/>
                            <w:szCs w:val="18"/>
                          </w:rPr>
                          <w:t> </w:t>
                        </w:r>
                        <w:r>
                          <w:rPr>
                            <w:rFonts w:ascii="Times New Roman" w:hAnsi="Times New Roman" w:cs="Times New Roman" w:eastAsia="Times New Roman" w:hint="default"/>
                            <w:spacing w:val="-7"/>
                            <w:w w:val="99"/>
                            <w:sz w:val="18"/>
                            <w:szCs w:val="18"/>
                          </w:rPr>
                          <w:t>PaaS</w:t>
                        </w:r>
                        <w:r>
                          <w:rPr>
                            <w:rFonts w:ascii="宋体" w:hAnsi="宋体" w:cs="宋体" w:eastAsia="宋体" w:hint="default"/>
                            <w:spacing w:val="-7"/>
                            <w:w w:val="99"/>
                            <w:sz w:val="18"/>
                            <w:szCs w:val="18"/>
                          </w:rPr>
                          <w:t>）、应用三大核心层级。</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44"/>
        <w:ind w:left="0" w:right="104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44"/>
        <w:ind w:left="0" w:right="1043" w:firstLine="0"/>
        <w:jc w:val="right"/>
        <w:rPr>
          <w:rFonts w:ascii="宋体" w:hAnsi="宋体" w:cs="宋体" w:eastAsia="宋体" w:hint="default"/>
          <w:sz w:val="18"/>
          <w:szCs w:val="18"/>
        </w:rPr>
      </w:pPr>
      <w:r>
        <w:rPr/>
        <w:pict>
          <v:shape style="position:absolute;margin-left:54.48pt;margin-top:-445.75827pt;width:487.1pt;height:589.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82"/>
                    <w:gridCol w:w="710"/>
                    <w:gridCol w:w="6407"/>
                  </w:tblGrid>
                  <w:tr>
                    <w:trPr>
                      <w:trHeight w:val="725" w:hRule="exact"/>
                    </w:trPr>
                    <w:tc>
                      <w:tcPr>
                        <w:tcW w:w="258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气体传感器</w:t>
                        </w:r>
                      </w:p>
                    </w:tc>
                    <w:tc>
                      <w:tcPr>
                        <w:tcW w:w="7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12" w:space="0" w:color="000000"/>
                          <w:left w:val="single" w:sz="4" w:space="0" w:color="000000"/>
                          <w:bottom w:val="single" w:sz="4" w:space="0" w:color="000000"/>
                          <w:right w:val="single" w:sz="12" w:space="0" w:color="000000"/>
                        </w:tcBorders>
                      </w:tcPr>
                      <w:p>
                        <w:pPr>
                          <w:pStyle w:val="TableParagraph"/>
                          <w:spacing w:line="316" w:lineRule="auto" w:before="51"/>
                          <w:ind w:left="24" w:right="13"/>
                          <w:jc w:val="left"/>
                          <w:rPr>
                            <w:rFonts w:ascii="宋体" w:hAnsi="宋体" w:cs="宋体" w:eastAsia="宋体" w:hint="default"/>
                            <w:sz w:val="18"/>
                            <w:szCs w:val="18"/>
                          </w:rPr>
                        </w:pPr>
                        <w:r>
                          <w:rPr>
                            <w:rFonts w:ascii="宋体" w:hAnsi="宋体" w:cs="宋体" w:eastAsia="宋体" w:hint="default"/>
                            <w:sz w:val="18"/>
                            <w:szCs w:val="18"/>
                          </w:rPr>
                          <w:t>利用特定气体发生物理或化学变化所释放出的有效信号，从而实现对该种气体成</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分、浓度进行感知和测量的元器件。</w:t>
                        </w:r>
                      </w:p>
                    </w:tc>
                  </w:tr>
                  <w:tr>
                    <w:trPr>
                      <w:trHeight w:val="71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半导体类气体传感器</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4" w:right="13"/>
                          <w:jc w:val="left"/>
                          <w:rPr>
                            <w:rFonts w:ascii="宋体" w:hAnsi="宋体" w:cs="宋体" w:eastAsia="宋体" w:hint="default"/>
                            <w:sz w:val="18"/>
                            <w:szCs w:val="18"/>
                          </w:rPr>
                        </w:pPr>
                        <w:r>
                          <w:rPr>
                            <w:rFonts w:ascii="宋体" w:hAnsi="宋体" w:cs="宋体" w:eastAsia="宋体" w:hint="default"/>
                            <w:sz w:val="18"/>
                            <w:szCs w:val="18"/>
                          </w:rPr>
                          <w:t>利用气体在半导体气敏材料表面所进行的吸附或反应而引起元件电信号的变化来</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进行检测的气体传感器。</w:t>
                        </w:r>
                      </w:p>
                    </w:tc>
                  </w:tr>
                  <w:tr>
                    <w:trPr>
                      <w:trHeight w:val="715"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催化燃烧类气体传感器</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4" w:right="13"/>
                          <w:jc w:val="left"/>
                          <w:rPr>
                            <w:rFonts w:ascii="宋体" w:hAnsi="宋体" w:cs="宋体" w:eastAsia="宋体" w:hint="default"/>
                            <w:sz w:val="18"/>
                            <w:szCs w:val="18"/>
                          </w:rPr>
                        </w:pPr>
                        <w:r>
                          <w:rPr>
                            <w:rFonts w:ascii="宋体" w:hAnsi="宋体" w:cs="宋体" w:eastAsia="宋体" w:hint="default"/>
                            <w:sz w:val="18"/>
                            <w:szCs w:val="18"/>
                          </w:rPr>
                          <w:t>利用可燃性气体氧化燃烧放热使电热丝温度升高、电阻值发生变化的原理进行气</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体检测的气体传感器。</w:t>
                        </w:r>
                      </w:p>
                    </w:tc>
                  </w:tr>
                  <w:tr>
                    <w:trPr>
                      <w:trHeight w:val="71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电化学类气体传感器</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300" w:lineRule="auto" w:before="49"/>
                          <w:ind w:left="24" w:right="12"/>
                          <w:jc w:val="left"/>
                          <w:rPr>
                            <w:rFonts w:ascii="宋体" w:hAnsi="宋体" w:cs="宋体" w:eastAsia="宋体" w:hint="default"/>
                            <w:sz w:val="18"/>
                            <w:szCs w:val="18"/>
                          </w:rPr>
                        </w:pPr>
                        <w:r>
                          <w:rPr>
                            <w:rFonts w:ascii="宋体" w:hAnsi="宋体" w:cs="宋体" w:eastAsia="宋体" w:hint="default"/>
                            <w:sz w:val="18"/>
                            <w:szCs w:val="18"/>
                          </w:rPr>
                          <w:t>利用气体的电化学效应进行检测的传感器。气体在传感器电极上发生电化学氧化</w:t>
                        </w:r>
                        <w:r>
                          <w:rPr>
                            <w:rFonts w:ascii="Times New Roman" w:hAnsi="Times New Roman" w:cs="Times New Roman" w:eastAsia="Times New Roman" w:hint="default"/>
                            <w:sz w:val="18"/>
                            <w:szCs w:val="18"/>
                          </w:rPr>
                          <w:t>- </w:t>
                        </w:r>
                        <w:r>
                          <w:rPr>
                            <w:rFonts w:ascii="宋体" w:hAnsi="宋体" w:cs="宋体" w:eastAsia="宋体" w:hint="default"/>
                            <w:sz w:val="18"/>
                            <w:szCs w:val="18"/>
                          </w:rPr>
                          <w:t>还原反应并释放出电荷</w:t>
                        </w:r>
                        <w:r>
                          <w:rPr>
                            <w:rFonts w:ascii="Times New Roman" w:hAnsi="Times New Roman" w:cs="Times New Roman" w:eastAsia="Times New Roman" w:hint="default"/>
                            <w:sz w:val="18"/>
                            <w:szCs w:val="18"/>
                          </w:rPr>
                          <w:t>,</w:t>
                        </w:r>
                        <w:r>
                          <w:rPr>
                            <w:rFonts w:ascii="宋体" w:hAnsi="宋体" w:cs="宋体" w:eastAsia="宋体" w:hint="default"/>
                            <w:sz w:val="18"/>
                            <w:szCs w:val="18"/>
                          </w:rPr>
                          <w:t>产生电信号</w:t>
                        </w:r>
                        <w:r>
                          <w:rPr>
                            <w:rFonts w:ascii="Times New Roman" w:hAnsi="Times New Roman" w:cs="Times New Roman" w:eastAsia="Times New Roman" w:hint="default"/>
                            <w:sz w:val="18"/>
                            <w:szCs w:val="18"/>
                          </w:rPr>
                          <w:t>,</w:t>
                        </w:r>
                        <w:r>
                          <w:rPr>
                            <w:rFonts w:ascii="宋体" w:hAnsi="宋体" w:cs="宋体" w:eastAsia="宋体" w:hint="default"/>
                            <w:sz w:val="18"/>
                            <w:szCs w:val="18"/>
                          </w:rPr>
                          <w:t>电信号的大小与气体浓度成正比。</w:t>
                        </w:r>
                      </w:p>
                    </w:tc>
                  </w:tr>
                  <w:tr>
                    <w:trPr>
                      <w:trHeight w:val="715"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红外光学类气体传感器</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4" w:right="13"/>
                          <w:jc w:val="left"/>
                          <w:rPr>
                            <w:rFonts w:ascii="宋体" w:hAnsi="宋体" w:cs="宋体" w:eastAsia="宋体" w:hint="default"/>
                            <w:sz w:val="18"/>
                            <w:szCs w:val="18"/>
                          </w:rPr>
                        </w:pPr>
                        <w:r>
                          <w:rPr>
                            <w:rFonts w:ascii="宋体" w:hAnsi="宋体" w:cs="宋体" w:eastAsia="宋体" w:hint="default"/>
                            <w:sz w:val="18"/>
                            <w:szCs w:val="18"/>
                          </w:rPr>
                          <w:t>利用不同气体对红外线不同波谱段的光谱吸收原理来检测气体的种类及浓度，利</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用此种原理工作的气体传感器称为红外光学类气体传感器。</w:t>
                        </w:r>
                      </w:p>
                    </w:tc>
                  </w:tr>
                  <w:tr>
                    <w:trPr>
                      <w:trHeight w:val="71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气体检测仪器仪表</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49"/>
                          <w:ind w:left="24" w:right="13"/>
                          <w:jc w:val="left"/>
                          <w:rPr>
                            <w:rFonts w:ascii="宋体" w:hAnsi="宋体" w:cs="宋体" w:eastAsia="宋体" w:hint="default"/>
                            <w:sz w:val="18"/>
                            <w:szCs w:val="18"/>
                          </w:rPr>
                        </w:pPr>
                        <w:r>
                          <w:rPr>
                            <w:rFonts w:ascii="宋体" w:hAnsi="宋体" w:cs="宋体" w:eastAsia="宋体" w:hint="default"/>
                            <w:sz w:val="18"/>
                            <w:szCs w:val="18"/>
                          </w:rPr>
                          <w:t>利用气体传感器采集生成的气体浓度信号，由配套电路进行处理，实现气体探测</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及控制等各项具体功能的仪器仪表。</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SCADA</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Supervisory Control And Data</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Acquisition</w:t>
                        </w:r>
                        <w:r>
                          <w:rPr>
                            <w:rFonts w:ascii="宋体" w:hAnsi="宋体" w:cs="宋体" w:eastAsia="宋体" w:hint="default"/>
                            <w:sz w:val="18"/>
                            <w:szCs w:val="18"/>
                          </w:rPr>
                          <w:t>，即数据采集与监视控制系统。</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VOCs</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Volatile </w:t>
                        </w:r>
                        <w:r>
                          <w:rPr>
                            <w:rFonts w:ascii="Times New Roman" w:hAnsi="Times New Roman" w:cs="Times New Roman" w:eastAsia="Times New Roman" w:hint="default"/>
                            <w:sz w:val="18"/>
                            <w:szCs w:val="18"/>
                          </w:rPr>
                          <w:t>Organic</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Compounds,</w:t>
                        </w:r>
                        <w:r>
                          <w:rPr>
                            <w:rFonts w:ascii="宋体" w:hAnsi="宋体" w:cs="宋体" w:eastAsia="宋体" w:hint="default"/>
                            <w:sz w:val="18"/>
                            <w:szCs w:val="18"/>
                          </w:rPr>
                          <w:t>即挥发性有机物。</w:t>
                        </w:r>
                      </w:p>
                    </w:tc>
                  </w:tr>
                  <w:tr>
                    <w:trPr>
                      <w:trHeight w:val="403"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GIS</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Geographic Information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，即地理信息系统。</w:t>
                        </w:r>
                      </w:p>
                    </w:tc>
                  </w:tr>
                  <w:tr>
                    <w:trPr>
                      <w:trHeight w:val="1025"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空间信息技术</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309" w:lineRule="auto" w:before="49"/>
                          <w:ind w:left="24" w:right="10"/>
                          <w:jc w:val="both"/>
                          <w:rPr>
                            <w:rFonts w:ascii="宋体" w:hAnsi="宋体" w:cs="宋体" w:eastAsia="宋体" w:hint="default"/>
                            <w:sz w:val="18"/>
                            <w:szCs w:val="18"/>
                          </w:rPr>
                        </w:pPr>
                        <w:r>
                          <w:rPr>
                            <w:rFonts w:ascii="宋体" w:hAnsi="宋体" w:cs="宋体" w:eastAsia="宋体" w:hint="default"/>
                            <w:sz w:val="18"/>
                            <w:szCs w:val="18"/>
                          </w:rPr>
                          <w:t>主要包括北斗、</w:t>
                        </w:r>
                        <w:r>
                          <w:rPr>
                            <w:rFonts w:ascii="Times New Roman" w:hAnsi="Times New Roman" w:cs="Times New Roman" w:eastAsia="Times New Roman" w:hint="default"/>
                            <w:sz w:val="18"/>
                            <w:szCs w:val="18"/>
                          </w:rPr>
                          <w:t>GPS </w:t>
                        </w:r>
                        <w:r>
                          <w:rPr>
                            <w:rFonts w:ascii="宋体" w:hAnsi="宋体" w:cs="宋体" w:eastAsia="宋体" w:hint="default"/>
                            <w:sz w:val="18"/>
                            <w:szCs w:val="18"/>
                          </w:rPr>
                          <w:t>卫星定位授时技术，</w:t>
                        </w:r>
                        <w:r>
                          <w:rPr>
                            <w:rFonts w:ascii="Times New Roman" w:hAnsi="Times New Roman" w:cs="Times New Roman" w:eastAsia="Times New Roman" w:hint="default"/>
                            <w:sz w:val="18"/>
                            <w:szCs w:val="18"/>
                          </w:rPr>
                          <w:t>GIS</w:t>
                        </w:r>
                        <w:r>
                          <w:rPr>
                            <w:rFonts w:ascii="宋体" w:hAnsi="宋体" w:cs="宋体" w:eastAsia="宋体" w:hint="default"/>
                            <w:sz w:val="18"/>
                            <w:szCs w:val="18"/>
                          </w:rPr>
                          <w:t>、</w:t>
                        </w:r>
                        <w:r>
                          <w:rPr>
                            <w:rFonts w:ascii="Times New Roman" w:hAnsi="Times New Roman" w:cs="Times New Roman" w:eastAsia="Times New Roman" w:hint="default"/>
                            <w:sz w:val="18"/>
                            <w:szCs w:val="18"/>
                          </w:rPr>
                          <w:t>BIM</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及三维测绘技术，进行空间 数据的采集、量测、分析、存储、管理、显示、传播和应用，并对传感数据、事</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件进行标记、融合，以全面展现事物信息并深度应用的综合性信息技术。</w:t>
                        </w:r>
                      </w:p>
                    </w:tc>
                  </w:tr>
                  <w:tr>
                    <w:trPr>
                      <w:trHeight w:val="1028"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NB-IoT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300" w:lineRule="auto" w:before="49"/>
                          <w:ind w:left="24"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Narrow Band Internet of Things</w:t>
                        </w:r>
                        <w:r>
                          <w:rPr>
                            <w:rFonts w:ascii="宋体" w:hAnsi="宋体" w:cs="宋体" w:eastAsia="宋体" w:hint="default"/>
                            <w:sz w:val="18"/>
                            <w:szCs w:val="18"/>
                          </w:rPr>
                          <w:t>，即窄带物联网技术，</w:t>
                        </w:r>
                        <w:r>
                          <w:rPr>
                            <w:rFonts w:ascii="Times New Roman" w:hAnsi="Times New Roman" w:cs="Times New Roman" w:eastAsia="Times New Roman" w:hint="default"/>
                            <w:sz w:val="18"/>
                            <w:szCs w:val="18"/>
                          </w:rPr>
                          <w:t>NB-IoT</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构建于蜂窝网络，只</w:t>
                        </w:r>
                        <w:r>
                          <w:rPr>
                            <w:rFonts w:ascii="宋体" w:hAnsi="宋体" w:cs="宋体" w:eastAsia="宋体" w:hint="default"/>
                            <w:w w:val="99"/>
                            <w:sz w:val="18"/>
                            <w:szCs w:val="18"/>
                          </w:rPr>
                          <w:t> </w:t>
                        </w:r>
                        <w:r>
                          <w:rPr>
                            <w:rFonts w:ascii="宋体" w:hAnsi="宋体" w:cs="宋体" w:eastAsia="宋体" w:hint="default"/>
                            <w:sz w:val="18"/>
                            <w:szCs w:val="18"/>
                          </w:rPr>
                          <w:t>消耗大约</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180KHz</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的带宽，可直接部署于</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GSM</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网络、</w:t>
                        </w:r>
                        <w:r>
                          <w:rPr>
                            <w:rFonts w:ascii="Times New Roman" w:hAnsi="Times New Roman" w:cs="Times New Roman" w:eastAsia="Times New Roman" w:hint="default"/>
                            <w:sz w:val="18"/>
                            <w:szCs w:val="18"/>
                          </w:rPr>
                          <w:t>UMTS</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网络或</w:t>
                        </w:r>
                        <w:r>
                          <w:rPr>
                            <w:rFonts w:ascii="宋体" w:hAnsi="宋体" w:cs="宋体" w:eastAsia="宋体" w:hint="default"/>
                            <w:spacing w:val="-33"/>
                            <w:sz w:val="18"/>
                            <w:szCs w:val="18"/>
                          </w:rPr>
                          <w:t> </w:t>
                        </w:r>
                        <w:r>
                          <w:rPr>
                            <w:rFonts w:ascii="Times New Roman" w:hAnsi="Times New Roman" w:cs="Times New Roman" w:eastAsia="Times New Roman" w:hint="default"/>
                            <w:spacing w:val="-7"/>
                            <w:sz w:val="18"/>
                            <w:szCs w:val="18"/>
                          </w:rPr>
                          <w:t>LTE</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网络， 以降低部署成本、实现平滑升级，也被叫作低功耗广域网</w:t>
                        </w:r>
                        <w:r>
                          <w:rPr>
                            <w:rFonts w:ascii="Times New Roman" w:hAnsi="Times New Roman" w:cs="Times New Roman" w:eastAsia="Times New Roman" w:hint="default"/>
                            <w:sz w:val="18"/>
                            <w:szCs w:val="18"/>
                          </w:rPr>
                          <w:t>(LPWAN)</w:t>
                        </w:r>
                        <w:r>
                          <w:rPr>
                            <w:rFonts w:ascii="宋体" w:hAnsi="宋体" w:cs="宋体" w:eastAsia="宋体" w:hint="default"/>
                            <w:sz w:val="18"/>
                            <w:szCs w:val="18"/>
                          </w:rPr>
                          <w:t>。</w:t>
                        </w:r>
                      </w:p>
                    </w:tc>
                  </w:tr>
                  <w:tr>
                    <w:trPr>
                      <w:trHeight w:val="1337"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MEMS</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312" w:lineRule="auto" w:before="49"/>
                          <w:ind w:left="24" w:right="13"/>
                          <w:jc w:val="both"/>
                          <w:rPr>
                            <w:rFonts w:ascii="宋体" w:hAnsi="宋体" w:cs="宋体" w:eastAsia="宋体" w:hint="default"/>
                            <w:sz w:val="18"/>
                            <w:szCs w:val="18"/>
                          </w:rPr>
                        </w:pPr>
                        <w:r>
                          <w:rPr>
                            <w:rFonts w:ascii="Times New Roman" w:hAnsi="Times New Roman" w:cs="Times New Roman" w:eastAsia="Times New Roman" w:hint="default"/>
                            <w:sz w:val="18"/>
                            <w:szCs w:val="18"/>
                          </w:rPr>
                          <w:t>Micro-Electro-Mechanical</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，即微机电系统，也叫做微电子机械系统、微系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统、微机械等，指尺寸在几毫米乃至更小的高科技装置，是集微传感器、微执行</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器、微机械结构、微电源微能源、信号处理和控制电路、高性能电子集成器件、</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接口、通信等于一体的微型器件或系统。</w:t>
                        </w:r>
                      </w:p>
                    </w:tc>
                  </w:tr>
                  <w:tr>
                    <w:trPr>
                      <w:trHeight w:val="1027"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z w:val="18"/>
                          </w:rPr>
                          <w:t>GDS</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309" w:lineRule="auto" w:before="49"/>
                          <w:ind w:left="24" w:right="12"/>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Gas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sz w:val="18"/>
                            <w:szCs w:val="18"/>
                          </w:rPr>
                          <w:t>detection</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and</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alarm</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w w:val="99"/>
                            <w:sz w:val="18"/>
                            <w:szCs w:val="18"/>
                          </w:rPr>
                          <w:t>system</w:t>
                        </w:r>
                        <w:r>
                          <w:rPr>
                            <w:rFonts w:ascii="宋体" w:hAnsi="宋体" w:cs="宋体" w:eastAsia="宋体" w:hint="default"/>
                            <w:spacing w:val="-6"/>
                            <w:w w:val="99"/>
                            <w:sz w:val="18"/>
                            <w:szCs w:val="18"/>
                          </w:rPr>
                          <w:t>，即气体检测报警系统。该系统基于开放的系统结构</w:t>
                        </w:r>
                        <w:r>
                          <w:rPr>
                            <w:rFonts w:ascii="宋体" w:hAnsi="宋体" w:cs="宋体" w:eastAsia="宋体" w:hint="default"/>
                            <w:spacing w:val="-78"/>
                            <w:w w:val="99"/>
                            <w:sz w:val="18"/>
                            <w:szCs w:val="18"/>
                          </w:rPr>
                          <w:t> </w:t>
                        </w:r>
                        <w:r>
                          <w:rPr>
                            <w:rFonts w:ascii="宋体" w:hAnsi="宋体" w:cs="宋体" w:eastAsia="宋体" w:hint="default"/>
                            <w:spacing w:val="-78"/>
                            <w:w w:val="99"/>
                            <w:sz w:val="18"/>
                            <w:szCs w:val="18"/>
                          </w:rPr>
                        </w:r>
                        <w:r>
                          <w:rPr>
                            <w:rFonts w:ascii="宋体" w:hAnsi="宋体" w:cs="宋体" w:eastAsia="宋体" w:hint="default"/>
                            <w:sz w:val="18"/>
                            <w:szCs w:val="18"/>
                          </w:rPr>
                          <w:t>具备与其他品牌的系统设备（平台）通过工业标准通讯、平台和协议实现集成和</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信息交换，协议包括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MODBUS</w:t>
                        </w:r>
                        <w:r>
                          <w:rPr>
                            <w:rFonts w:ascii="宋体" w:hAnsi="宋体" w:cs="宋体" w:eastAsia="宋体" w:hint="default"/>
                            <w:sz w:val="18"/>
                            <w:szCs w:val="18"/>
                          </w:rPr>
                          <w:t>、</w:t>
                        </w:r>
                        <w:r>
                          <w:rPr>
                            <w:rFonts w:ascii="Times New Roman" w:hAnsi="Times New Roman" w:cs="Times New Roman" w:eastAsia="Times New Roman" w:hint="default"/>
                            <w:sz w:val="18"/>
                            <w:szCs w:val="18"/>
                          </w:rPr>
                          <w:t>TCP/IP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OPC</w:t>
                        </w:r>
                        <w:r>
                          <w:rPr>
                            <w:rFonts w:ascii="宋体" w:hAnsi="宋体" w:cs="宋体" w:eastAsia="宋体" w:hint="default"/>
                            <w:sz w:val="18"/>
                            <w:szCs w:val="18"/>
                          </w:rPr>
                          <w:t>。</w:t>
                        </w:r>
                      </w:p>
                    </w:tc>
                  </w:tr>
                  <w:tr>
                    <w:trPr>
                      <w:trHeight w:val="401"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FGS</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Fire Alarm and Gas Detector</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，即火灾报警和气体检测系统。</w:t>
                        </w:r>
                      </w:p>
                    </w:tc>
                  </w:tr>
                  <w:tr>
                    <w:trPr>
                      <w:trHeight w:val="716" w:hRule="exact"/>
                    </w:trPr>
                    <w:tc>
                      <w:tcPr>
                        <w:tcW w:w="258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HSSE</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4" w:space="0" w:color="000000"/>
                          <w:right w:val="single" w:sz="12" w:space="0" w:color="000000"/>
                        </w:tcBorders>
                      </w:tcPr>
                      <w:p>
                        <w:pPr>
                          <w:pStyle w:val="TableParagraph"/>
                          <w:spacing w:line="300"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Health,Safe,Security,Environment </w:t>
                        </w:r>
                        <w:r>
                          <w:rPr>
                            <w:rFonts w:ascii="宋体" w:hAnsi="宋体" w:cs="宋体" w:eastAsia="宋体" w:hint="default"/>
                            <w:sz w:val="18"/>
                            <w:szCs w:val="18"/>
                          </w:rPr>
                          <w:t>的简称，代表涉及安全的四个主要方面的管理 </w:t>
                        </w:r>
                        <w:r>
                          <w:rPr>
                            <w:rFonts w:ascii="宋体" w:hAnsi="宋体" w:cs="宋体" w:eastAsia="宋体" w:hint="default"/>
                            <w:spacing w:val="-14"/>
                            <w:w w:val="99"/>
                            <w:sz w:val="18"/>
                            <w:szCs w:val="18"/>
                          </w:rPr>
                          <w:t>工作：健康（</w:t>
                        </w:r>
                        <w:r>
                          <w:rPr>
                            <w:rFonts w:ascii="Times New Roman" w:hAnsi="Times New Roman" w:cs="Times New Roman" w:eastAsia="Times New Roman" w:hint="default"/>
                            <w:spacing w:val="-14"/>
                            <w:w w:val="99"/>
                            <w:sz w:val="18"/>
                            <w:szCs w:val="18"/>
                          </w:rPr>
                          <w:t>H</w:t>
                        </w:r>
                        <w:r>
                          <w:rPr>
                            <w:rFonts w:ascii="宋体" w:hAnsi="宋体" w:cs="宋体" w:eastAsia="宋体" w:hint="default"/>
                            <w:spacing w:val="-14"/>
                            <w:w w:val="99"/>
                            <w:sz w:val="18"/>
                            <w:szCs w:val="18"/>
                          </w:rPr>
                          <w:t>）、安全（</w:t>
                        </w:r>
                        <w:r>
                          <w:rPr>
                            <w:rFonts w:ascii="Times New Roman" w:hAnsi="Times New Roman" w:cs="Times New Roman" w:eastAsia="Times New Roman" w:hint="default"/>
                            <w:spacing w:val="-14"/>
                            <w:w w:val="99"/>
                            <w:sz w:val="18"/>
                            <w:szCs w:val="18"/>
                          </w:rPr>
                          <w:t>S</w:t>
                        </w:r>
                        <w:r>
                          <w:rPr>
                            <w:rFonts w:ascii="宋体" w:hAnsi="宋体" w:cs="宋体" w:eastAsia="宋体" w:hint="default"/>
                            <w:spacing w:val="-14"/>
                            <w:w w:val="99"/>
                            <w:sz w:val="18"/>
                            <w:szCs w:val="18"/>
                          </w:rPr>
                          <w:t>）、安保（</w:t>
                        </w:r>
                        <w:r>
                          <w:rPr>
                            <w:rFonts w:ascii="Times New Roman" w:hAnsi="Times New Roman" w:cs="Times New Roman" w:eastAsia="Times New Roman" w:hint="default"/>
                            <w:spacing w:val="-14"/>
                            <w:w w:val="99"/>
                            <w:sz w:val="18"/>
                            <w:szCs w:val="18"/>
                          </w:rPr>
                          <w:t>S</w:t>
                        </w:r>
                        <w:r>
                          <w:rPr>
                            <w:rFonts w:ascii="宋体" w:hAnsi="宋体" w:cs="宋体" w:eastAsia="宋体" w:hint="default"/>
                            <w:spacing w:val="-14"/>
                            <w:w w:val="99"/>
                            <w:sz w:val="18"/>
                            <w:szCs w:val="18"/>
                          </w:rPr>
                          <w:t>）和环境（</w:t>
                        </w:r>
                        <w:r>
                          <w:rPr>
                            <w:rFonts w:ascii="Times New Roman" w:hAnsi="Times New Roman" w:cs="Times New Roman" w:eastAsia="Times New Roman" w:hint="default"/>
                            <w:spacing w:val="-14"/>
                            <w:w w:val="99"/>
                            <w:sz w:val="18"/>
                            <w:szCs w:val="18"/>
                          </w:rPr>
                          <w:t>E</w:t>
                        </w:r>
                        <w:r>
                          <w:rPr>
                            <w:rFonts w:ascii="宋体" w:hAnsi="宋体" w:cs="宋体" w:eastAsia="宋体" w:hint="default"/>
                            <w:spacing w:val="-14"/>
                            <w:w w:val="99"/>
                            <w:sz w:val="18"/>
                            <w:szCs w:val="18"/>
                          </w:rPr>
                          <w:t>）。</w:t>
                        </w:r>
                        <w:r>
                          <w:rPr>
                            <w:rFonts w:ascii="宋体" w:hAnsi="宋体" w:cs="宋体" w:eastAsia="宋体" w:hint="default"/>
                            <w:w w:val="99"/>
                            <w:sz w:val="18"/>
                            <w:szCs w:val="18"/>
                          </w:rPr>
                        </w:r>
                      </w:p>
                    </w:tc>
                  </w:tr>
                  <w:tr>
                    <w:trPr>
                      <w:trHeight w:val="722" w:hRule="exact"/>
                    </w:trPr>
                    <w:tc>
                      <w:tcPr>
                        <w:tcW w:w="258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PLC</w:t>
                        </w:r>
                      </w:p>
                    </w:tc>
                    <w:tc>
                      <w:tcPr>
                        <w:tcW w:w="71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指</w:t>
                        </w:r>
                      </w:p>
                    </w:tc>
                    <w:tc>
                      <w:tcPr>
                        <w:tcW w:w="6407" w:type="dxa"/>
                        <w:tcBorders>
                          <w:top w:val="single" w:sz="4" w:space="0" w:color="000000"/>
                          <w:left w:val="single" w:sz="4" w:space="0" w:color="000000"/>
                          <w:bottom w:val="single" w:sz="12" w:space="0" w:color="000000"/>
                          <w:right w:val="single" w:sz="12" w:space="0" w:color="000000"/>
                        </w:tcBorders>
                      </w:tcPr>
                      <w:p>
                        <w:pPr>
                          <w:pStyle w:val="TableParagraph"/>
                          <w:spacing w:line="300" w:lineRule="auto" w:before="49"/>
                          <w:ind w:left="24"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Programmable Logic</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Controller</w:t>
                        </w:r>
                        <w:r>
                          <w:rPr>
                            <w:rFonts w:ascii="宋体" w:hAnsi="宋体" w:cs="宋体" w:eastAsia="宋体" w:hint="default"/>
                            <w:sz w:val="18"/>
                            <w:szCs w:val="18"/>
                          </w:rPr>
                          <w:t>，即可编程逻辑控制器，专为工业生产设计的一种</w:t>
                        </w:r>
                        <w:r>
                          <w:rPr>
                            <w:rFonts w:ascii="宋体" w:hAnsi="宋体" w:cs="宋体" w:eastAsia="宋体" w:hint="default"/>
                            <w:w w:val="99"/>
                            <w:sz w:val="18"/>
                            <w:szCs w:val="18"/>
                          </w:rPr>
                          <w:t> </w:t>
                        </w:r>
                        <w:r>
                          <w:rPr>
                            <w:rFonts w:ascii="宋体" w:hAnsi="宋体" w:cs="宋体" w:eastAsia="宋体" w:hint="default"/>
                            <w:sz w:val="18"/>
                            <w:szCs w:val="18"/>
                          </w:rPr>
                          <w:t>数字运算操作的电子装置。</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171.259995pt;margin-top:115.221596pt;width:367.4pt;height:20.7pt;mso-position-horizontal-relative:page;mso-position-vertical-relative:paragraph;z-index:-1121608" coordorigin="3425,2304" coordsize="7348,414">
            <v:group style="position:absolute;left:3436;top:2315;width:2;height:392" coordorigin="3436,2315" coordsize="2,392">
              <v:shape style="position:absolute;left:3436;top:2315;width:2;height:392" coordorigin="3436,2315" coordsize="0,392" path="m3436,2315l3436,2707e" filled="false" stroked="true" strokeweight="1.08pt" strokecolor="#ffffff">
                <v:path arrowok="t"/>
              </v:shape>
            </v:group>
            <v:group style="position:absolute;left:3447;top:2315;width:7327;height:392" coordorigin="3447,2315" coordsize="7327,392">
              <v:shape style="position:absolute;left:3447;top:2315;width:7327;height:392" coordorigin="3447,2315" coordsize="7327,392" path="m3447,2707l10773,2707,10773,2315,3447,2315,3447,2707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2313"/>
        <w:gridCol w:w="2994"/>
        <w:gridCol w:w="2173"/>
        <w:gridCol w:w="2217"/>
      </w:tblGrid>
      <w:tr>
        <w:trPr>
          <w:trHeight w:val="413" w:hRule="exact"/>
        </w:trPr>
        <w:tc>
          <w:tcPr>
            <w:tcW w:w="23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汉威科技</w:t>
            </w:r>
          </w:p>
        </w:tc>
        <w:tc>
          <w:tcPr>
            <w:tcW w:w="217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217" w:type="dxa"/>
            <w:tcBorders>
              <w:top w:val="single" w:sz="12" w:space="0" w:color="000000"/>
              <w:left w:val="single" w:sz="10" w:space="0" w:color="D2D2D2"/>
              <w:bottom w:val="single" w:sz="4" w:space="0" w:color="000000"/>
              <w:right w:val="single" w:sz="12"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300007</w:t>
            </w:r>
          </w:p>
        </w:tc>
      </w:tr>
      <w:tr>
        <w:trPr>
          <w:trHeight w:val="401" w:hRule="exact"/>
        </w:trPr>
        <w:tc>
          <w:tcPr>
            <w:tcW w:w="23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84"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p>
        </w:tc>
      </w:tr>
      <w:tr>
        <w:trPr>
          <w:trHeight w:val="403" w:hRule="exact"/>
        </w:trPr>
        <w:tc>
          <w:tcPr>
            <w:tcW w:w="23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84"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401" w:hRule="exact"/>
        </w:trPr>
        <w:tc>
          <w:tcPr>
            <w:tcW w:w="23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84"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Hanwei Electronics Group</w:t>
            </w:r>
            <w:r>
              <w:rPr>
                <w:rFonts w:ascii="Times New Roman"/>
                <w:spacing w:val="-11"/>
                <w:sz w:val="18"/>
              </w:rPr>
              <w:t> </w:t>
            </w:r>
            <w:r>
              <w:rPr>
                <w:rFonts w:ascii="Times New Roman"/>
                <w:sz w:val="18"/>
              </w:rPr>
              <w:t>Corporation</w:t>
            </w:r>
          </w:p>
        </w:tc>
      </w:tr>
      <w:tr>
        <w:trPr>
          <w:trHeight w:val="404" w:hRule="exact"/>
        </w:trPr>
        <w:tc>
          <w:tcPr>
            <w:tcW w:w="23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34"/>
              <w:jc w:val="left"/>
              <w:rPr>
                <w:rFonts w:ascii="宋体" w:hAnsi="宋体" w:cs="宋体" w:eastAsia="宋体" w:hint="default"/>
                <w:sz w:val="18"/>
                <w:szCs w:val="18"/>
              </w:rPr>
            </w:pPr>
            <w:r>
              <w:rPr>
                <w:rFonts w:ascii="宋体" w:hAnsi="宋体" w:cs="宋体" w:eastAsia="宋体" w:hint="default"/>
                <w:spacing w:val="-2"/>
                <w:sz w:val="18"/>
                <w:szCs w:val="18"/>
              </w:rPr>
              <w:t>公司的外文名称缩写（如有）</w:t>
            </w:r>
            <w:r>
              <w:rPr>
                <w:rFonts w:ascii="宋体" w:hAnsi="宋体" w:cs="宋体" w:eastAsia="宋体" w:hint="default"/>
                <w:sz w:val="18"/>
                <w:szCs w:val="18"/>
              </w:rPr>
            </w:r>
          </w:p>
        </w:tc>
        <w:tc>
          <w:tcPr>
            <w:tcW w:w="7384"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Hanwei</w:t>
            </w:r>
            <w:r>
              <w:rPr>
                <w:rFonts w:ascii="Times New Roman"/>
                <w:spacing w:val="-6"/>
                <w:sz w:val="18"/>
              </w:rPr>
              <w:t> </w:t>
            </w:r>
            <w:r>
              <w:rPr>
                <w:rFonts w:ascii="Times New Roman"/>
                <w:sz w:val="18"/>
              </w:rPr>
              <w:t>Electronics</w:t>
            </w:r>
          </w:p>
        </w:tc>
      </w:tr>
      <w:tr>
        <w:trPr>
          <w:trHeight w:val="401" w:hRule="exact"/>
        </w:trPr>
        <w:tc>
          <w:tcPr>
            <w:tcW w:w="23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84"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任红军</w:t>
            </w:r>
          </w:p>
        </w:tc>
      </w:tr>
      <w:tr>
        <w:trPr>
          <w:trHeight w:val="403" w:hRule="exact"/>
        </w:trPr>
        <w:tc>
          <w:tcPr>
            <w:tcW w:w="23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84"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郑州高新开发区雪松路 </w:t>
            </w:r>
            <w:r>
              <w:rPr>
                <w:rFonts w:ascii="Times New Roman" w:hAnsi="Times New Roman" w:cs="Times New Roman" w:eastAsia="Times New Roman" w:hint="default"/>
                <w:sz w:val="18"/>
                <w:szCs w:val="18"/>
              </w:rPr>
              <w:t>169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3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84"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450001</w:t>
            </w:r>
          </w:p>
        </w:tc>
      </w:tr>
      <w:tr>
        <w:trPr>
          <w:trHeight w:val="403" w:hRule="exact"/>
        </w:trPr>
        <w:tc>
          <w:tcPr>
            <w:tcW w:w="23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84"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郑州高新开发区雪松路 </w:t>
            </w:r>
            <w:r>
              <w:rPr>
                <w:rFonts w:ascii="Times New Roman" w:hAnsi="Times New Roman" w:cs="Times New Roman" w:eastAsia="Times New Roman" w:hint="default"/>
                <w:sz w:val="18"/>
                <w:szCs w:val="18"/>
              </w:rPr>
              <w:t>169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3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84"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450001</w:t>
            </w:r>
          </w:p>
        </w:tc>
      </w:tr>
      <w:tr>
        <w:trPr>
          <w:trHeight w:val="403" w:hRule="exact"/>
        </w:trPr>
        <w:tc>
          <w:tcPr>
            <w:tcW w:w="23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384"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9">
              <w:r>
                <w:rPr>
                  <w:rFonts w:ascii="Times New Roman"/>
                  <w:sz w:val="18"/>
                </w:rPr>
                <w:t>www.hanwei.cn</w:t>
              </w:r>
            </w:hyperlink>
          </w:p>
        </w:tc>
      </w:tr>
      <w:tr>
        <w:trPr>
          <w:trHeight w:val="410" w:hRule="exact"/>
        </w:trPr>
        <w:tc>
          <w:tcPr>
            <w:tcW w:w="23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84" w:type="dxa"/>
            <w:gridSpan w:val="3"/>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hwdz@hwsensor.com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3213"/>
        <w:gridCol w:w="3244"/>
        <w:gridCol w:w="3233"/>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32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07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武一峰</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郑州高新开发区雪松路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郑州高新开发区雪松路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169 </w:t>
            </w:r>
            <w:r>
              <w:rPr>
                <w:rFonts w:ascii="宋体" w:hAnsi="宋体" w:cs="宋体" w:eastAsia="宋体" w:hint="default"/>
                <w:sz w:val="18"/>
                <w:szCs w:val="18"/>
              </w:rPr>
              <w:t>号</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0371-67169159</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0371-67169159</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0371-67169196</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0371-67169196</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44"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0">
              <w:r>
                <w:rPr>
                  <w:rFonts w:ascii="Times New Roman"/>
                  <w:sz w:val="18"/>
                </w:rPr>
                <w:t>hwdz@hwsensor.com</w:t>
              </w:r>
            </w:hyperlink>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hwdz@hwsensor.com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3"/>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4044"/>
        <w:gridCol w:w="5653"/>
      </w:tblGrid>
      <w:tr>
        <w:trPr>
          <w:trHeight w:val="412" w:hRule="exact"/>
        </w:trPr>
        <w:tc>
          <w:tcPr>
            <w:tcW w:w="404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65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40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6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1">
              <w:r>
                <w:rPr>
                  <w:rFonts w:ascii="Times New Roman" w:hAnsi="Times New Roman" w:cs="Times New Roman" w:eastAsia="Times New Roman" w:hint="default"/>
                  <w:sz w:val="18"/>
                  <w:szCs w:val="18"/>
                </w:rPr>
                <w:t>www.cninfo.com.cn</w:t>
              </w:r>
            </w:hyperlink>
          </w:p>
        </w:tc>
      </w:tr>
      <w:tr>
        <w:trPr>
          <w:trHeight w:val="410" w:hRule="exact"/>
        </w:trPr>
        <w:tc>
          <w:tcPr>
            <w:tcW w:w="404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65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公司证券投资部办公室</w:t>
            </w:r>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2686"/>
        <w:gridCol w:w="7011"/>
      </w:tblGrid>
      <w:tr>
        <w:trPr>
          <w:trHeight w:val="413" w:hRule="exact"/>
        </w:trPr>
        <w:tc>
          <w:tcPr>
            <w:tcW w:w="268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7011" w:type="dxa"/>
            <w:tcBorders>
              <w:top w:val="single" w:sz="12" w:space="0" w:color="000000"/>
              <w:left w:val="single" w:sz="10" w:space="0" w:color="D2D2D2"/>
              <w:bottom w:val="single" w:sz="4"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1" w:hRule="exact"/>
        </w:trPr>
        <w:tc>
          <w:tcPr>
            <w:tcW w:w="26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7011"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号学院国际大厦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r>
      <w:tr>
        <w:trPr>
          <w:trHeight w:val="410" w:hRule="exact"/>
        </w:trPr>
        <w:tc>
          <w:tcPr>
            <w:tcW w:w="268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7011" w:type="dxa"/>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郝东升、邓小强</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2639"/>
        <w:gridCol w:w="1773"/>
        <w:gridCol w:w="1760"/>
        <w:gridCol w:w="1760"/>
        <w:gridCol w:w="1759"/>
      </w:tblGrid>
      <w:tr>
        <w:trPr>
          <w:trHeight w:val="412" w:hRule="exact"/>
        </w:trPr>
        <w:tc>
          <w:tcPr>
            <w:tcW w:w="2639"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77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5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5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1,819,480,487.05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1,512,330,588.86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20.31%</w:t>
            </w:r>
          </w:p>
        </w:tc>
        <w:tc>
          <w:tcPr>
            <w:tcW w:w="17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1,444,179,089.91</w:t>
            </w:r>
          </w:p>
        </w:tc>
      </w:tr>
      <w:tr>
        <w:trPr>
          <w:trHeight w:val="715" w:hRule="exact"/>
        </w:trPr>
        <w:tc>
          <w:tcPr>
            <w:tcW w:w="26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-103,778,838.98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61,657,351.15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-268.32%</w:t>
            </w:r>
          </w:p>
        </w:tc>
        <w:tc>
          <w:tcPr>
            <w:tcW w:w="17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110,320,925.94</w:t>
            </w:r>
          </w:p>
        </w:tc>
      </w:tr>
      <w:tr>
        <w:trPr>
          <w:trHeight w:val="713" w:hRule="exact"/>
        </w:trPr>
        <w:tc>
          <w:tcPr>
            <w:tcW w:w="26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-193,214,062.02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6,561,844.42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-3,044.51%</w:t>
            </w:r>
          </w:p>
        </w:tc>
        <w:tc>
          <w:tcPr>
            <w:tcW w:w="17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68,155,890.76</w:t>
            </w:r>
          </w:p>
        </w:tc>
      </w:tr>
      <w:tr>
        <w:trPr>
          <w:trHeight w:val="715" w:hRule="exact"/>
        </w:trPr>
        <w:tc>
          <w:tcPr>
            <w:tcW w:w="26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325,594,633.32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528,663,710.76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-38.41%</w:t>
            </w:r>
          </w:p>
        </w:tc>
        <w:tc>
          <w:tcPr>
            <w:tcW w:w="17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131,246,699.03</w:t>
            </w:r>
          </w:p>
        </w:tc>
      </w:tr>
      <w:tr>
        <w:trPr>
          <w:trHeight w:val="401" w:hRule="exact"/>
        </w:trPr>
        <w:tc>
          <w:tcPr>
            <w:tcW w:w="26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-266.67%</w:t>
            </w:r>
          </w:p>
        </w:tc>
        <w:tc>
          <w:tcPr>
            <w:tcW w:w="17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3" w:hRule="exact"/>
        </w:trPr>
        <w:tc>
          <w:tcPr>
            <w:tcW w:w="26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-266.67%</w:t>
            </w:r>
          </w:p>
        </w:tc>
        <w:tc>
          <w:tcPr>
            <w:tcW w:w="17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1" w:hRule="exact"/>
        </w:trPr>
        <w:tc>
          <w:tcPr>
            <w:tcW w:w="26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-11.72%</w:t>
            </w:r>
          </w:p>
        </w:tc>
        <w:tc>
          <w:tcPr>
            <w:tcW w:w="17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8.20%</w:t>
            </w:r>
          </w:p>
        </w:tc>
      </w:tr>
      <w:tr>
        <w:trPr>
          <w:trHeight w:val="403" w:hRule="exact"/>
        </w:trPr>
        <w:tc>
          <w:tcPr>
            <w:tcW w:w="2639"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5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4,803,578,904.63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5,068,432,370.19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w:t>
            </w:r>
          </w:p>
        </w:tc>
        <w:tc>
          <w:tcPr>
            <w:tcW w:w="17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4,278,972,794.41</w:t>
            </w:r>
          </w:p>
        </w:tc>
      </w:tr>
      <w:tr>
        <w:trPr>
          <w:trHeight w:val="722" w:hRule="exact"/>
        </w:trPr>
        <w:tc>
          <w:tcPr>
            <w:tcW w:w="263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3"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1,346,041,738.05</w:t>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1,455,606,210.01</w:t>
            </w: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-7.53%</w:t>
            </w:r>
          </w:p>
        </w:tc>
        <w:tc>
          <w:tcPr>
            <w:tcW w:w="175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1,395,977,967.95</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639"/>
        <w:gridCol w:w="1775"/>
        <w:gridCol w:w="1762"/>
        <w:gridCol w:w="1762"/>
        <w:gridCol w:w="1752"/>
      </w:tblGrid>
      <w:tr>
        <w:trPr>
          <w:trHeight w:val="412" w:hRule="exact"/>
        </w:trPr>
        <w:tc>
          <w:tcPr>
            <w:tcW w:w="2639"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77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6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6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5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431,198,640.69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472,350,645.96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378,114,643.06</w:t>
            </w:r>
          </w:p>
        </w:tc>
        <w:tc>
          <w:tcPr>
            <w:tcW w:w="17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537,816,557.34</w:t>
            </w:r>
          </w:p>
        </w:tc>
      </w:tr>
      <w:tr>
        <w:trPr>
          <w:trHeight w:val="401" w:hRule="exact"/>
        </w:trPr>
        <w:tc>
          <w:tcPr>
            <w:tcW w:w="26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28,230,806.92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58,728,432.50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34,017,906.91</w:t>
            </w:r>
          </w:p>
        </w:tc>
        <w:tc>
          <w:tcPr>
            <w:tcW w:w="17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-224,755,985.31</w:t>
            </w:r>
          </w:p>
        </w:tc>
      </w:tr>
      <w:tr>
        <w:trPr>
          <w:trHeight w:val="715" w:hRule="exact"/>
        </w:trPr>
        <w:tc>
          <w:tcPr>
            <w:tcW w:w="263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14,995,558.39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38,460,121.60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13,792,683.21</w:t>
            </w:r>
          </w:p>
        </w:tc>
        <w:tc>
          <w:tcPr>
            <w:tcW w:w="17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-260,462,425.22</w:t>
            </w:r>
          </w:p>
        </w:tc>
      </w:tr>
      <w:tr>
        <w:trPr>
          <w:trHeight w:val="410" w:hRule="exact"/>
        </w:trPr>
        <w:tc>
          <w:tcPr>
            <w:tcW w:w="263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75"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92,520,074.80</w:t>
            </w: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-80,032,494.37</w:t>
            </w: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86,694,410.94</w:t>
            </w:r>
          </w:p>
        </w:tc>
        <w:tc>
          <w:tcPr>
            <w:tcW w:w="175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226,412,641.95</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234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3、境内外会计准则下会计数据差异原因说明" w:id="14"/>
      <w:bookmarkEnd w:id="14"/>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八、非经常性损益项目及金额" w:id="15"/>
      <w:bookmarkEnd w:id="15"/>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324"/>
        <w:gridCol w:w="1552"/>
        <w:gridCol w:w="1539"/>
        <w:gridCol w:w="1541"/>
        <w:gridCol w:w="1735"/>
      </w:tblGrid>
      <w:tr>
        <w:trPr>
          <w:trHeight w:val="412" w:hRule="exact"/>
        </w:trPr>
        <w:tc>
          <w:tcPr>
            <w:tcW w:w="332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3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4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3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3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55"/>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-428,887.98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-895,232.20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-455,564.93</w:t>
            </w:r>
          </w:p>
        </w:tc>
        <w:tc>
          <w:tcPr>
            <w:tcW w:w="1735"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33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55"/>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128,581,486.32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98,223,081.50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54,650,429.06</w:t>
            </w:r>
          </w:p>
        </w:tc>
        <w:tc>
          <w:tcPr>
            <w:tcW w:w="173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-267,345.03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-443,369.63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-94,936.80</w:t>
            </w:r>
          </w:p>
        </w:tc>
        <w:tc>
          <w:tcPr>
            <w:tcW w:w="1735"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3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341,405.04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-333,130.19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33,248.66</w:t>
            </w:r>
          </w:p>
        </w:tc>
        <w:tc>
          <w:tcPr>
            <w:tcW w:w="173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4,916,795.46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1,230,738.07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5,206,928.81</w:t>
            </w:r>
          </w:p>
        </w:tc>
        <w:tc>
          <w:tcPr>
            <w:tcW w:w="1735"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3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19,460,100.36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20,940,997.80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8,922,608.68</w:t>
            </w:r>
          </w:p>
        </w:tc>
        <w:tc>
          <w:tcPr>
            <w:tcW w:w="1735"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3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24,248,130.41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21,745,583.02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8,252,460.94</w:t>
            </w:r>
          </w:p>
        </w:tc>
        <w:tc>
          <w:tcPr>
            <w:tcW w:w="1735"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332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12" w:space="0" w:color="D2D2D2"/>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89,435,223.04</w:t>
            </w:r>
          </w:p>
        </w:tc>
        <w:tc>
          <w:tcPr>
            <w:tcW w:w="15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55,095,506.73</w:t>
            </w:r>
          </w:p>
        </w:tc>
        <w:tc>
          <w:tcPr>
            <w:tcW w:w="1541" w:type="dxa"/>
            <w:tcBorders>
              <w:top w:val="single" w:sz="4" w:space="0" w:color="000000"/>
              <w:left w:val="single" w:sz="4" w:space="0" w:color="000000"/>
              <w:bottom w:val="single" w:sz="12"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42,165,035.18</w:t>
            </w:r>
          </w:p>
        </w:tc>
        <w:tc>
          <w:tcPr>
            <w:tcW w:w="1735"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81"/>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公司以“成为以传感器为核心的物联网解决方案引领者”为产业愿景，通过多年的内生外延发展，构</w:t>
      </w:r>
      <w:r>
        <w:rPr>
          <w:w w:val="100"/>
        </w:rPr>
        <w:t> </w:t>
      </w:r>
      <w:r>
        <w:rPr/>
        <w:t>建了相对完整的物联网（</w:t>
      </w:r>
      <w:r>
        <w:rPr>
          <w:rFonts w:ascii="宋体" w:hAnsi="宋体" w:cs="宋体" w:eastAsia="宋体" w:hint="default"/>
        </w:rPr>
        <w:t>IOT</w:t>
      </w:r>
      <w:r>
        <w:rPr/>
        <w:t>）生态圈，主要是以传感器为核心，将传感技术、智能终端、通讯技术、云</w:t>
      </w:r>
      <w:r>
        <w:rPr>
          <w:spacing w:val="-27"/>
        </w:rPr>
        <w:t> </w:t>
      </w:r>
      <w:r>
        <w:rPr>
          <w:spacing w:val="-27"/>
        </w:rPr>
      </w:r>
      <w:r>
        <w:rPr>
          <w:spacing w:val="-2"/>
        </w:rPr>
        <w:t>计算和地理信息等物联网技术紧密结合，形成了“传感器</w:t>
      </w:r>
      <w:r>
        <w:rPr>
          <w:rFonts w:ascii="宋体" w:hAnsi="宋体" w:cs="宋体" w:eastAsia="宋体" w:hint="default"/>
          <w:spacing w:val="-2"/>
        </w:rPr>
        <w:t>+</w:t>
      </w:r>
      <w:r>
        <w:rPr>
          <w:spacing w:val="-2"/>
        </w:rPr>
        <w:t>监测终端</w:t>
      </w:r>
      <w:r>
        <w:rPr>
          <w:rFonts w:ascii="宋体" w:hAnsi="宋体" w:cs="宋体" w:eastAsia="宋体" w:hint="default"/>
          <w:spacing w:val="-2"/>
        </w:rPr>
        <w:t>+</w:t>
      </w:r>
      <w:r>
        <w:rPr>
          <w:spacing w:val="-2"/>
        </w:rPr>
        <w:t>数据采集</w:t>
      </w:r>
      <w:r>
        <w:rPr>
          <w:rFonts w:ascii="宋体" w:hAnsi="宋体" w:cs="宋体" w:eastAsia="宋体" w:hint="default"/>
          <w:spacing w:val="-2"/>
        </w:rPr>
        <w:t>+</w:t>
      </w:r>
      <w:r>
        <w:rPr>
          <w:spacing w:val="-2"/>
        </w:rPr>
        <w:t>空间信息技术</w:t>
      </w:r>
      <w:r>
        <w:rPr>
          <w:rFonts w:ascii="宋体" w:hAnsi="宋体" w:cs="宋体" w:eastAsia="宋体" w:hint="default"/>
          <w:spacing w:val="-2"/>
        </w:rPr>
        <w:t>+</w:t>
      </w:r>
      <w:r>
        <w:rPr>
          <w:spacing w:val="-2"/>
        </w:rPr>
        <w:t>云应用”的</w:t>
      </w:r>
      <w:r>
        <w:rPr>
          <w:spacing w:val="-41"/>
        </w:rPr>
        <w:t> </w:t>
      </w:r>
      <w:r>
        <w:rPr>
          <w:spacing w:val="-41"/>
        </w:rPr>
      </w:r>
      <w:r>
        <w:rPr>
          <w:spacing w:val="-2"/>
        </w:rPr>
        <w:t>系统解决方案，业务应用覆盖物联网综合解决方案及居家智能与健康等行业领域，在所涉及的产业领域中</w:t>
      </w:r>
      <w:r>
        <w:rPr>
          <w:spacing w:val="-42"/>
        </w:rPr>
        <w:t> </w:t>
      </w:r>
      <w:r>
        <w:rPr>
          <w:spacing w:val="-42"/>
        </w:rPr>
      </w:r>
      <w:r>
        <w:rPr/>
        <w:t>形成了相对领先的优势。具体如下：</w:t>
      </w:r>
    </w:p>
    <w:p>
      <w:pPr>
        <w:pStyle w:val="BodyText"/>
        <w:spacing w:line="408" w:lineRule="auto"/>
        <w:ind w:left="573" w:right="0"/>
        <w:jc w:val="left"/>
      </w:pPr>
      <w:r>
        <w:rPr/>
        <w:t>（一）传感器业务</w:t>
      </w:r>
      <w:r>
        <w:rPr>
          <w:w w:val="100"/>
        </w:rPr>
        <w:t> </w:t>
      </w:r>
      <w:r>
        <w:rPr>
          <w:spacing w:val="-2"/>
        </w:rPr>
        <w:t>在构成物联网的三层架构中，传感层处于最底层，是构成物联网的核心基础。在物联网运行中，传感</w:t>
      </w:r>
    </w:p>
    <w:p>
      <w:pPr>
        <w:pStyle w:val="BodyText"/>
        <w:spacing w:line="408" w:lineRule="auto"/>
        <w:ind w:right="1105"/>
        <w:jc w:val="both"/>
      </w:pPr>
      <w:r>
        <w:rPr>
          <w:spacing w:val="-2"/>
        </w:rPr>
        <w:t>器将感知获取到的物理、化学、生物等信息转化为易识别的数字信息传输至后端平台处理、分析、应用。</w:t>
      </w:r>
      <w:r>
        <w:rPr>
          <w:spacing w:val="-21"/>
        </w:rPr>
        <w:t> </w:t>
      </w:r>
      <w:r>
        <w:rPr>
          <w:spacing w:val="-21"/>
        </w:rPr>
      </w:r>
      <w:r>
        <w:rPr>
          <w:spacing w:val="-2"/>
        </w:rPr>
        <w:t>传感器是公司旗下最具成长性和价值的核心业务板块之一，公司集传感器的研发、生产、销售为一体，产</w:t>
      </w:r>
      <w:r>
        <w:rPr>
          <w:spacing w:val="-44"/>
        </w:rPr>
        <w:t> </w:t>
      </w:r>
      <w:r>
        <w:rPr>
          <w:spacing w:val="-44"/>
        </w:rPr>
      </w:r>
      <w:r>
        <w:rPr>
          <w:spacing w:val="-2"/>
        </w:rPr>
        <w:t>品覆盖气体、压力、流量、温度、湿度、加速度等门类。该业务板块主要由公司旗下子公司炜盛科技等组</w:t>
      </w:r>
      <w:r>
        <w:rPr>
          <w:spacing w:val="-42"/>
        </w:rPr>
        <w:t> </w:t>
      </w:r>
      <w:r>
        <w:rPr>
          <w:spacing w:val="-42"/>
        </w:rPr>
      </w:r>
      <w:r>
        <w:rPr/>
        <w:t>成。报告期内，公司传感器业务平稳发展，多种新型传感器（</w:t>
      </w:r>
      <w:r>
        <w:rPr>
          <w:rFonts w:ascii="宋体" w:hAnsi="宋体" w:cs="宋体" w:eastAsia="宋体" w:hint="default"/>
        </w:rPr>
        <w:t>MEMS</w:t>
      </w:r>
      <w:r>
        <w:rPr/>
        <w:t>传感器）产品陆续完成研发。</w:t>
      </w:r>
    </w:p>
    <w:p>
      <w:pPr>
        <w:pStyle w:val="BodyText"/>
        <w:spacing w:line="408" w:lineRule="auto"/>
        <w:ind w:left="573" w:right="0"/>
        <w:jc w:val="left"/>
      </w:pPr>
      <w:r>
        <w:rPr/>
        <w:t>（二）物联网综合解决方案</w:t>
      </w:r>
      <w:r>
        <w:rPr>
          <w:w w:val="100"/>
        </w:rPr>
        <w:t> </w:t>
      </w:r>
      <w:r>
        <w:rPr>
          <w:spacing w:val="-2"/>
        </w:rPr>
        <w:t>依托核心传感器技术，公司研发生产了多样化的智能仪表，智能仪表作为不同场景的感知硬件终端，</w:t>
      </w:r>
    </w:p>
    <w:p>
      <w:pPr>
        <w:pStyle w:val="BodyText"/>
        <w:spacing w:line="408" w:lineRule="auto"/>
        <w:ind w:right="1106"/>
        <w:jc w:val="both"/>
      </w:pPr>
      <w:r>
        <w:rPr>
          <w:spacing w:val="-2"/>
        </w:rPr>
        <w:t>将感知信息通过</w:t>
      </w:r>
      <w:r>
        <w:rPr>
          <w:rFonts w:ascii="宋体" w:hAnsi="宋体" w:cs="宋体" w:eastAsia="宋体" w:hint="default"/>
          <w:spacing w:val="-2"/>
        </w:rPr>
        <w:t>NB-IoT</w:t>
      </w:r>
      <w:r>
        <w:rPr>
          <w:spacing w:val="-2"/>
        </w:rPr>
        <w:t>等多种通讯手段传输至公司研发的物联网监控系统，监控系统根据客户需求对重点</w:t>
      </w:r>
      <w:r>
        <w:rPr>
          <w:spacing w:val="-38"/>
        </w:rPr>
        <w:t> </w:t>
      </w:r>
      <w:r>
        <w:rPr>
          <w:spacing w:val="-38"/>
        </w:rPr>
      </w:r>
      <w:r>
        <w:rPr>
          <w:spacing w:val="-2"/>
        </w:rPr>
        <w:t>信息进行分析处理，最终形成可视化报告。目前，公司的物联网综合解决方案主要有如下几个应用场景：</w:t>
      </w:r>
    </w:p>
    <w:p>
      <w:pPr>
        <w:pStyle w:val="BodyText"/>
        <w:spacing w:line="408" w:lineRule="auto"/>
        <w:ind w:left="573" w:right="0"/>
        <w:jc w:val="left"/>
      </w:pPr>
      <w:r>
        <w:rPr>
          <w:rFonts w:ascii="宋体" w:hAnsi="宋体" w:cs="宋体" w:eastAsia="宋体" w:hint="default"/>
        </w:rPr>
        <w:t>1</w:t>
      </w:r>
      <w:r>
        <w:rPr/>
        <w:t>、物联网平台解决方案</w:t>
      </w:r>
      <w:r>
        <w:rPr>
          <w:w w:val="100"/>
        </w:rPr>
        <w:t> </w:t>
      </w:r>
      <w:r>
        <w:rPr/>
        <w:t>物联网平台解决方案主要面向燃气、供水、供热、市政、产业园区、楼宇等领域，依靠“传感器</w:t>
      </w:r>
      <w:r>
        <w:rPr>
          <w:rFonts w:ascii="宋体" w:hAnsi="宋体" w:cs="宋体" w:eastAsia="宋体" w:hint="default"/>
        </w:rPr>
        <w:t>+</w:t>
      </w:r>
      <w:r>
        <w:rPr/>
        <w:t>监</w:t>
      </w:r>
    </w:p>
    <w:p>
      <w:pPr>
        <w:pStyle w:val="BodyText"/>
        <w:spacing w:line="408" w:lineRule="auto"/>
        <w:ind w:right="1126"/>
        <w:jc w:val="both"/>
      </w:pPr>
      <w:r>
        <w:rPr>
          <w:spacing w:val="-2"/>
        </w:rPr>
        <w:t>测终端</w:t>
      </w:r>
      <w:r>
        <w:rPr>
          <w:rFonts w:ascii="宋体" w:hAnsi="宋体" w:cs="宋体" w:eastAsia="宋体" w:hint="default"/>
          <w:spacing w:val="-2"/>
        </w:rPr>
        <w:t>+</w:t>
      </w:r>
      <w:r>
        <w:rPr>
          <w:spacing w:val="-2"/>
        </w:rPr>
        <w:t>数据采集</w:t>
      </w:r>
      <w:r>
        <w:rPr>
          <w:rFonts w:ascii="宋体" w:hAnsi="宋体" w:cs="宋体" w:eastAsia="宋体" w:hint="default"/>
          <w:spacing w:val="-2"/>
        </w:rPr>
        <w:t>+</w:t>
      </w:r>
      <w:r>
        <w:rPr>
          <w:spacing w:val="-2"/>
        </w:rPr>
        <w:t>空间信息技术</w:t>
      </w:r>
      <w:r>
        <w:rPr>
          <w:rFonts w:ascii="宋体" w:hAnsi="宋体" w:cs="宋体" w:eastAsia="宋体" w:hint="default"/>
          <w:spacing w:val="-2"/>
        </w:rPr>
        <w:t>+</w:t>
      </w:r>
      <w:r>
        <w:rPr>
          <w:spacing w:val="-2"/>
        </w:rPr>
        <w:t>云应用”系统，提供集管网</w:t>
      </w:r>
      <w:r>
        <w:rPr>
          <w:rFonts w:ascii="宋体" w:hAnsi="宋体" w:cs="宋体" w:eastAsia="宋体" w:hint="default"/>
          <w:spacing w:val="-2"/>
        </w:rPr>
        <w:t>GIS</w:t>
      </w:r>
      <w:r>
        <w:rPr>
          <w:spacing w:val="-2"/>
        </w:rPr>
        <w:t>、信息采集、运营管理为一体的物联网解</w:t>
      </w:r>
      <w:r>
        <w:rPr>
          <w:spacing w:val="-41"/>
        </w:rPr>
        <w:t> </w:t>
      </w:r>
      <w:r>
        <w:rPr>
          <w:spacing w:val="-41"/>
        </w:rPr>
      </w:r>
      <w:r>
        <w:rPr>
          <w:spacing w:val="-2"/>
        </w:rPr>
        <w:t>决方案，提高燃气、供水、供热、市政管理公司及园区、楼宇运营的效率和效益。报告期内，物联网平台</w:t>
      </w:r>
      <w:r>
        <w:rPr>
          <w:spacing w:val="-49"/>
        </w:rPr>
        <w:t> </w:t>
      </w:r>
      <w:r>
        <w:rPr>
          <w:spacing w:val="-49"/>
        </w:rPr>
      </w:r>
      <w:r>
        <w:rPr>
          <w:spacing w:val="-2"/>
        </w:rPr>
        <w:t>解决方案业务随着城市信息化进程的加快，以及公司积极的内部管理措施调整，加强板块内部协同，整体</w:t>
      </w:r>
      <w:r>
        <w:rPr>
          <w:spacing w:val="-43"/>
        </w:rPr>
        <w:t> </w:t>
      </w:r>
      <w:r>
        <w:rPr>
          <w:spacing w:val="-43"/>
        </w:rPr>
      </w:r>
      <w:r>
        <w:rPr/>
        <w:t>订单情况良好。</w:t>
      </w:r>
    </w:p>
    <w:p>
      <w:pPr>
        <w:pStyle w:val="BodyText"/>
        <w:spacing w:line="408" w:lineRule="auto"/>
        <w:ind w:left="573" w:right="0"/>
        <w:jc w:val="left"/>
      </w:pPr>
      <w:r>
        <w:rPr>
          <w:rFonts w:ascii="宋体" w:hAnsi="宋体" w:cs="宋体" w:eastAsia="宋体" w:hint="default"/>
        </w:rPr>
        <w:t>2</w:t>
      </w:r>
      <w:r>
        <w:rPr/>
        <w:t>、智慧安全系统解决方案</w:t>
      </w:r>
      <w:r>
        <w:rPr>
          <w:w w:val="100"/>
        </w:rPr>
        <w:t> </w:t>
      </w:r>
      <w:r>
        <w:rPr>
          <w:spacing w:val="-2"/>
        </w:rPr>
        <w:t>智慧安全系统解决方案主要面向石油、化工、冶金、电力、矿山、制药、食品等领域，致力于为各类</w:t>
      </w:r>
    </w:p>
    <w:p>
      <w:pPr>
        <w:pStyle w:val="BodyText"/>
        <w:spacing w:line="408" w:lineRule="auto"/>
        <w:ind w:right="1126"/>
        <w:jc w:val="both"/>
      </w:pPr>
      <w:r>
        <w:rPr>
          <w:spacing w:val="-2"/>
        </w:rPr>
        <w:t>工业客户提供安全管理监控一体化解决方案，由硬件监控设备和系统软件共同构成完整的安全管理监控平</w:t>
      </w:r>
      <w:r>
        <w:rPr>
          <w:spacing w:val="-43"/>
        </w:rPr>
        <w:t> </w:t>
      </w:r>
      <w:r>
        <w:rPr>
          <w:spacing w:val="-43"/>
        </w:rPr>
      </w:r>
      <w:r>
        <w:rPr/>
        <w:t>台。报告期内，该业务板块业绩增速较为突出，盈利能力持续增强，实现了高质量的发展。</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0"/>
        <w:jc w:val="left"/>
      </w:pPr>
      <w:r>
        <w:rPr>
          <w:rFonts w:ascii="宋体" w:hAnsi="宋体" w:cs="宋体" w:eastAsia="宋体" w:hint="default"/>
        </w:rPr>
        <w:t>3</w:t>
      </w:r>
      <w:r>
        <w:rPr/>
        <w:t>、智慧市政系统解决方案</w:t>
      </w:r>
      <w:r>
        <w:rPr>
          <w:w w:val="100"/>
        </w:rPr>
        <w:t> </w:t>
      </w:r>
      <w:r>
        <w:rPr>
          <w:spacing w:val="-2"/>
        </w:rPr>
        <w:t>智慧市政系统解决方案是公司利用先进的物联网技术通过投资、建设、运营供水及供热等市政公用设</w:t>
      </w:r>
    </w:p>
    <w:p>
      <w:pPr>
        <w:pStyle w:val="BodyText"/>
        <w:spacing w:line="408" w:lineRule="auto"/>
        <w:ind w:right="1127"/>
        <w:jc w:val="both"/>
      </w:pPr>
      <w:r>
        <w:rPr>
          <w:spacing w:val="-2"/>
        </w:rPr>
        <w:t>施，打造物联网应用行业标杆，为民众提供质优、经济、便捷公用产品的整体解决方案。随着城镇化水平</w:t>
      </w:r>
      <w:r>
        <w:rPr>
          <w:spacing w:val="-43"/>
        </w:rPr>
        <w:t> </w:t>
      </w:r>
      <w:r>
        <w:rPr>
          <w:spacing w:val="-43"/>
        </w:rPr>
      </w:r>
      <w:r>
        <w:rPr/>
        <w:t>的不断提升及智慧化运营、管理手段的加强，该行业保持良好的发展趋势。</w:t>
      </w:r>
    </w:p>
    <w:p>
      <w:pPr>
        <w:pStyle w:val="BodyText"/>
        <w:spacing w:line="240" w:lineRule="auto"/>
        <w:ind w:left="573" w:right="0"/>
        <w:jc w:val="left"/>
      </w:pPr>
      <w:r>
        <w:rPr>
          <w:rFonts w:ascii="宋体" w:hAnsi="宋体" w:cs="宋体" w:eastAsia="宋体" w:hint="default"/>
        </w:rPr>
        <w:t>4</w:t>
      </w:r>
      <w:r>
        <w:rPr/>
        <w:t>、智慧环保系统解决方案</w:t>
      </w:r>
    </w:p>
    <w:p>
      <w:pPr>
        <w:spacing w:line="240" w:lineRule="auto" w:before="12"/>
        <w:rPr>
          <w:rFonts w:ascii="宋体" w:hAnsi="宋体" w:cs="宋体" w:eastAsia="宋体" w:hint="default"/>
          <w:sz w:val="17"/>
          <w:szCs w:val="17"/>
        </w:rPr>
      </w:pPr>
    </w:p>
    <w:p>
      <w:pPr>
        <w:pStyle w:val="BodyText"/>
        <w:spacing w:line="408" w:lineRule="auto" w:before="0"/>
        <w:ind w:right="1126" w:firstLine="420"/>
        <w:jc w:val="both"/>
      </w:pPr>
      <w:r>
        <w:rPr/>
        <w:t>智慧环保系统解决方案致力为客户提供“第三方检测</w:t>
      </w:r>
      <w:r>
        <w:rPr>
          <w:rFonts w:ascii="宋体" w:hAnsi="宋体" w:cs="宋体" w:eastAsia="宋体" w:hint="default"/>
        </w:rPr>
        <w:t>-</w:t>
      </w:r>
      <w:r>
        <w:rPr/>
        <w:t>在线监测</w:t>
      </w:r>
      <w:r>
        <w:rPr>
          <w:rFonts w:ascii="宋体" w:hAnsi="宋体" w:cs="宋体" w:eastAsia="宋体" w:hint="default"/>
        </w:rPr>
        <w:t>-</w:t>
      </w:r>
      <w:r>
        <w:rPr/>
        <w:t>废气废水处理</w:t>
      </w:r>
      <w:r>
        <w:rPr>
          <w:rFonts w:ascii="宋体" w:hAnsi="宋体" w:cs="宋体" w:eastAsia="宋体" w:hint="default"/>
        </w:rPr>
        <w:t>-</w:t>
      </w:r>
      <w:r>
        <w:rPr/>
        <w:t>智慧环保系统运维”</w:t>
      </w:r>
      <w:r>
        <w:rPr>
          <w:w w:val="100"/>
        </w:rPr>
        <w:t> </w:t>
      </w:r>
      <w:r>
        <w:rPr>
          <w:spacing w:val="-2"/>
        </w:rPr>
        <w:t>闭环业务生态的环保系统解决方案，依靠“传感器</w:t>
      </w:r>
      <w:r>
        <w:rPr>
          <w:rFonts w:ascii="宋体" w:hAnsi="宋体" w:cs="宋体" w:eastAsia="宋体" w:hint="default"/>
          <w:spacing w:val="-2"/>
        </w:rPr>
        <w:t>+</w:t>
      </w:r>
      <w:r>
        <w:rPr>
          <w:spacing w:val="-2"/>
        </w:rPr>
        <w:t>监测终端</w:t>
      </w:r>
      <w:r>
        <w:rPr>
          <w:rFonts w:ascii="宋体" w:hAnsi="宋体" w:cs="宋体" w:eastAsia="宋体" w:hint="default"/>
          <w:spacing w:val="-2"/>
        </w:rPr>
        <w:t>+</w:t>
      </w:r>
      <w:r>
        <w:rPr>
          <w:spacing w:val="-2"/>
        </w:rPr>
        <w:t>数据采集</w:t>
      </w:r>
      <w:r>
        <w:rPr>
          <w:rFonts w:ascii="宋体" w:hAnsi="宋体" w:cs="宋体" w:eastAsia="宋体" w:hint="default"/>
          <w:spacing w:val="-2"/>
        </w:rPr>
        <w:t>+</w:t>
      </w:r>
      <w:r>
        <w:rPr>
          <w:spacing w:val="-2"/>
        </w:rPr>
        <w:t>空间信息技术</w:t>
      </w:r>
      <w:r>
        <w:rPr>
          <w:rFonts w:ascii="宋体" w:hAnsi="宋体" w:cs="宋体" w:eastAsia="宋体" w:hint="default"/>
          <w:spacing w:val="-2"/>
        </w:rPr>
        <w:t>+</w:t>
      </w:r>
      <w:r>
        <w:rPr>
          <w:spacing w:val="-2"/>
        </w:rPr>
        <w:t>云应用</w:t>
      </w:r>
      <w:r>
        <w:rPr>
          <w:rFonts w:ascii="宋体" w:hAnsi="宋体" w:cs="宋体" w:eastAsia="宋体" w:hint="default"/>
          <w:spacing w:val="-2"/>
        </w:rPr>
        <w:t>+</w:t>
      </w:r>
      <w:r>
        <w:rPr>
          <w:spacing w:val="-2"/>
        </w:rPr>
        <w:t>治理</w:t>
      </w:r>
      <w:r>
        <w:rPr>
          <w:rFonts w:ascii="宋体" w:hAnsi="宋体" w:cs="宋体" w:eastAsia="宋体" w:hint="default"/>
          <w:spacing w:val="-2"/>
        </w:rPr>
        <w:t>+</w:t>
      </w:r>
      <w:r>
        <w:rPr>
          <w:spacing w:val="-2"/>
        </w:rPr>
        <w:t>运维</w:t>
      </w:r>
      <w:r>
        <w:rPr>
          <w:spacing w:val="-45"/>
        </w:rPr>
        <w:t> </w:t>
      </w:r>
      <w:r>
        <w:rPr>
          <w:spacing w:val="-2"/>
        </w:rPr>
        <w:t>服务”整体方案，为企业、政府提供大气监测、污水及垃圾渗滤液处理、有机废气治理等一体化的环保服</w:t>
      </w:r>
      <w:r>
        <w:rPr>
          <w:spacing w:val="-43"/>
        </w:rPr>
        <w:t> </w:t>
      </w:r>
      <w:r>
        <w:rPr>
          <w:spacing w:val="-43"/>
        </w:rPr>
      </w:r>
      <w:r>
        <w:rPr/>
        <w:t>务。报告期内，公司在环境治理领域调整了经营战略，</w:t>
      </w:r>
      <w:r>
        <w:rPr>
          <w:rFonts w:ascii="宋体" w:hAnsi="宋体" w:cs="宋体" w:eastAsia="宋体" w:hint="default"/>
        </w:rPr>
        <w:t>EPC</w:t>
      </w:r>
      <w:r>
        <w:rPr/>
        <w:t>项目占比逐步提高，同时，公司围绕智慧环保</w:t>
      </w:r>
      <w:r>
        <w:rPr>
          <w:spacing w:val="-24"/>
        </w:rPr>
        <w:t> </w:t>
      </w:r>
      <w:r>
        <w:rPr>
          <w:spacing w:val="-24"/>
        </w:rPr>
      </w:r>
      <w:r>
        <w:rPr>
          <w:spacing w:val="-2"/>
        </w:rPr>
        <w:t>发展战略，在环保领域积极打造检测、监测、监控、集成、运维、数据服务于一体的智慧环保生态圈，取</w:t>
      </w:r>
      <w:r>
        <w:rPr>
          <w:spacing w:val="-45"/>
        </w:rPr>
        <w:t> </w:t>
      </w:r>
      <w:r>
        <w:rPr>
          <w:spacing w:val="-45"/>
        </w:rPr>
      </w:r>
      <w:r>
        <w:rPr/>
        <w:t>得了良好的经营效益。</w:t>
      </w:r>
    </w:p>
    <w:p>
      <w:pPr>
        <w:pStyle w:val="BodyText"/>
        <w:spacing w:line="408" w:lineRule="auto" w:before="84"/>
        <w:ind w:left="573" w:right="0"/>
        <w:jc w:val="left"/>
      </w:pPr>
      <w:r>
        <w:rPr/>
        <w:t>（三）居家智能和健康业务</w:t>
      </w:r>
      <w:r>
        <w:rPr>
          <w:w w:val="100"/>
        </w:rPr>
        <w:t> </w:t>
      </w:r>
      <w:r>
        <w:rPr>
          <w:spacing w:val="-5"/>
        </w:rPr>
        <w:t>居家智能和健康业务通过物联网技术对家庭中的环境健康、人体健康、智能设备进行有机联通和管理，</w:t>
      </w:r>
    </w:p>
    <w:p>
      <w:pPr>
        <w:pStyle w:val="BodyText"/>
        <w:spacing w:line="408" w:lineRule="auto"/>
        <w:ind w:right="1131"/>
        <w:jc w:val="both"/>
      </w:pPr>
      <w:r>
        <w:rPr>
          <w:spacing w:val="-2"/>
        </w:rPr>
        <w:t>结合数据服务运营能力，夯实了空气质量、燃气安全类市场，拓展了水质安全类市场，为人们提供专业可</w:t>
      </w:r>
      <w:r>
        <w:rPr>
          <w:spacing w:val="-50"/>
        </w:rPr>
        <w:t> </w:t>
      </w:r>
      <w:r>
        <w:rPr>
          <w:spacing w:val="-50"/>
        </w:rPr>
      </w:r>
      <w:r>
        <w:rPr/>
        <w:t>靠的“监测</w:t>
      </w:r>
      <w:r>
        <w:rPr>
          <w:rFonts w:ascii="宋体" w:hAnsi="宋体" w:cs="宋体" w:eastAsia="宋体" w:hint="default"/>
        </w:rPr>
        <w:t>+</w:t>
      </w:r>
      <w:r>
        <w:rPr/>
        <w:t>治理”居家智能和健康全方案服务。报告期内，随着人民日益增长的美好生活需求，该业务</w:t>
      </w:r>
      <w:r>
        <w:rPr>
          <w:spacing w:val="-25"/>
        </w:rPr>
        <w:t> </w:t>
      </w:r>
      <w:r>
        <w:rPr>
          <w:spacing w:val="-25"/>
        </w:rPr>
      </w:r>
      <w:r>
        <w:rPr/>
        <w:t>营业规模取得一定增长。</w:t>
      </w:r>
    </w:p>
    <w:p>
      <w:pPr>
        <w:spacing w:line="240" w:lineRule="auto" w:before="9"/>
        <w:rPr>
          <w:rFonts w:ascii="宋体" w:hAnsi="宋体" w:cs="宋体" w:eastAsia="宋体" w:hint="default"/>
          <w:sz w:val="18"/>
          <w:szCs w:val="18"/>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2873"/>
        <w:gridCol w:w="6824"/>
      </w:tblGrid>
      <w:tr>
        <w:trPr>
          <w:trHeight w:val="196" w:hRule="exact"/>
        </w:trPr>
        <w:tc>
          <w:tcPr>
            <w:tcW w:w="2873" w:type="dxa"/>
            <w:tcBorders>
              <w:top w:val="single" w:sz="12" w:space="0" w:color="000000"/>
              <w:left w:val="single" w:sz="12" w:space="0" w:color="000000"/>
              <w:bottom w:val="nil" w:sz="6" w:space="0" w:color="auto"/>
              <w:right w:val="single" w:sz="4" w:space="0" w:color="000000"/>
            </w:tcBorders>
            <w:shd w:val="clear" w:color="auto" w:fill="D2D2D2"/>
          </w:tcPr>
          <w:p>
            <w:pPr/>
          </w:p>
        </w:tc>
        <w:tc>
          <w:tcPr>
            <w:tcW w:w="6824"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394" w:hRule="exact"/>
        </w:trPr>
        <w:tc>
          <w:tcPr>
            <w:tcW w:w="2873"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824" w:type="dxa"/>
            <w:tcBorders>
              <w:top w:val="nil" w:sz="6" w:space="0" w:color="auto"/>
              <w:left w:val="single" w:sz="4" w:space="0" w:color="000000"/>
              <w:bottom w:val="nil" w:sz="6" w:space="0" w:color="auto"/>
              <w:right w:val="single" w:sz="12"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2873" w:type="dxa"/>
            <w:tcBorders>
              <w:top w:val="nil" w:sz="6" w:space="0" w:color="auto"/>
              <w:left w:val="single" w:sz="12" w:space="0" w:color="000000"/>
              <w:bottom w:val="single" w:sz="4" w:space="0" w:color="000000"/>
              <w:right w:val="single" w:sz="4" w:space="0" w:color="000000"/>
            </w:tcBorders>
            <w:shd w:val="clear" w:color="auto" w:fill="D2D2D2"/>
          </w:tcPr>
          <w:p>
            <w:pPr/>
          </w:p>
        </w:tc>
        <w:tc>
          <w:tcPr>
            <w:tcW w:w="6824"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3" w:hRule="exact"/>
        </w:trPr>
        <w:tc>
          <w:tcPr>
            <w:tcW w:w="287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824"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在建工程较年初增加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63.56%</w:t>
            </w:r>
            <w:r>
              <w:rPr>
                <w:rFonts w:ascii="宋体" w:hAnsi="宋体" w:cs="宋体" w:eastAsia="宋体" w:hint="default"/>
                <w:sz w:val="18"/>
                <w:szCs w:val="18"/>
              </w:rPr>
              <w:t>，主要系报告期内投资建设管网等长期资产所致。</w:t>
            </w:r>
          </w:p>
        </w:tc>
      </w:tr>
      <w:tr>
        <w:trPr>
          <w:trHeight w:val="401" w:hRule="exact"/>
        </w:trPr>
        <w:tc>
          <w:tcPr>
            <w:tcW w:w="287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8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交易性金融资产较年初减少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，主要系报告期内公司收回结构性存款所致。</w:t>
            </w:r>
          </w:p>
        </w:tc>
      </w:tr>
      <w:tr>
        <w:trPr>
          <w:trHeight w:val="404" w:hRule="exact"/>
        </w:trPr>
        <w:tc>
          <w:tcPr>
            <w:tcW w:w="287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8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应收票据较年初增加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345.18%</w:t>
            </w:r>
            <w:r>
              <w:rPr>
                <w:rFonts w:ascii="宋体" w:hAnsi="宋体" w:cs="宋体" w:eastAsia="宋体" w:hint="default"/>
                <w:sz w:val="18"/>
                <w:szCs w:val="18"/>
              </w:rPr>
              <w:t>，主要系报告期内公司收到的商业承兑汇票增加所致。</w:t>
            </w:r>
          </w:p>
        </w:tc>
      </w:tr>
      <w:tr>
        <w:trPr>
          <w:trHeight w:val="401" w:hRule="exact"/>
        </w:trPr>
        <w:tc>
          <w:tcPr>
            <w:tcW w:w="287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8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预付账款较年初减少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66.96%</w:t>
            </w:r>
            <w:r>
              <w:rPr>
                <w:rFonts w:ascii="宋体" w:hAnsi="宋体" w:cs="宋体" w:eastAsia="宋体" w:hint="default"/>
                <w:sz w:val="18"/>
                <w:szCs w:val="18"/>
              </w:rPr>
              <w:t>，主要系报告期内公司智慧市政项目按期结算所致。</w:t>
            </w:r>
          </w:p>
        </w:tc>
      </w:tr>
      <w:tr>
        <w:trPr>
          <w:trHeight w:val="403" w:hRule="exact"/>
        </w:trPr>
        <w:tc>
          <w:tcPr>
            <w:tcW w:w="287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8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其他应收款较年初减少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36.91%</w:t>
            </w:r>
            <w:r>
              <w:rPr>
                <w:rFonts w:ascii="宋体" w:hAnsi="宋体" w:cs="宋体" w:eastAsia="宋体" w:hint="default"/>
                <w:sz w:val="18"/>
                <w:szCs w:val="18"/>
              </w:rPr>
              <w:t>，主要系报告期内收到业绩补偿款所致。</w:t>
            </w:r>
          </w:p>
        </w:tc>
      </w:tr>
      <w:tr>
        <w:trPr>
          <w:trHeight w:val="401" w:hRule="exact"/>
        </w:trPr>
        <w:tc>
          <w:tcPr>
            <w:tcW w:w="287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8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投资性房地产较年初增加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49.20%</w:t>
            </w:r>
            <w:r>
              <w:rPr>
                <w:rFonts w:ascii="宋体" w:hAnsi="宋体" w:cs="宋体" w:eastAsia="宋体" w:hint="default"/>
                <w:sz w:val="18"/>
                <w:szCs w:val="18"/>
              </w:rPr>
              <w:t>，主要系报告期内固定资产转入投资性房地产所致。</w:t>
            </w:r>
          </w:p>
        </w:tc>
      </w:tr>
      <w:tr>
        <w:trPr>
          <w:trHeight w:val="715" w:hRule="exact"/>
        </w:trPr>
        <w:tc>
          <w:tcPr>
            <w:tcW w:w="287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824" w:type="dxa"/>
            <w:tcBorders>
              <w:top w:val="single" w:sz="4" w:space="0" w:color="000000"/>
              <w:left w:val="single" w:sz="4" w:space="0" w:color="000000"/>
              <w:bottom w:val="single" w:sz="4" w:space="0" w:color="000000"/>
              <w:right w:val="single" w:sz="12" w:space="0" w:color="000000"/>
            </w:tcBorders>
          </w:tcPr>
          <w:p>
            <w:pPr>
              <w:pStyle w:val="TableParagraph"/>
              <w:spacing w:line="300" w:lineRule="auto" w:before="49"/>
              <w:ind w:left="26" w:right="56"/>
              <w:jc w:val="left"/>
              <w:rPr>
                <w:rFonts w:ascii="宋体" w:hAnsi="宋体" w:cs="宋体" w:eastAsia="宋体" w:hint="default"/>
                <w:sz w:val="18"/>
                <w:szCs w:val="18"/>
              </w:rPr>
            </w:pPr>
            <w:r>
              <w:rPr>
                <w:rFonts w:ascii="宋体" w:hAnsi="宋体" w:cs="宋体" w:eastAsia="宋体" w:hint="default"/>
                <w:sz w:val="18"/>
                <w:szCs w:val="18"/>
              </w:rPr>
              <w:t>商誉较年初减少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60.66%</w:t>
            </w:r>
            <w:r>
              <w:rPr>
                <w:rFonts w:ascii="宋体" w:hAnsi="宋体" w:cs="宋体" w:eastAsia="宋体" w:hint="default"/>
                <w:sz w:val="18"/>
                <w:szCs w:val="18"/>
              </w:rPr>
              <w:t>，主要系报告期内对商誉进行减值测试，计提商誉减值准备所 致。</w:t>
            </w:r>
          </w:p>
        </w:tc>
      </w:tr>
      <w:tr>
        <w:trPr>
          <w:trHeight w:val="401" w:hRule="exact"/>
        </w:trPr>
        <w:tc>
          <w:tcPr>
            <w:tcW w:w="287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8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长期待摊费用较年初减少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56.14%</w:t>
            </w:r>
            <w:r>
              <w:rPr>
                <w:rFonts w:ascii="宋体" w:hAnsi="宋体" w:cs="宋体" w:eastAsia="宋体" w:hint="default"/>
                <w:sz w:val="18"/>
                <w:szCs w:val="18"/>
              </w:rPr>
              <w:t>，主要系报告期内长期待摊费用冲减长期借款所致。</w:t>
            </w:r>
          </w:p>
        </w:tc>
      </w:tr>
      <w:tr>
        <w:trPr>
          <w:trHeight w:val="410" w:hRule="exact"/>
        </w:trPr>
        <w:tc>
          <w:tcPr>
            <w:tcW w:w="287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82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其他非流动资产较年初增加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127.05%</w:t>
            </w:r>
            <w:r>
              <w:rPr>
                <w:rFonts w:ascii="宋体" w:hAnsi="宋体" w:cs="宋体" w:eastAsia="宋体" w:hint="default"/>
                <w:sz w:val="18"/>
                <w:szCs w:val="18"/>
              </w:rPr>
              <w:t>，主要系报告期内预付投资款增加所致。</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0"/>
        <w:jc w:val="left"/>
      </w:pPr>
      <w:r>
        <w:rPr>
          <w:rFonts w:ascii="宋体" w:hAnsi="宋体" w:cs="宋体" w:eastAsia="宋体" w:hint="default"/>
        </w:rPr>
        <w:t>1</w:t>
      </w:r>
      <w:r>
        <w:rPr/>
        <w:t>、产业生态圈优势</w:t>
      </w:r>
      <w:r>
        <w:rPr>
          <w:w w:val="100"/>
        </w:rPr>
        <w:t> </w:t>
      </w:r>
      <w:r>
        <w:rPr/>
        <w:t>公司以成为领先的物联网解决方案提供商、服务商为战略目标，通过多年发展，形成了“传感器</w:t>
      </w:r>
      <w:r>
        <w:rPr>
          <w:rFonts w:ascii="宋体" w:hAnsi="宋体" w:cs="宋体" w:eastAsia="宋体" w:hint="default"/>
        </w:rPr>
        <w:t>+</w:t>
      </w:r>
      <w:r>
        <w:rPr/>
        <w:t>监</w:t>
      </w:r>
    </w:p>
    <w:p>
      <w:pPr>
        <w:pStyle w:val="BodyText"/>
        <w:spacing w:line="408" w:lineRule="auto"/>
        <w:ind w:right="0"/>
        <w:jc w:val="left"/>
      </w:pPr>
      <w:r>
        <w:rPr/>
        <w:t>测终端</w:t>
      </w:r>
      <w:r>
        <w:rPr>
          <w:rFonts w:ascii="宋体" w:hAnsi="宋体" w:cs="宋体" w:eastAsia="宋体" w:hint="default"/>
        </w:rPr>
        <w:t>+</w:t>
      </w:r>
      <w:r>
        <w:rPr/>
        <w:t>数据采集</w:t>
      </w:r>
      <w:r>
        <w:rPr>
          <w:rFonts w:ascii="宋体" w:hAnsi="宋体" w:cs="宋体" w:eastAsia="宋体" w:hint="default"/>
        </w:rPr>
        <w:t>+</w:t>
      </w:r>
      <w:r>
        <w:rPr/>
        <w:t>空间信息技术</w:t>
      </w:r>
      <w:r>
        <w:rPr>
          <w:rFonts w:ascii="宋体" w:hAnsi="宋体" w:cs="宋体" w:eastAsia="宋体" w:hint="default"/>
        </w:rPr>
        <w:t>+</w:t>
      </w:r>
      <w:r>
        <w:rPr/>
        <w:t>云应用”的完整物联网技术平台，并构建了围绕该物联网技术平台应用</w:t>
      </w:r>
      <w:r>
        <w:rPr>
          <w:spacing w:val="-24"/>
        </w:rPr>
        <w:t> </w:t>
      </w:r>
      <w:r>
        <w:rPr>
          <w:spacing w:val="-24"/>
        </w:rPr>
      </w:r>
      <w:r>
        <w:rPr>
          <w:spacing w:val="-2"/>
        </w:rPr>
        <w:t>的产业生态圈。该物联网产业生态圈将互联网、物联网技术与应用行业高度融合，真正实现智能、智慧化</w:t>
      </w:r>
      <w:r>
        <w:rPr>
          <w:spacing w:val="-47"/>
        </w:rPr>
        <w:t> </w:t>
      </w:r>
      <w:r>
        <w:rPr>
          <w:spacing w:val="-47"/>
        </w:rPr>
      </w:r>
      <w:r>
        <w:rPr>
          <w:spacing w:val="-2"/>
        </w:rPr>
        <w:t>管理，助推传统产业升级创新，满足了工业客户、燃气公司的安全防护需要，降低了燃气、水务等市政管</w:t>
      </w:r>
      <w:r>
        <w:rPr>
          <w:spacing w:val="-43"/>
        </w:rPr>
        <w:t> </w:t>
      </w:r>
      <w:r>
        <w:rPr>
          <w:spacing w:val="-43"/>
        </w:rPr>
      </w:r>
      <w:r>
        <w:rPr>
          <w:spacing w:val="-5"/>
        </w:rPr>
        <w:t>理领域的综合运营成本，实现了较好的效益，解决了行业客户的痛点，同时具备高度的可复制性、延伸性。</w:t>
      </w:r>
      <w:r>
        <w:rPr>
          <w:spacing w:val="-12"/>
        </w:rPr>
        <w:t> </w:t>
      </w:r>
      <w:r>
        <w:rPr>
          <w:spacing w:val="-12"/>
        </w:rPr>
      </w:r>
      <w:r>
        <w:rPr/>
        <w:t>未来，公司将保持并扩大产业生态圈优势，稳固公司行业领军地位。</w:t>
      </w:r>
    </w:p>
    <w:p>
      <w:pPr>
        <w:pStyle w:val="BodyText"/>
        <w:spacing w:line="408" w:lineRule="auto"/>
        <w:ind w:left="573" w:right="0"/>
        <w:jc w:val="left"/>
      </w:pPr>
      <w:r>
        <w:rPr>
          <w:rFonts w:ascii="宋体" w:hAnsi="宋体" w:cs="宋体" w:eastAsia="宋体" w:hint="default"/>
        </w:rPr>
        <w:t>2</w:t>
      </w:r>
      <w:r>
        <w:rPr/>
        <w:t>、核心技术优势</w:t>
      </w:r>
      <w:r>
        <w:rPr>
          <w:w w:val="100"/>
        </w:rPr>
        <w:t> </w:t>
      </w:r>
      <w:r>
        <w:rPr>
          <w:spacing w:val="-2"/>
        </w:rPr>
        <w:t>传感器属于物联网感知层的核心技术，公司经过二十余年的潜心研发，具备国内领先的气体传感器研</w:t>
      </w:r>
    </w:p>
    <w:p>
      <w:pPr>
        <w:pStyle w:val="BodyText"/>
        <w:spacing w:line="408" w:lineRule="auto"/>
        <w:ind w:right="1126"/>
        <w:jc w:val="both"/>
      </w:pPr>
      <w:r>
        <w:rPr>
          <w:spacing w:val="-2"/>
        </w:rPr>
        <w:t>发和生产技术，可以生产半导体类、催化燃烧类、电化学类、红外光学类等主要种类气体传感器，常年稳</w:t>
      </w:r>
      <w:r>
        <w:rPr>
          <w:spacing w:val="-43"/>
        </w:rPr>
        <w:t> </w:t>
      </w:r>
      <w:r>
        <w:rPr>
          <w:spacing w:val="-43"/>
        </w:rPr>
      </w:r>
      <w:r>
        <w:rPr>
          <w:spacing w:val="-2"/>
        </w:rPr>
        <w:t>居气体传感器领域龙头地位。同时，公司将传感器深入到物联网下游应用领域，结合</w:t>
      </w:r>
      <w:r>
        <w:rPr>
          <w:rFonts w:ascii="宋体" w:hAnsi="宋体" w:cs="宋体" w:eastAsia="宋体" w:hint="default"/>
          <w:spacing w:val="-2"/>
        </w:rPr>
        <w:t>GIS</w:t>
      </w:r>
      <w:r>
        <w:rPr>
          <w:spacing w:val="-2"/>
        </w:rPr>
        <w:t>、</w:t>
      </w:r>
      <w:r>
        <w:rPr>
          <w:rFonts w:ascii="宋体" w:hAnsi="宋体" w:cs="宋体" w:eastAsia="宋体" w:hint="default"/>
          <w:spacing w:val="-2"/>
        </w:rPr>
        <w:t>SCADA</w:t>
      </w:r>
      <w:r>
        <w:rPr>
          <w:spacing w:val="-2"/>
        </w:rPr>
        <w:t>等技术组</w:t>
      </w:r>
      <w:r>
        <w:rPr>
          <w:spacing w:val="-35"/>
        </w:rPr>
        <w:t> </w:t>
      </w:r>
      <w:r>
        <w:rPr>
          <w:spacing w:val="-35"/>
        </w:rPr>
      </w:r>
      <w:r>
        <w:rPr>
          <w:spacing w:val="-2"/>
        </w:rPr>
        <w:t>成领先的物联网系统技术，在智慧城市、智慧安全、智慧环保等领域进行智慧化升级与改造，迅速改变着</w:t>
      </w:r>
      <w:r>
        <w:rPr>
          <w:spacing w:val="-47"/>
        </w:rPr>
        <w:t> </w:t>
      </w:r>
      <w:r>
        <w:rPr>
          <w:spacing w:val="-47"/>
        </w:rPr>
      </w:r>
      <w:r>
        <w:rPr>
          <w:spacing w:val="-2"/>
        </w:rPr>
        <w:t>生态模式。未来，公司将持续保持领先的物联网技术，丰富物联网系统解决方案在多场景的应用，向物联</w:t>
      </w:r>
      <w:r>
        <w:rPr>
          <w:spacing w:val="-47"/>
        </w:rPr>
        <w:t> </w:t>
      </w:r>
      <w:r>
        <w:rPr>
          <w:spacing w:val="-47"/>
        </w:rPr>
      </w:r>
      <w:r>
        <w:rPr/>
        <w:t>网运营平台的方向持续迈进。</w:t>
      </w:r>
    </w:p>
    <w:p>
      <w:pPr>
        <w:pStyle w:val="BodyText"/>
        <w:spacing w:line="408" w:lineRule="auto"/>
        <w:ind w:left="573" w:right="0"/>
        <w:jc w:val="left"/>
      </w:pPr>
      <w:r>
        <w:rPr>
          <w:rFonts w:ascii="宋体" w:hAnsi="宋体" w:cs="宋体" w:eastAsia="宋体" w:hint="default"/>
        </w:rPr>
        <w:t>3</w:t>
      </w:r>
      <w:r>
        <w:rPr/>
        <w:t>、集团化管控优势</w:t>
      </w:r>
      <w:r>
        <w:rPr>
          <w:w w:val="100"/>
        </w:rPr>
        <w:t> </w:t>
      </w:r>
      <w:r>
        <w:rPr>
          <w:spacing w:val="-2"/>
        </w:rPr>
        <w:t>经过多年的积累与沉淀，公司形成了高效协同的发展格局，协同效应日渐显著，集团化管控体系日臻</w:t>
      </w:r>
    </w:p>
    <w:p>
      <w:pPr>
        <w:pStyle w:val="BodyText"/>
        <w:spacing w:line="408" w:lineRule="auto"/>
        <w:ind w:right="1129"/>
        <w:jc w:val="both"/>
      </w:pPr>
      <w:r>
        <w:rPr>
          <w:spacing w:val="-2"/>
        </w:rPr>
        <w:t>完善。公司以财务委派制度、资金集中管理制度、建设统一采购平台等为手段，对集团内部有效资源进行</w:t>
      </w:r>
      <w:r>
        <w:rPr>
          <w:spacing w:val="-47"/>
        </w:rPr>
        <w:t> </w:t>
      </w:r>
      <w:r>
        <w:rPr>
          <w:spacing w:val="-47"/>
        </w:rPr>
      </w:r>
      <w:r>
        <w:rPr>
          <w:spacing w:val="-2"/>
        </w:rPr>
        <w:t>整合，集合市场、技术、生产采购、人才、资金等资源，降低资源成本，兼并融合，充分发挥资源间的协</w:t>
      </w:r>
      <w:r>
        <w:rPr>
          <w:spacing w:val="-49"/>
        </w:rPr>
        <w:t> </w:t>
      </w:r>
      <w:r>
        <w:rPr>
          <w:spacing w:val="-49"/>
        </w:rPr>
      </w:r>
      <w:r>
        <w:rPr/>
        <w:t>同效应，集团内部合作共赢，实现高质量的发展。</w:t>
      </w:r>
    </w:p>
    <w:p>
      <w:pPr>
        <w:pStyle w:val="BodyText"/>
        <w:spacing w:line="408" w:lineRule="auto"/>
        <w:ind w:left="573" w:right="1119"/>
        <w:jc w:val="left"/>
      </w:pPr>
      <w:r>
        <w:rPr>
          <w:rFonts w:ascii="宋体" w:hAnsi="宋体" w:cs="宋体" w:eastAsia="宋体" w:hint="default"/>
        </w:rPr>
        <w:t>4</w:t>
      </w:r>
      <w:r>
        <w:rPr/>
        <w:t>、品牌优势</w:t>
      </w:r>
      <w:r>
        <w:rPr>
          <w:w w:val="100"/>
        </w:rPr>
        <w:t> </w:t>
      </w:r>
      <w:r>
        <w:rPr>
          <w:spacing w:val="-2"/>
        </w:rPr>
        <w:t>公司布局物联网行业多年，始终注重品牌发展战略，“汉威”商标被评为“中国驰名商标”。公司持</w:t>
      </w:r>
    </w:p>
    <w:p>
      <w:pPr>
        <w:pStyle w:val="BodyText"/>
        <w:spacing w:line="408" w:lineRule="auto"/>
        <w:ind w:right="1126"/>
        <w:jc w:val="both"/>
      </w:pPr>
      <w:r>
        <w:rPr>
          <w:spacing w:val="-2"/>
        </w:rPr>
        <w:t>续积极利用学术会议和社会组织资源，不断提升品牌传播效果，进一步提升行业影响力。同时，公司参加</w:t>
      </w:r>
      <w:r>
        <w:rPr>
          <w:spacing w:val="-47"/>
        </w:rPr>
        <w:t> </w:t>
      </w:r>
      <w:r>
        <w:rPr>
          <w:spacing w:val="-47"/>
        </w:rPr>
      </w:r>
      <w:r>
        <w:rPr>
          <w:spacing w:val="-2"/>
        </w:rPr>
        <w:t>了大量国内外具有重大影响力的行业展会，宣传公司产品和品牌，提升品牌知名度，市场开拓能力显著增</w:t>
      </w:r>
      <w:r>
        <w:rPr>
          <w:spacing w:val="-44"/>
        </w:rPr>
        <w:t> </w:t>
      </w:r>
      <w:r>
        <w:rPr>
          <w:spacing w:val="-44"/>
        </w:rPr>
      </w:r>
      <w:r>
        <w:rPr>
          <w:spacing w:val="-2"/>
        </w:rPr>
        <w:t>强，实现了品牌创造市场、联合市场和巩固市场的功能。报告期内，公司成功推动第二届世界传感器大会</w:t>
      </w:r>
      <w:r>
        <w:rPr>
          <w:spacing w:val="-46"/>
        </w:rPr>
        <w:t> </w:t>
      </w:r>
      <w:r>
        <w:rPr>
          <w:spacing w:val="-46"/>
        </w:rPr>
      </w:r>
      <w:r>
        <w:rPr>
          <w:spacing w:val="-2"/>
        </w:rPr>
        <w:t>在郑州召开，进一步提高了汉威品牌的全球影响力，随着郑州市政府不断推动“传感谷”的建设，公司的</w:t>
      </w:r>
      <w:r>
        <w:rPr>
          <w:spacing w:val="-42"/>
        </w:rPr>
        <w:t> </w:t>
      </w:r>
      <w:r>
        <w:rPr>
          <w:spacing w:val="-42"/>
        </w:rPr>
      </w:r>
      <w:r>
        <w:rPr>
          <w:spacing w:val="-2"/>
        </w:rPr>
        <w:t>传感器产业价值链进一步提升。同时公司与郑州大学联合承办“第十三届微米纳米技术创新与产业化国际</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1023" w:hanging="421"/>
        <w:jc w:val="left"/>
      </w:pPr>
      <w:r>
        <w:rPr/>
        <w:t>论坛”，有效拓宽了品牌宣传渠道，未来公司将进一步深化落实“以传感器为核心</w:t>
      </w:r>
      <w:r>
        <w:rPr>
          <w:spacing w:val="-3"/>
        </w:rPr>
        <w:t> </w:t>
      </w:r>
      <w:r>
        <w:rPr/>
        <w:t>”的品牌战略。</w:t>
      </w:r>
      <w:r>
        <w:rPr>
          <w:w w:val="100"/>
        </w:rPr>
        <w:t> </w:t>
      </w:r>
      <w:r>
        <w:rPr>
          <w:rFonts w:ascii="宋体" w:hAnsi="宋体" w:cs="宋体" w:eastAsia="宋体" w:hint="default"/>
        </w:rPr>
        <w:t>5</w:t>
      </w:r>
      <w:r>
        <w:rPr/>
        <w:t>、研发创新优势</w:t>
      </w:r>
      <w:r>
        <w:rPr>
          <w:w w:val="100"/>
        </w:rPr>
        <w:t> </w:t>
      </w:r>
      <w:r>
        <w:rPr>
          <w:spacing w:val="-5"/>
        </w:rPr>
        <w:t>公司拥有锐意创新的研发团队，具有独立的设计和开发能力，研发中心获得了“国家级企业技术中心”</w:t>
      </w:r>
    </w:p>
    <w:p>
      <w:pPr>
        <w:pStyle w:val="BodyText"/>
        <w:spacing w:line="408" w:lineRule="auto"/>
        <w:ind w:left="573" w:right="0" w:hanging="421"/>
        <w:jc w:val="left"/>
      </w:pPr>
      <w:r>
        <w:rPr/>
        <w:t>认证，在多项应用领域中取得了领先成果，未来经营中将继续加强研发创新能力。</w:t>
      </w:r>
      <w:r>
        <w:rPr>
          <w:w w:val="100"/>
        </w:rPr>
        <w:t> </w:t>
      </w:r>
      <w:r>
        <w:rPr>
          <w:spacing w:val="-2"/>
        </w:rPr>
        <w:t>报告期内，公司及子公司新增专利证书</w:t>
      </w:r>
      <w:r>
        <w:rPr>
          <w:rFonts w:ascii="宋体" w:hAnsi="宋体" w:cs="宋体" w:eastAsia="宋体" w:hint="default"/>
          <w:spacing w:val="-2"/>
        </w:rPr>
        <w:t>64</w:t>
      </w:r>
      <w:r>
        <w:rPr>
          <w:spacing w:val="-2"/>
        </w:rPr>
        <w:t>项，其中发明专利</w:t>
      </w:r>
      <w:r>
        <w:rPr>
          <w:rFonts w:ascii="宋体" w:hAnsi="宋体" w:cs="宋体" w:eastAsia="宋体" w:hint="default"/>
          <w:spacing w:val="-2"/>
        </w:rPr>
        <w:t>7</w:t>
      </w:r>
      <w:r>
        <w:rPr>
          <w:spacing w:val="-2"/>
        </w:rPr>
        <w:t>项，实用新型专利</w:t>
      </w:r>
      <w:r>
        <w:rPr>
          <w:rFonts w:ascii="宋体" w:hAnsi="宋体" w:cs="宋体" w:eastAsia="宋体" w:hint="default"/>
          <w:spacing w:val="-2"/>
        </w:rPr>
        <w:t>46</w:t>
      </w:r>
      <w:r>
        <w:rPr>
          <w:spacing w:val="-2"/>
        </w:rPr>
        <w:t>项，外观设计</w:t>
      </w:r>
      <w:r>
        <w:rPr>
          <w:rFonts w:ascii="宋体" w:hAnsi="宋体" w:cs="宋体" w:eastAsia="宋体" w:hint="default"/>
          <w:spacing w:val="-2"/>
        </w:rPr>
        <w:t>11</w:t>
      </w:r>
      <w:r>
        <w:rPr>
          <w:spacing w:val="-2"/>
        </w:rPr>
        <w:t>项；</w:t>
      </w:r>
    </w:p>
    <w:p>
      <w:pPr>
        <w:pStyle w:val="BodyText"/>
        <w:spacing w:line="240" w:lineRule="auto"/>
        <w:ind w:right="0"/>
        <w:jc w:val="left"/>
      </w:pPr>
      <w:r>
        <w:rPr/>
        <w:t>新增计算机软件著作权</w:t>
      </w:r>
      <w:r>
        <w:rPr>
          <w:rFonts w:ascii="宋体" w:hAnsi="宋体" w:cs="宋体" w:eastAsia="宋体" w:hint="default"/>
        </w:rPr>
        <w:t>70</w:t>
      </w:r>
      <w:r>
        <w:rPr/>
        <w:t>项。</w:t>
      </w:r>
    </w:p>
    <w:p>
      <w:pPr>
        <w:pStyle w:val="BodyText"/>
        <w:spacing w:line="240" w:lineRule="auto" w:before="116"/>
        <w:ind w:left="573" w:right="0"/>
        <w:jc w:val="left"/>
      </w:pPr>
      <w:r>
        <w:rPr/>
        <w:t>（</w:t>
      </w:r>
      <w:r>
        <w:rPr>
          <w:rFonts w:ascii="Times New Roman" w:hAnsi="Times New Roman" w:cs="Times New Roman" w:eastAsia="Times New Roman" w:hint="default"/>
        </w:rPr>
        <w:t>1</w:t>
      </w:r>
      <w:r>
        <w:rPr/>
        <w:t>）报告期内，公司及子公司新增专利证书如下：</w:t>
      </w:r>
    </w:p>
    <w:p>
      <w:pPr>
        <w:spacing w:line="240" w:lineRule="auto" w:before="8"/>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18"/>
        <w:gridCol w:w="1495"/>
        <w:gridCol w:w="3915"/>
        <w:gridCol w:w="850"/>
        <w:gridCol w:w="996"/>
        <w:gridCol w:w="848"/>
        <w:gridCol w:w="1147"/>
      </w:tblGrid>
      <w:tr>
        <w:trPr>
          <w:trHeight w:val="353" w:hRule="exact"/>
        </w:trPr>
        <w:tc>
          <w:tcPr>
            <w:tcW w:w="418"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495"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3915"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85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9"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99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25" w:right="0"/>
              <w:jc w:val="left"/>
              <w:rPr>
                <w:rFonts w:ascii="宋体" w:hAnsi="宋体" w:cs="宋体" w:eastAsia="宋体" w:hint="default"/>
                <w:sz w:val="18"/>
                <w:szCs w:val="18"/>
              </w:rPr>
            </w:pPr>
            <w:r>
              <w:rPr>
                <w:rFonts w:ascii="宋体" w:hAnsi="宋体" w:cs="宋体" w:eastAsia="宋体" w:hint="default"/>
                <w:sz w:val="18"/>
                <w:szCs w:val="18"/>
              </w:rPr>
              <w:t>申请日</w:t>
            </w:r>
          </w:p>
        </w:tc>
        <w:tc>
          <w:tcPr>
            <w:tcW w:w="84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保护期限</w:t>
            </w:r>
          </w:p>
        </w:tc>
        <w:tc>
          <w:tcPr>
            <w:tcW w:w="1147"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z w:val="18"/>
                <w:szCs w:val="18"/>
              </w:rPr>
              <w:t>专利权人</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9"/>
              <w:jc w:val="center"/>
              <w:rPr>
                <w:rFonts w:ascii="Times New Roman" w:hAnsi="Times New Roman" w:cs="Times New Roman" w:eastAsia="Times New Roman" w:hint="default"/>
                <w:sz w:val="18"/>
                <w:szCs w:val="18"/>
              </w:rPr>
            </w:pPr>
            <w:r>
              <w:rPr>
                <w:rFonts w:ascii="Times New Roman"/>
                <w:sz w:val="18"/>
              </w:rPr>
              <w:t>ZL2018208424693</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室外风扇式激光粉尘检测结构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2018-06-01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4"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9"/>
              <w:jc w:val="center"/>
              <w:rPr>
                <w:rFonts w:ascii="Times New Roman" w:hAnsi="Times New Roman" w:cs="Times New Roman" w:eastAsia="Times New Roman" w:hint="default"/>
                <w:sz w:val="18"/>
                <w:szCs w:val="18"/>
              </w:rPr>
            </w:pPr>
            <w:r>
              <w:rPr>
                <w:rFonts w:ascii="Times New Roman"/>
                <w:sz w:val="18"/>
              </w:rPr>
              <w:t>ZL2018213901014</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基于交流耦合式电荷感应法的油烟机控制装置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left"/>
              <w:rPr>
                <w:rFonts w:ascii="Times New Roman" w:hAnsi="Times New Roman" w:cs="Times New Roman" w:eastAsia="Times New Roman" w:hint="default"/>
                <w:sz w:val="18"/>
                <w:szCs w:val="18"/>
              </w:rPr>
            </w:pPr>
            <w:r>
              <w:rPr>
                <w:rFonts w:ascii="Times New Roman"/>
                <w:sz w:val="18"/>
              </w:rPr>
              <w:t>2018-08-28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9"/>
              <w:jc w:val="center"/>
              <w:rPr>
                <w:rFonts w:ascii="Times New Roman" w:hAnsi="Times New Roman" w:cs="Times New Roman" w:eastAsia="Times New Roman" w:hint="default"/>
                <w:sz w:val="18"/>
                <w:szCs w:val="18"/>
              </w:rPr>
            </w:pPr>
            <w:r>
              <w:rPr>
                <w:rFonts w:ascii="Times New Roman"/>
                <w:sz w:val="18"/>
              </w:rPr>
              <w:t>ZL2018304793406</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开路激光气体探测器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2018-08-28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center"/>
              <w:rPr>
                <w:rFonts w:ascii="Times New Roman" w:hAnsi="Times New Roman" w:cs="Times New Roman" w:eastAsia="Times New Roman" w:hint="default"/>
                <w:sz w:val="18"/>
                <w:szCs w:val="18"/>
              </w:rPr>
            </w:pPr>
            <w:r>
              <w:rPr>
                <w:rFonts w:ascii="Times New Roman"/>
                <w:sz w:val="18"/>
              </w:rPr>
              <w:t>ZL2018304794095</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双光源双光路红外气体探测器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2018-08-28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9"/>
              <w:jc w:val="center"/>
              <w:rPr>
                <w:rFonts w:ascii="Times New Roman" w:hAnsi="Times New Roman" w:cs="Times New Roman" w:eastAsia="Times New Roman" w:hint="default"/>
                <w:sz w:val="18"/>
                <w:szCs w:val="18"/>
              </w:rPr>
            </w:pPr>
            <w:r>
              <w:rPr>
                <w:rFonts w:ascii="Times New Roman"/>
                <w:sz w:val="18"/>
              </w:rPr>
              <w:t>ZL2018304794080</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点型气体探测器（</w:t>
            </w:r>
            <w:r>
              <w:rPr>
                <w:rFonts w:ascii="Times New Roman" w:hAnsi="Times New Roman" w:cs="Times New Roman" w:eastAsia="Times New Roman" w:hint="default"/>
                <w:sz w:val="18"/>
                <w:szCs w:val="18"/>
              </w:rPr>
              <w:t>GT-VXE</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2018-08-28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center"/>
              <w:rPr>
                <w:rFonts w:ascii="Times New Roman" w:hAnsi="Times New Roman" w:cs="Times New Roman" w:eastAsia="Times New Roman" w:hint="default"/>
                <w:sz w:val="18"/>
                <w:szCs w:val="18"/>
              </w:rPr>
            </w:pPr>
            <w:r>
              <w:rPr>
                <w:rFonts w:ascii="Times New Roman"/>
                <w:sz w:val="18"/>
              </w:rPr>
              <w:t>ZL2018214310308</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一种用于隔爆型气体探测器的探头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2018-09-03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9"/>
              <w:jc w:val="center"/>
              <w:rPr>
                <w:rFonts w:ascii="Times New Roman" w:hAnsi="Times New Roman" w:cs="Times New Roman" w:eastAsia="Times New Roman" w:hint="default"/>
                <w:sz w:val="18"/>
                <w:szCs w:val="18"/>
              </w:rPr>
            </w:pPr>
            <w:r>
              <w:rPr>
                <w:rFonts w:ascii="Times New Roman"/>
                <w:sz w:val="18"/>
              </w:rPr>
              <w:t>ZL2018214527057</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一种双电批自动锁丝系统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2018-09-06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center"/>
              <w:rPr>
                <w:rFonts w:ascii="Times New Roman" w:hAnsi="Times New Roman" w:cs="Times New Roman" w:eastAsia="Times New Roman" w:hint="default"/>
                <w:sz w:val="18"/>
                <w:szCs w:val="18"/>
              </w:rPr>
            </w:pPr>
            <w:r>
              <w:rPr>
                <w:rFonts w:ascii="Times New Roman"/>
                <w:sz w:val="18"/>
              </w:rPr>
              <w:t>ZL2018214532568</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PCBA</w:t>
            </w:r>
            <w:r>
              <w:rPr>
                <w:rFonts w:ascii="宋体" w:hAnsi="宋体" w:cs="宋体" w:eastAsia="宋体" w:hint="default"/>
                <w:sz w:val="18"/>
                <w:szCs w:val="18"/>
              </w:rPr>
              <w:t>板测试装置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2018-09-06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9"/>
              <w:jc w:val="center"/>
              <w:rPr>
                <w:rFonts w:ascii="Times New Roman" w:hAnsi="Times New Roman" w:cs="Times New Roman" w:eastAsia="Times New Roman" w:hint="default"/>
                <w:sz w:val="18"/>
                <w:szCs w:val="18"/>
              </w:rPr>
            </w:pPr>
            <w:r>
              <w:rPr>
                <w:rFonts w:ascii="Times New Roman"/>
                <w:sz w:val="18"/>
              </w:rPr>
              <w:t>ZL201821453252X</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一种标气输送装置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2018-09-06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center"/>
              <w:rPr>
                <w:rFonts w:ascii="Times New Roman" w:hAnsi="Times New Roman" w:cs="Times New Roman" w:eastAsia="Times New Roman" w:hint="default"/>
                <w:sz w:val="18"/>
                <w:szCs w:val="18"/>
              </w:rPr>
            </w:pPr>
            <w:r>
              <w:rPr>
                <w:rFonts w:ascii="Times New Roman"/>
                <w:sz w:val="18"/>
              </w:rPr>
              <w:t>ZL2018214526213</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探测器的成品标检装置及标检系统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2018-09-06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9"/>
              <w:jc w:val="center"/>
              <w:rPr>
                <w:rFonts w:ascii="Times New Roman" w:hAnsi="Times New Roman" w:cs="Times New Roman" w:eastAsia="Times New Roman" w:hint="default"/>
                <w:sz w:val="18"/>
                <w:szCs w:val="18"/>
              </w:rPr>
            </w:pPr>
            <w:r>
              <w:rPr>
                <w:rFonts w:ascii="Times New Roman"/>
                <w:sz w:val="18"/>
              </w:rPr>
              <w:t>ZL2018214600404</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一种采集与通信分离设计的无线烟感装置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2018-09-07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4"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center"/>
              <w:rPr>
                <w:rFonts w:ascii="Times New Roman" w:hAnsi="Times New Roman" w:cs="Times New Roman" w:eastAsia="Times New Roman" w:hint="default"/>
                <w:sz w:val="18"/>
                <w:szCs w:val="18"/>
              </w:rPr>
            </w:pPr>
            <w:r>
              <w:rPr>
                <w:rFonts w:ascii="Times New Roman"/>
                <w:sz w:val="18"/>
              </w:rPr>
              <w:t>ZL2018215960055</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一种电动车防盗终端的防拆报警装置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2018-09-29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9"/>
              <w:jc w:val="center"/>
              <w:rPr>
                <w:rFonts w:ascii="Times New Roman" w:hAnsi="Times New Roman" w:cs="Times New Roman" w:eastAsia="Times New Roman" w:hint="default"/>
                <w:sz w:val="18"/>
                <w:szCs w:val="18"/>
              </w:rPr>
            </w:pPr>
            <w:r>
              <w:rPr>
                <w:rFonts w:ascii="Times New Roman"/>
                <w:sz w:val="18"/>
              </w:rPr>
              <w:t>ZL2018216295478</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一种水表字轮读数检测装置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2018-10-09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center"/>
              <w:rPr>
                <w:rFonts w:ascii="Times New Roman" w:hAnsi="Times New Roman" w:cs="Times New Roman" w:eastAsia="Times New Roman" w:hint="default"/>
                <w:sz w:val="18"/>
                <w:szCs w:val="18"/>
              </w:rPr>
            </w:pPr>
            <w:r>
              <w:rPr>
                <w:rFonts w:ascii="Times New Roman"/>
                <w:sz w:val="18"/>
              </w:rPr>
              <w:t>ZL2018306064805</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吸顶式家用气体报警器（</w:t>
            </w:r>
            <w:r>
              <w:rPr>
                <w:rFonts w:ascii="Times New Roman" w:hAnsi="Times New Roman" w:cs="Times New Roman" w:eastAsia="Times New Roman" w:hint="default"/>
                <w:sz w:val="18"/>
                <w:szCs w:val="18"/>
              </w:rPr>
              <w:t>JT-KD</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2018-10-29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9"/>
              <w:jc w:val="center"/>
              <w:rPr>
                <w:rFonts w:ascii="Times New Roman" w:hAnsi="Times New Roman" w:cs="Times New Roman" w:eastAsia="Times New Roman" w:hint="default"/>
                <w:sz w:val="18"/>
                <w:szCs w:val="18"/>
              </w:rPr>
            </w:pPr>
            <w:r>
              <w:rPr>
                <w:rFonts w:ascii="Times New Roman"/>
                <w:sz w:val="18"/>
              </w:rPr>
              <w:t>ZL2018306060166</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独立式可燃气体探测器（</w:t>
            </w:r>
            <w:r>
              <w:rPr>
                <w:rFonts w:ascii="Times New Roman" w:hAnsi="Times New Roman" w:cs="Times New Roman" w:eastAsia="Times New Roman" w:hint="default"/>
                <w:sz w:val="18"/>
                <w:szCs w:val="18"/>
              </w:rPr>
              <w:t>I1</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2018-10-29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center"/>
              <w:rPr>
                <w:rFonts w:ascii="Times New Roman" w:hAnsi="Times New Roman" w:cs="Times New Roman" w:eastAsia="Times New Roman" w:hint="default"/>
                <w:sz w:val="18"/>
                <w:szCs w:val="18"/>
              </w:rPr>
            </w:pPr>
            <w:r>
              <w:rPr>
                <w:rFonts w:ascii="Times New Roman"/>
                <w:sz w:val="18"/>
              </w:rPr>
              <w:t>ZL2017211000606</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智能型呼出气体酒精含量检测仪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2017-08-30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9"/>
              <w:jc w:val="center"/>
              <w:rPr>
                <w:rFonts w:ascii="Times New Roman" w:hAnsi="Times New Roman" w:cs="Times New Roman" w:eastAsia="Times New Roman" w:hint="default"/>
                <w:sz w:val="18"/>
                <w:szCs w:val="18"/>
              </w:rPr>
            </w:pPr>
            <w:r>
              <w:rPr>
                <w:rFonts w:ascii="Times New Roman"/>
                <w:sz w:val="18"/>
              </w:rPr>
              <w:t>ZL2018212470868</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一种充气式智能止鼾枕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2018-08-03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center"/>
              <w:rPr>
                <w:rFonts w:ascii="Times New Roman" w:hAnsi="Times New Roman" w:cs="Times New Roman" w:eastAsia="Times New Roman" w:hint="default"/>
                <w:sz w:val="18"/>
                <w:szCs w:val="18"/>
              </w:rPr>
            </w:pPr>
            <w:r>
              <w:rPr>
                <w:rFonts w:ascii="Times New Roman"/>
                <w:sz w:val="18"/>
              </w:rPr>
              <w:t>ZL2018212477392</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一种多功能止鼾按摩枕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2018-08-03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9"/>
              <w:jc w:val="center"/>
              <w:rPr>
                <w:rFonts w:ascii="Times New Roman" w:hAnsi="Times New Roman" w:cs="Times New Roman" w:eastAsia="Times New Roman" w:hint="default"/>
                <w:sz w:val="18"/>
                <w:szCs w:val="18"/>
              </w:rPr>
            </w:pPr>
            <w:r>
              <w:rPr>
                <w:rFonts w:ascii="Times New Roman"/>
                <w:sz w:val="18"/>
              </w:rPr>
              <w:t>ZL201821759843X</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一种便携式气体检测设备管道清洗装置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2018-10-29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center"/>
              <w:rPr>
                <w:rFonts w:ascii="Times New Roman" w:hAnsi="Times New Roman" w:cs="Times New Roman" w:eastAsia="Times New Roman" w:hint="default"/>
                <w:sz w:val="18"/>
                <w:szCs w:val="18"/>
              </w:rPr>
            </w:pPr>
            <w:r>
              <w:rPr>
                <w:rFonts w:ascii="Times New Roman"/>
                <w:sz w:val="18"/>
              </w:rPr>
              <w:t>ZL2018221444754</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一种新型环境空气</w:t>
            </w:r>
            <w:r>
              <w:rPr>
                <w:rFonts w:ascii="Times New Roman" w:hAnsi="Times New Roman" w:cs="Times New Roman" w:eastAsia="Times New Roman" w:hint="default"/>
                <w:sz w:val="18"/>
                <w:szCs w:val="18"/>
              </w:rPr>
              <w:t>TVOC</w:t>
            </w:r>
            <w:r>
              <w:rPr>
                <w:rFonts w:ascii="宋体" w:hAnsi="宋体" w:cs="宋体" w:eastAsia="宋体" w:hint="default"/>
                <w:sz w:val="18"/>
                <w:szCs w:val="18"/>
              </w:rPr>
              <w:t>在线监测系统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2018-12-20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9"/>
              <w:jc w:val="center"/>
              <w:rPr>
                <w:rFonts w:ascii="Times New Roman" w:hAnsi="Times New Roman" w:cs="Times New Roman" w:eastAsia="Times New Roman" w:hint="default"/>
                <w:sz w:val="18"/>
                <w:szCs w:val="18"/>
              </w:rPr>
            </w:pPr>
            <w:r>
              <w:rPr>
                <w:rFonts w:ascii="Times New Roman"/>
                <w:sz w:val="18"/>
              </w:rPr>
              <w:t>ZL2018221448986</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一种具有自清洗功能的新型气体检测仪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2018-12-20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center"/>
              <w:rPr>
                <w:rFonts w:ascii="Times New Roman" w:hAnsi="Times New Roman" w:cs="Times New Roman" w:eastAsia="Times New Roman" w:hint="default"/>
                <w:sz w:val="18"/>
                <w:szCs w:val="18"/>
              </w:rPr>
            </w:pPr>
            <w:r>
              <w:rPr>
                <w:rFonts w:ascii="Times New Roman"/>
                <w:sz w:val="18"/>
              </w:rPr>
              <w:t>ZL2018221651044</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一种多功能智能水表集中采集器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2018-12-24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9"/>
              <w:jc w:val="center"/>
              <w:rPr>
                <w:rFonts w:ascii="Times New Roman" w:hAnsi="Times New Roman" w:cs="Times New Roman" w:eastAsia="Times New Roman" w:hint="default"/>
                <w:sz w:val="18"/>
                <w:szCs w:val="18"/>
              </w:rPr>
            </w:pPr>
            <w:r>
              <w:rPr>
                <w:rFonts w:ascii="Times New Roman"/>
                <w:sz w:val="18"/>
              </w:rPr>
              <w:t>ZL2018221649769</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一种光电直读水表字轮编码确定装置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2018-12-24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center"/>
              <w:rPr>
                <w:rFonts w:ascii="Times New Roman" w:hAnsi="Times New Roman" w:cs="Times New Roman" w:eastAsia="Times New Roman" w:hint="default"/>
                <w:sz w:val="18"/>
                <w:szCs w:val="18"/>
              </w:rPr>
            </w:pPr>
            <w:r>
              <w:rPr>
                <w:rFonts w:ascii="Times New Roman"/>
                <w:sz w:val="18"/>
              </w:rPr>
              <w:t>ZL2018221649006</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NFC</w:t>
            </w:r>
            <w:r>
              <w:rPr>
                <w:rFonts w:ascii="宋体" w:hAnsi="宋体" w:cs="宋体" w:eastAsia="宋体" w:hint="default"/>
                <w:sz w:val="18"/>
                <w:szCs w:val="18"/>
              </w:rPr>
              <w:t>通信技术的预付费智能水表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2018-12-24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9"/>
              <w:jc w:val="center"/>
              <w:rPr>
                <w:rFonts w:ascii="Times New Roman" w:hAnsi="Times New Roman" w:cs="Times New Roman" w:eastAsia="Times New Roman" w:hint="default"/>
                <w:sz w:val="18"/>
                <w:szCs w:val="18"/>
              </w:rPr>
            </w:pPr>
            <w:r>
              <w:rPr>
                <w:rFonts w:ascii="Times New Roman"/>
                <w:sz w:val="18"/>
              </w:rPr>
              <w:t>ZL2018222527504</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紧凑型红外光学气体吸收池及红外气体传感器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2018-12-29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center"/>
              <w:rPr>
                <w:rFonts w:ascii="Times New Roman" w:hAnsi="Times New Roman" w:cs="Times New Roman" w:eastAsia="Times New Roman" w:hint="default"/>
                <w:sz w:val="18"/>
                <w:szCs w:val="18"/>
              </w:rPr>
            </w:pPr>
            <w:r>
              <w:rPr>
                <w:rFonts w:ascii="Times New Roman"/>
                <w:sz w:val="18"/>
              </w:rPr>
              <w:t>ZL2018222571066</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一种新型在线扫描式超声波气体测漏系统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2018-12-29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9"/>
              <w:jc w:val="center"/>
              <w:rPr>
                <w:rFonts w:ascii="Times New Roman" w:hAnsi="Times New Roman" w:cs="Times New Roman" w:eastAsia="Times New Roman" w:hint="default"/>
                <w:sz w:val="18"/>
                <w:szCs w:val="18"/>
              </w:rPr>
            </w:pPr>
            <w:r>
              <w:rPr>
                <w:rFonts w:ascii="Times New Roman"/>
                <w:sz w:val="18"/>
              </w:rPr>
              <w:t>ZL2018222527082</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远程供气状态监测系统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2018-12-29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9"/>
              <w:jc w:val="center"/>
              <w:rPr>
                <w:rFonts w:ascii="Times New Roman" w:hAnsi="Times New Roman" w:cs="Times New Roman" w:eastAsia="Times New Roman" w:hint="default"/>
                <w:sz w:val="18"/>
                <w:szCs w:val="18"/>
              </w:rPr>
            </w:pPr>
            <w:r>
              <w:rPr>
                <w:rFonts w:ascii="Times New Roman"/>
                <w:sz w:val="18"/>
              </w:rPr>
              <w:t>ZL2019301342885</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工业气体报警控制器（</w:t>
            </w:r>
            <w:r>
              <w:rPr>
                <w:rFonts w:ascii="Times New Roman" w:hAnsi="Times New Roman" w:cs="Times New Roman" w:eastAsia="Times New Roman" w:hint="default"/>
                <w:sz w:val="18"/>
                <w:szCs w:val="18"/>
              </w:rPr>
              <w:t>KB6000</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2019-03-28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9"/>
              <w:jc w:val="center"/>
              <w:rPr>
                <w:rFonts w:ascii="Times New Roman" w:hAnsi="Times New Roman" w:cs="Times New Roman" w:eastAsia="Times New Roman" w:hint="default"/>
                <w:sz w:val="18"/>
                <w:szCs w:val="18"/>
              </w:rPr>
            </w:pPr>
            <w:r>
              <w:rPr>
                <w:rFonts w:ascii="Times New Roman"/>
                <w:sz w:val="18"/>
              </w:rPr>
              <w:t>ZL2019301790608</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手持激光甲烷遥测仪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2019-04-18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53" w:hRule="exact"/>
        </w:trPr>
        <w:tc>
          <w:tcPr>
            <w:tcW w:w="41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w:t>
            </w:r>
          </w:p>
        </w:tc>
        <w:tc>
          <w:tcPr>
            <w:tcW w:w="14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39"/>
              <w:jc w:val="center"/>
              <w:rPr>
                <w:rFonts w:ascii="Times New Roman" w:hAnsi="Times New Roman" w:cs="Times New Roman" w:eastAsia="Times New Roman" w:hint="default"/>
                <w:sz w:val="18"/>
                <w:szCs w:val="18"/>
              </w:rPr>
            </w:pPr>
            <w:r>
              <w:rPr>
                <w:rFonts w:ascii="Times New Roman"/>
                <w:sz w:val="18"/>
              </w:rPr>
              <w:t>ZL201710104963X</w:t>
            </w:r>
          </w:p>
        </w:tc>
        <w:tc>
          <w:tcPr>
            <w:tcW w:w="3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一种半导体气体传感器加热丝断丝的检测方法</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2017-02-25</w:t>
            </w:r>
          </w:p>
        </w:tc>
        <w:tc>
          <w:tcPr>
            <w:tcW w:w="8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20</w:t>
            </w:r>
          </w:p>
        </w:tc>
        <w:tc>
          <w:tcPr>
            <w:tcW w:w="11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畅威物联</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23" w:type="dxa"/>
        <w:tblLayout w:type="fixed"/>
        <w:tblCellMar>
          <w:top w:w="0" w:type="dxa"/>
          <w:left w:w="0" w:type="dxa"/>
          <w:bottom w:w="0" w:type="dxa"/>
          <w:right w:w="0" w:type="dxa"/>
        </w:tblCellMar>
        <w:tblLook w:val="01E0"/>
      </w:tblPr>
      <w:tblGrid>
        <w:gridCol w:w="418"/>
        <w:gridCol w:w="1495"/>
        <w:gridCol w:w="3915"/>
        <w:gridCol w:w="850"/>
        <w:gridCol w:w="996"/>
        <w:gridCol w:w="848"/>
        <w:gridCol w:w="1147"/>
      </w:tblGrid>
      <w:tr>
        <w:trPr>
          <w:trHeight w:val="353" w:hRule="exact"/>
        </w:trPr>
        <w:tc>
          <w:tcPr>
            <w:tcW w:w="41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31</w:t>
            </w:r>
          </w:p>
        </w:tc>
        <w:tc>
          <w:tcPr>
            <w:tcW w:w="14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ZL2019202013095</w:t>
            </w:r>
          </w:p>
        </w:tc>
        <w:tc>
          <w:tcPr>
            <w:tcW w:w="39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一种新型高防护等级行程开关</w:t>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2019-02-15</w:t>
            </w:r>
          </w:p>
        </w:tc>
        <w:tc>
          <w:tcPr>
            <w:tcW w:w="8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32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ZL2019202010133</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一种具有无线信号增强功能的新型井盖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2019-02-15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ZL201822145352.2</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一种集中器快速测试工装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2018-12-20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智能仪表</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34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ZL201821629547.8</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一种水表字轮读数检测装置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2018-10-09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智能仪表</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ZL201822164900.6</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NFC</w:t>
            </w:r>
            <w:r>
              <w:rPr>
                <w:rFonts w:ascii="宋体" w:hAnsi="宋体" w:cs="宋体" w:eastAsia="宋体" w:hint="default"/>
                <w:sz w:val="18"/>
                <w:szCs w:val="18"/>
              </w:rPr>
              <w:t>通信的预付费智能水表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2018-12-24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智能仪表</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36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ZL201822164976.9</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一种光电直读水表字轮编码确定装置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2018-12-24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智能仪表</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ZL201822165104.4</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一种多功能智能水表集中采集器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2018-12-24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智能仪表</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38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ZL201811170519.9</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一种水表字轮读数检测装置及测定方法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2018-10-09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20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智能仪表</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39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ZL2018217849048</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一种基于无线充电的燃气报警器智能控制系统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2018-10-31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威果科技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40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ZL2018217819086</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基于无线供电的新风净化机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2018-10-31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威果科技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41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ZL2018218084378</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一种燃气阀智能切断控制系统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2018-11-05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威果科技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42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ZL201510974552.7</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一种柔性液体流量监测装置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2015-12-24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20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43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ZL201822145090.X</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一种柔性压力传感器的校准装置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2018-12-20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44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ZL201822145873.8</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一种平整度智能检测装置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2018-12-20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45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ZL201822185703.2</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一种液位高度智能监测装置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2018-12-20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46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sz w:val="18"/>
              </w:rPr>
              <w:t>ZL201822144815.3</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一种用于电动出行工具的新型压感踏板控制装置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2018-12-20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47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ZL201610246366.6</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一种防水剂</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2016-04-21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20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沈阳汉威</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48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ZL201821204755.3</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一种多路一体电子压力控制器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2018-07-27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沈阳汉威</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49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ZL201821516300.5</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基于可编程控制器的水质在线监测设备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2018-09-17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沈阳汉威</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50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ZL201821889511.3</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MEMS</w:t>
            </w:r>
            <w:r>
              <w:rPr>
                <w:rFonts w:ascii="宋体" w:hAnsi="宋体" w:cs="宋体" w:eastAsia="宋体" w:hint="default"/>
                <w:sz w:val="18"/>
                <w:szCs w:val="18"/>
              </w:rPr>
              <w:t>气体传感器及集成</w:t>
            </w:r>
            <w:r>
              <w:rPr>
                <w:rFonts w:ascii="Times New Roman" w:hAnsi="Times New Roman" w:cs="Times New Roman" w:eastAsia="Times New Roman" w:hint="default"/>
                <w:sz w:val="18"/>
                <w:szCs w:val="18"/>
              </w:rPr>
              <w:t>ASIC</w:t>
            </w:r>
            <w:r>
              <w:rPr>
                <w:rFonts w:ascii="宋体" w:hAnsi="宋体" w:cs="宋体" w:eastAsia="宋体" w:hint="default"/>
                <w:sz w:val="18"/>
                <w:szCs w:val="18"/>
              </w:rPr>
              <w:t>的封装结构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2018-11-16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炜盛科技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51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ZL201920562492.1</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智能节能显示器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2019-04-24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炜盛科技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52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ZL201930190977.8</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气体传感器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2019-04-24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炜盛科技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53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ZL201821890025.3</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全固态</w:t>
            </w:r>
            <w:r>
              <w:rPr>
                <w:rFonts w:ascii="Times New Roman" w:hAnsi="Times New Roman" w:cs="Times New Roman" w:eastAsia="Times New Roman" w:hint="default"/>
                <w:sz w:val="18"/>
                <w:szCs w:val="18"/>
              </w:rPr>
              <w:t>pH</w:t>
            </w:r>
            <w:r>
              <w:rPr>
                <w:rFonts w:ascii="宋体" w:hAnsi="宋体" w:cs="宋体" w:eastAsia="宋体" w:hint="default"/>
                <w:sz w:val="18"/>
                <w:szCs w:val="18"/>
              </w:rPr>
              <w:t>传感器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2018-11-16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炜盛科技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54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ZL201910331549.1</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一种无引线单个陶瓷片式气体传感器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2019-04-24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20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炜盛科技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55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ZL201930190978.2</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风速传感器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2019-04-24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炜盛科技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56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ZL201830564145.3</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全固态</w:t>
            </w:r>
            <w:r>
              <w:rPr>
                <w:rFonts w:ascii="Times New Roman" w:hAnsi="Times New Roman" w:cs="Times New Roman" w:eastAsia="Times New Roman" w:hint="default"/>
                <w:sz w:val="18"/>
                <w:szCs w:val="18"/>
              </w:rPr>
              <w:t>pH</w:t>
            </w:r>
            <w:r>
              <w:rPr>
                <w:rFonts w:ascii="宋体" w:hAnsi="宋体" w:cs="宋体" w:eastAsia="宋体" w:hint="default"/>
                <w:sz w:val="18"/>
                <w:szCs w:val="18"/>
              </w:rPr>
              <w:t>传感器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2018-10-10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炜盛科技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57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ZL201811365388.X</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一种传感器标定方法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2018-11-16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20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炜盛科技</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58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sz w:val="18"/>
              </w:rPr>
              <w:t>ZL201811365735.9</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氧化铱复合电极及其制备方法和应用的</w:t>
            </w:r>
            <w:r>
              <w:rPr>
                <w:rFonts w:ascii="Times New Roman" w:hAnsi="Times New Roman" w:cs="Times New Roman" w:eastAsia="Times New Roman" w:hint="default"/>
                <w:sz w:val="18"/>
                <w:szCs w:val="18"/>
              </w:rPr>
              <w:t>pH</w:t>
            </w:r>
            <w:r>
              <w:rPr>
                <w:rFonts w:ascii="宋体" w:hAnsi="宋体" w:cs="宋体" w:eastAsia="宋体" w:hint="default"/>
                <w:sz w:val="18"/>
                <w:szCs w:val="18"/>
              </w:rPr>
              <w:t>传感器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4" w:right="0"/>
              <w:jc w:val="left"/>
              <w:rPr>
                <w:rFonts w:ascii="Times New Roman" w:hAnsi="Times New Roman" w:cs="Times New Roman" w:eastAsia="Times New Roman" w:hint="default"/>
                <w:sz w:val="18"/>
                <w:szCs w:val="18"/>
              </w:rPr>
            </w:pPr>
            <w:r>
              <w:rPr>
                <w:rFonts w:ascii="Times New Roman"/>
                <w:sz w:val="18"/>
              </w:rPr>
              <w:t>2018-11-16</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20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炜盛科技</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59</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ZL201821878600.8</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一种振动温度复合传感器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2018-11-15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易度传感</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60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ZL201821878735.4</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一种振动速度传感器电路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2018-11-15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易度传感</w:t>
            </w:r>
          </w:p>
        </w:tc>
      </w:tr>
      <w:tr>
        <w:trPr>
          <w:trHeight w:val="343"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z w:val="18"/>
              </w:rPr>
              <w:t>61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ZL201822223901.3</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一种加速度传感器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2018-12-28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易度传感</w:t>
            </w:r>
          </w:p>
        </w:tc>
      </w:tr>
      <w:tr>
        <w:trPr>
          <w:trHeight w:val="341"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62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ZL201822223885.8</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一种压电速度传感器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2018-12-28</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易度传感</w:t>
            </w:r>
          </w:p>
        </w:tc>
      </w:tr>
      <w:tr>
        <w:trPr>
          <w:trHeight w:val="344" w:hRule="exact"/>
        </w:trPr>
        <w:tc>
          <w:tcPr>
            <w:tcW w:w="4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63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left"/>
              <w:rPr>
                <w:rFonts w:ascii="Times New Roman" w:hAnsi="Times New Roman" w:cs="Times New Roman" w:eastAsia="Times New Roman" w:hint="default"/>
                <w:sz w:val="18"/>
                <w:szCs w:val="18"/>
              </w:rPr>
            </w:pPr>
            <w:r>
              <w:rPr>
                <w:rFonts w:ascii="Times New Roman"/>
                <w:sz w:val="18"/>
              </w:rPr>
              <w:t>ZL201920206167.1</w:t>
            </w:r>
          </w:p>
        </w:tc>
        <w:tc>
          <w:tcPr>
            <w:tcW w:w="3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有限空间内作业人员安全保护预警装置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left"/>
              <w:rPr>
                <w:rFonts w:ascii="Times New Roman" w:hAnsi="Times New Roman" w:cs="Times New Roman" w:eastAsia="Times New Roman" w:hint="default"/>
                <w:sz w:val="18"/>
                <w:szCs w:val="18"/>
              </w:rPr>
            </w:pPr>
            <w:r>
              <w:rPr>
                <w:rFonts w:ascii="Times New Roman"/>
                <w:sz w:val="18"/>
              </w:rPr>
              <w:t>2019-11-12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汉威智慧安全</w:t>
            </w:r>
          </w:p>
        </w:tc>
      </w:tr>
      <w:tr>
        <w:trPr>
          <w:trHeight w:val="353" w:hRule="exact"/>
        </w:trPr>
        <w:tc>
          <w:tcPr>
            <w:tcW w:w="41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z w:val="18"/>
              </w:rPr>
              <w:t>64</w:t>
            </w:r>
          </w:p>
        </w:tc>
        <w:tc>
          <w:tcPr>
            <w:tcW w:w="14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ZL201930266936.2</w:t>
            </w:r>
          </w:p>
        </w:tc>
        <w:tc>
          <w:tcPr>
            <w:tcW w:w="39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有限空间作业人员安全检测仪</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2019-12-10</w:t>
            </w:r>
          </w:p>
        </w:tc>
        <w:tc>
          <w:tcPr>
            <w:tcW w:w="8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331" w:right="0"/>
              <w:jc w:val="left"/>
              <w:rPr>
                <w:rFonts w:ascii="Times New Roman" w:hAnsi="Times New Roman" w:cs="Times New Roman" w:eastAsia="Times New Roman" w:hint="default"/>
                <w:sz w:val="18"/>
                <w:szCs w:val="18"/>
              </w:rPr>
            </w:pPr>
            <w:r>
              <w:rPr>
                <w:rFonts w:ascii="Times New Roman"/>
                <w:sz w:val="18"/>
              </w:rPr>
              <w:t>10</w:t>
            </w:r>
          </w:p>
        </w:tc>
        <w:tc>
          <w:tcPr>
            <w:tcW w:w="11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汉威智慧安全</w:t>
            </w:r>
          </w:p>
        </w:tc>
      </w:tr>
    </w:tbl>
    <w:p>
      <w:pPr>
        <w:pStyle w:val="BodyText"/>
        <w:spacing w:line="278" w:lineRule="exact" w:before="0"/>
        <w:ind w:left="573" w:right="0"/>
        <w:jc w:val="left"/>
      </w:pPr>
      <w:r>
        <w:rPr/>
        <w:t>（</w:t>
      </w:r>
      <w:r>
        <w:rPr>
          <w:rFonts w:ascii="Times New Roman" w:hAnsi="Times New Roman" w:cs="Times New Roman" w:eastAsia="Times New Roman" w:hint="default"/>
        </w:rPr>
        <w:t>2</w:t>
      </w:r>
      <w:r>
        <w:rPr/>
        <w:t>）报告期内，公司及子公司新增软件著作权情况：</w:t>
      </w:r>
    </w:p>
    <w:p>
      <w:pPr>
        <w:spacing w:line="240" w:lineRule="auto" w:before="8"/>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64"/>
        <w:gridCol w:w="3507"/>
        <w:gridCol w:w="1433"/>
        <w:gridCol w:w="1135"/>
        <w:gridCol w:w="996"/>
        <w:gridCol w:w="992"/>
        <w:gridCol w:w="1142"/>
      </w:tblGrid>
      <w:tr>
        <w:trPr>
          <w:trHeight w:val="353" w:hRule="exact"/>
        </w:trPr>
        <w:tc>
          <w:tcPr>
            <w:tcW w:w="464"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507"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著作权名称</w:t>
            </w:r>
          </w:p>
        </w:tc>
        <w:tc>
          <w:tcPr>
            <w:tcW w:w="1433"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著作权号</w:t>
            </w:r>
          </w:p>
        </w:tc>
        <w:tc>
          <w:tcPr>
            <w:tcW w:w="1135"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申请日</w:t>
            </w:r>
          </w:p>
        </w:tc>
        <w:tc>
          <w:tcPr>
            <w:tcW w:w="99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保护期限</w:t>
            </w:r>
          </w:p>
        </w:tc>
        <w:tc>
          <w:tcPr>
            <w:tcW w:w="992"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取得方式</w:t>
            </w:r>
          </w:p>
        </w:tc>
        <w:tc>
          <w:tcPr>
            <w:tcW w:w="1142"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17"/>
              <w:ind w:left="295" w:right="0"/>
              <w:jc w:val="left"/>
              <w:rPr>
                <w:rFonts w:ascii="宋体" w:hAnsi="宋体" w:cs="宋体" w:eastAsia="宋体" w:hint="default"/>
                <w:sz w:val="18"/>
                <w:szCs w:val="18"/>
              </w:rPr>
            </w:pPr>
            <w:r>
              <w:rPr>
                <w:rFonts w:ascii="宋体" w:hAnsi="宋体" w:cs="宋体" w:eastAsia="宋体" w:hint="default"/>
                <w:sz w:val="18"/>
                <w:szCs w:val="18"/>
              </w:rPr>
              <w:t>所有人</w:t>
            </w:r>
          </w:p>
        </w:tc>
      </w:tr>
      <w:tr>
        <w:trPr>
          <w:trHeight w:val="341" w:hRule="exact"/>
        </w:trPr>
        <w:tc>
          <w:tcPr>
            <w:tcW w:w="464" w:type="dxa"/>
            <w:tcBorders>
              <w:top w:val="single" w:sz="8" w:space="0" w:color="000000"/>
              <w:left w:val="single" w:sz="12" w:space="0" w:color="000000"/>
              <w:bottom w:val="single" w:sz="4" w:space="0" w:color="000000"/>
              <w:right w:val="single" w:sz="4"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1</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汉威在线分析检测设备嵌入式软件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2019SR0546101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2017-12-10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汉威便携式毒品检测软件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2019SR0546114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2018-05-30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汉威感烟火灾探测</w:t>
            </w:r>
            <w:r>
              <w:rPr>
                <w:rFonts w:ascii="Times New Roman" w:hAnsi="Times New Roman" w:cs="Times New Roman" w:eastAsia="Times New Roman" w:hint="default"/>
                <w:sz w:val="18"/>
                <w:szCs w:val="18"/>
              </w:rPr>
              <w:t>/</w:t>
            </w:r>
            <w:r>
              <w:rPr>
                <w:rFonts w:ascii="宋体" w:hAnsi="宋体" w:cs="宋体" w:eastAsia="宋体" w:hint="default"/>
                <w:sz w:val="18"/>
                <w:szCs w:val="18"/>
              </w:rPr>
              <w:t>报警器软件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2019SR0550844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2018-06-20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53" w:hRule="exact"/>
        </w:trPr>
        <w:tc>
          <w:tcPr>
            <w:tcW w:w="46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35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汉威气体模组软件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2019SR0550831</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2016-06-01</w:t>
            </w:r>
          </w:p>
        </w:tc>
        <w:tc>
          <w:tcPr>
            <w:tcW w:w="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汉威科技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464"/>
        <w:gridCol w:w="3507"/>
        <w:gridCol w:w="1433"/>
        <w:gridCol w:w="1135"/>
        <w:gridCol w:w="996"/>
        <w:gridCol w:w="992"/>
        <w:gridCol w:w="1142"/>
      </w:tblGrid>
      <w:tr>
        <w:trPr>
          <w:trHeight w:val="353" w:hRule="exact"/>
        </w:trPr>
        <w:tc>
          <w:tcPr>
            <w:tcW w:w="46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35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汉威激光气体检测软件</w:t>
            </w:r>
            <w:r>
              <w:rPr>
                <w:rFonts w:ascii="Times New Roman" w:hAnsi="Times New Roman" w:cs="Times New Roman" w:eastAsia="Times New Roman" w:hint="default"/>
                <w:sz w:val="18"/>
                <w:szCs w:val="18"/>
              </w:rPr>
              <w:t>V1.0</w:t>
            </w:r>
          </w:p>
        </w:tc>
        <w:tc>
          <w:tcPr>
            <w:tcW w:w="14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2019SR0545923</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2010-05-30</w:t>
            </w:r>
          </w:p>
        </w:tc>
        <w:tc>
          <w:tcPr>
            <w:tcW w:w="9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汉威分析仪器综合管理软件单机版</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2019SR0546249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2018-09-12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汉威祥云工业物联网平台</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2019SR0830689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2019-04-12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汉威科技</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污水厂自动控制系统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2019SR0779120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2018-09-12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9</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水源地监控管理系统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2019SR0779116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2018-10-01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易兴智慧水务监管平台</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2019SR0792920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2018-08-01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11</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LNG/LPG</w:t>
            </w:r>
            <w:r>
              <w:rPr>
                <w:rFonts w:ascii="宋体" w:hAnsi="宋体" w:cs="宋体" w:eastAsia="宋体" w:hint="default"/>
                <w:sz w:val="18"/>
                <w:szCs w:val="18"/>
              </w:rPr>
              <w:t>消防联动控制软件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2019SR0778782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2018-12-06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风机远程监控系统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2019SR0779212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2018-03-01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13</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二次加压供水泵站远程监控系统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2019SR0779094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2018-05-01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14</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SCADA</w:t>
            </w:r>
            <w:r>
              <w:rPr>
                <w:rFonts w:ascii="宋体" w:hAnsi="宋体" w:cs="宋体" w:eastAsia="宋体" w:hint="default"/>
                <w:sz w:val="18"/>
                <w:szCs w:val="18"/>
              </w:rPr>
              <w:t>系统云平台</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2019SR0779086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2018-04-01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鞍山易兴</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15</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燃气热力呼叫投诉平台</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2019SR0134805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2018-09-30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16</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燃气工商业计量监测</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2019SR0397859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2019-01-22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17</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燃气管网智能巡检</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2019SR0401840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2019-01-20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18</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城市燃气在线监测</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2019SR0397338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2018-03-27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19</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燃气安全云监管助手</w:t>
            </w:r>
            <w:r>
              <w:rPr>
                <w:rFonts w:ascii="Times New Roman" w:hAnsi="Times New Roman" w:cs="Times New Roman" w:eastAsia="Times New Roman" w:hint="default"/>
                <w:sz w:val="18"/>
                <w:szCs w:val="18"/>
              </w:rPr>
              <w:t>APP</w:t>
            </w: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2019SR0397926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2019-03-05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燃气安全信息化监管平台</w:t>
            </w:r>
            <w:r>
              <w:rPr>
                <w:rFonts w:ascii="Times New Roman" w:hAnsi="Times New Roman" w:cs="Times New Roman" w:eastAsia="Times New Roman" w:hint="default"/>
                <w:sz w:val="18"/>
                <w:szCs w:val="18"/>
              </w:rPr>
              <w:t>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2019SR0623485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2018-03-17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21</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燃气管网保压监测平台</w:t>
            </w:r>
            <w:r>
              <w:rPr>
                <w:rFonts w:ascii="Times New Roman" w:hAnsi="Times New Roman" w:cs="Times New Roman" w:eastAsia="Times New Roman" w:hint="default"/>
                <w:sz w:val="18"/>
                <w:szCs w:val="18"/>
              </w:rPr>
              <w:t>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2019SR0621277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2019-04-28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22</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燃气公共安全云监管平台</w:t>
            </w:r>
            <w:r>
              <w:rPr>
                <w:rFonts w:ascii="Times New Roman" w:hAnsi="Times New Roman" w:cs="Times New Roman" w:eastAsia="Times New Roman" w:hint="default"/>
                <w:sz w:val="18"/>
                <w:szCs w:val="18"/>
              </w:rPr>
              <w:t>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2019SR0627352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2018-06-18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23</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燃气管网综合管理平台</w:t>
            </w:r>
            <w:r>
              <w:rPr>
                <w:rFonts w:ascii="Times New Roman" w:hAnsi="Times New Roman" w:cs="Times New Roman" w:eastAsia="Times New Roman" w:hint="default"/>
                <w:sz w:val="18"/>
                <w:szCs w:val="18"/>
              </w:rPr>
              <w:t>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2019SR0627660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2019-01-18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24</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树木信息管理系统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2019SR1161434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2019-09-25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25</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售后维修管理系统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2019SR1162295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2019-09-25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畅威物联</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26</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德析检测无纸化办公系统</w:t>
            </w:r>
            <w:r>
              <w:rPr>
                <w:rFonts w:ascii="Times New Roman" w:hAnsi="Times New Roman" w:cs="Times New Roman" w:eastAsia="Times New Roman" w:hint="default"/>
                <w:sz w:val="18"/>
                <w:szCs w:val="18"/>
              </w:rPr>
              <w:t>-</w:t>
            </w:r>
            <w:r>
              <w:rPr>
                <w:rFonts w:ascii="宋体" w:hAnsi="宋体" w:cs="宋体" w:eastAsia="宋体" w:hint="default"/>
                <w:sz w:val="18"/>
                <w:szCs w:val="18"/>
              </w:rPr>
              <w:t>财务管理系统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2019SR1151818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2019-06-30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德析检测</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27</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德析检测无纸化办公系统</w:t>
            </w:r>
            <w:r>
              <w:rPr>
                <w:rFonts w:ascii="Times New Roman" w:hAnsi="Times New Roman" w:cs="Times New Roman" w:eastAsia="Times New Roman" w:hint="default"/>
                <w:sz w:val="18"/>
                <w:szCs w:val="18"/>
              </w:rPr>
              <w:t>-</w:t>
            </w:r>
            <w:r>
              <w:rPr>
                <w:rFonts w:ascii="宋体" w:hAnsi="宋体" w:cs="宋体" w:eastAsia="宋体" w:hint="default"/>
                <w:sz w:val="18"/>
                <w:szCs w:val="18"/>
              </w:rPr>
              <w:t>仪器管理系统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2019SR1151824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2019-06-30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德析检测</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28</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德析检测无纸化办公系统</w:t>
            </w:r>
            <w:r>
              <w:rPr>
                <w:rFonts w:ascii="Times New Roman" w:hAnsi="Times New Roman" w:cs="Times New Roman" w:eastAsia="Times New Roman" w:hint="default"/>
                <w:sz w:val="18"/>
                <w:szCs w:val="18"/>
              </w:rPr>
              <w:t>-</w:t>
            </w:r>
            <w:r>
              <w:rPr>
                <w:rFonts w:ascii="宋体" w:hAnsi="宋体" w:cs="宋体" w:eastAsia="宋体" w:hint="default"/>
                <w:sz w:val="18"/>
                <w:szCs w:val="18"/>
              </w:rPr>
              <w:t>耗材管理系统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2019SR1387344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2019-06-30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德析检测</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29</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热力移动互联平台系统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2019SR1367164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2018-08-11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高新热力</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30</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热力换热站运行分析系统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2019SR1367174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2018-08-25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高新热力</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31</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热力热源预测分析系统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2019SR1371296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2018-09-14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高新热力</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32</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热力协同办公</w:t>
            </w:r>
            <w:r>
              <w:rPr>
                <w:rFonts w:ascii="Times New Roman" w:hAnsi="Times New Roman" w:cs="Times New Roman" w:eastAsia="Times New Roman" w:hint="default"/>
                <w:sz w:val="18"/>
                <w:szCs w:val="18"/>
              </w:rPr>
              <w:t>oa</w:t>
            </w:r>
            <w:r>
              <w:rPr>
                <w:rFonts w:ascii="宋体" w:hAnsi="宋体" w:cs="宋体" w:eastAsia="宋体" w:hint="default"/>
                <w:sz w:val="18"/>
                <w:szCs w:val="18"/>
              </w:rPr>
              <w:t>系统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2019SR1360936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2018-10-18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高新热力</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33</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热力热网能耗分析系统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2019SR1361908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2018-09-21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高新热力</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34</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热力网上营业系统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2019SR1362156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2018-09-14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高新热力</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35</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龙泉智慧厂站管控一体化平台</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2019SR0014817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2018-10-15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广东龙泉</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36</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龙泉供水管网漏损监测及分析系统软件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2019SR0016755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2018-10-15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广东龙泉</w:t>
            </w:r>
          </w:p>
        </w:tc>
      </w:tr>
      <w:tr>
        <w:trPr>
          <w:trHeight w:val="344"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37</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龙泉二供设施保洁监管系统软件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7" w:right="0"/>
              <w:jc w:val="left"/>
              <w:rPr>
                <w:rFonts w:ascii="Times New Roman" w:hAnsi="Times New Roman" w:cs="Times New Roman" w:eastAsia="Times New Roman" w:hint="default"/>
                <w:sz w:val="18"/>
                <w:szCs w:val="18"/>
              </w:rPr>
            </w:pPr>
            <w:r>
              <w:rPr>
                <w:rFonts w:ascii="Times New Roman"/>
                <w:sz w:val="18"/>
              </w:rPr>
              <w:t>2019SR0017235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1" w:right="0"/>
              <w:jc w:val="left"/>
              <w:rPr>
                <w:rFonts w:ascii="Times New Roman" w:hAnsi="Times New Roman" w:cs="Times New Roman" w:eastAsia="Times New Roman" w:hint="default"/>
                <w:sz w:val="18"/>
                <w:szCs w:val="18"/>
              </w:rPr>
            </w:pPr>
            <w:r>
              <w:rPr>
                <w:rFonts w:ascii="Times New Roman"/>
                <w:sz w:val="18"/>
              </w:rPr>
              <w:t>2018-10-15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广东龙泉</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38</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龙泉城市防洪排涝指挥调度系统软件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2019SR0025173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2018-08-01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广东龙泉</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39</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龙泉河长制考评系统软件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2019SR0025887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2018-08-01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广东龙泉</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40</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龙泉城市排水管网隐患管理系统软件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2019SR0089707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2018-10-01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广东龙泉</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41</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龙泉移动互联网抄表系统软件</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2019SR0025887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2018-10-01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广东龙泉</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42</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威果消防物联管理平台</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2019SR0288205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2018-10-01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威果科技</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43</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威果消防物联软件（</w:t>
            </w:r>
            <w:r>
              <w:rPr>
                <w:rFonts w:ascii="Times New Roman" w:hAnsi="Times New Roman" w:cs="Times New Roman" w:eastAsia="Times New Roman" w:hint="default"/>
                <w:sz w:val="18"/>
                <w:szCs w:val="18"/>
              </w:rPr>
              <w:t>IOS</w:t>
            </w:r>
            <w:r>
              <w:rPr>
                <w:rFonts w:ascii="宋体" w:hAnsi="宋体" w:cs="宋体" w:eastAsia="宋体" w:hint="default"/>
                <w:sz w:val="18"/>
                <w:szCs w:val="18"/>
              </w:rPr>
              <w:t>版）</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2019SR0288141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2018-11-07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威果科技</w:t>
            </w:r>
          </w:p>
        </w:tc>
      </w:tr>
      <w:tr>
        <w:trPr>
          <w:trHeight w:val="353" w:hRule="exact"/>
        </w:trPr>
        <w:tc>
          <w:tcPr>
            <w:tcW w:w="46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44</w:t>
            </w:r>
          </w:p>
        </w:tc>
        <w:tc>
          <w:tcPr>
            <w:tcW w:w="35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威果消防物联软件（</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w:t>
            </w:r>
          </w:p>
        </w:tc>
        <w:tc>
          <w:tcPr>
            <w:tcW w:w="14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2019SR0592606</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2018-05-23</w:t>
            </w:r>
          </w:p>
        </w:tc>
        <w:tc>
          <w:tcPr>
            <w:tcW w:w="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威果科技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464"/>
        <w:gridCol w:w="3507"/>
        <w:gridCol w:w="1433"/>
        <w:gridCol w:w="1135"/>
        <w:gridCol w:w="996"/>
        <w:gridCol w:w="992"/>
        <w:gridCol w:w="1142"/>
      </w:tblGrid>
      <w:tr>
        <w:trPr>
          <w:trHeight w:val="353" w:hRule="exact"/>
        </w:trPr>
        <w:tc>
          <w:tcPr>
            <w:tcW w:w="46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45</w:t>
            </w:r>
          </w:p>
        </w:tc>
        <w:tc>
          <w:tcPr>
            <w:tcW w:w="35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全碱度在线监测</w:t>
            </w:r>
            <w:r>
              <w:rPr>
                <w:rFonts w:ascii="Times New Roman" w:hAnsi="Times New Roman" w:cs="Times New Roman" w:eastAsia="Times New Roman" w:hint="default"/>
                <w:sz w:val="18"/>
                <w:szCs w:val="18"/>
              </w:rPr>
              <w:t>PLC</w:t>
            </w:r>
            <w:r>
              <w:rPr>
                <w:rFonts w:ascii="宋体" w:hAnsi="宋体" w:cs="宋体" w:eastAsia="宋体" w:hint="default"/>
                <w:sz w:val="18"/>
                <w:szCs w:val="18"/>
              </w:rPr>
              <w:t>控制软件</w:t>
            </w:r>
          </w:p>
        </w:tc>
        <w:tc>
          <w:tcPr>
            <w:tcW w:w="14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2019SR1107412</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2019-06-15</w:t>
            </w:r>
          </w:p>
        </w:tc>
        <w:tc>
          <w:tcPr>
            <w:tcW w:w="9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沈阳汉威</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46</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高猛酸钾</w:t>
            </w:r>
            <w:r>
              <w:rPr>
                <w:rFonts w:ascii="Times New Roman" w:hAnsi="Times New Roman" w:cs="Times New Roman" w:eastAsia="Times New Roman" w:hint="default"/>
                <w:sz w:val="18"/>
                <w:szCs w:val="18"/>
              </w:rPr>
              <w:t>COD</w:t>
            </w:r>
            <w:r>
              <w:rPr>
                <w:rFonts w:ascii="宋体" w:hAnsi="宋体" w:cs="宋体" w:eastAsia="宋体" w:hint="default"/>
                <w:sz w:val="18"/>
                <w:szCs w:val="18"/>
              </w:rPr>
              <w:t>在线监测</w:t>
            </w:r>
            <w:r>
              <w:rPr>
                <w:rFonts w:ascii="Times New Roman" w:hAnsi="Times New Roman" w:cs="Times New Roman" w:eastAsia="Times New Roman" w:hint="default"/>
                <w:sz w:val="18"/>
                <w:szCs w:val="18"/>
              </w:rPr>
              <w:t>PLC</w:t>
            </w:r>
            <w:r>
              <w:rPr>
                <w:rFonts w:ascii="宋体" w:hAnsi="宋体" w:cs="宋体" w:eastAsia="宋体" w:hint="default"/>
                <w:sz w:val="18"/>
                <w:szCs w:val="18"/>
              </w:rPr>
              <w:t>控制软件</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2019SR1119728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2019-07-01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沈阳汉威</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47</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硬度在线监测高量程版</w:t>
            </w:r>
            <w:r>
              <w:rPr>
                <w:rFonts w:ascii="Times New Roman" w:hAnsi="Times New Roman" w:cs="Times New Roman" w:eastAsia="Times New Roman" w:hint="default"/>
                <w:sz w:val="18"/>
                <w:szCs w:val="18"/>
              </w:rPr>
              <w:t>PLC</w:t>
            </w:r>
            <w:r>
              <w:rPr>
                <w:rFonts w:ascii="宋体" w:hAnsi="宋体" w:cs="宋体" w:eastAsia="宋体" w:hint="default"/>
                <w:sz w:val="18"/>
                <w:szCs w:val="18"/>
              </w:rPr>
              <w:t>控制软件</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2019SR1119131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2019-06-15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沈阳汉威</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48</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硬度在线监测低量程版</w:t>
            </w:r>
            <w:r>
              <w:rPr>
                <w:rFonts w:ascii="Times New Roman" w:hAnsi="Times New Roman" w:cs="Times New Roman" w:eastAsia="Times New Roman" w:hint="default"/>
                <w:sz w:val="18"/>
                <w:szCs w:val="18"/>
              </w:rPr>
              <w:t>PLC</w:t>
            </w:r>
            <w:r>
              <w:rPr>
                <w:rFonts w:ascii="宋体" w:hAnsi="宋体" w:cs="宋体" w:eastAsia="宋体" w:hint="default"/>
                <w:sz w:val="18"/>
                <w:szCs w:val="18"/>
              </w:rPr>
              <w:t>控制软件</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2019SR1119309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2019-06-15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沈阳汉威</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49</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甲基橙碱度在线监测</w:t>
            </w:r>
            <w:r>
              <w:rPr>
                <w:rFonts w:ascii="Times New Roman" w:hAnsi="Times New Roman" w:cs="Times New Roman" w:eastAsia="Times New Roman" w:hint="default"/>
                <w:sz w:val="18"/>
                <w:szCs w:val="18"/>
              </w:rPr>
              <w:t>PLC</w:t>
            </w:r>
            <w:r>
              <w:rPr>
                <w:rFonts w:ascii="宋体" w:hAnsi="宋体" w:cs="宋体" w:eastAsia="宋体" w:hint="default"/>
                <w:sz w:val="18"/>
                <w:szCs w:val="18"/>
              </w:rPr>
              <w:t>控制软件</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2019SR1120001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2019-06-15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沈阳汉威</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移动巡检系统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2019SR0305256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2018-11-20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智威宇讯</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51</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智能生产模型系统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2019SR0305264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2018-11-20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智威宇讯</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52</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成本在线分析系统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2019SR0305277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2018-12-20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智威宇讯</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53</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API</w:t>
            </w:r>
            <w:r>
              <w:rPr>
                <w:rFonts w:ascii="宋体" w:hAnsi="宋体" w:cs="宋体" w:eastAsia="宋体" w:hint="default"/>
                <w:sz w:val="18"/>
                <w:szCs w:val="18"/>
              </w:rPr>
              <w:t>网关系统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2019SR1402260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2017-10-20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智威宇讯</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54</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供水地理信息服务平台</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2019SR1401869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2019-08-08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智威宇讯</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55</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企业信息化集成平台</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2019SR1401567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2019-07-10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智威宇讯</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56</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设备维护保养系统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2019SR1401644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2019-08-06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智威宇讯</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57</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数据通讯平台</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2019SR1401916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2019-06-03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智威宇讯</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58</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智能报表系统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2019SR1401909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2019-08-01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智威宇讯</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59</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智能视频系统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2019SR1401650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2019-06-08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智威宇讯</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60</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污染源移动查询系统</w:t>
            </w:r>
            <w:r>
              <w:rPr>
                <w:rFonts w:ascii="Times New Roman" w:hAnsi="Times New Roman" w:cs="Times New Roman" w:eastAsia="Times New Roman" w:hint="default"/>
                <w:sz w:val="18"/>
                <w:szCs w:val="18"/>
              </w:rPr>
              <w:t>V1.0</w:t>
            </w:r>
            <w:r>
              <w:rPr>
                <w:rFonts w:ascii="宋体" w:hAnsi="宋体" w:cs="宋体" w:eastAsia="宋体" w:hint="default"/>
                <w:sz w:val="18"/>
                <w:szCs w:val="18"/>
              </w:rPr>
              <w:t>（正本）</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2019SR0468865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2019-03-13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雪城软件</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61</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雪城水环境网格化监测与决策系统</w:t>
            </w:r>
            <w:r>
              <w:rPr>
                <w:rFonts w:ascii="Times New Roman" w:hAnsi="Times New Roman" w:cs="Times New Roman" w:eastAsia="Times New Roman" w:hint="default"/>
                <w:sz w:val="18"/>
                <w:szCs w:val="18"/>
              </w:rPr>
              <w:t>V1.1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2019SR0520378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2018-04-28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雪城软件</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62</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雪城流域水污染自动监控预警系统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2019SR0520372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2016-06-28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雪城软件</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63</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雪城水环境质量自动监控系统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2019SR0738046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2017-06-13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雪城软件</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64</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雪城水环境网格化监测与监测系统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2019SR0181999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2018-04-28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雪城软件</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65</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雪城智慧移动支撑平台</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2019SR1076631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2019-06-28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雪城软件</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66</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雪城无组织排放控制监管平台</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2019SR1076758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2019-06-28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雪城软件</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67</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雪城干部培训信息管理系统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2019SR1079374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2019-05-06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雪城软件</w:t>
            </w:r>
          </w:p>
        </w:tc>
      </w:tr>
      <w:tr>
        <w:trPr>
          <w:trHeight w:val="341"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68</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雪城电子公文处理系统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2019SR1079364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2019-02-13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雪城软件</w:t>
            </w:r>
          </w:p>
        </w:tc>
      </w:tr>
      <w:tr>
        <w:trPr>
          <w:trHeight w:val="343" w:hRule="exact"/>
        </w:trPr>
        <w:tc>
          <w:tcPr>
            <w:tcW w:w="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69</w:t>
            </w:r>
          </w:p>
        </w:tc>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雪城电子公文交换系统</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7" w:right="0"/>
              <w:jc w:val="left"/>
              <w:rPr>
                <w:rFonts w:ascii="Times New Roman" w:hAnsi="Times New Roman" w:cs="Times New Roman" w:eastAsia="Times New Roman" w:hint="default"/>
                <w:sz w:val="18"/>
                <w:szCs w:val="18"/>
              </w:rPr>
            </w:pPr>
            <w:r>
              <w:rPr>
                <w:rFonts w:ascii="Times New Roman"/>
                <w:sz w:val="18"/>
              </w:rPr>
              <w:t>2019SR1079122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1" w:right="0"/>
              <w:jc w:val="left"/>
              <w:rPr>
                <w:rFonts w:ascii="Times New Roman" w:hAnsi="Times New Roman" w:cs="Times New Roman" w:eastAsia="Times New Roman" w:hint="default"/>
                <w:sz w:val="18"/>
                <w:szCs w:val="18"/>
              </w:rPr>
            </w:pPr>
            <w:r>
              <w:rPr>
                <w:rFonts w:ascii="Times New Roman"/>
                <w:sz w:val="18"/>
              </w:rPr>
              <w:t>2019-02-13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雪城软件</w:t>
            </w:r>
          </w:p>
        </w:tc>
      </w:tr>
      <w:tr>
        <w:trPr>
          <w:trHeight w:val="353" w:hRule="exact"/>
        </w:trPr>
        <w:tc>
          <w:tcPr>
            <w:tcW w:w="46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70</w:t>
            </w:r>
          </w:p>
        </w:tc>
        <w:tc>
          <w:tcPr>
            <w:tcW w:w="35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雪城电子政务移动办公平台</w:t>
            </w:r>
            <w:r>
              <w:rPr>
                <w:rFonts w:ascii="Times New Roman" w:hAnsi="Times New Roman" w:cs="Times New Roman" w:eastAsia="Times New Roman" w:hint="default"/>
                <w:sz w:val="18"/>
                <w:szCs w:val="18"/>
              </w:rPr>
              <w:t>V1.0</w:t>
            </w:r>
          </w:p>
        </w:tc>
        <w:tc>
          <w:tcPr>
            <w:tcW w:w="14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107" w:right="0"/>
              <w:jc w:val="left"/>
              <w:rPr>
                <w:rFonts w:ascii="Times New Roman" w:hAnsi="Times New Roman" w:cs="Times New Roman" w:eastAsia="Times New Roman" w:hint="default"/>
                <w:sz w:val="18"/>
                <w:szCs w:val="18"/>
              </w:rPr>
            </w:pPr>
            <w:r>
              <w:rPr>
                <w:rFonts w:ascii="Times New Roman"/>
                <w:sz w:val="18"/>
              </w:rPr>
              <w:t>2019SR1076623</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141" w:right="0"/>
              <w:jc w:val="left"/>
              <w:rPr>
                <w:rFonts w:ascii="Times New Roman" w:hAnsi="Times New Roman" w:cs="Times New Roman" w:eastAsia="Times New Roman" w:hint="default"/>
                <w:sz w:val="18"/>
                <w:szCs w:val="18"/>
              </w:rPr>
            </w:pPr>
            <w:r>
              <w:rPr>
                <w:rFonts w:ascii="Times New Roman"/>
                <w:sz w:val="18"/>
              </w:rPr>
              <w:t>2019-06-29</w:t>
            </w:r>
          </w:p>
        </w:tc>
        <w:tc>
          <w:tcPr>
            <w:tcW w:w="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14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雪城软件</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2964"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04" w:firstLine="420"/>
        <w:jc w:val="both"/>
      </w:pPr>
      <w:r>
        <w:rPr>
          <w:rFonts w:ascii="宋体" w:hAnsi="宋体" w:cs="宋体" w:eastAsia="宋体" w:hint="default"/>
          <w:spacing w:val="-2"/>
        </w:rPr>
        <w:t>2019</w:t>
      </w:r>
      <w:r>
        <w:rPr>
          <w:spacing w:val="-2"/>
        </w:rPr>
        <w:t>年是公司深入推进高质量发展的重要一年，也是公司战略落地和业务突破的关键一年。一年来，</w:t>
      </w:r>
      <w:r>
        <w:rPr>
          <w:w w:val="100"/>
        </w:rPr>
        <w:t> </w:t>
      </w:r>
      <w:r>
        <w:rPr>
          <w:spacing w:val="-2"/>
        </w:rPr>
        <w:t>面对复杂多变的国际和国内市场形势，公司全体同仁在董事会的领导下，持续坚守和践行汉威文化和价值</w:t>
      </w:r>
      <w:r>
        <w:rPr>
          <w:spacing w:val="-44"/>
        </w:rPr>
        <w:t> </w:t>
      </w:r>
      <w:r>
        <w:rPr>
          <w:spacing w:val="-44"/>
        </w:rPr>
      </w:r>
      <w:r>
        <w:rPr>
          <w:spacing w:val="-2"/>
        </w:rPr>
        <w:t>观，不断追求高质量发展，在生产经营、创新发展、业务突破等方面开展了大量工作，公司整体延续了稳</w:t>
      </w:r>
      <w:r>
        <w:rPr>
          <w:spacing w:val="-43"/>
        </w:rPr>
        <w:t> </w:t>
      </w:r>
      <w:r>
        <w:rPr>
          <w:spacing w:val="-43"/>
        </w:rPr>
      </w:r>
      <w:r>
        <w:rPr/>
        <w:t>步发展、总体良好的态势，发展质量稳步提升。</w:t>
      </w:r>
    </w:p>
    <w:p>
      <w:pPr>
        <w:pStyle w:val="BodyText"/>
        <w:spacing w:line="408" w:lineRule="auto"/>
        <w:ind w:right="1126" w:firstLine="420"/>
        <w:jc w:val="both"/>
      </w:pPr>
      <w:r>
        <w:rPr>
          <w:spacing w:val="-2"/>
        </w:rPr>
        <w:t>近几年来，公司为打造以传感器为核心的物联网产业生态圈，围绕发展战略进行了一系列产业并购整</w:t>
      </w:r>
      <w:r>
        <w:rPr>
          <w:w w:val="100"/>
        </w:rPr>
        <w:t> </w:t>
      </w:r>
      <w:r>
        <w:rPr>
          <w:spacing w:val="-2"/>
        </w:rPr>
        <w:t>合，完成了较为完整的物联网产业布局，实现了从单一传感器产品向物联网综合解决方案提供商的转型升</w:t>
      </w:r>
      <w:r>
        <w:rPr>
          <w:spacing w:val="-43"/>
        </w:rPr>
        <w:t> </w:t>
      </w:r>
      <w:r>
        <w:rPr>
          <w:spacing w:val="-43"/>
        </w:rPr>
      </w:r>
      <w:r>
        <w:rPr>
          <w:spacing w:val="-2"/>
        </w:rPr>
        <w:t>级，但一系列并购也形成了较大的商誉。报告期内，公司根据《企业会计准则》及中国证监会《会计监管</w:t>
      </w:r>
      <w:r>
        <w:rPr>
          <w:spacing w:val="-42"/>
        </w:rPr>
        <w:t> </w:t>
      </w:r>
      <w:r>
        <w:rPr>
          <w:spacing w:val="-42"/>
        </w:rPr>
      </w:r>
      <w:r>
        <w:rPr/>
        <w:t>风险提示第</w:t>
      </w:r>
      <w:r>
        <w:rPr>
          <w:rFonts w:ascii="宋体" w:hAnsi="宋体" w:cs="宋体" w:eastAsia="宋体" w:hint="default"/>
        </w:rPr>
        <w:t>8</w:t>
      </w:r>
      <w:r>
        <w:rPr/>
        <w:t>号</w:t>
      </w:r>
      <w:r>
        <w:rPr>
          <w:rFonts w:ascii="宋体" w:hAnsi="宋体" w:cs="宋体" w:eastAsia="宋体" w:hint="default"/>
        </w:rPr>
        <w:t>--</w:t>
      </w:r>
      <w:r>
        <w:rPr/>
        <w:t>商誉减值》相关要求，遵循谨慎性原则，对商誉进行了减值测试。根据减值测试结果，</w:t>
      </w:r>
      <w:r>
        <w:rPr>
          <w:spacing w:val="-25"/>
        </w:rPr>
        <w:t> </w:t>
      </w:r>
      <w:r>
        <w:rPr>
          <w:spacing w:val="-25"/>
        </w:rPr>
      </w:r>
      <w:r>
        <w:rPr/>
        <w:t>结合子公司实际经营情况，计提商誉减值准备共计</w:t>
      </w:r>
      <w:r>
        <w:rPr>
          <w:rFonts w:ascii="宋体" w:hAnsi="宋体" w:cs="宋体" w:eastAsia="宋体" w:hint="default"/>
        </w:rPr>
        <w:t>22,259.82</w:t>
      </w:r>
      <w:r>
        <w:rPr/>
        <w:t>万元，对公司归属于上市公司股东的净利润</w:t>
      </w:r>
      <w:r>
        <w:rPr>
          <w:spacing w:val="-24"/>
        </w:rPr>
        <w:t> </w:t>
      </w:r>
      <w:r>
        <w:rPr>
          <w:spacing w:val="-24"/>
        </w:rPr>
      </w:r>
      <w:r>
        <w:rPr/>
        <w:t>造成了较大影响。</w:t>
      </w:r>
    </w:p>
    <w:p>
      <w:pPr>
        <w:pStyle w:val="BodyText"/>
        <w:spacing w:line="240" w:lineRule="auto"/>
        <w:ind w:left="573" w:right="0"/>
        <w:jc w:val="left"/>
      </w:pPr>
      <w:r>
        <w:rPr/>
        <w:t>报告期内，公司实现营业收入</w:t>
      </w:r>
      <w:r>
        <w:rPr>
          <w:rFonts w:ascii="宋体" w:hAnsi="宋体" w:cs="宋体" w:eastAsia="宋体" w:hint="default"/>
        </w:rPr>
        <w:t>181,948.05</w:t>
      </w:r>
      <w:r>
        <w:rPr/>
        <w:t>万元，同比增长</w:t>
      </w:r>
      <w:r>
        <w:rPr>
          <w:rFonts w:ascii="宋体" w:hAnsi="宋体" w:cs="宋体" w:eastAsia="宋体" w:hint="default"/>
        </w:rPr>
        <w:t>20.31%</w:t>
      </w:r>
      <w:r>
        <w:rPr/>
        <w:t>；实现归属于上市公司股东的净利润</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-10,377.88</w:t>
      </w:r>
      <w:r>
        <w:rPr/>
        <w:t>万元。</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报告期内，公司重点工作回顾如下：</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（一）厚植优势，持续建设物联网产业生态圈</w:t>
      </w:r>
      <w:r>
        <w:rPr>
          <w:w w:val="100"/>
        </w:rPr>
        <w:t> </w:t>
      </w:r>
      <w:r>
        <w:rPr>
          <w:spacing w:val="-5"/>
        </w:rPr>
        <w:t>报告期内，公司秉承“成为以传感器为核心的物联网解决方案引领者”的企业愿景，以深挖行业内涵、</w:t>
      </w:r>
    </w:p>
    <w:p>
      <w:pPr>
        <w:pStyle w:val="BodyText"/>
        <w:spacing w:line="408" w:lineRule="auto"/>
        <w:ind w:right="0"/>
        <w:jc w:val="left"/>
      </w:pPr>
      <w:r>
        <w:rPr>
          <w:spacing w:val="-2"/>
        </w:rPr>
        <w:t>增强产业厚度、丰富产品品种为切入口，以技术突破和项目落地为着力点，充分发挥物联网生态圈的协同</w:t>
      </w:r>
      <w:r>
        <w:rPr>
          <w:spacing w:val="-44"/>
        </w:rPr>
        <w:t> </w:t>
      </w:r>
      <w:r>
        <w:rPr>
          <w:spacing w:val="-44"/>
        </w:rPr>
      </w:r>
      <w:r>
        <w:rPr/>
        <w:t>作用，实现可持续的、良性的内生增长，部分业务板块实现了突破，物联网产业布局趋向更加合理。</w:t>
      </w:r>
    </w:p>
    <w:p>
      <w:pPr>
        <w:pStyle w:val="BodyText"/>
        <w:spacing w:line="408" w:lineRule="auto"/>
        <w:ind w:left="573" w:right="0"/>
        <w:jc w:val="left"/>
      </w:pPr>
      <w:r>
        <w:rPr>
          <w:rFonts w:ascii="宋体" w:hAnsi="宋体" w:cs="宋体" w:eastAsia="宋体" w:hint="default"/>
        </w:rPr>
        <w:t>1</w:t>
      </w:r>
      <w:r>
        <w:rPr/>
        <w:t>、传感器业务方面</w:t>
      </w:r>
      <w:r>
        <w:rPr>
          <w:w w:val="100"/>
        </w:rPr>
        <w:t> </w:t>
      </w:r>
      <w:r>
        <w:rPr>
          <w:spacing w:val="-2"/>
        </w:rPr>
        <w:t>报告期内，气体传感器市场门槛有所提高，工业安全、民用安全以及室内空气质量检测等应用领域的</w:t>
      </w:r>
    </w:p>
    <w:p>
      <w:pPr>
        <w:pStyle w:val="BodyText"/>
        <w:spacing w:line="408" w:lineRule="auto"/>
        <w:ind w:right="0"/>
        <w:jc w:val="left"/>
      </w:pPr>
      <w:r>
        <w:rPr>
          <w:spacing w:val="-2"/>
        </w:rPr>
        <w:t>客户对产品性能的要求进一步提高，产品品质上的竞争变的更加激烈。另一方面，个别应用领域如电池安</w:t>
      </w:r>
      <w:r>
        <w:rPr>
          <w:spacing w:val="-44"/>
        </w:rPr>
        <w:t> </w:t>
      </w:r>
      <w:r>
        <w:rPr>
          <w:spacing w:val="-44"/>
        </w:rPr>
      </w:r>
      <w:r>
        <w:rPr/>
        <w:t>全监测、大气环境监测相关产品受国家政策影响，总体需求量逐渐增加，市场机遇不断显现。</w:t>
      </w:r>
    </w:p>
    <w:p>
      <w:pPr>
        <w:pStyle w:val="BodyText"/>
        <w:spacing w:line="408" w:lineRule="auto"/>
        <w:ind w:right="1126" w:firstLine="420"/>
        <w:jc w:val="both"/>
      </w:pPr>
      <w:r>
        <w:rPr>
          <w:spacing w:val="-3"/>
        </w:rPr>
        <w:t>报告期内，公司传感器业务整体经营情况良好，团队建设卓有成效，销售收入持续上升。在主要产品</w:t>
      </w:r>
      <w:r>
        <w:rPr>
          <w:w w:val="100"/>
        </w:rPr>
        <w:t> </w:t>
      </w:r>
      <w:r>
        <w:rPr>
          <w:spacing w:val="-2"/>
        </w:rPr>
        <w:t>方面，燃气监测类、空气污染监测类传感器在家电领域取得重大突破，业绩稳中有增；红外二氧化碳传感</w:t>
      </w:r>
      <w:r>
        <w:rPr>
          <w:spacing w:val="-47"/>
        </w:rPr>
        <w:t> </w:t>
      </w:r>
      <w:r>
        <w:rPr>
          <w:spacing w:val="-47"/>
        </w:rPr>
      </w:r>
      <w:r>
        <w:rPr>
          <w:spacing w:val="-2"/>
        </w:rPr>
        <w:t>器、粉尘传感器市场占有率进一步提升，对销售业绩的支撑进一步显现；热释电红外传感器、热电堆红外</w:t>
      </w:r>
      <w:r>
        <w:rPr>
          <w:spacing w:val="-50"/>
        </w:rPr>
        <w:t> </w:t>
      </w:r>
      <w:r>
        <w:rPr>
          <w:spacing w:val="-50"/>
        </w:rPr>
      </w:r>
      <w:r>
        <w:rPr>
          <w:spacing w:val="-2"/>
        </w:rPr>
        <w:t>传感器产品品质精益求精，红外探测传感器的产品布局逐步完善。报告期内，公司传感器产品的国际贸易</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7"/>
        <w:jc w:val="both"/>
      </w:pPr>
      <w:r>
        <w:rPr>
          <w:spacing w:val="-2"/>
        </w:rPr>
        <w:t>增幅明显，相关传感器产品在韩国、美国、俄罗斯、土耳其等重点区域的环保、智能家居等应用领域均出</w:t>
      </w:r>
      <w:r>
        <w:rPr>
          <w:spacing w:val="-43"/>
        </w:rPr>
        <w:t> </w:t>
      </w:r>
      <w:r>
        <w:rPr>
          <w:spacing w:val="-43"/>
        </w:rPr>
      </w:r>
      <w:r>
        <w:rPr/>
        <w:t>现重大突破，团队士气高昂，市场开拓成绩突出。</w:t>
      </w:r>
    </w:p>
    <w:p>
      <w:pPr>
        <w:pStyle w:val="BodyText"/>
        <w:spacing w:line="240" w:lineRule="auto"/>
        <w:ind w:left="573" w:right="0"/>
        <w:jc w:val="left"/>
      </w:pPr>
      <w:r>
        <w:rPr>
          <w:rFonts w:ascii="宋体" w:hAnsi="宋体" w:cs="宋体" w:eastAsia="宋体" w:hint="default"/>
        </w:rPr>
        <w:t>2</w:t>
      </w:r>
      <w:r>
        <w:rPr/>
        <w:t>、物联网综合解决方案业务方面</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w:t>
      </w:r>
      <w:r>
        <w:rPr>
          <w:rFonts w:ascii="宋体" w:hAnsi="宋体" w:cs="宋体" w:eastAsia="宋体" w:hint="default"/>
        </w:rPr>
        <w:t>1</w:t>
      </w:r>
      <w:r>
        <w:rPr/>
        <w:t>）物联网平台解决方案</w:t>
      </w:r>
      <w:r>
        <w:rPr>
          <w:w w:val="100"/>
        </w:rPr>
        <w:t> </w:t>
      </w:r>
      <w:r>
        <w:rPr/>
        <w:t>公司物联网平台解决方案业务综合了多门类物联网技术，通过对目标项目实施“硬件</w:t>
      </w:r>
      <w:r>
        <w:rPr>
          <w:rFonts w:ascii="宋体" w:hAnsi="宋体" w:cs="宋体" w:eastAsia="宋体" w:hint="default"/>
        </w:rPr>
        <w:t>+</w:t>
      </w:r>
      <w:r>
        <w:rPr/>
        <w:t>软件”的智慧</w:t>
      </w:r>
    </w:p>
    <w:p>
      <w:pPr>
        <w:pStyle w:val="BodyText"/>
        <w:spacing w:line="408" w:lineRule="auto"/>
        <w:ind w:right="1126"/>
        <w:jc w:val="both"/>
      </w:pPr>
      <w:r>
        <w:rPr>
          <w:spacing w:val="-2"/>
        </w:rPr>
        <w:t>化改造，实现目标客户经营质量的改善和效益的提高。报告期内，公司物联网平台解决方案业务板块管理</w:t>
      </w:r>
      <w:r>
        <w:rPr>
          <w:spacing w:val="-43"/>
        </w:rPr>
        <w:t> </w:t>
      </w:r>
      <w:r>
        <w:rPr>
          <w:spacing w:val="-43"/>
        </w:rPr>
      </w:r>
      <w:r>
        <w:rPr>
          <w:spacing w:val="-2"/>
        </w:rPr>
        <w:t>改革调整的成效持续显现，经营业绩延续了稳定的增长，在智慧水务、智慧燃气以及智慧热力等领域实现</w:t>
      </w:r>
      <w:r>
        <w:rPr>
          <w:spacing w:val="-45"/>
        </w:rPr>
        <w:t> </w:t>
      </w:r>
      <w:r>
        <w:rPr>
          <w:spacing w:val="-45"/>
        </w:rPr>
      </w:r>
      <w:r>
        <w:rPr/>
        <w:t>了较好的落地效果。</w:t>
      </w:r>
    </w:p>
    <w:p>
      <w:pPr>
        <w:pStyle w:val="BodyText"/>
        <w:spacing w:line="408" w:lineRule="auto"/>
        <w:ind w:right="1105" w:firstLine="420"/>
        <w:jc w:val="both"/>
      </w:pPr>
      <w:r>
        <w:rPr>
          <w:spacing w:val="-2"/>
        </w:rPr>
        <w:t>报告期内，公司研发的祥云物联网平台已累计服务上百家企业客户。</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月，公司以祥云物联网</w:t>
      </w:r>
      <w:r>
        <w:rPr>
          <w:w w:val="100"/>
        </w:rPr>
        <w:t> </w:t>
      </w:r>
      <w:r>
        <w:rPr>
          <w:spacing w:val="-2"/>
        </w:rPr>
        <w:t>平台为基础成功申报了智能传感器工业互联网平台项目，并被列入河南省工业互联网平台拟培养名单。报</w:t>
      </w:r>
      <w:r>
        <w:rPr>
          <w:spacing w:val="-43"/>
        </w:rPr>
        <w:t> </w:t>
      </w:r>
      <w:r>
        <w:rPr>
          <w:spacing w:val="-43"/>
        </w:rPr>
      </w:r>
      <w:r>
        <w:rPr/>
        <w:t>告期内，祥云物联网平台在原有架构基础上实现了基于</w:t>
      </w:r>
      <w:r>
        <w:rPr>
          <w:rFonts w:ascii="宋体" w:hAnsi="宋体" w:cs="宋体" w:eastAsia="宋体" w:hint="default"/>
        </w:rPr>
        <w:t>kubernetes+docker+jenkins</w:t>
      </w:r>
      <w:r>
        <w:rPr/>
        <w:t>的自动化部署，同时</w:t>
      </w:r>
      <w:r>
        <w:rPr>
          <w:spacing w:val="-28"/>
        </w:rPr>
        <w:t> </w:t>
      </w:r>
      <w:r>
        <w:rPr>
          <w:spacing w:val="-28"/>
        </w:rPr>
      </w:r>
      <w:r>
        <w:rPr/>
        <w:t>采用</w:t>
      </w:r>
      <w:r>
        <w:rPr>
          <w:rFonts w:ascii="宋体" w:hAnsi="宋体" w:cs="宋体" w:eastAsia="宋体" w:hint="default"/>
        </w:rPr>
        <w:t>Hadoop</w:t>
      </w:r>
      <w:r>
        <w:rPr/>
        <w:t>实现海量数据的存储、在</w:t>
      </w:r>
      <w:r>
        <w:rPr>
          <w:rFonts w:ascii="宋体" w:hAnsi="宋体" w:cs="宋体" w:eastAsia="宋体" w:hint="default"/>
        </w:rPr>
        <w:t>/</w:t>
      </w:r>
      <w:r>
        <w:rPr/>
        <w:t>离线计算、监控预警。报告期内，祥云物联网平台新增接入通信运</w:t>
      </w:r>
      <w:r>
        <w:rPr>
          <w:spacing w:val="-28"/>
        </w:rPr>
        <w:t> </w:t>
      </w:r>
      <w:r>
        <w:rPr>
          <w:spacing w:val="-28"/>
        </w:rPr>
      </w:r>
      <w:r>
        <w:rPr>
          <w:spacing w:val="-2"/>
        </w:rPr>
        <w:t>营商的物联网卡管理平台，更好的为用户提供物联网感知设备的全生命周期管理。在平台接入层面，报告</w:t>
      </w:r>
      <w:r>
        <w:rPr>
          <w:spacing w:val="-44"/>
        </w:rPr>
        <w:t> </w:t>
      </w:r>
      <w:r>
        <w:rPr>
          <w:spacing w:val="-44"/>
        </w:rPr>
      </w:r>
      <w:r>
        <w:rPr>
          <w:spacing w:val="-2"/>
        </w:rPr>
        <w:t>期内，公司投入研发了边缘计算网关硬件产品，更好的解决了企业、园区级的规模传感终端接入的问题，</w:t>
      </w:r>
      <w:r>
        <w:rPr>
          <w:spacing w:val="-21"/>
        </w:rPr>
        <w:t> </w:t>
      </w:r>
      <w:r>
        <w:rPr>
          <w:spacing w:val="-21"/>
        </w:rPr>
      </w:r>
      <w:r>
        <w:rPr>
          <w:spacing w:val="-2"/>
        </w:rPr>
        <w:t>边缘计算网关将极大的促进祥云物联网平台的接入覆盖场景的增加，对平台的综合性发展具有关键作用。</w:t>
      </w:r>
    </w:p>
    <w:p>
      <w:pPr>
        <w:pStyle w:val="BodyText"/>
        <w:spacing w:line="408" w:lineRule="auto"/>
        <w:ind w:right="0" w:firstLine="420"/>
        <w:jc w:val="left"/>
      </w:pPr>
      <w:r>
        <w:rPr>
          <w:spacing w:val="-5"/>
        </w:rPr>
        <w:t>报告期内，公司智慧水务业务不断开辟新市场，实现了一定的业务突破，经营业绩取得了积极的进展。</w:t>
      </w:r>
      <w:r>
        <w:rPr>
          <w:w w:val="100"/>
        </w:rPr>
        <w:t> </w:t>
      </w:r>
      <w:r>
        <w:rPr>
          <w:spacing w:val="-2"/>
        </w:rPr>
        <w:t>报告期内，公司参与了长江流域规划建设方案，立足于市政供水业务核心，积极加强排水、河流、水利等</w:t>
      </w:r>
      <w:r>
        <w:rPr>
          <w:spacing w:val="-43"/>
        </w:rPr>
        <w:t> </w:t>
      </w:r>
      <w:r>
        <w:rPr>
          <w:spacing w:val="-43"/>
        </w:rPr>
      </w:r>
      <w:r>
        <w:rPr>
          <w:spacing w:val="-2"/>
        </w:rPr>
        <w:t>方案的规划与建设。报告期内，公司全面开拓包括管网数据采集、管网监测、厂站自动化控制、大数据分</w:t>
      </w:r>
      <w:r>
        <w:rPr>
          <w:spacing w:val="-43"/>
        </w:rPr>
        <w:t> </w:t>
      </w:r>
      <w:r>
        <w:rPr>
          <w:spacing w:val="-43"/>
        </w:rPr>
      </w:r>
      <w:r>
        <w:rPr>
          <w:spacing w:val="-2"/>
        </w:rPr>
        <w:t>析等在内的智慧水务全业务链条，在全国范围内成功复制了多个示范案例，取得良好的应用效果，形成了</w:t>
      </w:r>
      <w:r>
        <w:rPr>
          <w:spacing w:val="-43"/>
        </w:rPr>
        <w:t> </w:t>
      </w:r>
      <w:r>
        <w:rPr>
          <w:spacing w:val="-43"/>
        </w:rPr>
      </w:r>
      <w:r>
        <w:rPr>
          <w:spacing w:val="-2"/>
        </w:rPr>
        <w:t>一定的行业影响力。同时，公司智慧水务团队在报告期内进一步拓展了传统的勘测、检测业务，并通过加</w:t>
      </w:r>
      <w:r>
        <w:rPr>
          <w:spacing w:val="-47"/>
        </w:rPr>
        <w:t> </w:t>
      </w:r>
      <w:r>
        <w:rPr>
          <w:spacing w:val="-47"/>
        </w:rPr>
      </w:r>
      <w:r>
        <w:rPr/>
        <w:t>入重点行业协会，深度参与到水行业当中，充分发挥行业客户资源带来的影响力。</w:t>
      </w:r>
    </w:p>
    <w:p>
      <w:pPr>
        <w:pStyle w:val="BodyText"/>
        <w:spacing w:line="408" w:lineRule="auto"/>
        <w:ind w:right="1126" w:firstLine="420"/>
        <w:jc w:val="both"/>
      </w:pPr>
      <w:r>
        <w:rPr>
          <w:spacing w:val="-2"/>
        </w:rPr>
        <w:t>报告期内，公司智慧燃气业务持续深耕燃气行业安全与运营的智慧化领域，加快拓展应用于市政管网</w:t>
      </w:r>
      <w:r>
        <w:rPr>
          <w:w w:val="100"/>
        </w:rPr>
        <w:t> </w:t>
      </w:r>
      <w:r>
        <w:rPr>
          <w:spacing w:val="-2"/>
        </w:rPr>
        <w:t>安全领域的智能检测产品，树立了高品质市政安全产品和系统解决方案服务商的市场形象。报告期内，公</w:t>
      </w:r>
      <w:r>
        <w:rPr>
          <w:spacing w:val="-44"/>
        </w:rPr>
        <w:t> </w:t>
      </w:r>
      <w:r>
        <w:rPr>
          <w:spacing w:val="-44"/>
        </w:rPr>
      </w:r>
      <w:r>
        <w:rPr>
          <w:spacing w:val="-2"/>
        </w:rPr>
        <w:t>司不仅注重服务于燃气、管网、市政等行业客户，同时持续提高与高校、科研机构、专业用户团队的资源</w:t>
      </w:r>
      <w:r>
        <w:rPr>
          <w:spacing w:val="-43"/>
        </w:rPr>
        <w:t> </w:t>
      </w:r>
      <w:r>
        <w:rPr>
          <w:spacing w:val="-43"/>
        </w:rPr>
      </w:r>
      <w:r>
        <w:rPr>
          <w:spacing w:val="-2"/>
        </w:rPr>
        <w:t>合作，相关产品的设计理念和性能得到进一步提高。报告期内，公司聚焦为客户创造价值，推动销售模式</w:t>
      </w:r>
      <w:r>
        <w:rPr>
          <w:spacing w:val="-47"/>
        </w:rPr>
        <w:t> </w:t>
      </w:r>
      <w:r>
        <w:rPr>
          <w:spacing w:val="-47"/>
        </w:rPr>
      </w:r>
      <w:r>
        <w:rPr/>
        <w:t>的转型，持续强化前端营销，一线队伍得到良性发展，为公司创造了较高质量的增长。</w:t>
      </w:r>
    </w:p>
    <w:p>
      <w:pPr>
        <w:pStyle w:val="BodyText"/>
        <w:spacing w:line="408" w:lineRule="auto"/>
        <w:ind w:left="573" w:right="0"/>
        <w:jc w:val="left"/>
      </w:pPr>
      <w:r>
        <w:rPr/>
        <w:t>（</w:t>
      </w:r>
      <w:r>
        <w:rPr>
          <w:rFonts w:ascii="宋体" w:hAnsi="宋体" w:cs="宋体" w:eastAsia="宋体" w:hint="default"/>
        </w:rPr>
        <w:t>2</w:t>
      </w:r>
      <w:r>
        <w:rPr/>
        <w:t>）智慧安全系统解决方案</w:t>
      </w:r>
      <w:r>
        <w:rPr>
          <w:w w:val="100"/>
        </w:rPr>
        <w:t> </w:t>
      </w:r>
      <w:r>
        <w:rPr/>
        <w:t>报告期内，公司紧紧抓住全国应急管理安全生产信息化建设的战略机遇期，持续夯实“物联网</w:t>
      </w:r>
      <w:r>
        <w:rPr>
          <w:rFonts w:ascii="宋体" w:hAnsi="宋体" w:cs="宋体" w:eastAsia="宋体" w:hint="default"/>
        </w:rPr>
        <w:t>+</w:t>
      </w:r>
      <w:r>
        <w:rPr/>
        <w:t>大安</w:t>
      </w:r>
    </w:p>
    <w:p>
      <w:pPr>
        <w:pStyle w:val="BodyText"/>
        <w:spacing w:line="408" w:lineRule="auto"/>
        <w:ind w:left="573" w:right="0" w:hanging="421"/>
        <w:jc w:val="left"/>
      </w:pPr>
      <w:r>
        <w:rPr/>
        <w:t>全”战略，深化客户结构改革，总体实现了较好的业绩增长，经营质量持续改善。</w:t>
      </w:r>
      <w:r>
        <w:rPr>
          <w:w w:val="100"/>
        </w:rPr>
        <w:t> </w:t>
      </w:r>
      <w:r>
        <w:rPr>
          <w:spacing w:val="-2"/>
        </w:rPr>
        <w:t>一年来，公司紧跟国家监管机构的相关政策调整，全面贯彻国家关于应急管理、防抗救、安全生产、</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信息安全等方面传递的重要精神，加快信息化建设与应用。报告期内，公司在工业安全、园区安全、应急</w:t>
      </w:r>
      <w:r>
        <w:rPr>
          <w:spacing w:val="-43"/>
        </w:rPr>
        <w:t> </w:t>
      </w:r>
      <w:r>
        <w:rPr>
          <w:spacing w:val="-43"/>
        </w:rPr>
      </w:r>
      <w:r>
        <w:rPr>
          <w:spacing w:val="-4"/>
        </w:rPr>
        <w:t>管理等领域加强了风险监测预警系统，同时创新业务模式，实现了跨越式发展，不断提升“仪器仪表</w:t>
      </w:r>
      <w:r>
        <w:rPr>
          <w:rFonts w:ascii="宋体" w:hAnsi="宋体" w:cs="宋体" w:eastAsia="宋体" w:hint="default"/>
          <w:spacing w:val="-4"/>
        </w:rPr>
        <w:t>+ </w:t>
      </w:r>
      <w:r>
        <w:rPr>
          <w:rFonts w:ascii="宋体" w:hAnsi="宋体" w:cs="宋体" w:eastAsia="宋体" w:hint="default"/>
        </w:rPr>
        <w:t>GDS</w:t>
      </w:r>
      <w:r>
        <w:rPr>
          <w:rFonts w:ascii="宋体" w:hAnsi="宋体" w:cs="宋体" w:eastAsia="宋体" w:hint="default"/>
          <w:spacing w:val="-58"/>
        </w:rPr>
        <w:t> </w:t>
      </w:r>
      <w:r>
        <w:rPr>
          <w:rFonts w:ascii="宋体" w:hAnsi="宋体" w:cs="宋体" w:eastAsia="宋体" w:hint="default"/>
          <w:spacing w:val="-58"/>
        </w:rPr>
      </w:r>
      <w:r>
        <w:rPr/>
        <w:t>安全系统</w:t>
      </w:r>
      <w:r>
        <w:rPr>
          <w:rFonts w:ascii="宋体" w:hAnsi="宋体" w:cs="宋体" w:eastAsia="宋体" w:hint="default"/>
        </w:rPr>
        <w:t>+</w:t>
      </w:r>
      <w:r>
        <w:rPr/>
        <w:t>系统平台”整体解决方案的成熟度。</w:t>
      </w:r>
    </w:p>
    <w:p>
      <w:pPr>
        <w:pStyle w:val="BodyText"/>
        <w:spacing w:line="408" w:lineRule="auto" w:before="87"/>
        <w:ind w:right="1023" w:firstLine="420"/>
        <w:jc w:val="left"/>
      </w:pPr>
      <w:r>
        <w:rPr/>
        <w:t>报告期内，公司智慧安全系统解决方案业务加大了集团化客户及政府园区的拓展力度，调整了客户结</w:t>
      </w:r>
      <w:r>
        <w:rPr>
          <w:w w:val="100"/>
        </w:rPr>
        <w:t> </w:t>
      </w:r>
      <w:r>
        <w:rPr/>
        <w:t>构，集团客户产出总量同比增加</w:t>
      </w:r>
      <w:r>
        <w:rPr>
          <w:rFonts w:ascii="宋体" w:hAnsi="宋体" w:cs="宋体" w:eastAsia="宋体" w:hint="default"/>
        </w:rPr>
        <w:t>30%</w:t>
      </w:r>
      <w:r>
        <w:rPr/>
        <w:t>以上，与战略合作伙伴如海康威视、和利时、浪潮集团、中国联通等</w:t>
      </w:r>
      <w:r>
        <w:rPr>
          <w:spacing w:val="-27"/>
        </w:rPr>
        <w:t> </w:t>
      </w:r>
      <w:r>
        <w:rPr>
          <w:spacing w:val="-27"/>
        </w:rPr>
      </w:r>
      <w:r>
        <w:rPr>
          <w:spacing w:val="-2"/>
        </w:rPr>
        <w:t>分别实现多个项目签约。其中，公司与海康威视联合实施的安徽省危化品管理平台项目顺利落地，未来有</w:t>
      </w:r>
      <w:r>
        <w:rPr>
          <w:spacing w:val="-44"/>
        </w:rPr>
        <w:t> </w:t>
      </w:r>
      <w:r>
        <w:rPr>
          <w:spacing w:val="-44"/>
        </w:rPr>
      </w:r>
      <w:r>
        <w:rPr>
          <w:spacing w:val="-5"/>
        </w:rPr>
        <w:t>望向国内其他省市复制推广。报告期内，公司持续在技术突破、项目落地上发力，与油气田、炼油、化工、</w:t>
      </w:r>
      <w:r>
        <w:rPr>
          <w:spacing w:val="-6"/>
        </w:rPr>
        <w:t> </w:t>
      </w:r>
      <w:r>
        <w:rPr>
          <w:spacing w:val="-6"/>
        </w:rPr>
      </w:r>
      <w:r>
        <w:rPr/>
        <w:t>钢铁冶金等重点行业的龙头企业深化项目合作，落地了较多高质量项目。报告期内，公司开发的</w:t>
      </w:r>
      <w:r>
        <w:rPr>
          <w:rFonts w:ascii="宋体" w:hAnsi="宋体" w:cs="宋体" w:eastAsia="宋体" w:hint="default"/>
        </w:rPr>
        <w:t>GDS</w:t>
      </w:r>
      <w:r>
        <w:rPr/>
        <w:t>安全</w:t>
      </w:r>
      <w:r>
        <w:rPr>
          <w:spacing w:val="-22"/>
        </w:rPr>
        <w:t> </w:t>
      </w:r>
      <w:r>
        <w:rPr>
          <w:spacing w:val="-2"/>
        </w:rPr>
        <w:t>系统正式落地商用，实现了由现场仪表向在线仪表的跨越，服务了包含冀中能源等在内的多个集团化企业</w:t>
      </w:r>
      <w:r>
        <w:rPr>
          <w:spacing w:val="-43"/>
        </w:rPr>
        <w:t> </w:t>
      </w:r>
      <w:r>
        <w:rPr>
          <w:spacing w:val="-43"/>
        </w:rPr>
      </w:r>
      <w:r>
        <w:rPr/>
        <w:t>客户。</w:t>
      </w:r>
    </w:p>
    <w:p>
      <w:pPr>
        <w:pStyle w:val="BodyText"/>
        <w:spacing w:line="408" w:lineRule="auto" w:before="84"/>
        <w:ind w:right="1126" w:firstLine="420"/>
        <w:jc w:val="both"/>
      </w:pPr>
      <w:r>
        <w:rPr>
          <w:spacing w:val="-2"/>
        </w:rPr>
        <w:t>报告期内，公司的工业物联网平台进一步提高了市场竞争能力，在监测预警、监管执法、辅助指挥决</w:t>
      </w:r>
      <w:r>
        <w:rPr>
          <w:w w:val="100"/>
        </w:rPr>
        <w:t> </w:t>
      </w:r>
      <w:r>
        <w:rPr>
          <w:spacing w:val="-2"/>
        </w:rPr>
        <w:t>策、救援实战、社会动员等应用方向持续发展。报告期内，公司主动适应科技信息化发展趋势，在工业企</w:t>
      </w:r>
      <w:r>
        <w:rPr>
          <w:spacing w:val="-43"/>
        </w:rPr>
        <w:t> </w:t>
      </w:r>
      <w:r>
        <w:rPr>
          <w:spacing w:val="-43"/>
        </w:rPr>
      </w:r>
      <w:r>
        <w:rPr>
          <w:spacing w:val="-2"/>
        </w:rPr>
        <w:t>业、智慧园区、应急管理三大领域准确把握传感技术和信息技术在传统业务流程和监察模式改革创新中的</w:t>
      </w:r>
      <w:r>
        <w:rPr>
          <w:spacing w:val="-44"/>
        </w:rPr>
        <w:t> </w:t>
      </w:r>
      <w:r>
        <w:rPr>
          <w:spacing w:val="-44"/>
        </w:rPr>
      </w:r>
      <w:r>
        <w:rPr/>
        <w:t>关键作用，服务客户进行信息化与业务深度融合。</w:t>
      </w:r>
    </w:p>
    <w:p>
      <w:pPr>
        <w:pStyle w:val="BodyText"/>
        <w:spacing w:line="408" w:lineRule="auto"/>
        <w:ind w:left="573" w:right="0"/>
        <w:jc w:val="left"/>
      </w:pPr>
      <w:r>
        <w:rPr/>
        <w:t>（</w:t>
      </w:r>
      <w:r>
        <w:rPr>
          <w:rFonts w:ascii="宋体" w:hAnsi="宋体" w:cs="宋体" w:eastAsia="宋体" w:hint="default"/>
        </w:rPr>
        <w:t>3</w:t>
      </w:r>
      <w:r>
        <w:rPr/>
        <w:t>）智慧环保系统解决方案</w:t>
      </w:r>
      <w:r>
        <w:rPr>
          <w:w w:val="100"/>
        </w:rPr>
        <w:t> </w:t>
      </w:r>
      <w:r>
        <w:rPr>
          <w:spacing w:val="-2"/>
        </w:rPr>
        <w:t>环境监测方面，报告期内，公司在市场及研发方面取得了积极进展，业绩稳定增长。报告期内，公司</w:t>
      </w:r>
    </w:p>
    <w:p>
      <w:pPr>
        <w:pStyle w:val="BodyText"/>
        <w:spacing w:line="408" w:lineRule="auto"/>
        <w:ind w:right="1126"/>
        <w:jc w:val="both"/>
      </w:pPr>
      <w:r>
        <w:rPr>
          <w:spacing w:val="-2"/>
        </w:rPr>
        <w:t>通过参与省级生态环境大数据平台项目开发，整合了各类生态环境数据，对生态环境管理部门业务间的相</w:t>
      </w:r>
      <w:r>
        <w:rPr>
          <w:spacing w:val="-43"/>
        </w:rPr>
        <w:t> </w:t>
      </w:r>
      <w:r>
        <w:rPr>
          <w:spacing w:val="-43"/>
        </w:rPr>
      </w:r>
      <w:r>
        <w:rPr>
          <w:spacing w:val="-2"/>
        </w:rPr>
        <w:t>互融合、数据贯通有了更加深刻的理解，为公司未来在环境保护领域业务拓展进一步夯实了基础。研发方</w:t>
      </w:r>
      <w:r>
        <w:rPr>
          <w:spacing w:val="-44"/>
        </w:rPr>
        <w:t> </w:t>
      </w:r>
      <w:r>
        <w:rPr>
          <w:spacing w:val="-44"/>
        </w:rPr>
      </w:r>
      <w:r>
        <w:rPr>
          <w:spacing w:val="-2"/>
        </w:rPr>
        <w:t>面，报告期内，公司在移动开发、数据智能分析、区块链等领域的研发创新均形成了一定的研发成果，大</w:t>
      </w:r>
      <w:r>
        <w:rPr>
          <w:spacing w:val="-43"/>
        </w:rPr>
        <w:t> </w:t>
      </w:r>
      <w:r>
        <w:rPr>
          <w:spacing w:val="-43"/>
        </w:rPr>
      </w:r>
      <w:r>
        <w:rPr/>
        <w:t>数据、物联网、区块链等技术创新积累，将为公司未来提供高端数据服务带来正面积极影响。</w:t>
      </w:r>
    </w:p>
    <w:p>
      <w:pPr>
        <w:pStyle w:val="BodyText"/>
        <w:spacing w:line="408" w:lineRule="auto"/>
        <w:ind w:right="1105" w:firstLine="420"/>
        <w:jc w:val="both"/>
      </w:pPr>
      <w:r>
        <w:rPr>
          <w:spacing w:val="-2"/>
        </w:rPr>
        <w:t>环境治理方面，报告期内，公司控股子公司嘉园环保结合产业政策和公司的发展需要，确立了以垃圾</w:t>
      </w:r>
      <w:r>
        <w:rPr>
          <w:w w:val="100"/>
        </w:rPr>
        <w:t> </w:t>
      </w:r>
      <w:r>
        <w:rPr/>
        <w:t>渗滤液处理和</w:t>
      </w:r>
      <w:r>
        <w:rPr>
          <w:rFonts w:ascii="宋体" w:hAnsi="宋体" w:cs="宋体" w:eastAsia="宋体" w:hint="default"/>
        </w:rPr>
        <w:t>VOCs</w:t>
      </w:r>
      <w:r>
        <w:rPr/>
        <w:t>治理为核心的中短期经营战略，即业务模式上以</w:t>
      </w:r>
      <w:r>
        <w:rPr>
          <w:rFonts w:ascii="宋体" w:hAnsi="宋体" w:cs="宋体" w:eastAsia="宋体" w:hint="default"/>
        </w:rPr>
        <w:t>EPC</w:t>
      </w:r>
      <w:r>
        <w:rPr/>
        <w:t>业务为主，以此来巩固嘉园环保在</w:t>
      </w:r>
      <w:r>
        <w:rPr>
          <w:spacing w:val="-26"/>
        </w:rPr>
        <w:t> </w:t>
      </w:r>
      <w:r>
        <w:rPr>
          <w:spacing w:val="-26"/>
        </w:rPr>
      </w:r>
      <w:r>
        <w:rPr>
          <w:spacing w:val="-2"/>
        </w:rPr>
        <w:t>细分行业中的地位。在营销布局上，公司根据全国各地垃圾焚烧发电厂的投资建设步伐，以河南为中心，</w:t>
      </w:r>
      <w:r>
        <w:rPr>
          <w:spacing w:val="-21"/>
        </w:rPr>
        <w:t> </w:t>
      </w:r>
      <w:r>
        <w:rPr>
          <w:spacing w:val="-21"/>
        </w:rPr>
      </w:r>
      <w:r>
        <w:rPr>
          <w:spacing w:val="-2"/>
        </w:rPr>
        <w:t>同时辐射中西部市场。经过一年来的拓展，嘉园环保在垃圾渗滤液业务上已成功中标了河南城发投等多个</w:t>
      </w:r>
      <w:r>
        <w:rPr>
          <w:spacing w:val="-44"/>
        </w:rPr>
        <w:t> </w:t>
      </w:r>
      <w:r>
        <w:rPr>
          <w:spacing w:val="-44"/>
        </w:rPr>
      </w:r>
      <w:r>
        <w:rPr>
          <w:spacing w:val="-2"/>
        </w:rPr>
        <w:t>项目，另外在</w:t>
      </w:r>
      <w:r>
        <w:rPr>
          <w:rFonts w:ascii="宋体" w:hAnsi="宋体" w:cs="宋体" w:eastAsia="宋体" w:hint="default"/>
          <w:spacing w:val="-2"/>
        </w:rPr>
        <w:t>VOCs</w:t>
      </w:r>
      <w:r>
        <w:rPr>
          <w:spacing w:val="-2"/>
        </w:rPr>
        <w:t>业务拓展上也储备了制药、化工等行业的项目，对嘉园环保的业务布局和今后发展奠定</w:t>
      </w:r>
      <w:r>
        <w:rPr>
          <w:spacing w:val="-41"/>
        </w:rPr>
        <w:t> </w:t>
      </w:r>
      <w:r>
        <w:rPr>
          <w:spacing w:val="-41"/>
        </w:rPr>
      </w:r>
      <w:r>
        <w:rPr>
          <w:spacing w:val="-2"/>
        </w:rPr>
        <w:t>了基础。同时，公司重点拓展了集团化客户业务，报告期内，嘉园环保中标了广州环保投资集团的四厂二</w:t>
      </w:r>
      <w:r>
        <w:rPr>
          <w:spacing w:val="-47"/>
        </w:rPr>
        <w:t> </w:t>
      </w:r>
      <w:r>
        <w:rPr>
          <w:spacing w:val="-47"/>
        </w:rPr>
      </w:r>
      <w:r>
        <w:rPr/>
        <w:t>期的渗滤液处置项目，增加了嘉园环保在日处理规模</w:t>
      </w:r>
      <w:r>
        <w:rPr>
          <w:rFonts w:ascii="宋体" w:hAnsi="宋体" w:cs="宋体" w:eastAsia="宋体" w:hint="default"/>
        </w:rPr>
        <w:t>1,200</w:t>
      </w:r>
      <w:r>
        <w:rPr/>
        <w:t>吨以上项目的竞争力。随着产业的加速发展，</w:t>
      </w:r>
      <w:r>
        <w:rPr>
          <w:spacing w:val="-27"/>
        </w:rPr>
        <w:t> </w:t>
      </w:r>
      <w:r>
        <w:rPr>
          <w:spacing w:val="-27"/>
        </w:rPr>
      </w:r>
      <w:r>
        <w:rPr>
          <w:spacing w:val="-2"/>
        </w:rPr>
        <w:t>精细化运营逐渐演变为环保治理行业的必经之路，嘉园环保不仅可以提供精品工程，在精细化标准化运营</w:t>
      </w:r>
      <w:r>
        <w:rPr>
          <w:spacing w:val="-43"/>
        </w:rPr>
        <w:t> </w:t>
      </w:r>
      <w:r>
        <w:rPr>
          <w:spacing w:val="-43"/>
        </w:rPr>
      </w:r>
      <w:r>
        <w:rPr>
          <w:spacing w:val="-2"/>
        </w:rPr>
        <w:t>方面也独具优势。报告期内，嘉园环保在绿色动力集团和旺能集团的运营项目均受到了业主的充分认可与</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both"/>
      </w:pPr>
      <w:r>
        <w:rPr/>
        <w:t>表扬。</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w:t>
      </w:r>
      <w:r>
        <w:rPr>
          <w:rFonts w:ascii="宋体" w:hAnsi="宋体" w:cs="宋体" w:eastAsia="宋体" w:hint="default"/>
        </w:rPr>
        <w:t>4</w:t>
      </w:r>
      <w:r>
        <w:rPr/>
        <w:t>）智慧市政系统解决方案</w:t>
      </w:r>
      <w:r>
        <w:rPr>
          <w:w w:val="100"/>
        </w:rPr>
        <w:t> </w:t>
      </w:r>
      <w:r>
        <w:rPr>
          <w:spacing w:val="-2"/>
        </w:rPr>
        <w:t>报告期内，公司智慧热力和智慧水务平台系统模块在实践中不断丰富和完善，管理功能实现升级和优</w:t>
      </w:r>
    </w:p>
    <w:p>
      <w:pPr>
        <w:pStyle w:val="BodyText"/>
        <w:spacing w:line="408" w:lineRule="auto"/>
        <w:ind w:right="1126"/>
        <w:jc w:val="both"/>
      </w:pPr>
      <w:r>
        <w:rPr>
          <w:spacing w:val="-2"/>
        </w:rPr>
        <w:t>化，智慧市政建设发展和运营实践形成良性互动，充分发挥了智慧市政项目标杆示范效应，同时也为公司</w:t>
      </w:r>
      <w:r>
        <w:rPr>
          <w:spacing w:val="-43"/>
        </w:rPr>
        <w:t> </w:t>
      </w:r>
      <w:r>
        <w:rPr>
          <w:spacing w:val="-43"/>
        </w:rPr>
      </w:r>
      <w:r>
        <w:rPr>
          <w:spacing w:val="-2"/>
        </w:rPr>
        <w:t>的现金流提供了有力的支撑。报告期内，高新热力成功申报高新技术企业，彰显了智慧热力系统建设的信</w:t>
      </w:r>
      <w:r>
        <w:rPr>
          <w:spacing w:val="-43"/>
        </w:rPr>
        <w:t> </w:t>
      </w:r>
      <w:r>
        <w:rPr>
          <w:spacing w:val="-43"/>
        </w:rPr>
      </w:r>
      <w:r>
        <w:rPr/>
        <w:t>息化水平。</w:t>
      </w:r>
    </w:p>
    <w:p>
      <w:pPr>
        <w:pStyle w:val="BodyText"/>
        <w:spacing w:line="408" w:lineRule="auto"/>
        <w:ind w:right="1126" w:firstLine="420"/>
        <w:jc w:val="both"/>
      </w:pPr>
      <w:r>
        <w:rPr>
          <w:spacing w:val="-3"/>
        </w:rPr>
        <w:t>报告期内，智慧市政板块在做好保障民生、服务社会的同时，在智慧示范方面也取得了重大进展，智</w:t>
      </w:r>
      <w:r>
        <w:rPr>
          <w:w w:val="100"/>
        </w:rPr>
        <w:t> </w:t>
      </w:r>
      <w:r>
        <w:rPr>
          <w:spacing w:val="-2"/>
        </w:rPr>
        <w:t>慧热力系统建设和智慧水务系统建设均实现稳步推进，为公司物联网平台系统解决方案业务的推广落地提</w:t>
      </w:r>
      <w:r>
        <w:rPr>
          <w:spacing w:val="-43"/>
        </w:rPr>
        <w:t> </w:t>
      </w:r>
      <w:r>
        <w:rPr>
          <w:spacing w:val="-43"/>
        </w:rPr>
      </w:r>
      <w:r>
        <w:rPr>
          <w:spacing w:val="-2"/>
        </w:rPr>
        <w:t>供了良好的平台。在智慧热力建设方面，报告期内，公司完成了换热站全面智慧化改造，为辖区热平衡和</w:t>
      </w:r>
      <w:r>
        <w:rPr>
          <w:spacing w:val="-49"/>
        </w:rPr>
        <w:t> </w:t>
      </w:r>
      <w:r>
        <w:rPr>
          <w:spacing w:val="-49"/>
        </w:rPr>
      </w:r>
      <w:r>
        <w:rPr>
          <w:spacing w:val="-2"/>
        </w:rPr>
        <w:t>热源管理提供了有力的智慧化管理工具。在智慧水务建设方面，报告期内，公司针对辖区夏季高峰供水压</w:t>
      </w:r>
      <w:r>
        <w:rPr>
          <w:spacing w:val="-43"/>
        </w:rPr>
        <w:t> </w:t>
      </w:r>
      <w:r>
        <w:rPr>
          <w:spacing w:val="-43"/>
        </w:rPr>
      </w:r>
      <w:r>
        <w:rPr>
          <w:spacing w:val="-2"/>
        </w:rPr>
        <w:t>力，完成了二次供水精准化控制系统建设，不仅解决了高峰期供水压力问题，对水厂的节能降耗也起到了</w:t>
      </w:r>
      <w:r>
        <w:rPr>
          <w:spacing w:val="-44"/>
        </w:rPr>
        <w:t> </w:t>
      </w:r>
      <w:r>
        <w:rPr>
          <w:spacing w:val="-44"/>
        </w:rPr>
      </w:r>
      <w:r>
        <w:rPr/>
        <w:t>良好作用，同时树立了国内大规模二次供水精准化控制的标杆案例，起到了良好的示范效应。</w:t>
      </w:r>
    </w:p>
    <w:p>
      <w:pPr>
        <w:pStyle w:val="BodyText"/>
        <w:spacing w:line="408" w:lineRule="auto"/>
        <w:ind w:left="573" w:right="0"/>
        <w:jc w:val="left"/>
      </w:pPr>
      <w:r>
        <w:rPr>
          <w:rFonts w:ascii="宋体" w:hAnsi="宋体" w:cs="宋体" w:eastAsia="宋体" w:hint="default"/>
        </w:rPr>
        <w:t>3</w:t>
      </w:r>
      <w:r>
        <w:rPr/>
        <w:t>、居家智能与健康</w:t>
      </w:r>
      <w:r>
        <w:rPr>
          <w:w w:val="100"/>
        </w:rPr>
        <w:t> </w:t>
      </w:r>
      <w:r>
        <w:rPr>
          <w:spacing w:val="-2"/>
        </w:rPr>
        <w:t>报告期内，公司居家智能与健康业务建立了综合业务生态模式，逐渐形成完整闭环。报告期内，公司</w:t>
      </w:r>
    </w:p>
    <w:p>
      <w:pPr>
        <w:pStyle w:val="BodyText"/>
        <w:spacing w:line="408" w:lineRule="auto"/>
        <w:ind w:right="1128"/>
        <w:jc w:val="both"/>
      </w:pPr>
      <w:r>
        <w:rPr>
          <w:spacing w:val="-2"/>
        </w:rPr>
        <w:t>居家智能轻量级平台得到进一步完善，配合智能硬件实现无缝对接。借助消防安全、燃气安全、居家环境</w:t>
      </w:r>
      <w:r>
        <w:rPr>
          <w:spacing w:val="-47"/>
        </w:rPr>
        <w:t> </w:t>
      </w:r>
      <w:r>
        <w:rPr>
          <w:spacing w:val="-47"/>
        </w:rPr>
      </w:r>
      <w:r>
        <w:rPr>
          <w:spacing w:val="-2"/>
        </w:rPr>
        <w:t>健康、智能化管理等业务输出平台，该业务板块发展势头良好，并在电商平台取得了较好的成绩。报告期</w:t>
      </w:r>
      <w:r>
        <w:rPr>
          <w:spacing w:val="-49"/>
        </w:rPr>
        <w:t> </w:t>
      </w:r>
      <w:r>
        <w:rPr>
          <w:spacing w:val="-49"/>
        </w:rPr>
      </w:r>
      <w:r>
        <w:rPr>
          <w:spacing w:val="-2"/>
        </w:rPr>
        <w:t>内，公司单光路烟感产品已成功推向市场，双光路烟感产品已申请专利</w:t>
      </w:r>
      <w:r>
        <w:rPr>
          <w:rFonts w:ascii="宋体" w:hAnsi="宋体" w:cs="宋体" w:eastAsia="宋体" w:hint="default"/>
          <w:spacing w:val="-2"/>
        </w:rPr>
        <w:t>30</w:t>
      </w:r>
      <w:r>
        <w:rPr>
          <w:spacing w:val="-2"/>
        </w:rPr>
        <w:t>余项，有效解决了行业瓶颈，占</w:t>
      </w:r>
      <w:r>
        <w:rPr>
          <w:spacing w:val="-45"/>
        </w:rPr>
        <w:t> </w:t>
      </w:r>
      <w:r>
        <w:rPr>
          <w:spacing w:val="-45"/>
        </w:rPr>
      </w:r>
      <w:r>
        <w:rPr/>
        <w:t>据业务卡位优势。</w:t>
      </w:r>
    </w:p>
    <w:p>
      <w:pPr>
        <w:pStyle w:val="BodyText"/>
        <w:spacing w:line="408" w:lineRule="auto"/>
        <w:ind w:left="573" w:right="6474"/>
        <w:jc w:val="left"/>
      </w:pPr>
      <w:r>
        <w:rPr/>
        <w:t>（二）创新驱动，进一步提升研发实力</w:t>
      </w:r>
      <w:r>
        <w:rPr>
          <w:w w:val="100"/>
        </w:rPr>
        <w:t> </w:t>
      </w:r>
      <w:r>
        <w:rPr>
          <w:rFonts w:ascii="宋体" w:hAnsi="宋体" w:cs="宋体" w:eastAsia="宋体" w:hint="default"/>
          <w:spacing w:val="-2"/>
        </w:rPr>
        <w:t>1</w:t>
      </w:r>
      <w:r>
        <w:rPr>
          <w:spacing w:val="-2"/>
        </w:rPr>
        <w:t>、“双创”孵化平台建设取得积极进展</w:t>
      </w:r>
    </w:p>
    <w:p>
      <w:pPr>
        <w:pStyle w:val="BodyText"/>
        <w:spacing w:line="408" w:lineRule="auto"/>
        <w:ind w:right="1126" w:firstLine="420"/>
        <w:jc w:val="both"/>
      </w:pPr>
      <w:r>
        <w:rPr>
          <w:spacing w:val="-2"/>
        </w:rPr>
        <w:t>传感器专业化众创空间作为公司完善产业链条、优化创新生态的前沿阵地，是公司创新发展的重要引</w:t>
      </w:r>
      <w:r>
        <w:rPr>
          <w:w w:val="100"/>
        </w:rPr>
        <w:t> </w:t>
      </w:r>
      <w:r>
        <w:rPr>
          <w:spacing w:val="-2"/>
        </w:rPr>
        <w:t>擎。报告期内，众创空间继续坚持定向精准孵化的原则，多维度服务在孵企业，助推在孵企业的创新和发</w:t>
      </w:r>
      <w:r>
        <w:rPr>
          <w:spacing w:val="-47"/>
        </w:rPr>
        <w:t> </w:t>
      </w:r>
      <w:r>
        <w:rPr>
          <w:spacing w:val="-47"/>
        </w:rPr>
      </w:r>
      <w:r>
        <w:rPr/>
        <w:t>展。</w:t>
      </w:r>
    </w:p>
    <w:p>
      <w:pPr>
        <w:pStyle w:val="BodyText"/>
        <w:spacing w:line="408" w:lineRule="auto"/>
        <w:ind w:right="1105" w:firstLine="420"/>
        <w:jc w:val="both"/>
      </w:pPr>
      <w:r>
        <w:rPr/>
        <w:t>报告期内，传感器专业化众创空间新认定高新技术企业</w:t>
      </w:r>
      <w:r>
        <w:rPr>
          <w:rFonts w:ascii="宋体" w:hAnsi="宋体" w:cs="宋体" w:eastAsia="宋体" w:hint="default"/>
        </w:rPr>
        <w:t>4</w:t>
      </w:r>
      <w:r>
        <w:rPr/>
        <w:t>家，新增软件著作权、专利共</w:t>
      </w:r>
      <w:r>
        <w:rPr>
          <w:rFonts w:ascii="宋体" w:hAnsi="宋体" w:cs="宋体" w:eastAsia="宋体" w:hint="default"/>
        </w:rPr>
        <w:t>26</w:t>
      </w:r>
      <w:r>
        <w:rPr/>
        <w:t>件（累计拥</w:t>
      </w:r>
      <w:r>
        <w:rPr>
          <w:w w:val="100"/>
        </w:rPr>
        <w:t> </w:t>
      </w:r>
      <w:r>
        <w:rPr/>
        <w:t>有软著及专利超过</w:t>
      </w:r>
      <w:r>
        <w:rPr>
          <w:rFonts w:ascii="宋体" w:hAnsi="宋体" w:cs="宋体" w:eastAsia="宋体" w:hint="default"/>
        </w:rPr>
        <w:t>100</w:t>
      </w:r>
      <w:r>
        <w:rPr/>
        <w:t>件），辅导符合条件的</w:t>
      </w:r>
      <w:r>
        <w:rPr>
          <w:rFonts w:ascii="宋体" w:hAnsi="宋体" w:cs="宋体" w:eastAsia="宋体" w:hint="default"/>
        </w:rPr>
        <w:t>11</w:t>
      </w:r>
      <w:r>
        <w:rPr/>
        <w:t>家企业分别完成国家、省、市级科技型中小企业备案，组</w:t>
      </w:r>
      <w:r>
        <w:rPr>
          <w:spacing w:val="-26"/>
        </w:rPr>
        <w:t> </w:t>
      </w:r>
      <w:r>
        <w:rPr>
          <w:spacing w:val="-26"/>
        </w:rPr>
      </w:r>
      <w:r>
        <w:rPr>
          <w:spacing w:val="-2"/>
        </w:rPr>
        <w:t>织实施大型交流活动</w:t>
      </w:r>
      <w:r>
        <w:rPr>
          <w:rFonts w:ascii="宋体" w:hAnsi="宋体" w:cs="宋体" w:eastAsia="宋体" w:hint="default"/>
          <w:spacing w:val="-2"/>
        </w:rPr>
        <w:t>16</w:t>
      </w:r>
      <w:r>
        <w:rPr>
          <w:spacing w:val="-2"/>
        </w:rPr>
        <w:t>场次。经过三年的建设，该众创空间趋于稳态发展，已经初步建成传感器行业的产</w:t>
      </w:r>
      <w:r>
        <w:rPr>
          <w:spacing w:val="-40"/>
        </w:rPr>
        <w:t> </w:t>
      </w:r>
      <w:r>
        <w:rPr>
          <w:spacing w:val="-40"/>
        </w:rPr>
      </w:r>
      <w:r>
        <w:rPr>
          <w:spacing w:val="-2"/>
        </w:rPr>
        <w:t>业生态群，孵化创新能力得到巩固和提升。报告期内，省、市领导多次参观传感器国家专业化众创空间，</w:t>
      </w:r>
      <w:r>
        <w:rPr>
          <w:spacing w:val="-21"/>
        </w:rPr>
        <w:t> </w:t>
      </w:r>
      <w:r>
        <w:rPr>
          <w:spacing w:val="-21"/>
        </w:rPr>
      </w:r>
      <w:r>
        <w:rPr/>
        <w:t>对公司创新创业工作及传感器国家专业化众创空间建设给予了充分的肯定。</w:t>
      </w:r>
    </w:p>
    <w:p>
      <w:pPr>
        <w:pStyle w:val="BodyText"/>
        <w:spacing w:line="408" w:lineRule="auto"/>
        <w:ind w:left="573" w:right="0"/>
        <w:jc w:val="left"/>
      </w:pPr>
      <w:r>
        <w:rPr>
          <w:rFonts w:ascii="宋体" w:hAnsi="宋体" w:cs="宋体" w:eastAsia="宋体" w:hint="default"/>
        </w:rPr>
        <w:t>2</w:t>
      </w:r>
      <w:r>
        <w:rPr/>
        <w:t>、创新实力不断增强</w:t>
      </w:r>
      <w:r>
        <w:rPr>
          <w:w w:val="100"/>
        </w:rPr>
        <w:t> </w:t>
      </w:r>
      <w:r>
        <w:rPr>
          <w:spacing w:val="-2"/>
        </w:rPr>
        <w:t>报告期内，公司以提升创新牵引力为目标，重点在拓展创新领域、拓宽创新方向、挖掘商业模式、丰</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8"/>
        <w:jc w:val="both"/>
      </w:pPr>
      <w:r>
        <w:rPr/>
        <w:t>富创新产品等方面入手，使科技创新呈现出生机勃勃的局面。报告期内，公司投入研发经费</w:t>
      </w:r>
      <w:r>
        <w:rPr>
          <w:rFonts w:ascii="宋体" w:hAnsi="宋体" w:cs="宋体" w:eastAsia="宋体" w:hint="default"/>
        </w:rPr>
        <w:t>13,434.85</w:t>
      </w:r>
      <w:r>
        <w:rPr/>
        <w:t>万</w:t>
      </w:r>
      <w:r>
        <w:rPr>
          <w:spacing w:val="-22"/>
        </w:rPr>
        <w:t> </w:t>
      </w:r>
      <w:r>
        <w:rPr/>
        <w:t>元，同比增长</w:t>
      </w:r>
      <w:r>
        <w:rPr>
          <w:rFonts w:ascii="宋体" w:hAnsi="宋体" w:cs="宋体" w:eastAsia="宋体" w:hint="default"/>
        </w:rPr>
        <w:t>25.93%</w:t>
      </w:r>
      <w:r>
        <w:rPr/>
        <w:t>；报告期内，公司新增专利</w:t>
      </w:r>
      <w:r>
        <w:rPr>
          <w:rFonts w:ascii="宋体" w:hAnsi="宋体" w:cs="宋体" w:eastAsia="宋体" w:hint="default"/>
        </w:rPr>
        <w:t>64</w:t>
      </w:r>
      <w:r>
        <w:rPr/>
        <w:t>项，截至目前取得的专利总数达到</w:t>
      </w:r>
      <w:r>
        <w:rPr>
          <w:rFonts w:ascii="宋体" w:hAnsi="宋体" w:cs="宋体" w:eastAsia="宋体" w:hint="default"/>
        </w:rPr>
        <w:t>596</w:t>
      </w:r>
      <w:r>
        <w:rPr/>
        <w:t>项，其中发明专</w:t>
      </w:r>
      <w:r>
        <w:rPr>
          <w:spacing w:val="-24"/>
        </w:rPr>
        <w:t> </w:t>
      </w:r>
      <w:r>
        <w:rPr>
          <w:spacing w:val="-24"/>
        </w:rPr>
      </w:r>
      <w:r>
        <w:rPr/>
        <w:t>利</w:t>
      </w:r>
      <w:r>
        <w:rPr>
          <w:rFonts w:ascii="宋体" w:hAnsi="宋体" w:cs="宋体" w:eastAsia="宋体" w:hint="default"/>
        </w:rPr>
        <w:t>135</w:t>
      </w:r>
      <w:r>
        <w:rPr/>
        <w:t>项。</w:t>
      </w:r>
    </w:p>
    <w:p>
      <w:pPr>
        <w:pStyle w:val="BodyText"/>
        <w:spacing w:line="408" w:lineRule="auto"/>
        <w:ind w:right="1104" w:firstLine="420"/>
        <w:jc w:val="both"/>
      </w:pPr>
      <w:r>
        <w:rPr>
          <w:spacing w:val="-2"/>
        </w:rPr>
        <w:t>报告期内，公司持续加强核心传感器技术的研发工作，气体及多门类传感器的研发取得了积极进展。</w:t>
      </w:r>
      <w:r>
        <w:rPr>
          <w:w w:val="100"/>
        </w:rPr>
        <w:t> </w:t>
      </w:r>
      <w:r>
        <w:rPr>
          <w:spacing w:val="-2"/>
        </w:rPr>
        <w:t>在电化学传感器方面，传感器反应体系实现从液态化技术向半固态化、固态化技术方向转变，为电化学传</w:t>
      </w:r>
      <w:r>
        <w:rPr>
          <w:spacing w:val="-44"/>
        </w:rPr>
        <w:t> </w:t>
      </w:r>
      <w:r>
        <w:rPr>
          <w:spacing w:val="-44"/>
        </w:rPr>
      </w:r>
      <w:r>
        <w:rPr>
          <w:spacing w:val="-2"/>
        </w:rPr>
        <w:t>感器的微型化做技术铺垫；在水质传感器方面，根据水质监测的特点及参数要求，公司对</w:t>
      </w:r>
      <w:r>
        <w:rPr>
          <w:rFonts w:ascii="宋体" w:hAnsi="宋体" w:cs="宋体" w:eastAsia="宋体" w:hint="default"/>
          <w:spacing w:val="-2"/>
        </w:rPr>
        <w:t>pH</w:t>
      </w:r>
      <w:r>
        <w:rPr>
          <w:spacing w:val="-2"/>
        </w:rPr>
        <w:t>传感器、</w:t>
      </w:r>
      <w:r>
        <w:rPr>
          <w:rFonts w:ascii="宋体" w:hAnsi="宋体" w:cs="宋体" w:eastAsia="宋体" w:hint="default"/>
          <w:spacing w:val="-2"/>
        </w:rPr>
        <w:t>DO</w:t>
      </w:r>
      <w:r>
        <w:rPr>
          <w:spacing w:val="-2"/>
        </w:rPr>
        <w:t>传</w:t>
      </w:r>
      <w:r>
        <w:rPr>
          <w:spacing w:val="-40"/>
        </w:rPr>
        <w:t> </w:t>
      </w:r>
      <w:r>
        <w:rPr/>
        <w:t>感器、</w:t>
      </w:r>
      <w:r>
        <w:rPr>
          <w:rFonts w:ascii="宋体" w:hAnsi="宋体" w:cs="宋体" w:eastAsia="宋体" w:hint="default"/>
        </w:rPr>
        <w:t>ORP</w:t>
      </w:r>
      <w:r>
        <w:rPr/>
        <w:t>传感器进行了技术研究，逐步建立离子识别电极的研发平台及测试体系；在烟感传感器方面，</w:t>
      </w:r>
      <w:r>
        <w:rPr>
          <w:spacing w:val="-28"/>
        </w:rPr>
        <w:t> </w:t>
      </w:r>
      <w:r>
        <w:rPr>
          <w:spacing w:val="-28"/>
        </w:rPr>
      </w:r>
      <w:r>
        <w:rPr>
          <w:spacing w:val="-2"/>
        </w:rPr>
        <w:t>公司紧跟烟雾检测前沿技术发展方向，提高产品可靠性稳定性。报告期内，公司继续加强双光路独立式光</w:t>
      </w:r>
      <w:r>
        <w:rPr>
          <w:spacing w:val="-42"/>
        </w:rPr>
        <w:t> </w:t>
      </w:r>
      <w:r>
        <w:rPr>
          <w:spacing w:val="-42"/>
        </w:rPr>
      </w:r>
      <w:r>
        <w:rPr>
          <w:spacing w:val="-2"/>
        </w:rPr>
        <w:t>电技术的研发，并与单光路烟雾检测技术和复合型烟感产品结合，同步对标国际消防标准和需求，形成了</w:t>
      </w:r>
      <w:r>
        <w:rPr>
          <w:spacing w:val="-45"/>
        </w:rPr>
        <w:t> </w:t>
      </w:r>
      <w:r>
        <w:rPr>
          <w:spacing w:val="-45"/>
        </w:rPr>
      </w:r>
      <w:r>
        <w:rPr/>
        <w:t>烟雾报警探测器低、中、高三类产品线，增强企业在消防行业的核心竞争力。</w:t>
      </w:r>
    </w:p>
    <w:p>
      <w:pPr>
        <w:pStyle w:val="BodyText"/>
        <w:spacing w:line="408" w:lineRule="auto"/>
        <w:ind w:right="1105" w:firstLine="420"/>
        <w:jc w:val="both"/>
      </w:pPr>
      <w:r>
        <w:rPr>
          <w:spacing w:val="-2"/>
        </w:rPr>
        <w:t>报告期内，公司与国内主流模组厂商及天线厂商均建立了良好的合作关系，共同投入</w:t>
      </w:r>
      <w:r>
        <w:rPr>
          <w:rFonts w:ascii="宋体" w:hAnsi="宋体" w:cs="宋体" w:eastAsia="宋体" w:hint="default"/>
          <w:spacing w:val="-2"/>
        </w:rPr>
        <w:t>NB-IoT</w:t>
      </w:r>
      <w:r>
        <w:rPr>
          <w:spacing w:val="-2"/>
        </w:rPr>
        <w:t>、</w:t>
      </w:r>
      <w:r>
        <w:rPr>
          <w:rFonts w:ascii="宋体" w:hAnsi="宋体" w:cs="宋体" w:eastAsia="宋体" w:hint="default"/>
          <w:spacing w:val="-2"/>
        </w:rPr>
        <w:t>LoRa</w:t>
      </w:r>
      <w:r>
        <w:rPr>
          <w:spacing w:val="-2"/>
        </w:rPr>
        <w:t>等</w:t>
      </w:r>
      <w:r>
        <w:rPr>
          <w:w w:val="100"/>
        </w:rPr>
        <w:t> </w:t>
      </w:r>
      <w:r>
        <w:rPr>
          <w:spacing w:val="-2"/>
        </w:rPr>
        <w:t>无线通信技术在感知终端上的应用研究，大大提升了无线传感终端的各项无线性能指标及产品稳定性。报</w:t>
      </w:r>
      <w:r>
        <w:rPr>
          <w:spacing w:val="-43"/>
        </w:rPr>
        <w:t> </w:t>
      </w:r>
      <w:r>
        <w:rPr>
          <w:spacing w:val="-43"/>
        </w:rPr>
      </w:r>
      <w:r>
        <w:rPr>
          <w:spacing w:val="-2"/>
        </w:rPr>
        <w:t>告期内，公司已有多款成熟的无线气体探测相关产品投放市场，并通过了华为以及移动、联通、电信等运</w:t>
      </w:r>
      <w:r>
        <w:rPr>
          <w:spacing w:val="-47"/>
        </w:rPr>
        <w:t> </w:t>
      </w:r>
      <w:r>
        <w:rPr>
          <w:spacing w:val="-47"/>
        </w:rPr>
      </w:r>
      <w:r>
        <w:rPr>
          <w:spacing w:val="-2"/>
        </w:rPr>
        <w:t>营商的实验室认证测试。报告期内，公司与国内多个物联网平台厂商进行了无线产品的平台适配及对接，</w:t>
      </w:r>
      <w:r>
        <w:rPr>
          <w:spacing w:val="-21"/>
        </w:rPr>
        <w:t> </w:t>
      </w:r>
      <w:r>
        <w:rPr>
          <w:spacing w:val="-21"/>
        </w:rPr>
      </w:r>
      <w:r>
        <w:rPr/>
        <w:t>为无线传感终端应用场景拓展打下了关键基础。</w:t>
      </w:r>
    </w:p>
    <w:p>
      <w:pPr>
        <w:pStyle w:val="BodyText"/>
        <w:spacing w:line="408" w:lineRule="auto"/>
        <w:ind w:right="1126" w:firstLine="420"/>
        <w:jc w:val="both"/>
      </w:pPr>
      <w:r>
        <w:rPr>
          <w:spacing w:val="-2"/>
        </w:rPr>
        <w:t>报告期内，公司对低成本化</w:t>
      </w:r>
      <w:r>
        <w:rPr>
          <w:rFonts w:ascii="宋体" w:hAnsi="宋体" w:cs="宋体" w:eastAsia="宋体" w:hint="default"/>
          <w:spacing w:val="-2"/>
        </w:rPr>
        <w:t>NB-IoT</w:t>
      </w:r>
      <w:r>
        <w:rPr>
          <w:spacing w:val="-2"/>
        </w:rPr>
        <w:t>无线联网技术进行技术攻关，实现在家用燃气报警器、一氧化碳报</w:t>
      </w:r>
      <w:r>
        <w:rPr>
          <w:w w:val="100"/>
        </w:rPr>
        <w:t> </w:t>
      </w:r>
      <w:r>
        <w:rPr/>
        <w:t>警器、烟感报警探测器等多款产品上的应用，进一步增强民用商用产品的市场竞争力。</w:t>
      </w:r>
    </w:p>
    <w:p>
      <w:pPr>
        <w:pStyle w:val="BodyText"/>
        <w:spacing w:line="408" w:lineRule="auto"/>
        <w:ind w:left="573" w:right="0"/>
        <w:jc w:val="left"/>
      </w:pPr>
      <w:r>
        <w:rPr/>
        <w:t>（三）加强管理，不断完善集团管控体系</w:t>
      </w:r>
      <w:r>
        <w:rPr>
          <w:w w:val="100"/>
        </w:rPr>
        <w:t> </w:t>
      </w:r>
      <w:r>
        <w:rPr>
          <w:spacing w:val="-2"/>
        </w:rPr>
        <w:t>报告期内，公司继续围绕“统分结合、控放有度、权责清晰、规范科学、灵活高效”的总目标，在继</w:t>
      </w:r>
    </w:p>
    <w:p>
      <w:pPr>
        <w:pStyle w:val="BodyText"/>
        <w:spacing w:line="408" w:lineRule="auto"/>
        <w:ind w:right="0"/>
        <w:jc w:val="left"/>
      </w:pPr>
      <w:r>
        <w:rPr>
          <w:spacing w:val="-2"/>
        </w:rPr>
        <w:t>续深化和完善现有</w:t>
      </w:r>
      <w:r>
        <w:rPr>
          <w:rFonts w:ascii="宋体" w:hAnsi="宋体" w:cs="宋体" w:eastAsia="宋体" w:hint="default"/>
          <w:spacing w:val="-2"/>
        </w:rPr>
        <w:t>10</w:t>
      </w:r>
      <w:r>
        <w:rPr>
          <w:spacing w:val="-2"/>
        </w:rPr>
        <w:t>大体系基础上，重点围绕提质增效，开展了监督体系建设、物资采购平台建设，优化</w:t>
      </w:r>
      <w:r>
        <w:rPr>
          <w:spacing w:val="-45"/>
        </w:rPr>
        <w:t> </w:t>
      </w:r>
      <w:r>
        <w:rPr>
          <w:spacing w:val="-45"/>
        </w:rPr>
      </w:r>
      <w:r>
        <w:rPr>
          <w:spacing w:val="-2"/>
        </w:rPr>
        <w:t>和完善了项目管理、资金管理和绩效管理，进一步提高了企业运营效率和管理效益，各方面改革呈现蹄疾</w:t>
      </w:r>
      <w:r>
        <w:rPr>
          <w:spacing w:val="-43"/>
        </w:rPr>
        <w:t> </w:t>
      </w:r>
      <w:r>
        <w:rPr>
          <w:spacing w:val="-43"/>
        </w:rPr>
      </w:r>
      <w:r>
        <w:rPr>
          <w:spacing w:val="-4"/>
        </w:rPr>
        <w:t>步稳、纵深推进的良好态势。报告期内，公司积极推进信息化、网络信息安全建设与管理，</w:t>
      </w:r>
      <w:r>
        <w:rPr>
          <w:rFonts w:ascii="宋体" w:hAnsi="宋体" w:cs="宋体" w:eastAsia="宋体" w:hint="default"/>
          <w:spacing w:val="-4"/>
        </w:rPr>
        <w:t>CRM</w:t>
      </w:r>
      <w:r>
        <w:rPr>
          <w:spacing w:val="-4"/>
        </w:rPr>
        <w:t>、</w:t>
      </w:r>
      <w:r>
        <w:rPr>
          <w:rFonts w:ascii="宋体" w:hAnsi="宋体" w:cs="宋体" w:eastAsia="宋体" w:hint="default"/>
          <w:spacing w:val="-4"/>
        </w:rPr>
        <w:t>MBS</w:t>
      </w:r>
      <w:r>
        <w:rPr>
          <w:spacing w:val="-4"/>
        </w:rPr>
        <w:t>、</w:t>
      </w:r>
      <w:r>
        <w:rPr>
          <w:rFonts w:ascii="宋体" w:hAnsi="宋体" w:cs="宋体" w:eastAsia="宋体" w:hint="default"/>
          <w:spacing w:val="-4"/>
        </w:rPr>
        <w:t>OA</w:t>
      </w:r>
      <w:r>
        <w:rPr>
          <w:spacing w:val="-4"/>
        </w:rPr>
        <w:t>、</w:t>
      </w:r>
      <w:r>
        <w:rPr>
          <w:spacing w:val="-44"/>
        </w:rPr>
        <w:t> </w:t>
      </w:r>
      <w:r>
        <w:rPr>
          <w:rFonts w:ascii="宋体" w:hAnsi="宋体" w:cs="宋体" w:eastAsia="宋体" w:hint="default"/>
        </w:rPr>
        <w:t>PM</w:t>
      </w:r>
      <w:r>
        <w:rPr/>
        <w:t>、</w:t>
      </w:r>
      <w:r>
        <w:rPr>
          <w:rFonts w:ascii="宋体" w:hAnsi="宋体" w:cs="宋体" w:eastAsia="宋体" w:hint="default"/>
        </w:rPr>
        <w:t>ERP</w:t>
      </w:r>
      <w:r>
        <w:rPr/>
        <w:t>系统的全面推行及不断优化提升，为高效管理插上了翅膀。</w:t>
      </w:r>
    </w:p>
    <w:p>
      <w:pPr>
        <w:pStyle w:val="BodyText"/>
        <w:spacing w:line="408" w:lineRule="auto"/>
        <w:ind w:right="1127" w:firstLine="420"/>
        <w:jc w:val="both"/>
      </w:pPr>
      <w:r>
        <w:rPr/>
        <w:t>经过近年以来对集团化管控工作的常抓不懈，一系列改革和优化、</w:t>
      </w:r>
      <w:r>
        <w:rPr>
          <w:rFonts w:ascii="宋体" w:hAnsi="宋体" w:cs="宋体" w:eastAsia="宋体" w:hint="default"/>
        </w:rPr>
        <w:t>120</w:t>
      </w:r>
      <w:r>
        <w:rPr/>
        <w:t>项当前急需又利于长远的制度</w:t>
      </w:r>
      <w:r>
        <w:rPr>
          <w:w w:val="100"/>
        </w:rPr>
        <w:t> </w:t>
      </w:r>
      <w:r>
        <w:rPr>
          <w:spacing w:val="-2"/>
        </w:rPr>
        <w:t>建设制定、实施到位，逐步夯实了公司集团化管控的基础。截至报告期末，公司三级管控架构稳定，实现</w:t>
      </w:r>
      <w:r>
        <w:rPr>
          <w:spacing w:val="-43"/>
        </w:rPr>
        <w:t> </w:t>
      </w:r>
      <w:r>
        <w:rPr>
          <w:spacing w:val="-43"/>
        </w:rPr>
      </w:r>
      <w:r>
        <w:rPr/>
        <w:t>了公司内部在人、财、事、物、信息、文化等方面的规范运作，集团化管控成效稳步提升。</w:t>
      </w:r>
    </w:p>
    <w:p>
      <w:pPr>
        <w:pStyle w:val="BodyText"/>
        <w:spacing w:line="408" w:lineRule="auto"/>
        <w:ind w:left="573" w:right="0"/>
        <w:jc w:val="left"/>
      </w:pPr>
      <w:r>
        <w:rPr/>
        <w:t>（四）动能转换，持续夯实人才根基</w:t>
      </w:r>
      <w:r>
        <w:rPr>
          <w:w w:val="100"/>
        </w:rPr>
        <w:t> </w:t>
      </w:r>
      <w:r>
        <w:rPr>
          <w:spacing w:val="-3"/>
        </w:rPr>
        <w:t>报告期内，公司以建立稳定、高效高质的运营体系和团队为目标，着力提质增效，大力开展了人力资</w:t>
      </w:r>
    </w:p>
    <w:p>
      <w:pPr>
        <w:pStyle w:val="BodyText"/>
        <w:spacing w:line="408" w:lineRule="auto"/>
        <w:ind w:right="0"/>
        <w:jc w:val="left"/>
      </w:pPr>
      <w:r>
        <w:rPr>
          <w:spacing w:val="-2"/>
        </w:rPr>
        <w:t>源结构调整优化，整体人均效能和人均效益有所提高。围绕核心价值观，公司建立了科学的人力资源配置</w:t>
      </w:r>
      <w:r>
        <w:rPr>
          <w:spacing w:val="-43"/>
        </w:rPr>
        <w:t> </w:t>
      </w:r>
      <w:r>
        <w:rPr>
          <w:spacing w:val="-43"/>
        </w:rPr>
      </w:r>
      <w:r>
        <w:rPr>
          <w:spacing w:val="-2"/>
        </w:rPr>
        <w:t>机制，牢牢把控人员质量关，加强对人才专业度、匹配度和必要度的评估。报告期内，公司全面推行“人</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4"/>
        </w:rPr>
        <w:t>才森林”计划，围绕核心能力建设组织各类专业培训</w:t>
      </w:r>
      <w:r>
        <w:rPr>
          <w:rFonts w:ascii="宋体" w:hAnsi="宋体" w:cs="宋体" w:eastAsia="宋体" w:hint="default"/>
          <w:spacing w:val="-4"/>
        </w:rPr>
        <w:t>30</w:t>
      </w:r>
      <w:r>
        <w:rPr>
          <w:spacing w:val="-4"/>
        </w:rPr>
        <w:t>余次，涵盖品牌建设、信息化、知识产权、新产品、</w:t>
      </w:r>
      <w:r>
        <w:rPr>
          <w:spacing w:val="-48"/>
        </w:rPr>
        <w:t> </w:t>
      </w:r>
      <w:r>
        <w:rPr>
          <w:spacing w:val="-48"/>
        </w:rPr>
      </w:r>
      <w:r>
        <w:rPr/>
        <w:t>新业务等多个方面，取得了良好的成效。</w:t>
      </w:r>
    </w:p>
    <w:p>
      <w:pPr>
        <w:pStyle w:val="BodyText"/>
        <w:spacing w:line="408" w:lineRule="auto"/>
        <w:ind w:left="573" w:right="0"/>
        <w:jc w:val="left"/>
      </w:pPr>
      <w:r>
        <w:rPr/>
        <w:t>（五）落地生根，切实加快文化落地</w:t>
      </w:r>
      <w:r>
        <w:rPr>
          <w:w w:val="100"/>
        </w:rPr>
        <w:t> </w:t>
      </w:r>
      <w:r>
        <w:rPr>
          <w:spacing w:val="-2"/>
        </w:rPr>
        <w:t>报告期内，公司在深入学习、宣贯《汉威文化法典》的基础上，重点将文化理念固化为制度，使现行</w:t>
      </w:r>
    </w:p>
    <w:p>
      <w:pPr>
        <w:pStyle w:val="BodyText"/>
        <w:spacing w:line="408" w:lineRule="auto"/>
        <w:ind w:right="0"/>
        <w:jc w:val="left"/>
      </w:pPr>
      <w:r>
        <w:rPr>
          <w:spacing w:val="-2"/>
        </w:rPr>
        <w:t>制度与文化理念相匹配。经过公司大力宣贯和倡导，目前《汉威文化法典》正在成为指导公司内各单位经</w:t>
      </w:r>
      <w:r>
        <w:rPr>
          <w:spacing w:val="-44"/>
        </w:rPr>
        <w:t> </w:t>
      </w:r>
      <w:r>
        <w:rPr>
          <w:spacing w:val="-44"/>
        </w:rPr>
      </w:r>
      <w:r>
        <w:rPr/>
        <w:t>营管理的基本准则，统领规章制度的根本方针。</w:t>
      </w:r>
    </w:p>
    <w:p>
      <w:pPr>
        <w:pStyle w:val="BodyText"/>
        <w:spacing w:line="408" w:lineRule="auto"/>
        <w:ind w:right="1126" w:firstLine="420"/>
        <w:jc w:val="both"/>
      </w:pPr>
      <w:r>
        <w:rPr>
          <w:spacing w:val="-2"/>
        </w:rPr>
        <w:t>公司持续倡导“以价值创造者为本”的思想导向，积极鼓励价值创造，组合各种激励工具手段，促进</w:t>
      </w:r>
      <w:r>
        <w:rPr>
          <w:w w:val="100"/>
        </w:rPr>
        <w:t> </w:t>
      </w:r>
      <w:r>
        <w:rPr>
          <w:spacing w:val="-2"/>
        </w:rPr>
        <w:t>每一个组织与个人充满活力，主动追求更好的业绩、更高的目标、更大的进步，“尽责，创新，厉行价值</w:t>
      </w:r>
      <w:r>
        <w:rPr>
          <w:spacing w:val="-47"/>
        </w:rPr>
        <w:t> </w:t>
      </w:r>
      <w:r>
        <w:rPr>
          <w:spacing w:val="-47"/>
        </w:rPr>
      </w:r>
      <w:r>
        <w:rPr>
          <w:spacing w:val="-2"/>
        </w:rPr>
        <w:t>创造，铸就同一个汉威”的核心价值观正在成为全体汉威人衡量工作成效的重要标准。报告期内，公司以</w:t>
      </w:r>
      <w:r>
        <w:rPr>
          <w:spacing w:val="-44"/>
        </w:rPr>
        <w:t> </w:t>
      </w:r>
      <w:r>
        <w:rPr>
          <w:spacing w:val="-44"/>
        </w:rPr>
      </w:r>
      <w:r>
        <w:rPr>
          <w:spacing w:val="-2"/>
        </w:rPr>
        <w:t>建立完善监督体系为重点，着重加强了廉洁文化建设，并加入了“阳光诚信联盟”，与众多外部企业携手</w:t>
      </w:r>
      <w:r>
        <w:rPr>
          <w:spacing w:val="-44"/>
        </w:rPr>
        <w:t> </w:t>
      </w:r>
      <w:r>
        <w:rPr>
          <w:spacing w:val="-44"/>
        </w:rPr>
      </w:r>
      <w:r>
        <w:rPr/>
        <w:t>打造反腐生态圈，营造诚信、阳光、廉洁的商业和社会环境。</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6"/>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18"/>
        <w:gridCol w:w="1436"/>
        <w:gridCol w:w="1398"/>
        <w:gridCol w:w="1619"/>
        <w:gridCol w:w="1608"/>
        <w:gridCol w:w="1619"/>
      </w:tblGrid>
      <w:tr>
        <w:trPr>
          <w:trHeight w:val="217" w:hRule="exact"/>
        </w:trPr>
        <w:tc>
          <w:tcPr>
            <w:tcW w:w="2018" w:type="dxa"/>
            <w:tcBorders>
              <w:top w:val="single" w:sz="12" w:space="0" w:color="000000"/>
              <w:left w:val="single" w:sz="12" w:space="0" w:color="000000"/>
              <w:bottom w:val="nil" w:sz="6" w:space="0" w:color="auto"/>
              <w:right w:val="single" w:sz="4" w:space="0" w:color="000000"/>
            </w:tcBorders>
            <w:shd w:val="clear" w:color="auto" w:fill="D2D2D2"/>
          </w:tcPr>
          <w:p>
            <w:pPr/>
          </w:p>
        </w:tc>
        <w:tc>
          <w:tcPr>
            <w:tcW w:w="2834"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27"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9"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90" w:hRule="exact"/>
        </w:trPr>
        <w:tc>
          <w:tcPr>
            <w:tcW w:w="2018" w:type="dxa"/>
            <w:vMerge w:val="restart"/>
            <w:tcBorders>
              <w:top w:val="nil" w:sz="6" w:space="0" w:color="auto"/>
              <w:left w:val="single" w:sz="12" w:space="0" w:color="000000"/>
              <w:right w:val="single" w:sz="4" w:space="0" w:color="000000"/>
            </w:tcBorders>
            <w:shd w:val="clear" w:color="auto" w:fill="D2D2D2"/>
          </w:tcPr>
          <w:p>
            <w:pPr/>
          </w:p>
        </w:tc>
        <w:tc>
          <w:tcPr>
            <w:tcW w:w="2834" w:type="dxa"/>
            <w:gridSpan w:val="2"/>
            <w:vMerge/>
            <w:tcBorders>
              <w:left w:val="single" w:sz="4" w:space="0" w:color="000000"/>
              <w:bottom w:val="single" w:sz="4" w:space="0" w:color="000000"/>
              <w:right w:val="single" w:sz="4" w:space="0" w:color="000000"/>
            </w:tcBorders>
            <w:shd w:val="clear" w:color="auto" w:fill="D2D2D2"/>
          </w:tcPr>
          <w:p>
            <w:pPr/>
          </w:p>
        </w:tc>
        <w:tc>
          <w:tcPr>
            <w:tcW w:w="3227" w:type="dxa"/>
            <w:gridSpan w:val="2"/>
            <w:vMerge/>
            <w:tcBorders>
              <w:left w:val="single" w:sz="4" w:space="0" w:color="000000"/>
              <w:bottom w:val="single" w:sz="4" w:space="0" w:color="000000"/>
              <w:right w:val="single" w:sz="4" w:space="0" w:color="000000"/>
            </w:tcBorders>
            <w:shd w:val="clear" w:color="auto" w:fill="D2D2D2"/>
          </w:tcPr>
          <w:p>
            <w:pPr/>
          </w:p>
        </w:tc>
        <w:tc>
          <w:tcPr>
            <w:tcW w:w="1619"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2018" w:type="dxa"/>
            <w:vMerge/>
            <w:tcBorders>
              <w:left w:val="single" w:sz="12" w:space="0" w:color="000000"/>
              <w:bottom w:val="nil" w:sz="6" w:space="0" w:color="auto"/>
              <w:right w:val="single" w:sz="4" w:space="0" w:color="000000"/>
            </w:tcBorders>
            <w:shd w:val="clear" w:color="auto" w:fill="D2D2D2"/>
          </w:tcPr>
          <w:p>
            <w:pPr/>
          </w:p>
        </w:tc>
        <w:tc>
          <w:tcPr>
            <w:tcW w:w="14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19" w:type="dxa"/>
            <w:vMerge/>
            <w:tcBorders>
              <w:left w:val="single" w:sz="4" w:space="0" w:color="000000"/>
              <w:bottom w:val="nil" w:sz="6" w:space="0" w:color="auto"/>
              <w:right w:val="single" w:sz="12" w:space="0" w:color="000000"/>
            </w:tcBorders>
            <w:shd w:val="clear" w:color="auto" w:fill="D2D2D2"/>
          </w:tcPr>
          <w:p>
            <w:pPr/>
          </w:p>
        </w:tc>
      </w:tr>
      <w:tr>
        <w:trPr>
          <w:trHeight w:val="206" w:hRule="exact"/>
        </w:trPr>
        <w:tc>
          <w:tcPr>
            <w:tcW w:w="2018" w:type="dxa"/>
            <w:tcBorders>
              <w:top w:val="nil" w:sz="6" w:space="0" w:color="auto"/>
              <w:left w:val="single" w:sz="12" w:space="0" w:color="000000"/>
              <w:bottom w:val="single" w:sz="4" w:space="0" w:color="000000"/>
              <w:right w:val="single" w:sz="4" w:space="0" w:color="000000"/>
            </w:tcBorders>
            <w:shd w:val="clear" w:color="auto" w:fill="D2D2D2"/>
          </w:tcPr>
          <w:p>
            <w:pPr/>
          </w:p>
        </w:tc>
        <w:tc>
          <w:tcPr>
            <w:tcW w:w="1436" w:type="dxa"/>
            <w:vMerge/>
            <w:tcBorders>
              <w:left w:val="single" w:sz="4" w:space="0" w:color="000000"/>
              <w:bottom w:val="single" w:sz="4" w:space="0" w:color="000000"/>
              <w:right w:val="single" w:sz="4" w:space="0" w:color="000000"/>
            </w:tcBorders>
            <w:shd w:val="clear" w:color="auto" w:fill="D2D2D2"/>
          </w:tcPr>
          <w:p>
            <w:pPr/>
          </w:p>
        </w:tc>
        <w:tc>
          <w:tcPr>
            <w:tcW w:w="1398" w:type="dxa"/>
            <w:vMerge/>
            <w:tcBorders>
              <w:left w:val="single" w:sz="4" w:space="0" w:color="000000"/>
              <w:bottom w:val="single" w:sz="4" w:space="0" w:color="000000"/>
              <w:right w:val="single" w:sz="4" w:space="0" w:color="000000"/>
            </w:tcBorders>
            <w:shd w:val="clear" w:color="auto" w:fill="D2D2D2"/>
          </w:tcPr>
          <w:p>
            <w:pPr/>
          </w:p>
        </w:tc>
        <w:tc>
          <w:tcPr>
            <w:tcW w:w="1619" w:type="dxa"/>
            <w:vMerge/>
            <w:tcBorders>
              <w:left w:val="single" w:sz="4" w:space="0" w:color="000000"/>
              <w:bottom w:val="single" w:sz="4" w:space="0" w:color="000000"/>
              <w:right w:val="single" w:sz="4" w:space="0" w:color="000000"/>
            </w:tcBorders>
            <w:shd w:val="clear" w:color="auto" w:fill="D2D2D2"/>
          </w:tcPr>
          <w:p>
            <w:pPr/>
          </w:p>
        </w:tc>
        <w:tc>
          <w:tcPr>
            <w:tcW w:w="1608" w:type="dxa"/>
            <w:vMerge/>
            <w:tcBorders>
              <w:left w:val="single" w:sz="4" w:space="0" w:color="000000"/>
              <w:bottom w:val="single" w:sz="4" w:space="0" w:color="000000"/>
              <w:right w:val="single" w:sz="4" w:space="0" w:color="000000"/>
            </w:tcBorders>
            <w:shd w:val="clear" w:color="auto" w:fill="D2D2D2"/>
          </w:tcPr>
          <w:p>
            <w:pPr/>
          </w:p>
        </w:tc>
        <w:tc>
          <w:tcPr>
            <w:tcW w:w="1619"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6" w:hRule="exact"/>
        </w:trPr>
        <w:tc>
          <w:tcPr>
            <w:tcW w:w="20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36" w:type="dxa"/>
            <w:tcBorders>
              <w:top w:val="single" w:sz="4" w:space="0" w:color="000000"/>
              <w:left w:val="single" w:sz="9" w:space="0" w:color="D2D2D2"/>
              <w:bottom w:val="single" w:sz="4" w:space="0" w:color="000000"/>
              <w:right w:val="single" w:sz="14"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1,819,480,487.05</w:t>
            </w:r>
          </w:p>
        </w:tc>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1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1,512,330,588.86</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619" w:type="dxa"/>
            <w:tcBorders>
              <w:top w:val="single" w:sz="4" w:space="0" w:color="000000"/>
              <w:left w:val="single" w:sz="13" w:space="0" w:color="D2D2D2"/>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20.31%</w:t>
            </w:r>
          </w:p>
        </w:tc>
      </w:tr>
      <w:tr>
        <w:trPr>
          <w:trHeight w:val="398" w:hRule="exact"/>
        </w:trPr>
        <w:tc>
          <w:tcPr>
            <w:tcW w:w="9698"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20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1,819,480,487.05</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1,512,330,588.86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100.00%</w:t>
            </w:r>
          </w:p>
        </w:tc>
        <w:tc>
          <w:tcPr>
            <w:tcW w:w="1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20.31%</w:t>
            </w:r>
          </w:p>
        </w:tc>
      </w:tr>
      <w:tr>
        <w:trPr>
          <w:trHeight w:val="403" w:hRule="exact"/>
        </w:trPr>
        <w:tc>
          <w:tcPr>
            <w:tcW w:w="9698"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20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171,446,137.23</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155,183,424.45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10.26%</w:t>
            </w:r>
          </w:p>
        </w:tc>
        <w:tc>
          <w:tcPr>
            <w:tcW w:w="1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10.48%</w:t>
            </w:r>
          </w:p>
        </w:tc>
      </w:tr>
      <w:tr>
        <w:trPr>
          <w:trHeight w:val="403" w:hRule="exact"/>
        </w:trPr>
        <w:tc>
          <w:tcPr>
            <w:tcW w:w="20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智能仪表</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361,602,964.29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19.87%</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289,578,807.15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19.15%</w:t>
            </w:r>
          </w:p>
        </w:tc>
        <w:tc>
          <w:tcPr>
            <w:tcW w:w="1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24.87%</w:t>
            </w:r>
          </w:p>
        </w:tc>
      </w:tr>
      <w:tr>
        <w:trPr>
          <w:trHeight w:val="401" w:hRule="exact"/>
        </w:trPr>
        <w:tc>
          <w:tcPr>
            <w:tcW w:w="20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物联网综合解决方案</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1,236,629,188.12</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67.97%</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1,015,095,398.00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67.12%</w:t>
            </w:r>
          </w:p>
        </w:tc>
        <w:tc>
          <w:tcPr>
            <w:tcW w:w="1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21.82%</w:t>
            </w:r>
          </w:p>
        </w:tc>
      </w:tr>
      <w:tr>
        <w:trPr>
          <w:trHeight w:val="403" w:hRule="exact"/>
        </w:trPr>
        <w:tc>
          <w:tcPr>
            <w:tcW w:w="20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49,802,197.41</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52,472,959.26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3.47%</w:t>
            </w:r>
          </w:p>
        </w:tc>
        <w:tc>
          <w:tcPr>
            <w:tcW w:w="16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-5.09%</w:t>
            </w:r>
          </w:p>
        </w:tc>
      </w:tr>
      <w:tr>
        <w:trPr>
          <w:trHeight w:val="410" w:hRule="exact"/>
        </w:trPr>
        <w:tc>
          <w:tcPr>
            <w:tcW w:w="2018"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分行业应用</w:t>
            </w:r>
          </w:p>
        </w:tc>
        <w:tc>
          <w:tcPr>
            <w:tcW w:w="1436" w:type="dxa"/>
            <w:tcBorders>
              <w:top w:val="single" w:sz="4" w:space="0" w:color="000000"/>
              <w:left w:val="single" w:sz="4" w:space="0" w:color="000000"/>
              <w:bottom w:val="single" w:sz="12" w:space="0" w:color="000000"/>
              <w:right w:val="single" w:sz="4" w:space="0" w:color="000000"/>
            </w:tcBorders>
            <w:shd w:val="clear" w:color="auto" w:fill="D9D9D9"/>
          </w:tcPr>
          <w:p>
            <w:pPr/>
          </w:p>
        </w:tc>
        <w:tc>
          <w:tcPr>
            <w:tcW w:w="1398" w:type="dxa"/>
            <w:tcBorders>
              <w:top w:val="single" w:sz="4" w:space="0" w:color="000000"/>
              <w:left w:val="single" w:sz="4" w:space="0" w:color="000000"/>
              <w:bottom w:val="single" w:sz="12" w:space="0" w:color="000000"/>
              <w:right w:val="single" w:sz="4" w:space="0" w:color="000000"/>
            </w:tcBorders>
            <w:shd w:val="clear" w:color="auto" w:fill="D9D9D9"/>
          </w:tcPr>
          <w:p>
            <w:pPr/>
          </w:p>
        </w:tc>
        <w:tc>
          <w:tcPr>
            <w:tcW w:w="1619" w:type="dxa"/>
            <w:tcBorders>
              <w:top w:val="single" w:sz="4" w:space="0" w:color="000000"/>
              <w:left w:val="single" w:sz="4" w:space="0" w:color="000000"/>
              <w:bottom w:val="single" w:sz="12" w:space="0" w:color="000000"/>
              <w:right w:val="single" w:sz="4" w:space="0" w:color="000000"/>
            </w:tcBorders>
            <w:shd w:val="clear" w:color="auto" w:fill="D9D9D9"/>
          </w:tcPr>
          <w:p>
            <w:pPr/>
          </w:p>
        </w:tc>
        <w:tc>
          <w:tcPr>
            <w:tcW w:w="1608" w:type="dxa"/>
            <w:tcBorders>
              <w:top w:val="single" w:sz="4" w:space="0" w:color="000000"/>
              <w:left w:val="single" w:sz="4" w:space="0" w:color="000000"/>
              <w:bottom w:val="single" w:sz="12" w:space="0" w:color="000000"/>
              <w:right w:val="single" w:sz="4" w:space="0" w:color="000000"/>
            </w:tcBorders>
            <w:shd w:val="clear" w:color="auto" w:fill="D9D9D9"/>
          </w:tcPr>
          <w:p>
            <w:pPr/>
          </w:p>
        </w:tc>
        <w:tc>
          <w:tcPr>
            <w:tcW w:w="1619" w:type="dxa"/>
            <w:tcBorders>
              <w:top w:val="single" w:sz="4" w:space="0" w:color="000000"/>
              <w:left w:val="single" w:sz="4" w:space="0" w:color="000000"/>
              <w:bottom w:val="single" w:sz="12" w:space="0" w:color="000000"/>
              <w:right w:val="single" w:sz="12" w:space="0" w:color="000000"/>
            </w:tcBorders>
            <w:shd w:val="clear" w:color="auto" w:fill="D9D9D9"/>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014"/>
        <w:gridCol w:w="1436"/>
        <w:gridCol w:w="1402"/>
        <w:gridCol w:w="1616"/>
        <w:gridCol w:w="1616"/>
        <w:gridCol w:w="1615"/>
      </w:tblGrid>
      <w:tr>
        <w:trPr>
          <w:trHeight w:val="413" w:hRule="exact"/>
        </w:trPr>
        <w:tc>
          <w:tcPr>
            <w:tcW w:w="201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4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171,446,137.23</w:t>
            </w:r>
          </w:p>
        </w:tc>
        <w:tc>
          <w:tcPr>
            <w:tcW w:w="14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9.42%</w:t>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155,183,424.45</w:t>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10.26%</w:t>
            </w:r>
          </w:p>
        </w:tc>
        <w:tc>
          <w:tcPr>
            <w:tcW w:w="161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10.48%</w:t>
            </w:r>
          </w:p>
        </w:tc>
      </w:tr>
      <w:tr>
        <w:trPr>
          <w:trHeight w:val="401" w:hRule="exact"/>
        </w:trPr>
        <w:tc>
          <w:tcPr>
            <w:tcW w:w="20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智慧安全系统解决方案</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355,027,792.24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19.51%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318,702,771.53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21.07%</w:t>
            </w:r>
          </w:p>
        </w:tc>
        <w:tc>
          <w:tcPr>
            <w:tcW w:w="16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11.40%</w:t>
            </w:r>
          </w:p>
        </w:tc>
      </w:tr>
      <w:tr>
        <w:trPr>
          <w:trHeight w:val="403" w:hRule="exact"/>
        </w:trPr>
        <w:tc>
          <w:tcPr>
            <w:tcW w:w="20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智慧环保系统解决方案</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382,368,305.90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427,287,751.18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28.25%</w:t>
            </w:r>
          </w:p>
        </w:tc>
        <w:tc>
          <w:tcPr>
            <w:tcW w:w="16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-10.51%</w:t>
            </w:r>
          </w:p>
        </w:tc>
      </w:tr>
      <w:tr>
        <w:trPr>
          <w:trHeight w:val="401" w:hRule="exact"/>
        </w:trPr>
        <w:tc>
          <w:tcPr>
            <w:tcW w:w="20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智慧市政系统解决方案</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758,097,394.38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41.66%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452,062,942.90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29.89%</w:t>
            </w:r>
          </w:p>
        </w:tc>
        <w:tc>
          <w:tcPr>
            <w:tcW w:w="16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67.70%</w:t>
            </w:r>
          </w:p>
        </w:tc>
      </w:tr>
      <w:tr>
        <w:trPr>
          <w:trHeight w:val="403" w:hRule="exact"/>
        </w:trPr>
        <w:tc>
          <w:tcPr>
            <w:tcW w:w="20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物联网平台解决方案</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102,738,659.89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106,620,739.54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w:t>
            </w:r>
          </w:p>
        </w:tc>
        <w:tc>
          <w:tcPr>
            <w:tcW w:w="16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-3.64%</w:t>
            </w:r>
          </w:p>
        </w:tc>
      </w:tr>
      <w:tr>
        <w:trPr>
          <w:trHeight w:val="401" w:hRule="exact"/>
        </w:trPr>
        <w:tc>
          <w:tcPr>
            <w:tcW w:w="20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49,802,197.41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52,472,959.26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c>
          <w:tcPr>
            <w:tcW w:w="16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-5.09%</w:t>
            </w:r>
          </w:p>
        </w:tc>
      </w:tr>
      <w:tr>
        <w:trPr>
          <w:trHeight w:val="403" w:hRule="exact"/>
        </w:trPr>
        <w:tc>
          <w:tcPr>
            <w:tcW w:w="9698"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20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1,755,396,640.79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96.48%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1,457,858,651.73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96.40%</w:t>
            </w:r>
          </w:p>
        </w:tc>
        <w:tc>
          <w:tcPr>
            <w:tcW w:w="16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20.41%</w:t>
            </w:r>
          </w:p>
        </w:tc>
      </w:tr>
      <w:tr>
        <w:trPr>
          <w:trHeight w:val="410" w:hRule="exact"/>
        </w:trPr>
        <w:tc>
          <w:tcPr>
            <w:tcW w:w="201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4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64,083,846.26</w:t>
            </w:r>
          </w:p>
        </w:tc>
        <w:tc>
          <w:tcPr>
            <w:tcW w:w="14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54,471,937.13</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c>
          <w:tcPr>
            <w:tcW w:w="16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17.65%</w:t>
            </w:r>
          </w:p>
        </w:tc>
      </w:tr>
    </w:tbl>
    <w:p>
      <w:pPr>
        <w:spacing w:line="240" w:lineRule="auto" w:before="6"/>
        <w:rPr>
          <w:rFonts w:ascii="宋体" w:hAnsi="宋体" w:cs="宋体" w:eastAsia="宋体" w:hint="default"/>
          <w:sz w:val="19"/>
          <w:szCs w:val="19"/>
        </w:rPr>
      </w:pPr>
    </w:p>
    <w:p>
      <w:pPr>
        <w:pStyle w:val="Heading4"/>
        <w:spacing w:line="240" w:lineRule="auto" w:before="36"/>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12"/>
        <w:gridCol w:w="1436"/>
        <w:gridCol w:w="1438"/>
        <w:gridCol w:w="860"/>
        <w:gridCol w:w="1294"/>
        <w:gridCol w:w="1294"/>
        <w:gridCol w:w="1366"/>
      </w:tblGrid>
      <w:tr>
        <w:trPr>
          <w:trHeight w:val="725" w:hRule="exact"/>
        </w:trPr>
        <w:tc>
          <w:tcPr>
            <w:tcW w:w="2012"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4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2" w:right="101" w:hanging="92"/>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2" w:right="101"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6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4" w:lineRule="auto" w:before="51"/>
              <w:ind w:left="408" w:right="36"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698"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2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1,819,480,487.05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1,247,935,555.28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20.31%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27.39%</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-3.82%</w:t>
            </w:r>
          </w:p>
        </w:tc>
      </w:tr>
      <w:tr>
        <w:trPr>
          <w:trHeight w:val="403" w:hRule="exact"/>
        </w:trPr>
        <w:tc>
          <w:tcPr>
            <w:tcW w:w="9698"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2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171,446,137.23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98,602,761.47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42.49%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21.75%</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-5.32%</w:t>
            </w:r>
          </w:p>
        </w:tc>
      </w:tr>
      <w:tr>
        <w:trPr>
          <w:trHeight w:val="403" w:hRule="exact"/>
        </w:trPr>
        <w:tc>
          <w:tcPr>
            <w:tcW w:w="2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智能仪表</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361,602,964.29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190,211,163.48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47.40%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24.87%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24.05%</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0.35%</w:t>
            </w:r>
          </w:p>
        </w:tc>
      </w:tr>
      <w:tr>
        <w:trPr>
          <w:trHeight w:val="401" w:hRule="exact"/>
        </w:trPr>
        <w:tc>
          <w:tcPr>
            <w:tcW w:w="2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物联网综合解决方案</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1,236,629,188.12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927,313,569.04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21.82%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30.24%</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-4.85%</w:t>
            </w:r>
          </w:p>
        </w:tc>
      </w:tr>
      <w:tr>
        <w:trPr>
          <w:trHeight w:val="403" w:hRule="exact"/>
        </w:trPr>
        <w:tc>
          <w:tcPr>
            <w:tcW w:w="201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分行业应用</w:t>
            </w:r>
          </w:p>
        </w:tc>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3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86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66" w:type="dxa"/>
            <w:tcBorders>
              <w:top w:val="single" w:sz="4" w:space="0" w:color="000000"/>
              <w:left w:val="single" w:sz="4" w:space="0" w:color="000000"/>
              <w:bottom w:val="single" w:sz="4" w:space="0" w:color="000000"/>
              <w:right w:val="single" w:sz="12" w:space="0" w:color="000000"/>
            </w:tcBorders>
            <w:shd w:val="clear" w:color="auto" w:fill="D9D9D9"/>
          </w:tcPr>
          <w:p>
            <w:pPr/>
          </w:p>
        </w:tc>
      </w:tr>
      <w:tr>
        <w:trPr>
          <w:trHeight w:val="401" w:hRule="exact"/>
        </w:trPr>
        <w:tc>
          <w:tcPr>
            <w:tcW w:w="2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171,446,137.23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98,602,761.47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42.49%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21.75%</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-5.32%</w:t>
            </w:r>
          </w:p>
        </w:tc>
      </w:tr>
      <w:tr>
        <w:trPr>
          <w:trHeight w:val="403" w:hRule="exact"/>
        </w:trPr>
        <w:tc>
          <w:tcPr>
            <w:tcW w:w="2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智慧安全系统解决方案</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355,027,792.24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180,810,218.36</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49.07%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1.53%</w:t>
            </w:r>
          </w:p>
        </w:tc>
      </w:tr>
      <w:tr>
        <w:trPr>
          <w:trHeight w:val="401" w:hRule="exact"/>
        </w:trPr>
        <w:tc>
          <w:tcPr>
            <w:tcW w:w="2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智慧环保系统解决方案</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382,368,305.90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293,031,513.70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-7.28%</w:t>
            </w:r>
          </w:p>
        </w:tc>
      </w:tr>
      <w:tr>
        <w:trPr>
          <w:trHeight w:val="403" w:hRule="exact"/>
        </w:trPr>
        <w:tc>
          <w:tcPr>
            <w:tcW w:w="2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智慧市政系统解决方案</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758,097,394.38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582,194,448.52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23.20%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67.70%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68.92%</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-0.56%</w:t>
            </w:r>
          </w:p>
        </w:tc>
      </w:tr>
      <w:tr>
        <w:trPr>
          <w:trHeight w:val="401" w:hRule="exact"/>
        </w:trPr>
        <w:tc>
          <w:tcPr>
            <w:tcW w:w="201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物联网平台解决方案</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102,738,659.89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61,488,551.94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40.15%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w:t>
            </w:r>
          </w:p>
        </w:tc>
        <w:tc>
          <w:tcPr>
            <w:tcW w:w="13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-6.26%</w:t>
            </w:r>
          </w:p>
        </w:tc>
      </w:tr>
      <w:tr>
        <w:trPr>
          <w:trHeight w:val="404" w:hRule="exact"/>
        </w:trPr>
        <w:tc>
          <w:tcPr>
            <w:tcW w:w="9698"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13" w:hRule="exact"/>
        </w:trPr>
        <w:tc>
          <w:tcPr>
            <w:tcW w:w="201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1,755,396,640.79</w:t>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1,213,550,208.68</w:t>
            </w:r>
          </w:p>
        </w:tc>
        <w:tc>
          <w:tcPr>
            <w:tcW w:w="8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30.87%</w:t>
            </w: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20.40%</w:t>
            </w: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27.68%</w:t>
            </w:r>
          </w:p>
        </w:tc>
        <w:tc>
          <w:tcPr>
            <w:tcW w:w="136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-3.93%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388"/>
        <w:gridCol w:w="1385"/>
        <w:gridCol w:w="1385"/>
        <w:gridCol w:w="1388"/>
        <w:gridCol w:w="1382"/>
        <w:gridCol w:w="1385"/>
        <w:gridCol w:w="1385"/>
      </w:tblGrid>
      <w:tr>
        <w:trPr>
          <w:trHeight w:val="398" w:hRule="exact"/>
        </w:trPr>
        <w:tc>
          <w:tcPr>
            <w:tcW w:w="1388"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85"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72"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68"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85"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88" w:type="dxa"/>
            <w:vMerge/>
            <w:tcBorders>
              <w:left w:val="single" w:sz="12"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85" w:type="dxa"/>
            <w:vMerge/>
            <w:tcBorders>
              <w:left w:val="single" w:sz="4" w:space="0" w:color="000000"/>
              <w:bottom w:val="single" w:sz="4" w:space="0" w:color="000000"/>
              <w:right w:val="single" w:sz="12" w:space="0" w:color="000000"/>
            </w:tcBorders>
            <w:shd w:val="clear" w:color="auto" w:fill="D2D2D2"/>
          </w:tcPr>
          <w:p>
            <w:pPr/>
          </w:p>
        </w:tc>
      </w:tr>
      <w:tr>
        <w:trPr>
          <w:trHeight w:val="401"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838,608,036.68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67.20%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628,512,602.96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64.16%</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3.04%</w:t>
            </w:r>
          </w:p>
        </w:tc>
      </w:tr>
      <w:tr>
        <w:trPr>
          <w:trHeight w:val="404"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139,175,020.31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130,928,425.24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13.37%</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-2.22%</w:t>
            </w:r>
          </w:p>
        </w:tc>
      </w:tr>
      <w:tr>
        <w:trPr>
          <w:trHeight w:val="410" w:hRule="exact"/>
        </w:trPr>
        <w:tc>
          <w:tcPr>
            <w:tcW w:w="13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物联网行业</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270,152,498.29</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21.65%</w:t>
            </w: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220,168,422.99</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22.48%</w:t>
            </w: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-0.83%</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报告期内合并范围新增</w:t>
      </w:r>
      <w:r>
        <w:rPr>
          <w:rFonts w:ascii="Times New Roman" w:hAnsi="Times New Roman" w:cs="Times New Roman" w:eastAsia="Times New Roman" w:hint="default"/>
          <w:sz w:val="18"/>
          <w:szCs w:val="18"/>
        </w:rPr>
        <w:t>2</w:t>
      </w:r>
      <w:r>
        <w:rPr>
          <w:rFonts w:ascii="宋体" w:hAnsi="宋体" w:cs="宋体" w:eastAsia="宋体" w:hint="default"/>
          <w:sz w:val="18"/>
          <w:szCs w:val="18"/>
        </w:rPr>
        <w:t>家，为山西腾星和汉威香港；减少</w:t>
      </w:r>
      <w:r>
        <w:rPr>
          <w:rFonts w:ascii="Times New Roman" w:hAnsi="Times New Roman" w:cs="Times New Roman" w:eastAsia="Times New Roman" w:hint="default"/>
          <w:sz w:val="18"/>
          <w:szCs w:val="18"/>
        </w:rPr>
        <w:t>1</w:t>
      </w:r>
      <w:r>
        <w:rPr>
          <w:rFonts w:ascii="宋体" w:hAnsi="宋体" w:cs="宋体" w:eastAsia="宋体" w:hint="default"/>
          <w:sz w:val="18"/>
          <w:szCs w:val="18"/>
        </w:rPr>
        <w:t>家，为北京威果。</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6"/>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454"/>
        <w:gridCol w:w="5243"/>
      </w:tblGrid>
      <w:tr>
        <w:trPr>
          <w:trHeight w:val="412" w:hRule="exact"/>
        </w:trPr>
        <w:tc>
          <w:tcPr>
            <w:tcW w:w="445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24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0"/>
              <w:ind w:right="12"/>
              <w:jc w:val="right"/>
              <w:rPr>
                <w:rFonts w:ascii="Times New Roman" w:hAnsi="Times New Roman" w:cs="Times New Roman" w:eastAsia="Times New Roman" w:hint="default"/>
                <w:sz w:val="18"/>
                <w:szCs w:val="18"/>
              </w:rPr>
            </w:pPr>
            <w:r>
              <w:rPr>
                <w:rFonts w:ascii="Times New Roman"/>
                <w:spacing w:val="-1"/>
                <w:sz w:val="18"/>
              </w:rPr>
              <w:t>244,678,014.24</w:t>
            </w:r>
          </w:p>
        </w:tc>
      </w:tr>
      <w:tr>
        <w:trPr>
          <w:trHeight w:val="401" w:hRule="exact"/>
        </w:trPr>
        <w:tc>
          <w:tcPr>
            <w:tcW w:w="445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2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13.45%</w:t>
            </w:r>
          </w:p>
        </w:tc>
      </w:tr>
      <w:tr>
        <w:trPr>
          <w:trHeight w:val="410" w:hRule="exact"/>
        </w:trPr>
        <w:tc>
          <w:tcPr>
            <w:tcW w:w="445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24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796"/>
        <w:gridCol w:w="3357"/>
        <w:gridCol w:w="2352"/>
        <w:gridCol w:w="3185"/>
      </w:tblGrid>
      <w:tr>
        <w:trPr>
          <w:trHeight w:val="412" w:hRule="exact"/>
        </w:trPr>
        <w:tc>
          <w:tcPr>
            <w:tcW w:w="79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5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8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4" w:hRule="exact"/>
        </w:trPr>
        <w:tc>
          <w:tcPr>
            <w:tcW w:w="79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7" w:right="0"/>
              <w:jc w:val="left"/>
              <w:rPr>
                <w:rFonts w:ascii="Times New Roman" w:hAnsi="Times New Roman" w:cs="Times New Roman" w:eastAsia="Times New Roman" w:hint="default"/>
                <w:sz w:val="18"/>
                <w:szCs w:val="18"/>
              </w:rPr>
            </w:pPr>
            <w:r>
              <w:rPr>
                <w:rFonts w:ascii="Times New Roman"/>
                <w:sz w:val="18"/>
              </w:rPr>
              <w:t>1</w:t>
            </w:r>
          </w:p>
        </w:tc>
        <w:tc>
          <w:tcPr>
            <w:tcW w:w="3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70,977,711.30</w:t>
            </w:r>
          </w:p>
        </w:tc>
        <w:tc>
          <w:tcPr>
            <w:tcW w:w="31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3.90%</w:t>
            </w:r>
          </w:p>
        </w:tc>
      </w:tr>
      <w:tr>
        <w:trPr>
          <w:trHeight w:val="401" w:hRule="exact"/>
        </w:trPr>
        <w:tc>
          <w:tcPr>
            <w:tcW w:w="79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7" w:right="0"/>
              <w:jc w:val="left"/>
              <w:rPr>
                <w:rFonts w:ascii="Times New Roman" w:hAnsi="Times New Roman" w:cs="Times New Roman" w:eastAsia="Times New Roman" w:hint="default"/>
                <w:sz w:val="18"/>
                <w:szCs w:val="18"/>
              </w:rPr>
            </w:pPr>
            <w:r>
              <w:rPr>
                <w:rFonts w:ascii="Times New Roman"/>
                <w:sz w:val="18"/>
              </w:rPr>
              <w:t>2</w:t>
            </w:r>
          </w:p>
        </w:tc>
        <w:tc>
          <w:tcPr>
            <w:tcW w:w="3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69,892,950.98</w:t>
            </w:r>
          </w:p>
        </w:tc>
        <w:tc>
          <w:tcPr>
            <w:tcW w:w="31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3.84%</w:t>
            </w:r>
          </w:p>
        </w:tc>
      </w:tr>
      <w:tr>
        <w:trPr>
          <w:trHeight w:val="403" w:hRule="exact"/>
        </w:trPr>
        <w:tc>
          <w:tcPr>
            <w:tcW w:w="79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7" w:right="0"/>
              <w:jc w:val="left"/>
              <w:rPr>
                <w:rFonts w:ascii="Times New Roman" w:hAnsi="Times New Roman" w:cs="Times New Roman" w:eastAsia="Times New Roman" w:hint="default"/>
                <w:sz w:val="18"/>
                <w:szCs w:val="18"/>
              </w:rPr>
            </w:pPr>
            <w:r>
              <w:rPr>
                <w:rFonts w:ascii="Times New Roman"/>
                <w:sz w:val="18"/>
              </w:rPr>
              <w:t>3</w:t>
            </w:r>
          </w:p>
        </w:tc>
        <w:tc>
          <w:tcPr>
            <w:tcW w:w="3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57,041,919.18</w:t>
            </w:r>
          </w:p>
        </w:tc>
        <w:tc>
          <w:tcPr>
            <w:tcW w:w="31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3.14%</w:t>
            </w:r>
          </w:p>
        </w:tc>
      </w:tr>
      <w:tr>
        <w:trPr>
          <w:trHeight w:val="401" w:hRule="exact"/>
        </w:trPr>
        <w:tc>
          <w:tcPr>
            <w:tcW w:w="79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7" w:right="0"/>
              <w:jc w:val="left"/>
              <w:rPr>
                <w:rFonts w:ascii="Times New Roman" w:hAnsi="Times New Roman" w:cs="Times New Roman" w:eastAsia="Times New Roman" w:hint="default"/>
                <w:sz w:val="18"/>
                <w:szCs w:val="18"/>
              </w:rPr>
            </w:pPr>
            <w:r>
              <w:rPr>
                <w:rFonts w:ascii="Times New Roman"/>
                <w:sz w:val="18"/>
              </w:rPr>
              <w:t>4</w:t>
            </w:r>
          </w:p>
        </w:tc>
        <w:tc>
          <w:tcPr>
            <w:tcW w:w="3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24,807,818.16</w:t>
            </w:r>
          </w:p>
        </w:tc>
        <w:tc>
          <w:tcPr>
            <w:tcW w:w="31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1.36%</w:t>
            </w:r>
          </w:p>
        </w:tc>
      </w:tr>
      <w:tr>
        <w:trPr>
          <w:trHeight w:val="403" w:hRule="exact"/>
        </w:trPr>
        <w:tc>
          <w:tcPr>
            <w:tcW w:w="79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7" w:right="0"/>
              <w:jc w:val="left"/>
              <w:rPr>
                <w:rFonts w:ascii="Times New Roman" w:hAnsi="Times New Roman" w:cs="Times New Roman" w:eastAsia="Times New Roman" w:hint="default"/>
                <w:sz w:val="18"/>
                <w:szCs w:val="18"/>
              </w:rPr>
            </w:pPr>
            <w:r>
              <w:rPr>
                <w:rFonts w:ascii="Times New Roman"/>
                <w:sz w:val="18"/>
              </w:rPr>
              <w:t>5</w:t>
            </w:r>
          </w:p>
        </w:tc>
        <w:tc>
          <w:tcPr>
            <w:tcW w:w="3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21,957,614.62</w:t>
            </w:r>
          </w:p>
        </w:tc>
        <w:tc>
          <w:tcPr>
            <w:tcW w:w="31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1.21%</w:t>
            </w:r>
          </w:p>
        </w:tc>
      </w:tr>
      <w:tr>
        <w:trPr>
          <w:trHeight w:val="410" w:hRule="exact"/>
        </w:trPr>
        <w:tc>
          <w:tcPr>
            <w:tcW w:w="79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5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52" w:type="dxa"/>
            <w:tcBorders>
              <w:top w:val="single" w:sz="4" w:space="0" w:color="000000"/>
              <w:left w:val="single" w:sz="12"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244,678,014.24</w:t>
            </w:r>
          </w:p>
        </w:tc>
        <w:tc>
          <w:tcPr>
            <w:tcW w:w="31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13.45%</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6"/>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304"/>
        <w:gridCol w:w="5393"/>
      </w:tblGrid>
      <w:tr>
        <w:trPr>
          <w:trHeight w:val="410" w:hRule="exact"/>
        </w:trPr>
        <w:tc>
          <w:tcPr>
            <w:tcW w:w="430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93" w:type="dxa"/>
            <w:tcBorders>
              <w:top w:val="single" w:sz="12" w:space="0" w:color="000000"/>
              <w:left w:val="single" w:sz="12" w:space="0" w:color="D2D2D2"/>
              <w:bottom w:val="single" w:sz="4" w:space="0" w:color="000000"/>
              <w:right w:val="single" w:sz="12" w:space="0" w:color="000000"/>
            </w:tcBorders>
          </w:tcPr>
          <w:p>
            <w:pPr>
              <w:pStyle w:val="TableParagraph"/>
              <w:spacing w:line="240" w:lineRule="auto" w:before="90"/>
              <w:ind w:right="12"/>
              <w:jc w:val="right"/>
              <w:rPr>
                <w:rFonts w:ascii="Times New Roman" w:hAnsi="Times New Roman" w:cs="Times New Roman" w:eastAsia="Times New Roman" w:hint="default"/>
                <w:sz w:val="18"/>
                <w:szCs w:val="18"/>
              </w:rPr>
            </w:pPr>
            <w:r>
              <w:rPr>
                <w:rFonts w:ascii="Times New Roman"/>
                <w:spacing w:val="-1"/>
                <w:sz w:val="18"/>
              </w:rPr>
              <w:t>234,046,896.95</w:t>
            </w:r>
          </w:p>
        </w:tc>
      </w:tr>
      <w:tr>
        <w:trPr>
          <w:trHeight w:val="402" w:hRule="exact"/>
        </w:trPr>
        <w:tc>
          <w:tcPr>
            <w:tcW w:w="430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93"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23.38%</w:t>
            </w:r>
          </w:p>
        </w:tc>
      </w:tr>
      <w:tr>
        <w:trPr>
          <w:trHeight w:val="722" w:hRule="exact"/>
        </w:trPr>
        <w:tc>
          <w:tcPr>
            <w:tcW w:w="430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49"/>
              <w:ind w:left="13" w:right="129"/>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93" w:type="dxa"/>
            <w:tcBorders>
              <w:top w:val="single" w:sz="4" w:space="0" w:color="000000"/>
              <w:left w:val="single" w:sz="12" w:space="0" w:color="D2D2D2"/>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4.56%</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926"/>
        <w:gridCol w:w="3227"/>
        <w:gridCol w:w="2352"/>
        <w:gridCol w:w="3185"/>
      </w:tblGrid>
      <w:tr>
        <w:trPr>
          <w:trHeight w:val="412" w:hRule="exact"/>
        </w:trPr>
        <w:tc>
          <w:tcPr>
            <w:tcW w:w="92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22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8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7" w:right="0"/>
              <w:jc w:val="left"/>
              <w:rPr>
                <w:rFonts w:ascii="Times New Roman" w:hAnsi="Times New Roman" w:cs="Times New Roman" w:eastAsia="Times New Roman" w:hint="default"/>
                <w:sz w:val="18"/>
                <w:szCs w:val="18"/>
              </w:rPr>
            </w:pPr>
            <w:r>
              <w:rPr>
                <w:rFonts w:ascii="Times New Roman"/>
                <w:sz w:val="18"/>
              </w:rPr>
              <w:t>1</w:t>
            </w:r>
          </w:p>
        </w:tc>
        <w:tc>
          <w:tcPr>
            <w:tcW w:w="32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143,093,177.98</w:t>
            </w:r>
          </w:p>
        </w:tc>
        <w:tc>
          <w:tcPr>
            <w:tcW w:w="31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14.29%</w:t>
            </w:r>
          </w:p>
        </w:tc>
      </w:tr>
      <w:tr>
        <w:trPr>
          <w:trHeight w:val="401" w:hRule="exact"/>
        </w:trPr>
        <w:tc>
          <w:tcPr>
            <w:tcW w:w="9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7" w:right="0"/>
              <w:jc w:val="left"/>
              <w:rPr>
                <w:rFonts w:ascii="Times New Roman" w:hAnsi="Times New Roman" w:cs="Times New Roman" w:eastAsia="Times New Roman" w:hint="default"/>
                <w:sz w:val="18"/>
                <w:szCs w:val="18"/>
              </w:rPr>
            </w:pPr>
            <w:r>
              <w:rPr>
                <w:rFonts w:ascii="Times New Roman"/>
                <w:sz w:val="18"/>
              </w:rPr>
              <w:t>2</w:t>
            </w:r>
          </w:p>
        </w:tc>
        <w:tc>
          <w:tcPr>
            <w:tcW w:w="32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45,633,184.50</w:t>
            </w:r>
          </w:p>
        </w:tc>
        <w:tc>
          <w:tcPr>
            <w:tcW w:w="31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4.56%</w:t>
            </w:r>
          </w:p>
        </w:tc>
      </w:tr>
      <w:tr>
        <w:trPr>
          <w:trHeight w:val="404" w:hRule="exact"/>
        </w:trPr>
        <w:tc>
          <w:tcPr>
            <w:tcW w:w="9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7" w:right="0"/>
              <w:jc w:val="left"/>
              <w:rPr>
                <w:rFonts w:ascii="Times New Roman" w:hAnsi="Times New Roman" w:cs="Times New Roman" w:eastAsia="Times New Roman" w:hint="default"/>
                <w:sz w:val="18"/>
                <w:szCs w:val="18"/>
              </w:rPr>
            </w:pPr>
            <w:r>
              <w:rPr>
                <w:rFonts w:ascii="Times New Roman"/>
                <w:sz w:val="18"/>
              </w:rPr>
              <w:t>3</w:t>
            </w:r>
          </w:p>
        </w:tc>
        <w:tc>
          <w:tcPr>
            <w:tcW w:w="32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21,621,515.30</w:t>
            </w:r>
          </w:p>
        </w:tc>
        <w:tc>
          <w:tcPr>
            <w:tcW w:w="31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2.16%</w:t>
            </w:r>
          </w:p>
        </w:tc>
      </w:tr>
      <w:tr>
        <w:trPr>
          <w:trHeight w:val="401" w:hRule="exact"/>
        </w:trPr>
        <w:tc>
          <w:tcPr>
            <w:tcW w:w="9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7" w:right="0"/>
              <w:jc w:val="left"/>
              <w:rPr>
                <w:rFonts w:ascii="Times New Roman" w:hAnsi="Times New Roman" w:cs="Times New Roman" w:eastAsia="Times New Roman" w:hint="default"/>
                <w:sz w:val="18"/>
                <w:szCs w:val="18"/>
              </w:rPr>
            </w:pPr>
            <w:r>
              <w:rPr>
                <w:rFonts w:ascii="Times New Roman"/>
                <w:sz w:val="18"/>
              </w:rPr>
              <w:t>4</w:t>
            </w:r>
          </w:p>
        </w:tc>
        <w:tc>
          <w:tcPr>
            <w:tcW w:w="32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13,506,009.21</w:t>
            </w:r>
          </w:p>
        </w:tc>
        <w:tc>
          <w:tcPr>
            <w:tcW w:w="31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1.35%</w:t>
            </w:r>
          </w:p>
        </w:tc>
      </w:tr>
      <w:tr>
        <w:trPr>
          <w:trHeight w:val="403" w:hRule="exact"/>
        </w:trPr>
        <w:tc>
          <w:tcPr>
            <w:tcW w:w="9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1"/>
              <w:ind w:left="7" w:right="0"/>
              <w:jc w:val="left"/>
              <w:rPr>
                <w:rFonts w:ascii="Times New Roman" w:hAnsi="Times New Roman" w:cs="Times New Roman" w:eastAsia="Times New Roman" w:hint="default"/>
                <w:sz w:val="18"/>
                <w:szCs w:val="18"/>
              </w:rPr>
            </w:pPr>
            <w:r>
              <w:rPr>
                <w:rFonts w:ascii="Times New Roman"/>
                <w:sz w:val="18"/>
              </w:rPr>
              <w:t>5</w:t>
            </w:r>
          </w:p>
        </w:tc>
        <w:tc>
          <w:tcPr>
            <w:tcW w:w="32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10,193,009.96</w:t>
            </w:r>
          </w:p>
        </w:tc>
        <w:tc>
          <w:tcPr>
            <w:tcW w:w="31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1.02%</w:t>
            </w:r>
          </w:p>
        </w:tc>
      </w:tr>
      <w:tr>
        <w:trPr>
          <w:trHeight w:val="410" w:hRule="exact"/>
        </w:trPr>
        <w:tc>
          <w:tcPr>
            <w:tcW w:w="92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2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52" w:type="dxa"/>
            <w:tcBorders>
              <w:top w:val="single" w:sz="4" w:space="0" w:color="000000"/>
              <w:left w:val="single" w:sz="12"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234,046,896.95</w:t>
            </w:r>
          </w:p>
        </w:tc>
        <w:tc>
          <w:tcPr>
            <w:tcW w:w="31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23.38%</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774"/>
        <w:gridCol w:w="2399"/>
        <w:gridCol w:w="2386"/>
        <w:gridCol w:w="2132"/>
      </w:tblGrid>
      <w:tr>
        <w:trPr>
          <w:trHeight w:val="412" w:hRule="exact"/>
        </w:trPr>
        <w:tc>
          <w:tcPr>
            <w:tcW w:w="2774"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239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8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3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70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7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127,540,709.72</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112,852,768.14</w:t>
            </w:r>
          </w:p>
        </w:tc>
        <w:tc>
          <w:tcPr>
            <w:tcW w:w="21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13.02%</w:t>
            </w:r>
          </w:p>
        </w:tc>
      </w:tr>
      <w:tr>
        <w:trPr>
          <w:trHeight w:val="401" w:hRule="exact"/>
        </w:trPr>
        <w:tc>
          <w:tcPr>
            <w:tcW w:w="27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176,663,088.46</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164,677,451.44</w:t>
            </w:r>
          </w:p>
        </w:tc>
        <w:tc>
          <w:tcPr>
            <w:tcW w:w="21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7.28%</w:t>
            </w:r>
          </w:p>
        </w:tc>
      </w:tr>
      <w:tr>
        <w:trPr>
          <w:trHeight w:val="403" w:hRule="exact"/>
        </w:trPr>
        <w:tc>
          <w:tcPr>
            <w:tcW w:w="27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46,475,529.03</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54,096,023.00</w:t>
            </w:r>
          </w:p>
        </w:tc>
        <w:tc>
          <w:tcPr>
            <w:tcW w:w="213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-14.09%</w:t>
            </w:r>
          </w:p>
        </w:tc>
      </w:tr>
      <w:tr>
        <w:trPr>
          <w:trHeight w:val="410" w:hRule="exact"/>
        </w:trPr>
        <w:tc>
          <w:tcPr>
            <w:tcW w:w="277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99"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134,348,539.08</w:t>
            </w:r>
          </w:p>
        </w:tc>
        <w:tc>
          <w:tcPr>
            <w:tcW w:w="2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106,686,836.36</w:t>
            </w:r>
          </w:p>
        </w:tc>
        <w:tc>
          <w:tcPr>
            <w:tcW w:w="213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25.93%</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776"/>
        <w:gridCol w:w="3121"/>
        <w:gridCol w:w="1248"/>
        <w:gridCol w:w="2653"/>
        <w:gridCol w:w="1872"/>
      </w:tblGrid>
      <w:tr>
        <w:trPr>
          <w:trHeight w:val="353" w:hRule="exact"/>
        </w:trPr>
        <w:tc>
          <w:tcPr>
            <w:tcW w:w="776"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21"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4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59" w:right="0"/>
              <w:jc w:val="left"/>
              <w:rPr>
                <w:rFonts w:ascii="宋体" w:hAnsi="宋体" w:cs="宋体" w:eastAsia="宋体" w:hint="default"/>
                <w:sz w:val="18"/>
                <w:szCs w:val="18"/>
              </w:rPr>
            </w:pPr>
            <w:r>
              <w:rPr>
                <w:rFonts w:ascii="宋体" w:hAnsi="宋体" w:cs="宋体" w:eastAsia="宋体" w:hint="default"/>
                <w:sz w:val="18"/>
                <w:szCs w:val="18"/>
              </w:rPr>
              <w:t>进展情况</w:t>
            </w:r>
          </w:p>
        </w:tc>
        <w:tc>
          <w:tcPr>
            <w:tcW w:w="2653"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780" w:right="0"/>
              <w:jc w:val="left"/>
              <w:rPr>
                <w:rFonts w:ascii="宋体" w:hAnsi="宋体" w:cs="宋体" w:eastAsia="宋体" w:hint="default"/>
                <w:sz w:val="18"/>
                <w:szCs w:val="18"/>
              </w:rPr>
            </w:pPr>
            <w:r>
              <w:rPr>
                <w:rFonts w:ascii="宋体" w:hAnsi="宋体" w:cs="宋体" w:eastAsia="宋体" w:hint="default"/>
                <w:sz w:val="18"/>
                <w:szCs w:val="18"/>
              </w:rPr>
              <w:t>拟达到的目标</w:t>
            </w:r>
          </w:p>
        </w:tc>
        <w:tc>
          <w:tcPr>
            <w:tcW w:w="1872"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17"/>
              <w:ind w:left="573" w:right="0"/>
              <w:jc w:val="left"/>
              <w:rPr>
                <w:rFonts w:ascii="宋体" w:hAnsi="宋体" w:cs="宋体" w:eastAsia="宋体" w:hint="default"/>
                <w:sz w:val="18"/>
                <w:szCs w:val="18"/>
              </w:rPr>
            </w:pPr>
            <w:r>
              <w:rPr>
                <w:rFonts w:ascii="宋体" w:hAnsi="宋体" w:cs="宋体" w:eastAsia="宋体" w:hint="default"/>
                <w:sz w:val="18"/>
                <w:szCs w:val="18"/>
              </w:rPr>
              <w:t>完成情况</w:t>
            </w:r>
          </w:p>
        </w:tc>
      </w:tr>
      <w:tr>
        <w:trPr>
          <w:trHeight w:val="341" w:hRule="exact"/>
        </w:trPr>
        <w:tc>
          <w:tcPr>
            <w:tcW w:w="776" w:type="dxa"/>
            <w:tcBorders>
              <w:top w:val="single" w:sz="8" w:space="0" w:color="000000"/>
              <w:left w:val="single" w:sz="12" w:space="0" w:color="000000"/>
              <w:bottom w:val="single" w:sz="4" w:space="0" w:color="000000"/>
              <w:right w:val="single" w:sz="4" w:space="0" w:color="000000"/>
            </w:tcBorders>
          </w:tcPr>
          <w:p>
            <w:pPr>
              <w:pStyle w:val="TableParagraph"/>
              <w:spacing w:line="240" w:lineRule="auto" w:before="13"/>
              <w:ind w:right="1"/>
              <w:jc w:val="center"/>
              <w:rPr>
                <w:rFonts w:ascii="宋体" w:hAnsi="宋体" w:cs="宋体" w:eastAsia="宋体" w:hint="default"/>
                <w:sz w:val="18"/>
                <w:szCs w:val="18"/>
              </w:rPr>
            </w:pPr>
            <w:r>
              <w:rPr>
                <w:rFonts w:ascii="宋体"/>
                <w:sz w:val="18"/>
              </w:rPr>
              <w:t>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荧光氧气传感器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设计开发</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月完成正式样机</w:t>
            </w:r>
          </w:p>
        </w:tc>
        <w:tc>
          <w:tcPr>
            <w:tcW w:w="18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设计开发进行中</w:t>
            </w:r>
          </w:p>
        </w:tc>
      </w:tr>
      <w:tr>
        <w:trPr>
          <w:trHeight w:val="343" w:hRule="exact"/>
        </w:trPr>
        <w:tc>
          <w:tcPr>
            <w:tcW w:w="7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水质多参数检测系统</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月完成验收</w:t>
            </w:r>
          </w:p>
        </w:tc>
        <w:tc>
          <w:tcPr>
            <w:tcW w:w="18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已正常使用</w:t>
            </w:r>
          </w:p>
        </w:tc>
      </w:tr>
      <w:tr>
        <w:trPr>
          <w:trHeight w:val="341" w:hRule="exact"/>
        </w:trPr>
        <w:tc>
          <w:tcPr>
            <w:tcW w:w="7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防汛应急指挥系统</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月完成验收</w:t>
            </w:r>
          </w:p>
        </w:tc>
        <w:tc>
          <w:tcPr>
            <w:tcW w:w="18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已正常使用</w:t>
            </w:r>
          </w:p>
        </w:tc>
      </w:tr>
      <w:tr>
        <w:trPr>
          <w:trHeight w:val="343" w:hRule="exact"/>
        </w:trPr>
        <w:tc>
          <w:tcPr>
            <w:tcW w:w="7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HGDS1000</w:t>
            </w:r>
            <w:r>
              <w:rPr>
                <w:rFonts w:ascii="宋体" w:hAnsi="宋体" w:cs="宋体" w:eastAsia="宋体" w:hint="default"/>
                <w:sz w:val="18"/>
                <w:szCs w:val="18"/>
              </w:rPr>
              <w:t>可编程安全控制系统</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月完成验收</w:t>
            </w:r>
          </w:p>
        </w:tc>
        <w:tc>
          <w:tcPr>
            <w:tcW w:w="18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已正常使用</w:t>
            </w:r>
          </w:p>
        </w:tc>
      </w:tr>
      <w:tr>
        <w:trPr>
          <w:trHeight w:val="341" w:hRule="exact"/>
        </w:trPr>
        <w:tc>
          <w:tcPr>
            <w:tcW w:w="7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5</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红外热电堆传感器项目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月完成验收</w:t>
            </w:r>
          </w:p>
        </w:tc>
        <w:tc>
          <w:tcPr>
            <w:tcW w:w="18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已正常使用</w:t>
            </w:r>
          </w:p>
        </w:tc>
      </w:tr>
      <w:tr>
        <w:trPr>
          <w:trHeight w:val="343" w:hRule="exact"/>
        </w:trPr>
        <w:tc>
          <w:tcPr>
            <w:tcW w:w="7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6</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新型水质检测传感器</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设计开发</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月完成验收</w:t>
            </w:r>
          </w:p>
        </w:tc>
        <w:tc>
          <w:tcPr>
            <w:tcW w:w="18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设计开发进行中</w:t>
            </w:r>
          </w:p>
        </w:tc>
      </w:tr>
      <w:tr>
        <w:trPr>
          <w:trHeight w:val="341" w:hRule="exact"/>
        </w:trPr>
        <w:tc>
          <w:tcPr>
            <w:tcW w:w="7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7</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车载遥测仪</w:t>
            </w:r>
            <w:r>
              <w:rPr>
                <w:rFonts w:ascii="宋体" w:hAnsi="宋体" w:cs="宋体" w:eastAsia="宋体" w:hint="default"/>
                <w:sz w:val="18"/>
                <w:szCs w:val="18"/>
              </w:rPr>
              <w:t>II</w:t>
            </w:r>
            <w:r>
              <w:rPr>
                <w:rFonts w:ascii="宋体" w:hAnsi="宋体" w:cs="宋体" w:eastAsia="宋体" w:hint="default"/>
                <w:sz w:val="18"/>
                <w:szCs w:val="18"/>
              </w:rPr>
              <w:t>代</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月完成验收</w:t>
            </w:r>
          </w:p>
        </w:tc>
        <w:tc>
          <w:tcPr>
            <w:tcW w:w="18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43" w:hRule="exact"/>
        </w:trPr>
        <w:tc>
          <w:tcPr>
            <w:tcW w:w="77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8</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垃圾渗滤液技术研发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设计开发</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月完成验收</w:t>
            </w:r>
          </w:p>
        </w:tc>
        <w:tc>
          <w:tcPr>
            <w:tcW w:w="18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设计开发进行中</w:t>
            </w:r>
          </w:p>
        </w:tc>
      </w:tr>
      <w:tr>
        <w:trPr>
          <w:trHeight w:val="353" w:hRule="exact"/>
        </w:trPr>
        <w:tc>
          <w:tcPr>
            <w:tcW w:w="77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9</w:t>
            </w:r>
          </w:p>
        </w:tc>
        <w:tc>
          <w:tcPr>
            <w:tcW w:w="3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二三维</w:t>
            </w:r>
            <w:r>
              <w:rPr>
                <w:rFonts w:ascii="宋体" w:hAnsi="宋体" w:cs="宋体" w:eastAsia="宋体" w:hint="default"/>
                <w:sz w:val="18"/>
                <w:szCs w:val="18"/>
              </w:rPr>
              <w:t>GIS</w:t>
            </w:r>
            <w:r>
              <w:rPr>
                <w:rFonts w:ascii="宋体" w:hAnsi="宋体" w:cs="宋体" w:eastAsia="宋体" w:hint="default"/>
                <w:sz w:val="18"/>
                <w:szCs w:val="18"/>
              </w:rPr>
              <w:t>应用研发</w:t>
            </w:r>
          </w:p>
        </w:tc>
        <w:tc>
          <w:tcPr>
            <w:tcW w:w="12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26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月完成验收</w:t>
            </w:r>
          </w:p>
        </w:tc>
        <w:tc>
          <w:tcPr>
            <w:tcW w:w="187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已正常使用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144"/>
        <w:gridCol w:w="2166"/>
        <w:gridCol w:w="2153"/>
        <w:gridCol w:w="2228"/>
      </w:tblGrid>
      <w:tr>
        <w:trPr>
          <w:trHeight w:val="409" w:hRule="exact"/>
        </w:trPr>
        <w:tc>
          <w:tcPr>
            <w:tcW w:w="3144"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21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5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2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31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704</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636</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520</w:t>
            </w:r>
          </w:p>
        </w:tc>
      </w:tr>
      <w:tr>
        <w:trPr>
          <w:trHeight w:val="401" w:hRule="exact"/>
        </w:trPr>
        <w:tc>
          <w:tcPr>
            <w:tcW w:w="31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28.86%</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28.88%</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25.97%</w:t>
            </w:r>
          </w:p>
        </w:tc>
      </w:tr>
      <w:tr>
        <w:trPr>
          <w:trHeight w:val="403" w:hRule="exact"/>
        </w:trPr>
        <w:tc>
          <w:tcPr>
            <w:tcW w:w="31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134,348,539.08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106,686,836.36</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91,097,376.27</w:t>
            </w:r>
          </w:p>
        </w:tc>
      </w:tr>
      <w:tr>
        <w:trPr>
          <w:trHeight w:val="401" w:hRule="exact"/>
        </w:trPr>
        <w:tc>
          <w:tcPr>
            <w:tcW w:w="31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6.31%</w:t>
            </w:r>
          </w:p>
        </w:tc>
      </w:tr>
      <w:tr>
        <w:trPr>
          <w:trHeight w:val="403" w:hRule="exact"/>
        </w:trPr>
        <w:tc>
          <w:tcPr>
            <w:tcW w:w="31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0.00%</w:t>
            </w:r>
          </w:p>
        </w:tc>
      </w:tr>
      <w:tr>
        <w:trPr>
          <w:trHeight w:val="410" w:hRule="exact"/>
        </w:trPr>
        <w:tc>
          <w:tcPr>
            <w:tcW w:w="314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66" w:type="dxa"/>
            <w:tcBorders>
              <w:top w:val="single" w:sz="4" w:space="0" w:color="000000"/>
              <w:left w:val="single" w:sz="12" w:space="0" w:color="D2D2D2"/>
              <w:bottom w:val="single" w:sz="12"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21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22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8"/>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714"/>
        <w:gridCol w:w="2452"/>
        <w:gridCol w:w="2297"/>
        <w:gridCol w:w="2228"/>
      </w:tblGrid>
      <w:tr>
        <w:trPr>
          <w:trHeight w:val="412" w:hRule="exact"/>
        </w:trPr>
        <w:tc>
          <w:tcPr>
            <w:tcW w:w="271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4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2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71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1,985,628,254.19</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2,172,992,441.66</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-8.62%</w:t>
            </w:r>
          </w:p>
        </w:tc>
      </w:tr>
      <w:tr>
        <w:trPr>
          <w:trHeight w:val="401" w:hRule="exact"/>
        </w:trPr>
        <w:tc>
          <w:tcPr>
            <w:tcW w:w="271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1,660,033,620.87</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1,644,328,730.90</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0.96%</w:t>
            </w:r>
          </w:p>
        </w:tc>
      </w:tr>
      <w:tr>
        <w:trPr>
          <w:trHeight w:val="403" w:hRule="exact"/>
        </w:trPr>
        <w:tc>
          <w:tcPr>
            <w:tcW w:w="271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325,594,633.32</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528,663,710.76</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-38.41%</w:t>
            </w:r>
          </w:p>
        </w:tc>
      </w:tr>
      <w:tr>
        <w:trPr>
          <w:trHeight w:val="401" w:hRule="exact"/>
        </w:trPr>
        <w:tc>
          <w:tcPr>
            <w:tcW w:w="271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1,074,537,491.03</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1,250,637,980.89</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-14.08%</w:t>
            </w:r>
          </w:p>
        </w:tc>
      </w:tr>
      <w:tr>
        <w:trPr>
          <w:trHeight w:val="403" w:hRule="exact"/>
        </w:trPr>
        <w:tc>
          <w:tcPr>
            <w:tcW w:w="271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1,384,380,283.56</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1,286,917,510.24</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7.57%</w:t>
            </w:r>
          </w:p>
        </w:tc>
      </w:tr>
      <w:tr>
        <w:trPr>
          <w:trHeight w:val="401" w:hRule="exact"/>
        </w:trPr>
        <w:tc>
          <w:tcPr>
            <w:tcW w:w="271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-309,842,792.53</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-36,279,529.35</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-754.04%</w:t>
            </w:r>
          </w:p>
        </w:tc>
      </w:tr>
      <w:tr>
        <w:trPr>
          <w:trHeight w:val="403" w:hRule="exact"/>
        </w:trPr>
        <w:tc>
          <w:tcPr>
            <w:tcW w:w="271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377,569,471.97</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684,415,944.00</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-44.83%</w:t>
            </w:r>
          </w:p>
        </w:tc>
      </w:tr>
      <w:tr>
        <w:trPr>
          <w:trHeight w:val="401" w:hRule="exact"/>
        </w:trPr>
        <w:tc>
          <w:tcPr>
            <w:tcW w:w="271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642,177,572.50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500,164,560.39</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28.39%</w:t>
            </w:r>
          </w:p>
        </w:tc>
      </w:tr>
      <w:tr>
        <w:trPr>
          <w:trHeight w:val="403" w:hRule="exact"/>
        </w:trPr>
        <w:tc>
          <w:tcPr>
            <w:tcW w:w="271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-264,608,100.53</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184,251,383.61</w:t>
            </w:r>
          </w:p>
        </w:tc>
        <w:tc>
          <w:tcPr>
            <w:tcW w:w="22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-243.61%</w:t>
            </w:r>
          </w:p>
        </w:tc>
      </w:tr>
      <w:tr>
        <w:trPr>
          <w:trHeight w:val="410" w:hRule="exact"/>
        </w:trPr>
        <w:tc>
          <w:tcPr>
            <w:tcW w:w="271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52"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-248,411,766.32</w:t>
            </w:r>
          </w:p>
        </w:tc>
        <w:tc>
          <w:tcPr>
            <w:tcW w:w="22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677,119,717.30</w:t>
            </w:r>
          </w:p>
        </w:tc>
        <w:tc>
          <w:tcPr>
            <w:tcW w:w="222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-136.69%</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left="573" w:right="0"/>
        <w:jc w:val="left"/>
      </w:pPr>
      <w:r>
        <w:rPr/>
        <w:t>经营活动产生的现金流量净额减少</w:t>
      </w:r>
      <w:r>
        <w:rPr>
          <w:rFonts w:ascii="宋体" w:hAnsi="宋体" w:cs="宋体" w:eastAsia="宋体" w:hint="default"/>
        </w:rPr>
        <w:t>38.41%</w:t>
      </w:r>
      <w:r>
        <w:rPr/>
        <w:t>，主要系报告期内集中支付以前年度的代收代付款所致。</w:t>
      </w:r>
      <w:r>
        <w:rPr>
          <w:w w:val="100"/>
        </w:rPr>
        <w:t> </w:t>
      </w:r>
      <w:r>
        <w:rPr/>
        <w:t>投资活动产生的现金流量净额减少</w:t>
      </w:r>
      <w:r>
        <w:rPr>
          <w:rFonts w:ascii="宋体" w:hAnsi="宋体" w:cs="宋体" w:eastAsia="宋体" w:hint="default"/>
        </w:rPr>
        <w:t>754.04%</w:t>
      </w:r>
      <w:r>
        <w:rPr/>
        <w:t>，主要系报告期内投资建设管网等长期资产增加所致。</w:t>
      </w:r>
      <w:r>
        <w:rPr>
          <w:w w:val="100"/>
        </w:rPr>
        <w:t> </w:t>
      </w:r>
      <w:r>
        <w:rPr>
          <w:spacing w:val="-2"/>
        </w:rPr>
        <w:t>筹资活动产生的现金流量净额减少</w:t>
      </w:r>
      <w:r>
        <w:rPr>
          <w:rFonts w:ascii="宋体" w:hAnsi="宋体" w:cs="宋体" w:eastAsia="宋体" w:hint="default"/>
          <w:spacing w:val="-2"/>
        </w:rPr>
        <w:t>243.61%</w:t>
      </w:r>
      <w:r>
        <w:rPr>
          <w:spacing w:val="-2"/>
        </w:rPr>
        <w:t>，主要系报告期内公司借款收到现金较上年同期减少所致。</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firstLine="420"/>
        <w:jc w:val="left"/>
      </w:pPr>
      <w:r>
        <w:rPr>
          <w:spacing w:val="2"/>
        </w:rPr>
        <w:t>报告期内公司经营活动产生的现金流量净额与本年度净利润存在差异的主要原因为经营性应收的增</w:t>
      </w:r>
      <w:r>
        <w:rPr>
          <w:w w:val="100"/>
        </w:rPr>
        <w:t> </w:t>
      </w:r>
      <w:r>
        <w:rPr/>
        <w:t>加及各种资产减值、折旧、摊销增加所致。</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三、非主营业务情况" w:id="40"/>
      <w:bookmarkEnd w:id="40"/>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4"/>
        <w:gridCol w:w="1942"/>
        <w:gridCol w:w="1644"/>
        <w:gridCol w:w="2484"/>
        <w:gridCol w:w="2084"/>
      </w:tblGrid>
      <w:tr>
        <w:trPr>
          <w:trHeight w:val="412" w:hRule="exact"/>
        </w:trPr>
        <w:tc>
          <w:tcPr>
            <w:tcW w:w="1544"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94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8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48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69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08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31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1" w:hRule="exact"/>
        </w:trPr>
        <w:tc>
          <w:tcPr>
            <w:tcW w:w="154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34,096,965.92</w:t>
            </w:r>
          </w:p>
        </w:tc>
        <w:tc>
          <w:tcPr>
            <w:tcW w:w="1644"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主要系结构性存款利息收入</w:t>
            </w:r>
          </w:p>
        </w:tc>
        <w:tc>
          <w:tcPr>
            <w:tcW w:w="20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4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-227,977,634.17</w:t>
            </w:r>
          </w:p>
        </w:tc>
        <w:tc>
          <w:tcPr>
            <w:tcW w:w="1644"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主要系计提商誉减值准备</w:t>
            </w:r>
          </w:p>
        </w:tc>
        <w:tc>
          <w:tcPr>
            <w:tcW w:w="20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44"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137,272,006.63</w:t>
            </w:r>
          </w:p>
        </w:tc>
        <w:tc>
          <w:tcPr>
            <w:tcW w:w="1644"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与日常活动相关的政府补助</w:t>
            </w:r>
          </w:p>
        </w:tc>
        <w:tc>
          <w:tcPr>
            <w:tcW w:w="20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1544"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-13,643,031.74</w:t>
            </w:r>
          </w:p>
        </w:tc>
        <w:tc>
          <w:tcPr>
            <w:tcW w:w="1644" w:type="dxa"/>
            <w:tcBorders>
              <w:top w:val="single" w:sz="4" w:space="0" w:color="000000"/>
              <w:left w:val="single" w:sz="4" w:space="0" w:color="000000"/>
              <w:bottom w:val="single" w:sz="12" w:space="0" w:color="000000"/>
              <w:right w:val="single" w:sz="4" w:space="0" w:color="000000"/>
            </w:tcBorders>
          </w:tcPr>
          <w:p>
            <w:pPr/>
          </w:p>
        </w:tc>
        <w:tc>
          <w:tcPr>
            <w:tcW w:w="24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主要系坏账准备</w:t>
            </w:r>
          </w:p>
        </w:tc>
        <w:tc>
          <w:tcPr>
            <w:tcW w:w="20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70"/>
        <w:gridCol w:w="1497"/>
        <w:gridCol w:w="1294"/>
        <w:gridCol w:w="1438"/>
        <w:gridCol w:w="1435"/>
        <w:gridCol w:w="1150"/>
        <w:gridCol w:w="1507"/>
      </w:tblGrid>
      <w:tr>
        <w:trPr>
          <w:trHeight w:val="215" w:hRule="exact"/>
        </w:trPr>
        <w:tc>
          <w:tcPr>
            <w:tcW w:w="1370" w:type="dxa"/>
            <w:tcBorders>
              <w:top w:val="single" w:sz="12" w:space="0" w:color="000000"/>
              <w:left w:val="single" w:sz="12" w:space="0" w:color="000000"/>
              <w:bottom w:val="nil" w:sz="6" w:space="0" w:color="auto"/>
              <w:right w:val="single" w:sz="4" w:space="0" w:color="000000"/>
            </w:tcBorders>
            <w:shd w:val="clear" w:color="auto" w:fill="D2D2D2"/>
          </w:tcPr>
          <w:p>
            <w:pPr/>
          </w:p>
        </w:tc>
        <w:tc>
          <w:tcPr>
            <w:tcW w:w="2791"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47"/>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73"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4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1150" w:type="dxa"/>
            <w:tcBorders>
              <w:top w:val="single" w:sz="12" w:space="0" w:color="000000"/>
              <w:left w:val="single" w:sz="4" w:space="0" w:color="000000"/>
              <w:bottom w:val="nil" w:sz="6" w:space="0" w:color="auto"/>
              <w:right w:val="single" w:sz="4" w:space="0" w:color="000000"/>
            </w:tcBorders>
            <w:shd w:val="clear" w:color="auto" w:fill="D2D2D2"/>
          </w:tcPr>
          <w:p>
            <w:pPr/>
          </w:p>
        </w:tc>
        <w:tc>
          <w:tcPr>
            <w:tcW w:w="1507"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92" w:hRule="exact"/>
        </w:trPr>
        <w:tc>
          <w:tcPr>
            <w:tcW w:w="1370" w:type="dxa"/>
            <w:vMerge w:val="restart"/>
            <w:tcBorders>
              <w:top w:val="nil" w:sz="6" w:space="0" w:color="auto"/>
              <w:left w:val="single" w:sz="12" w:space="0" w:color="000000"/>
              <w:right w:val="single" w:sz="4" w:space="0" w:color="000000"/>
            </w:tcBorders>
            <w:shd w:val="clear" w:color="auto" w:fill="D2D2D2"/>
          </w:tcPr>
          <w:p>
            <w:pPr/>
          </w:p>
        </w:tc>
        <w:tc>
          <w:tcPr>
            <w:tcW w:w="2791" w:type="dxa"/>
            <w:gridSpan w:val="2"/>
            <w:vMerge/>
            <w:tcBorders>
              <w:left w:val="single" w:sz="4" w:space="0" w:color="000000"/>
              <w:bottom w:val="single" w:sz="4" w:space="0" w:color="000000"/>
              <w:right w:val="single" w:sz="4" w:space="0" w:color="000000"/>
            </w:tcBorders>
            <w:shd w:val="clear" w:color="auto" w:fill="D2D2D2"/>
          </w:tcPr>
          <w:p>
            <w:pPr/>
          </w:p>
        </w:tc>
        <w:tc>
          <w:tcPr>
            <w:tcW w:w="2873" w:type="dxa"/>
            <w:gridSpan w:val="2"/>
            <w:vMerge/>
            <w:tcBorders>
              <w:left w:val="single" w:sz="4" w:space="0" w:color="000000"/>
              <w:bottom w:val="single" w:sz="4" w:space="0" w:color="000000"/>
              <w:right w:val="single" w:sz="4" w:space="0" w:color="000000"/>
            </w:tcBorders>
            <w:shd w:val="clear" w:color="auto" w:fill="D2D2D2"/>
          </w:tcPr>
          <w:p>
            <w:pP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1507"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2" w:hRule="exact"/>
        </w:trPr>
        <w:tc>
          <w:tcPr>
            <w:tcW w:w="1370" w:type="dxa"/>
            <w:vMerge/>
            <w:tcBorders>
              <w:left w:val="single" w:sz="12" w:space="0" w:color="000000"/>
              <w:bottom w:val="nil" w:sz="6" w:space="0" w:color="auto"/>
              <w:right w:val="single" w:sz="4" w:space="0" w:color="000000"/>
            </w:tcBorders>
            <w:shd w:val="clear" w:color="auto" w:fill="D2D2D2"/>
          </w:tcPr>
          <w:p>
            <w:pPr/>
          </w:p>
        </w:tc>
        <w:tc>
          <w:tcPr>
            <w:tcW w:w="14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150" w:type="dxa"/>
            <w:vMerge/>
            <w:tcBorders>
              <w:left w:val="single" w:sz="4" w:space="0" w:color="000000"/>
              <w:bottom w:val="nil" w:sz="6" w:space="0" w:color="auto"/>
              <w:right w:val="single" w:sz="4" w:space="0" w:color="000000"/>
            </w:tcBorders>
            <w:shd w:val="clear" w:color="auto" w:fill="D2D2D2"/>
          </w:tcPr>
          <w:p>
            <w:pPr/>
          </w:p>
        </w:tc>
        <w:tc>
          <w:tcPr>
            <w:tcW w:w="1507" w:type="dxa"/>
            <w:vMerge/>
            <w:tcBorders>
              <w:left w:val="single" w:sz="4" w:space="0" w:color="000000"/>
              <w:bottom w:val="nil" w:sz="6" w:space="0" w:color="auto"/>
              <w:right w:val="single" w:sz="12" w:space="0" w:color="000000"/>
            </w:tcBorders>
            <w:shd w:val="clear" w:color="auto" w:fill="D2D2D2"/>
          </w:tcPr>
          <w:p>
            <w:pPr/>
          </w:p>
        </w:tc>
      </w:tr>
      <w:tr>
        <w:trPr>
          <w:trHeight w:val="204" w:hRule="exact"/>
        </w:trPr>
        <w:tc>
          <w:tcPr>
            <w:tcW w:w="1370" w:type="dxa"/>
            <w:tcBorders>
              <w:top w:val="nil" w:sz="6" w:space="0" w:color="auto"/>
              <w:left w:val="single" w:sz="12" w:space="0" w:color="000000"/>
              <w:bottom w:val="single" w:sz="4" w:space="0" w:color="000000"/>
              <w:right w:val="single" w:sz="4" w:space="0" w:color="000000"/>
            </w:tcBorders>
            <w:shd w:val="clear" w:color="auto" w:fill="D2D2D2"/>
          </w:tcPr>
          <w:p>
            <w:pPr/>
          </w:p>
        </w:tc>
        <w:tc>
          <w:tcPr>
            <w:tcW w:w="1497" w:type="dxa"/>
            <w:vMerge/>
            <w:tcBorders>
              <w:left w:val="single" w:sz="4" w:space="0" w:color="000000"/>
              <w:bottom w:val="single" w:sz="4" w:space="0" w:color="000000"/>
              <w:right w:val="single" w:sz="4" w:space="0" w:color="000000"/>
            </w:tcBorders>
            <w:shd w:val="clear" w:color="auto" w:fill="D2D2D2"/>
          </w:tcPr>
          <w:p>
            <w:pPr/>
          </w:p>
        </w:tc>
        <w:tc>
          <w:tcPr>
            <w:tcW w:w="1294" w:type="dxa"/>
            <w:vMerge/>
            <w:tcBorders>
              <w:left w:val="single" w:sz="4" w:space="0" w:color="000000"/>
              <w:bottom w:val="single" w:sz="4" w:space="0" w:color="000000"/>
              <w:right w:val="single" w:sz="4" w:space="0" w:color="000000"/>
            </w:tcBorders>
            <w:shd w:val="clear" w:color="auto" w:fill="D2D2D2"/>
          </w:tcPr>
          <w:p>
            <w:pPr/>
          </w:p>
        </w:tc>
        <w:tc>
          <w:tcPr>
            <w:tcW w:w="1438" w:type="dxa"/>
            <w:vMerge/>
            <w:tcBorders>
              <w:left w:val="single" w:sz="4" w:space="0" w:color="000000"/>
              <w:bottom w:val="single" w:sz="4" w:space="0" w:color="000000"/>
              <w:right w:val="single" w:sz="4" w:space="0" w:color="000000"/>
            </w:tcBorders>
            <w:shd w:val="clear" w:color="auto" w:fill="D2D2D2"/>
          </w:tcPr>
          <w:p>
            <w:pPr/>
          </w:p>
        </w:tc>
        <w:tc>
          <w:tcPr>
            <w:tcW w:w="1435" w:type="dxa"/>
            <w:vMerge/>
            <w:tcBorders>
              <w:left w:val="single" w:sz="4" w:space="0" w:color="000000"/>
              <w:bottom w:val="single" w:sz="4" w:space="0" w:color="000000"/>
              <w:right w:val="single" w:sz="4" w:space="0" w:color="000000"/>
            </w:tcBorders>
            <w:shd w:val="clear" w:color="auto" w:fill="D2D2D2"/>
          </w:tcPr>
          <w:p>
            <w:pPr/>
          </w:p>
        </w:tc>
        <w:tc>
          <w:tcPr>
            <w:tcW w:w="11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7"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4" w:hRule="exact"/>
        </w:trPr>
        <w:tc>
          <w:tcPr>
            <w:tcW w:w="13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1,210,744,890.60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25.21%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1,452,520,751.04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28.67%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w:t>
            </w:r>
          </w:p>
        </w:tc>
        <w:tc>
          <w:tcPr>
            <w:tcW w:w="150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3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585,121,873.08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466,862,655.79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c>
          <w:tcPr>
            <w:tcW w:w="150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416,303,231.90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407,907,845.25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50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3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275,569,339.49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184,700,496.44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w:t>
            </w:r>
          </w:p>
        </w:tc>
        <w:tc>
          <w:tcPr>
            <w:tcW w:w="150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107,938,054.11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95,841,901.94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50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3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888,345,459.02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18.49%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857,714,936.00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16.93%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50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368,089,906.23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225,049,799.70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c>
          <w:tcPr>
            <w:tcW w:w="150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3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195,650,000.00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c>
          <w:tcPr>
            <w:tcW w:w="1507"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137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97" w:type="dxa"/>
            <w:tcBorders>
              <w:top w:val="single" w:sz="4" w:space="0" w:color="000000"/>
              <w:left w:val="single" w:sz="12" w:space="0" w:color="D2D2D2"/>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446,048,595.04</w:t>
            </w:r>
          </w:p>
        </w:tc>
        <w:tc>
          <w:tcPr>
            <w:tcW w:w="12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w:t>
            </w:r>
          </w:p>
        </w:tc>
        <w:tc>
          <w:tcPr>
            <w:tcW w:w="14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670,350,927.63</w:t>
            </w:r>
          </w:p>
        </w:tc>
        <w:tc>
          <w:tcPr>
            <w:tcW w:w="14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13.23%</w:t>
            </w:r>
          </w:p>
        </w:tc>
        <w:tc>
          <w:tcPr>
            <w:tcW w:w="11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c>
          <w:tcPr>
            <w:tcW w:w="1507"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6"/>
        <w:rPr>
          <w:rFonts w:ascii="宋体" w:hAnsi="宋体" w:cs="宋体" w:eastAsia="宋体" w:hint="default"/>
          <w:sz w:val="19"/>
          <w:szCs w:val="19"/>
        </w:rPr>
      </w:pPr>
    </w:p>
    <w:p>
      <w:pPr>
        <w:pStyle w:val="Heading4"/>
        <w:spacing w:line="240" w:lineRule="auto" w:before="36"/>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986"/>
        <w:gridCol w:w="1092"/>
        <w:gridCol w:w="1069"/>
        <w:gridCol w:w="1202"/>
        <w:gridCol w:w="936"/>
        <w:gridCol w:w="1202"/>
        <w:gridCol w:w="1068"/>
        <w:gridCol w:w="920"/>
        <w:gridCol w:w="1222"/>
      </w:tblGrid>
      <w:tr>
        <w:trPr>
          <w:trHeight w:val="1044" w:hRule="exact"/>
        </w:trPr>
        <w:tc>
          <w:tcPr>
            <w:tcW w:w="986"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9"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02"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16" w:lineRule="auto" w:before="51"/>
              <w:ind w:left="57" w:right="53"/>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36"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91" w:right="101"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2"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06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39" w:right="77"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22"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5"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969"/>
        <w:gridCol w:w="1103"/>
        <w:gridCol w:w="1069"/>
        <w:gridCol w:w="1202"/>
        <w:gridCol w:w="936"/>
        <w:gridCol w:w="1202"/>
        <w:gridCol w:w="1068"/>
        <w:gridCol w:w="920"/>
        <w:gridCol w:w="1222"/>
      </w:tblGrid>
      <w:tr>
        <w:trPr>
          <w:trHeight w:val="412" w:hRule="exact"/>
        </w:trPr>
        <w:tc>
          <w:tcPr>
            <w:tcW w:w="9691" w:type="dxa"/>
            <w:gridSpan w:val="9"/>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3" w:hRule="exact"/>
        </w:trPr>
        <w:tc>
          <w:tcPr>
            <w:tcW w:w="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7"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其他债权 投资</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21,582,608.19</w:t>
            </w:r>
          </w:p>
        </w:tc>
        <w:tc>
          <w:tcPr>
            <w:tcW w:w="106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16,908,920.00</w:t>
            </w:r>
          </w:p>
        </w:tc>
      </w:tr>
      <w:tr>
        <w:trPr>
          <w:trHeight w:val="715" w:hRule="exact"/>
        </w:trPr>
        <w:tc>
          <w:tcPr>
            <w:tcW w:w="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7"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工具投资</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38,100,001.00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48,100,001.00</w:t>
            </w:r>
          </w:p>
        </w:tc>
      </w:tr>
      <w:tr>
        <w:trPr>
          <w:trHeight w:val="401" w:hRule="exact"/>
        </w:trPr>
        <w:tc>
          <w:tcPr>
            <w:tcW w:w="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59,682,609.19</w:t>
            </w:r>
          </w:p>
        </w:tc>
        <w:tc>
          <w:tcPr>
            <w:tcW w:w="106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068"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65,008,921.00</w:t>
            </w:r>
          </w:p>
        </w:tc>
      </w:tr>
      <w:tr>
        <w:trPr>
          <w:trHeight w:val="410" w:hRule="exact"/>
        </w:trPr>
        <w:tc>
          <w:tcPr>
            <w:tcW w:w="9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03"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9" w:type="dxa"/>
            <w:tcBorders>
              <w:top w:val="single" w:sz="4" w:space="0" w:color="000000"/>
              <w:left w:val="single" w:sz="4" w:space="0" w:color="000000"/>
              <w:bottom w:val="single" w:sz="12" w:space="0" w:color="000000"/>
              <w:right w:val="single" w:sz="4" w:space="0" w:color="000000"/>
            </w:tcBorders>
          </w:tcPr>
          <w:p>
            <w:pPr/>
          </w:p>
        </w:tc>
        <w:tc>
          <w:tcPr>
            <w:tcW w:w="1202" w:type="dxa"/>
            <w:tcBorders>
              <w:top w:val="single" w:sz="4" w:space="0" w:color="000000"/>
              <w:left w:val="single" w:sz="4" w:space="0" w:color="000000"/>
              <w:bottom w:val="single" w:sz="12" w:space="0" w:color="000000"/>
              <w:right w:val="single" w:sz="4" w:space="0" w:color="000000"/>
            </w:tcBorders>
          </w:tcPr>
          <w:p>
            <w:pPr/>
          </w:p>
        </w:tc>
        <w:tc>
          <w:tcPr>
            <w:tcW w:w="936" w:type="dxa"/>
            <w:tcBorders>
              <w:top w:val="single" w:sz="4" w:space="0" w:color="000000"/>
              <w:left w:val="single" w:sz="4" w:space="0" w:color="000000"/>
              <w:bottom w:val="single" w:sz="12" w:space="0" w:color="000000"/>
              <w:right w:val="single" w:sz="4" w:space="0" w:color="000000"/>
            </w:tcBorders>
          </w:tcPr>
          <w:p>
            <w:pPr/>
          </w:p>
        </w:tc>
        <w:tc>
          <w:tcPr>
            <w:tcW w:w="1202" w:type="dxa"/>
            <w:tcBorders>
              <w:top w:val="single" w:sz="4" w:space="0" w:color="000000"/>
              <w:left w:val="single" w:sz="4" w:space="0" w:color="000000"/>
              <w:bottom w:val="single" w:sz="12" w:space="0" w:color="000000"/>
              <w:right w:val="single" w:sz="4" w:space="0" w:color="000000"/>
            </w:tcBorders>
          </w:tcPr>
          <w:p>
            <w:pPr/>
          </w:p>
        </w:tc>
        <w:tc>
          <w:tcPr>
            <w:tcW w:w="1068" w:type="dxa"/>
            <w:tcBorders>
              <w:top w:val="single" w:sz="4" w:space="0" w:color="000000"/>
              <w:left w:val="single" w:sz="4" w:space="0" w:color="000000"/>
              <w:bottom w:val="single" w:sz="12" w:space="0" w:color="000000"/>
              <w:right w:val="single" w:sz="4" w:space="0" w:color="000000"/>
            </w:tcBorders>
          </w:tcPr>
          <w:p>
            <w:pPr/>
          </w:p>
        </w:tc>
        <w:tc>
          <w:tcPr>
            <w:tcW w:w="920" w:type="dxa"/>
            <w:tcBorders>
              <w:top w:val="single" w:sz="4" w:space="0" w:color="000000"/>
              <w:left w:val="single" w:sz="4" w:space="0" w:color="000000"/>
              <w:bottom w:val="single" w:sz="12" w:space="0" w:color="000000"/>
              <w:right w:val="single" w:sz="4" w:space="0" w:color="000000"/>
            </w:tcBorders>
          </w:tcPr>
          <w:p>
            <w:pPr/>
          </w:p>
        </w:tc>
        <w:tc>
          <w:tcPr>
            <w:tcW w:w="122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51"/>
        <w:ind w:left="152" w:right="6794" w:firstLine="0"/>
        <w:jc w:val="left"/>
        <w:rPr>
          <w:rFonts w:ascii="宋体" w:hAnsi="宋体" w:cs="宋体" w:eastAsia="宋体" w:hint="default"/>
          <w:sz w:val="18"/>
          <w:szCs w:val="18"/>
        </w:rPr>
      </w:pPr>
      <w:r>
        <w:rPr>
          <w:rFonts w:ascii="宋体" w:hAnsi="宋体" w:cs="宋体" w:eastAsia="宋体" w:hint="default"/>
          <w:sz w:val="18"/>
          <w:szCs w:val="18"/>
        </w:rPr>
        <w:t>其他变动的内容 报告期内公司主要资产计量属性是否发生重大变化</w:t>
      </w:r>
    </w:p>
    <w:p>
      <w:pPr>
        <w:spacing w:before="2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详见第十一节财务报告七、合并财务报表注释</w:t>
      </w:r>
      <w:r>
        <w:rPr>
          <w:rFonts w:ascii="Times New Roman" w:hAnsi="Times New Roman" w:cs="Times New Roman" w:eastAsia="Times New Roman" w:hint="default"/>
          <w:sz w:val="18"/>
          <w:szCs w:val="18"/>
        </w:rPr>
        <w:t>56</w:t>
      </w:r>
      <w:r>
        <w:rPr>
          <w:rFonts w:ascii="宋体" w:hAnsi="宋体" w:cs="宋体" w:eastAsia="宋体" w:hint="default"/>
          <w:sz w:val="18"/>
          <w:szCs w:val="18"/>
        </w:rPr>
        <w:t>、所有权或使用权受到限制的资产。</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1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1251"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11" w:hRule="exact"/>
        </w:trPr>
        <w:tc>
          <w:tcPr>
            <w:tcW w:w="32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4"/>
              <w:ind w:right="10"/>
              <w:jc w:val="center"/>
              <w:rPr>
                <w:rFonts w:ascii="Times New Roman" w:hAnsi="Times New Roman" w:cs="Times New Roman" w:eastAsia="Times New Roman" w:hint="default"/>
                <w:sz w:val="18"/>
                <w:szCs w:val="18"/>
              </w:rPr>
            </w:pPr>
            <w:r>
              <w:rPr>
                <w:rFonts w:ascii="Times New Roman"/>
                <w:sz w:val="18"/>
              </w:rPr>
              <w:t>407,218,449.77</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37,943,467.34</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4"/>
              <w:ind w:left="1289" w:right="0"/>
              <w:jc w:val="left"/>
              <w:rPr>
                <w:rFonts w:ascii="Times New Roman" w:hAnsi="Times New Roman" w:cs="Times New Roman" w:eastAsia="Times New Roman" w:hint="default"/>
                <w:sz w:val="18"/>
                <w:szCs w:val="18"/>
              </w:rPr>
            </w:pPr>
            <w:r>
              <w:rPr>
                <w:rFonts w:ascii="Times New Roman"/>
                <w:sz w:val="18"/>
              </w:rPr>
              <w:t>973.22%</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13"/>
        <w:gridCol w:w="624"/>
        <w:gridCol w:w="624"/>
        <w:gridCol w:w="625"/>
        <w:gridCol w:w="1001"/>
        <w:gridCol w:w="1092"/>
        <w:gridCol w:w="560"/>
        <w:gridCol w:w="492"/>
        <w:gridCol w:w="494"/>
        <w:gridCol w:w="494"/>
        <w:gridCol w:w="494"/>
        <w:gridCol w:w="495"/>
        <w:gridCol w:w="1690"/>
      </w:tblGrid>
      <w:tr>
        <w:trPr>
          <w:trHeight w:val="2605" w:hRule="exact"/>
        </w:trPr>
        <w:tc>
          <w:tcPr>
            <w:tcW w:w="1013"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624"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18"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38" w:right="35"/>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625"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38" w:right="34"/>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1001"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92"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91" w:right="89"/>
              <w:jc w:val="both"/>
              <w:rPr>
                <w:rFonts w:ascii="宋体" w:hAnsi="宋体" w:cs="宋体" w:eastAsia="宋体" w:hint="default"/>
                <w:sz w:val="18"/>
                <w:szCs w:val="18"/>
              </w:rPr>
            </w:pPr>
            <w:r>
              <w:rPr>
                <w:rFonts w:ascii="宋体" w:hAnsi="宋体" w:cs="宋体" w:eastAsia="宋体" w:hint="default"/>
                <w:sz w:val="18"/>
                <w:szCs w:val="18"/>
              </w:rPr>
              <w:t>截至报告期 末累计实际 投入金额</w:t>
            </w:r>
          </w:p>
        </w:tc>
        <w:tc>
          <w:tcPr>
            <w:tcW w:w="560"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492"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2" w:right="59"/>
              <w:jc w:val="left"/>
              <w:rPr>
                <w:rFonts w:ascii="宋体" w:hAnsi="宋体" w:cs="宋体" w:eastAsia="宋体" w:hint="default"/>
                <w:sz w:val="18"/>
                <w:szCs w:val="18"/>
              </w:rPr>
            </w:pPr>
            <w:r>
              <w:rPr>
                <w:rFonts w:ascii="宋体" w:hAnsi="宋体" w:cs="宋体" w:eastAsia="宋体" w:hint="default"/>
                <w:sz w:val="18"/>
                <w:szCs w:val="18"/>
              </w:rPr>
              <w:t>项目 进度</w:t>
            </w:r>
          </w:p>
        </w:tc>
        <w:tc>
          <w:tcPr>
            <w:tcW w:w="494"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4" w:right="5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494"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 w:right="60"/>
              <w:jc w:val="both"/>
              <w:rPr>
                <w:rFonts w:ascii="宋体" w:hAnsi="宋体" w:cs="宋体" w:eastAsia="宋体" w:hint="default"/>
                <w:sz w:val="18"/>
                <w:szCs w:val="18"/>
              </w:rPr>
            </w:pPr>
            <w:r>
              <w:rPr>
                <w:rFonts w:ascii="宋体" w:hAnsi="宋体" w:cs="宋体" w:eastAsia="宋体" w:hint="default"/>
                <w:sz w:val="18"/>
                <w:szCs w:val="18"/>
              </w:rPr>
              <w:t>截止 报告 期末 累计 实现 的收 益</w:t>
            </w:r>
          </w:p>
        </w:tc>
        <w:tc>
          <w:tcPr>
            <w:tcW w:w="494"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未达 到计 划进 度和 预计 收益 的原 因</w:t>
            </w:r>
          </w:p>
        </w:tc>
        <w:tc>
          <w:tcPr>
            <w:tcW w:w="495"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2" w:right="62"/>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6" w:lineRule="auto" w:before="19"/>
              <w:ind w:left="62" w:right="62"/>
              <w:jc w:val="left"/>
              <w:rPr>
                <w:rFonts w:ascii="宋体" w:hAnsi="宋体" w:cs="宋体" w:eastAsia="宋体" w:hint="default"/>
                <w:sz w:val="18"/>
                <w:szCs w:val="18"/>
              </w:rPr>
            </w:pPr>
            <w:r>
              <w:rPr>
                <w:rFonts w:ascii="宋体" w:hAnsi="宋体" w:cs="宋体" w:eastAsia="宋体" w:hint="default"/>
                <w:sz w:val="18"/>
                <w:szCs w:val="18"/>
              </w:rPr>
              <w:t>（如 有）</w:t>
            </w:r>
          </w:p>
        </w:tc>
        <w:tc>
          <w:tcPr>
            <w:tcW w:w="1690"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13"/>
        <w:gridCol w:w="624"/>
        <w:gridCol w:w="624"/>
        <w:gridCol w:w="625"/>
        <w:gridCol w:w="1001"/>
        <w:gridCol w:w="1092"/>
        <w:gridCol w:w="560"/>
        <w:gridCol w:w="492"/>
        <w:gridCol w:w="494"/>
        <w:gridCol w:w="494"/>
        <w:gridCol w:w="494"/>
        <w:gridCol w:w="495"/>
        <w:gridCol w:w="1690"/>
      </w:tblGrid>
      <w:tr>
        <w:trPr>
          <w:trHeight w:val="1661" w:hRule="exact"/>
        </w:trPr>
        <w:tc>
          <w:tcPr>
            <w:tcW w:w="1013"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4" w:right="77"/>
              <w:jc w:val="both"/>
              <w:rPr>
                <w:rFonts w:ascii="宋体" w:hAnsi="宋体" w:cs="宋体" w:eastAsia="宋体" w:hint="default"/>
                <w:sz w:val="18"/>
                <w:szCs w:val="18"/>
              </w:rPr>
            </w:pPr>
            <w:r>
              <w:rPr>
                <w:rFonts w:ascii="宋体" w:hAnsi="宋体" w:cs="宋体" w:eastAsia="宋体" w:hint="default"/>
                <w:sz w:val="18"/>
                <w:szCs w:val="18"/>
              </w:rPr>
              <w:t>郑州高新第 二水厂工程 项目</w:t>
            </w:r>
          </w:p>
        </w:tc>
        <w:tc>
          <w:tcPr>
            <w:tcW w:w="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自建</w:t>
            </w:r>
          </w:p>
        </w:tc>
        <w:tc>
          <w:tcPr>
            <w:tcW w:w="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50"/>
              <w:jc w:val="left"/>
              <w:rPr>
                <w:rFonts w:ascii="宋体" w:hAnsi="宋体" w:cs="宋体" w:eastAsia="宋体" w:hint="default"/>
                <w:sz w:val="18"/>
                <w:szCs w:val="18"/>
              </w:rPr>
            </w:pPr>
            <w:r>
              <w:rPr>
                <w:rFonts w:ascii="宋体" w:hAnsi="宋体" w:cs="宋体" w:eastAsia="宋体" w:hint="default"/>
                <w:sz w:val="18"/>
                <w:szCs w:val="18"/>
              </w:rPr>
              <w:t>公用事 业</w:t>
            </w:r>
          </w:p>
        </w:tc>
        <w:tc>
          <w:tcPr>
            <w:tcW w:w="10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4,485,038.06</w:t>
            </w:r>
          </w:p>
        </w:tc>
        <w:tc>
          <w:tcPr>
            <w:tcW w:w="10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83,059,915.17</w:t>
            </w:r>
          </w:p>
        </w:tc>
        <w:tc>
          <w:tcPr>
            <w:tcW w:w="560"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1"/>
              <w:ind w:left="23" w:right="165"/>
              <w:jc w:val="both"/>
              <w:rPr>
                <w:rFonts w:ascii="宋体" w:hAnsi="宋体" w:cs="宋体" w:eastAsia="宋体" w:hint="default"/>
                <w:sz w:val="18"/>
                <w:szCs w:val="18"/>
              </w:rPr>
            </w:pPr>
            <w:r>
              <w:rPr>
                <w:rFonts w:ascii="宋体" w:hAnsi="宋体" w:cs="宋体" w:eastAsia="宋体" w:hint="default"/>
                <w:sz w:val="18"/>
                <w:szCs w:val="18"/>
              </w:rPr>
              <w:t>自筹 资金 及其 他方 式</w:t>
            </w:r>
          </w:p>
        </w:tc>
        <w:tc>
          <w:tcPr>
            <w:tcW w:w="4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9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6"/>
              <w:ind w:left="23"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 公告编号为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2017-008</w:t>
            </w:r>
          </w:p>
        </w:tc>
      </w:tr>
      <w:tr>
        <w:trPr>
          <w:trHeight w:val="410" w:hRule="exact"/>
        </w:trPr>
        <w:tc>
          <w:tcPr>
            <w:tcW w:w="10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2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5"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01" w:type="dxa"/>
            <w:tcBorders>
              <w:top w:val="single" w:sz="4" w:space="0" w:color="000000"/>
              <w:left w:val="single" w:sz="12" w:space="0" w:color="D2D2D2"/>
              <w:bottom w:val="single" w:sz="12"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4,485,038.06</w:t>
            </w:r>
          </w:p>
        </w:tc>
        <w:tc>
          <w:tcPr>
            <w:tcW w:w="1092" w:type="dxa"/>
            <w:tcBorders>
              <w:top w:val="single" w:sz="4" w:space="0" w:color="000000"/>
              <w:left w:val="single" w:sz="4" w:space="0" w:color="000000"/>
              <w:bottom w:val="single" w:sz="12"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83,059,915.17</w:t>
            </w:r>
          </w:p>
        </w:tc>
        <w:tc>
          <w:tcPr>
            <w:tcW w:w="56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9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494" w:type="dxa"/>
            <w:tcBorders>
              <w:top w:val="single" w:sz="4" w:space="0" w:color="000000"/>
              <w:left w:val="single" w:sz="4" w:space="0" w:color="000000"/>
              <w:bottom w:val="single" w:sz="12"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c>
          <w:tcPr>
            <w:tcW w:w="49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95"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90"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公司报告期无募集资金使用情况。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4"/>
        <w:gridCol w:w="725"/>
        <w:gridCol w:w="1141"/>
        <w:gridCol w:w="955"/>
        <w:gridCol w:w="1315"/>
        <w:gridCol w:w="1181"/>
        <w:gridCol w:w="1181"/>
        <w:gridCol w:w="1184"/>
        <w:gridCol w:w="1152"/>
      </w:tblGrid>
      <w:tr>
        <w:trPr>
          <w:trHeight w:val="725" w:hRule="exact"/>
        </w:trPr>
        <w:tc>
          <w:tcPr>
            <w:tcW w:w="86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2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6" w:right="86"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114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5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1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8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8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5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404" w:hRule="exact"/>
        </w:trPr>
        <w:tc>
          <w:tcPr>
            <w:tcW w:w="8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炜盛科技</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center"/>
              <w:rPr>
                <w:rFonts w:ascii="Times New Roman" w:hAnsi="Times New Roman" w:cs="Times New Roman" w:eastAsia="Times New Roman" w:hint="default"/>
                <w:sz w:val="18"/>
                <w:szCs w:val="18"/>
              </w:rPr>
            </w:pPr>
            <w:r>
              <w:rPr>
                <w:rFonts w:ascii="Times New Roman"/>
                <w:sz w:val="18"/>
              </w:rPr>
              <w:t>50,000,000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center"/>
              <w:rPr>
                <w:rFonts w:ascii="Times New Roman" w:hAnsi="Times New Roman" w:cs="Times New Roman" w:eastAsia="Times New Roman" w:hint="default"/>
                <w:sz w:val="18"/>
                <w:szCs w:val="18"/>
              </w:rPr>
            </w:pPr>
            <w:r>
              <w:rPr>
                <w:rFonts w:ascii="Times New Roman"/>
                <w:sz w:val="18"/>
              </w:rPr>
              <w:t>198,198,680.12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157,723,307.31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182,117,588.42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36,302,915.33</w:t>
            </w:r>
          </w:p>
        </w:tc>
        <w:tc>
          <w:tcPr>
            <w:tcW w:w="11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32,669,616.36</w:t>
            </w:r>
          </w:p>
        </w:tc>
      </w:tr>
      <w:tr>
        <w:trPr>
          <w:trHeight w:val="713" w:hRule="exact"/>
        </w:trPr>
        <w:tc>
          <w:tcPr>
            <w:tcW w:w="8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环境工程、市 政工程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center"/>
              <w:rPr>
                <w:rFonts w:ascii="Times New Roman" w:hAnsi="Times New Roman" w:cs="Times New Roman" w:eastAsia="Times New Roman" w:hint="default"/>
                <w:sz w:val="18"/>
                <w:szCs w:val="18"/>
              </w:rPr>
            </w:pPr>
            <w:r>
              <w:rPr>
                <w:rFonts w:ascii="Times New Roman"/>
                <w:sz w:val="18"/>
              </w:rPr>
              <w:t>813,989,558.87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354,299,846.50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259,250,839.79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-15,871,337.58</w:t>
            </w:r>
          </w:p>
        </w:tc>
        <w:tc>
          <w:tcPr>
            <w:tcW w:w="115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-21,757,198.77</w:t>
            </w:r>
          </w:p>
        </w:tc>
      </w:tr>
      <w:tr>
        <w:trPr>
          <w:trHeight w:val="1034" w:hRule="exact"/>
        </w:trPr>
        <w:tc>
          <w:tcPr>
            <w:tcW w:w="86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7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41"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26"/>
              <w:jc w:val="both"/>
              <w:rPr>
                <w:rFonts w:ascii="宋体" w:hAnsi="宋体" w:cs="宋体" w:eastAsia="宋体" w:hint="default"/>
                <w:sz w:val="18"/>
                <w:szCs w:val="18"/>
              </w:rPr>
            </w:pPr>
            <w:r>
              <w:rPr>
                <w:rFonts w:ascii="宋体" w:hAnsi="宋体" w:cs="宋体" w:eastAsia="宋体" w:hint="default"/>
                <w:sz w:val="18"/>
                <w:szCs w:val="18"/>
              </w:rPr>
              <w:t>城市基础设施 建设、工程设 计及施工</w:t>
            </w:r>
          </w:p>
        </w:tc>
        <w:tc>
          <w:tcPr>
            <w:tcW w:w="9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100,000,000</w:t>
            </w: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pacing w:val="-2"/>
                <w:sz w:val="18"/>
              </w:rPr>
              <w:t>1,119,811,201.79</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513,234,359.92</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193,391,895.80</w:t>
            </w:r>
          </w:p>
        </w:tc>
        <w:tc>
          <w:tcPr>
            <w:tcW w:w="11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41,579,143.34</w:t>
            </w:r>
          </w:p>
        </w:tc>
        <w:tc>
          <w:tcPr>
            <w:tcW w:w="115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34,554,007.68</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64"/>
        <w:gridCol w:w="725"/>
        <w:gridCol w:w="1141"/>
        <w:gridCol w:w="955"/>
        <w:gridCol w:w="1315"/>
        <w:gridCol w:w="1181"/>
        <w:gridCol w:w="1181"/>
        <w:gridCol w:w="1184"/>
        <w:gridCol w:w="1152"/>
      </w:tblGrid>
      <w:tr>
        <w:trPr>
          <w:trHeight w:val="1044" w:hRule="exact"/>
        </w:trPr>
        <w:tc>
          <w:tcPr>
            <w:tcW w:w="864"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72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41" w:type="dxa"/>
            <w:tcBorders>
              <w:top w:val="single" w:sz="12" w:space="0" w:color="000000"/>
              <w:left w:val="single" w:sz="4" w:space="0" w:color="000000"/>
              <w:bottom w:val="single" w:sz="12" w:space="0" w:color="000000"/>
              <w:right w:val="single" w:sz="4" w:space="0" w:color="000000"/>
            </w:tcBorders>
          </w:tcPr>
          <w:p>
            <w:pPr>
              <w:pStyle w:val="TableParagraph"/>
              <w:spacing w:line="316" w:lineRule="auto" w:before="51"/>
              <w:ind w:left="23" w:right="26"/>
              <w:jc w:val="both"/>
              <w:rPr>
                <w:rFonts w:ascii="宋体" w:hAnsi="宋体" w:cs="宋体" w:eastAsia="宋体" w:hint="default"/>
                <w:sz w:val="18"/>
                <w:szCs w:val="18"/>
              </w:rPr>
            </w:pPr>
            <w:r>
              <w:rPr>
                <w:rFonts w:ascii="宋体" w:hAnsi="宋体" w:cs="宋体" w:eastAsia="宋体" w:hint="default"/>
                <w:sz w:val="18"/>
                <w:szCs w:val="18"/>
              </w:rPr>
              <w:t>城市基础设施 建设、工程设 计及施工</w:t>
            </w:r>
          </w:p>
        </w:tc>
        <w:tc>
          <w:tcPr>
            <w:tcW w:w="95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tc>
        <w:tc>
          <w:tcPr>
            <w:tcW w:w="131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1,728,306,594.77</w:t>
            </w:r>
          </w:p>
        </w:tc>
        <w:tc>
          <w:tcPr>
            <w:tcW w:w="118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574,425,051.04</w:t>
            </w:r>
          </w:p>
        </w:tc>
        <w:tc>
          <w:tcPr>
            <w:tcW w:w="118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559,207,223.29</w:t>
            </w:r>
          </w:p>
        </w:tc>
        <w:tc>
          <w:tcPr>
            <w:tcW w:w="118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128,421,863.26</w:t>
            </w:r>
          </w:p>
        </w:tc>
        <w:tc>
          <w:tcPr>
            <w:tcW w:w="1152"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89,124,299.05</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8"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7"/>
              <w:ind w:right="7"/>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35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7"/>
              <w:ind w:left="44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山西腾星</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贡献利润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73.87 </w:t>
            </w:r>
            <w:r>
              <w:rPr>
                <w:rFonts w:ascii="宋体" w:hAnsi="宋体" w:cs="宋体" w:eastAsia="宋体" w:hint="default"/>
                <w:sz w:val="18"/>
                <w:szCs w:val="18"/>
              </w:rPr>
              <w:t>万元</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汉威香港</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贡献利润</w:t>
            </w:r>
            <w:r>
              <w:rPr>
                <w:rFonts w:ascii="Times New Roman" w:hAnsi="Times New Roman" w:cs="Times New Roman" w:eastAsia="Times New Roman" w:hint="default"/>
                <w:sz w:val="18"/>
                <w:szCs w:val="18"/>
              </w:rPr>
              <w:t>-6.58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13"/>
          <w:szCs w:val="13"/>
        </w:rPr>
      </w:pPr>
    </w:p>
    <w:p>
      <w:pPr>
        <w:pStyle w:val="BodyText"/>
        <w:spacing w:line="410" w:lineRule="auto" w:before="0"/>
        <w:ind w:left="573" w:right="0"/>
        <w:jc w:val="left"/>
      </w:pPr>
      <w:r>
        <w:rPr>
          <w:rFonts w:ascii="宋体" w:hAnsi="宋体" w:cs="宋体" w:eastAsia="宋体" w:hint="default"/>
        </w:rPr>
        <w:t>1</w:t>
      </w:r>
      <w:r>
        <w:rPr/>
        <w:t>、郑州炜盛电子科技有限公司</w:t>
      </w:r>
      <w:r>
        <w:rPr>
          <w:w w:val="100"/>
        </w:rPr>
        <w:t> </w:t>
      </w:r>
      <w:r>
        <w:rPr/>
        <w:t>炜盛科技为公司的全资子公司，注册资本</w:t>
      </w:r>
      <w:r>
        <w:rPr>
          <w:rFonts w:ascii="宋体" w:hAnsi="宋体" w:cs="宋体" w:eastAsia="宋体" w:hint="default"/>
        </w:rPr>
        <w:t>5,000</w:t>
      </w:r>
      <w:r>
        <w:rPr/>
        <w:t>万元。法定代表人：刘瑞玲。公司住所：郑州高新技</w:t>
      </w:r>
    </w:p>
    <w:p>
      <w:pPr>
        <w:pStyle w:val="BodyText"/>
        <w:spacing w:line="408" w:lineRule="auto" w:before="44"/>
        <w:ind w:right="0"/>
        <w:jc w:val="left"/>
      </w:pPr>
      <w:r>
        <w:rPr/>
        <w:t>术开发区金梭路</w:t>
      </w:r>
      <w:r>
        <w:rPr>
          <w:rFonts w:ascii="宋体" w:hAnsi="宋体" w:cs="宋体" w:eastAsia="宋体" w:hint="default"/>
        </w:rPr>
        <w:t>299</w:t>
      </w:r>
      <w:r>
        <w:rPr/>
        <w:t>号。主要经营范围：气敏元件、传感器、检测控制仪表、电子产品的开发、生产、销</w:t>
      </w:r>
      <w:r>
        <w:rPr>
          <w:spacing w:val="-28"/>
        </w:rPr>
        <w:t> </w:t>
      </w:r>
      <w:r>
        <w:rPr>
          <w:spacing w:val="-28"/>
        </w:rPr>
      </w:r>
      <w:r>
        <w:rPr/>
        <w:t>售；提供技术转让、技术服务、技术咨询；进出口贸易。</w:t>
      </w:r>
    </w:p>
    <w:p>
      <w:pPr>
        <w:pStyle w:val="BodyText"/>
        <w:spacing w:line="408" w:lineRule="auto"/>
        <w:ind w:left="573" w:right="1119"/>
        <w:jc w:val="left"/>
      </w:pPr>
      <w:r>
        <w:rPr/>
        <w:t>经审计，炜盛科技</w:t>
      </w:r>
      <w:r>
        <w:rPr>
          <w:rFonts w:ascii="宋体" w:hAnsi="宋体" w:cs="宋体" w:eastAsia="宋体" w:hint="default"/>
        </w:rPr>
        <w:t>2019</w:t>
      </w:r>
      <w:r>
        <w:rPr/>
        <w:t>年度实现营业收入</w:t>
      </w:r>
      <w:r>
        <w:rPr>
          <w:rFonts w:ascii="宋体" w:hAnsi="宋体" w:cs="宋体" w:eastAsia="宋体" w:hint="default"/>
        </w:rPr>
        <w:t>18,211.76</w:t>
      </w:r>
      <w:r>
        <w:rPr/>
        <w:t>万元，实现净利润</w:t>
      </w:r>
      <w:r>
        <w:rPr>
          <w:rFonts w:ascii="宋体" w:hAnsi="宋体" w:cs="宋体" w:eastAsia="宋体" w:hint="default"/>
        </w:rPr>
        <w:t>3,266.96</w:t>
      </w:r>
      <w:r>
        <w:rPr/>
        <w:t>万元。</w:t>
      </w:r>
      <w:r>
        <w:rPr>
          <w:w w:val="100"/>
        </w:rPr>
        <w:t> </w:t>
      </w:r>
      <w:r>
        <w:rPr>
          <w:rFonts w:ascii="宋体" w:hAnsi="宋体" w:cs="宋体" w:eastAsia="宋体" w:hint="default"/>
        </w:rPr>
        <w:t>2</w:t>
      </w:r>
      <w:r>
        <w:rPr/>
        <w:t>、嘉园环保有限公司</w:t>
      </w:r>
      <w:r>
        <w:rPr>
          <w:w w:val="100"/>
        </w:rPr>
        <w:t> </w:t>
      </w:r>
      <w:r>
        <w:rPr>
          <w:spacing w:val="-2"/>
        </w:rPr>
        <w:t>嘉园环保为公司的控股子公司，注册资本</w:t>
      </w:r>
      <w:r>
        <w:rPr>
          <w:rFonts w:ascii="宋体" w:hAnsi="宋体" w:cs="宋体" w:eastAsia="宋体" w:hint="default"/>
          <w:spacing w:val="-2"/>
        </w:rPr>
        <w:t>10,000</w:t>
      </w:r>
      <w:r>
        <w:rPr>
          <w:spacing w:val="-2"/>
        </w:rPr>
        <w:t>万元。法定代表人：高延明。公司住所：福州市鼓楼</w:t>
      </w:r>
    </w:p>
    <w:p>
      <w:pPr>
        <w:pStyle w:val="BodyText"/>
        <w:spacing w:line="408" w:lineRule="auto"/>
        <w:ind w:right="0"/>
        <w:jc w:val="left"/>
      </w:pPr>
      <w:r>
        <w:rPr>
          <w:spacing w:val="-4"/>
        </w:rPr>
        <w:t>区软件大道</w:t>
      </w:r>
      <w:r>
        <w:rPr>
          <w:rFonts w:ascii="宋体" w:hAnsi="宋体" w:cs="宋体" w:eastAsia="宋体" w:hint="default"/>
          <w:spacing w:val="-4"/>
        </w:rPr>
        <w:t>89</w:t>
      </w:r>
      <w:r>
        <w:rPr>
          <w:spacing w:val="-4"/>
        </w:rPr>
        <w:t>号福州软件园</w:t>
      </w:r>
      <w:r>
        <w:rPr>
          <w:rFonts w:ascii="宋体" w:hAnsi="宋体" w:cs="宋体" w:eastAsia="宋体" w:hint="default"/>
          <w:spacing w:val="-4"/>
        </w:rPr>
        <w:t>C</w:t>
      </w:r>
      <w:r>
        <w:rPr>
          <w:spacing w:val="-4"/>
        </w:rPr>
        <w:t>区</w:t>
      </w:r>
      <w:r>
        <w:rPr>
          <w:rFonts w:ascii="宋体" w:hAnsi="宋体" w:cs="宋体" w:eastAsia="宋体" w:hint="default"/>
          <w:spacing w:val="-4"/>
        </w:rPr>
        <w:t>27</w:t>
      </w:r>
      <w:r>
        <w:rPr>
          <w:spacing w:val="-4"/>
        </w:rPr>
        <w:t>号楼。公司持股比例为</w:t>
      </w:r>
      <w:r>
        <w:rPr>
          <w:rFonts w:ascii="宋体" w:hAnsi="宋体" w:cs="宋体" w:eastAsia="宋体" w:hint="default"/>
          <w:spacing w:val="-4"/>
        </w:rPr>
        <w:t>80%</w:t>
      </w:r>
      <w:r>
        <w:rPr>
          <w:spacing w:val="-4"/>
        </w:rPr>
        <w:t>。主要经营范围：环境工程与市政工程的咨询、</w:t>
      </w:r>
      <w:r>
        <w:rPr>
          <w:spacing w:val="-38"/>
        </w:rPr>
        <w:t> </w:t>
      </w:r>
      <w:r>
        <w:rPr>
          <w:spacing w:val="-38"/>
        </w:rPr>
      </w:r>
      <w:r>
        <w:rPr/>
        <w:t>设计、施工、总承包、运营；房屋建筑工程的设计、施工、总承包；环保设备、材料及机电设备的研发、</w:t>
      </w:r>
      <w:r>
        <w:rPr>
          <w:w w:val="100"/>
        </w:rPr>
        <w:t> </w:t>
      </w:r>
      <w:r>
        <w:rPr>
          <w:spacing w:val="-2"/>
        </w:rPr>
        <w:t>制造、销售、安装；环保软件开发、销售；环保技术服务；自营和代理各类商品和技术的进出口、但国家</w:t>
      </w:r>
      <w:r>
        <w:rPr>
          <w:spacing w:val="-48"/>
        </w:rPr>
        <w:t> </w:t>
      </w:r>
      <w:r>
        <w:rPr>
          <w:spacing w:val="-48"/>
        </w:rPr>
      </w:r>
      <w:r>
        <w:rPr/>
        <w:t>限定公司经营或禁止进出口的商品和技术除外。</w:t>
      </w:r>
    </w:p>
    <w:p>
      <w:pPr>
        <w:pStyle w:val="BodyText"/>
        <w:spacing w:line="408" w:lineRule="auto"/>
        <w:ind w:left="573" w:right="0"/>
        <w:jc w:val="left"/>
      </w:pPr>
      <w:r>
        <w:rPr/>
        <w:t>经审计，嘉园环保</w:t>
      </w:r>
      <w:r>
        <w:rPr>
          <w:rFonts w:ascii="宋体" w:hAnsi="宋体" w:cs="宋体" w:eastAsia="宋体" w:hint="default"/>
        </w:rPr>
        <w:t>2019</w:t>
      </w:r>
      <w:r>
        <w:rPr/>
        <w:t>年度实现营业收入</w:t>
      </w:r>
      <w:r>
        <w:rPr>
          <w:rFonts w:ascii="宋体" w:hAnsi="宋体" w:cs="宋体" w:eastAsia="宋体" w:hint="default"/>
        </w:rPr>
        <w:t>25,925.08</w:t>
      </w:r>
      <w:r>
        <w:rPr/>
        <w:t>万元，实现净利润</w:t>
      </w:r>
      <w:r>
        <w:rPr>
          <w:rFonts w:ascii="宋体" w:hAnsi="宋体" w:cs="宋体" w:eastAsia="宋体" w:hint="default"/>
        </w:rPr>
        <w:t>-2,175,72</w:t>
      </w:r>
      <w:r>
        <w:rPr/>
        <w:t>万元。</w:t>
      </w:r>
      <w:r>
        <w:rPr>
          <w:w w:val="100"/>
        </w:rPr>
        <w:t> </w:t>
      </w:r>
      <w:r>
        <w:rPr>
          <w:rFonts w:ascii="宋体" w:hAnsi="宋体" w:cs="宋体" w:eastAsia="宋体" w:hint="default"/>
        </w:rPr>
        <w:t>3</w:t>
      </w:r>
      <w:r>
        <w:rPr/>
        <w:t>、郑州汉威公用事业科技有限公司</w:t>
      </w:r>
      <w:r>
        <w:rPr>
          <w:w w:val="100"/>
        </w:rPr>
        <w:t> </w:t>
      </w:r>
      <w:r>
        <w:rPr>
          <w:spacing w:val="-2"/>
        </w:rPr>
        <w:t>汉威公用为公司的控股子公司，注册资本</w:t>
      </w:r>
      <w:r>
        <w:rPr>
          <w:rFonts w:ascii="宋体" w:hAnsi="宋体" w:cs="宋体" w:eastAsia="宋体" w:hint="default"/>
          <w:spacing w:val="-2"/>
        </w:rPr>
        <w:t>10,000</w:t>
      </w:r>
      <w:r>
        <w:rPr>
          <w:spacing w:val="-2"/>
        </w:rPr>
        <w:t>万元。法定代表人：杨强。公司住所：郑州市高新区</w:t>
      </w:r>
    </w:p>
    <w:p>
      <w:pPr>
        <w:pStyle w:val="BodyText"/>
        <w:spacing w:line="408" w:lineRule="auto"/>
        <w:ind w:right="1128"/>
        <w:jc w:val="both"/>
      </w:pPr>
      <w:r>
        <w:rPr/>
        <w:t>雪松路</w:t>
      </w:r>
      <w:r>
        <w:rPr>
          <w:rFonts w:ascii="宋体" w:hAnsi="宋体" w:cs="宋体" w:eastAsia="宋体" w:hint="default"/>
        </w:rPr>
        <w:t>169</w:t>
      </w:r>
      <w:r>
        <w:rPr/>
        <w:t>号</w:t>
      </w:r>
      <w:r>
        <w:rPr>
          <w:rFonts w:ascii="宋体" w:hAnsi="宋体" w:cs="宋体" w:eastAsia="宋体" w:hint="default"/>
        </w:rPr>
        <w:t>4</w:t>
      </w:r>
      <w:r>
        <w:rPr/>
        <w:t>号楼</w:t>
      </w:r>
      <w:r>
        <w:rPr>
          <w:rFonts w:ascii="宋体" w:hAnsi="宋体" w:cs="宋体" w:eastAsia="宋体" w:hint="default"/>
        </w:rPr>
        <w:t>3</w:t>
      </w:r>
      <w:r>
        <w:rPr/>
        <w:t>层</w:t>
      </w:r>
      <w:r>
        <w:rPr>
          <w:rFonts w:ascii="宋体" w:hAnsi="宋体" w:cs="宋体" w:eastAsia="宋体" w:hint="default"/>
        </w:rPr>
        <w:t>301</w:t>
      </w:r>
      <w:r>
        <w:rPr/>
        <w:t>室。公司持股比例为</w:t>
      </w:r>
      <w:r>
        <w:rPr>
          <w:rFonts w:ascii="宋体" w:hAnsi="宋体" w:cs="宋体" w:eastAsia="宋体" w:hint="default"/>
        </w:rPr>
        <w:t>65%</w:t>
      </w:r>
      <w:r>
        <w:rPr/>
        <w:t>。主要经营范围：城市基础设施建设、工程设计、工程</w:t>
      </w:r>
      <w:r>
        <w:rPr>
          <w:spacing w:val="-29"/>
        </w:rPr>
        <w:t> </w:t>
      </w:r>
      <w:r>
        <w:rPr>
          <w:spacing w:val="-29"/>
        </w:rPr>
      </w:r>
      <w:r>
        <w:rPr>
          <w:spacing w:val="-2"/>
        </w:rPr>
        <w:t>施工、设备安装、维修服务；市政公用事业的建设、管理及相关软件开发、系统集成、运维服务；市政公</w:t>
      </w:r>
      <w:r>
        <w:rPr>
          <w:spacing w:val="-49"/>
        </w:rPr>
        <w:t> </w:t>
      </w:r>
      <w:r>
        <w:rPr>
          <w:spacing w:val="-49"/>
        </w:rPr>
      </w:r>
      <w:r>
        <w:rPr/>
        <w:t>用设施的新建、改建、维护及运营管理。</w:t>
      </w:r>
    </w:p>
    <w:p>
      <w:pPr>
        <w:pStyle w:val="BodyText"/>
        <w:spacing w:line="408" w:lineRule="auto"/>
        <w:ind w:left="573" w:right="0"/>
        <w:jc w:val="left"/>
      </w:pPr>
      <w:r>
        <w:rPr/>
        <w:t>经审计，汉威公用</w:t>
      </w:r>
      <w:r>
        <w:rPr>
          <w:rFonts w:ascii="宋体" w:hAnsi="宋体" w:cs="宋体" w:eastAsia="宋体" w:hint="default"/>
        </w:rPr>
        <w:t>2019</w:t>
      </w:r>
      <w:r>
        <w:rPr/>
        <w:t>年度实现营业收入</w:t>
      </w:r>
      <w:r>
        <w:rPr>
          <w:rFonts w:ascii="宋体" w:hAnsi="宋体" w:cs="宋体" w:eastAsia="宋体" w:hint="default"/>
        </w:rPr>
        <w:t>19,339.19</w:t>
      </w:r>
      <w:r>
        <w:rPr/>
        <w:t>万元，实现净利润</w:t>
      </w:r>
      <w:r>
        <w:rPr>
          <w:rFonts w:ascii="宋体" w:hAnsi="宋体" w:cs="宋体" w:eastAsia="宋体" w:hint="default"/>
        </w:rPr>
        <w:t>3,455.40</w:t>
      </w:r>
      <w:r>
        <w:rPr/>
        <w:t>万元。</w:t>
      </w:r>
      <w:r>
        <w:rPr>
          <w:w w:val="100"/>
        </w:rPr>
        <w:t> </w:t>
      </w:r>
      <w:r>
        <w:rPr>
          <w:rFonts w:ascii="宋体" w:hAnsi="宋体" w:cs="宋体" w:eastAsia="宋体" w:hint="default"/>
        </w:rPr>
        <w:t>4</w:t>
      </w:r>
      <w:r>
        <w:rPr/>
        <w:t>、郑州汉威智源科技有限公司</w:t>
      </w:r>
      <w:r>
        <w:rPr>
          <w:w w:val="100"/>
        </w:rPr>
        <w:t> </w:t>
      </w:r>
      <w:r>
        <w:rPr>
          <w:spacing w:val="-2"/>
        </w:rPr>
        <w:t>汉威智源为公司的控股子公司，注册资本</w:t>
      </w:r>
      <w:r>
        <w:rPr>
          <w:rFonts w:ascii="宋体" w:hAnsi="宋体" w:cs="宋体" w:eastAsia="宋体" w:hint="default"/>
          <w:spacing w:val="-2"/>
        </w:rPr>
        <w:t>10,000</w:t>
      </w:r>
      <w:r>
        <w:rPr>
          <w:spacing w:val="-2"/>
        </w:rPr>
        <w:t>万元。法定代表人：杨强。公司住所：郑州高新技术</w:t>
      </w:r>
    </w:p>
    <w:p>
      <w:pPr>
        <w:pStyle w:val="BodyText"/>
        <w:spacing w:line="408" w:lineRule="auto"/>
        <w:ind w:right="0"/>
        <w:jc w:val="left"/>
      </w:pPr>
      <w:r>
        <w:rPr>
          <w:spacing w:val="-2"/>
        </w:rPr>
        <w:t>产业开发区雪松路</w:t>
      </w:r>
      <w:r>
        <w:rPr>
          <w:rFonts w:ascii="宋体" w:hAnsi="宋体" w:cs="宋体" w:eastAsia="宋体" w:hint="default"/>
          <w:spacing w:val="-2"/>
        </w:rPr>
        <w:t>169</w:t>
      </w:r>
      <w:r>
        <w:rPr>
          <w:spacing w:val="-2"/>
        </w:rPr>
        <w:t>号</w:t>
      </w:r>
      <w:r>
        <w:rPr>
          <w:rFonts w:ascii="宋体" w:hAnsi="宋体" w:cs="宋体" w:eastAsia="宋体" w:hint="default"/>
          <w:spacing w:val="-2"/>
        </w:rPr>
        <w:t>4</w:t>
      </w:r>
      <w:r>
        <w:rPr>
          <w:spacing w:val="-2"/>
        </w:rPr>
        <w:t>号楼</w:t>
      </w:r>
      <w:r>
        <w:rPr>
          <w:rFonts w:ascii="宋体" w:hAnsi="宋体" w:cs="宋体" w:eastAsia="宋体" w:hint="default"/>
          <w:spacing w:val="-2"/>
        </w:rPr>
        <w:t>303</w:t>
      </w:r>
      <w:r>
        <w:rPr>
          <w:spacing w:val="-2"/>
        </w:rPr>
        <w:t>室。公司持股比例为</w:t>
      </w:r>
      <w:r>
        <w:rPr>
          <w:rFonts w:ascii="宋体" w:hAnsi="宋体" w:cs="宋体" w:eastAsia="宋体" w:hint="default"/>
          <w:spacing w:val="-2"/>
        </w:rPr>
        <w:t>65%</w:t>
      </w:r>
      <w:r>
        <w:rPr>
          <w:spacing w:val="-2"/>
        </w:rPr>
        <w:t>。主要经营范围：城市供热设施的建设及运营；</w:t>
      </w:r>
      <w:r>
        <w:rPr>
          <w:spacing w:val="-16"/>
        </w:rPr>
        <w:t> </w:t>
      </w:r>
      <w:r>
        <w:rPr>
          <w:spacing w:val="-16"/>
        </w:rPr>
      </w:r>
      <w:r>
        <w:rPr/>
        <w:t>热力工程承包；市政工程承包；销售：热力器材、电气设备。</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t>经审计，汉威智源</w:t>
      </w:r>
      <w:r>
        <w:rPr>
          <w:rFonts w:ascii="宋体" w:hAnsi="宋体" w:cs="宋体" w:eastAsia="宋体" w:hint="default"/>
        </w:rPr>
        <w:t>2019</w:t>
      </w:r>
      <w:r>
        <w:rPr/>
        <w:t>年度实现营业收入</w:t>
      </w:r>
      <w:r>
        <w:rPr>
          <w:rFonts w:ascii="宋体" w:hAnsi="宋体" w:cs="宋体" w:eastAsia="宋体" w:hint="default"/>
        </w:rPr>
        <w:t>55,920.72</w:t>
      </w:r>
      <w:r>
        <w:rPr/>
        <w:t>万元，实现净利润</w:t>
      </w:r>
      <w:r>
        <w:rPr>
          <w:rFonts w:ascii="宋体" w:hAnsi="宋体" w:cs="宋体" w:eastAsia="宋体" w:hint="default"/>
        </w:rPr>
        <w:t>8,912.43</w:t>
      </w:r>
      <w:r>
        <w:rPr/>
        <w:t>万元。</w:t>
      </w:r>
    </w:p>
    <w:p>
      <w:pPr>
        <w:spacing w:line="240" w:lineRule="auto" w:before="12"/>
        <w:rPr>
          <w:rFonts w:ascii="宋体" w:hAnsi="宋体" w:cs="宋体" w:eastAsia="宋体" w:hint="default"/>
          <w:sz w:val="29"/>
          <w:szCs w:val="29"/>
        </w:rPr>
      </w:pPr>
    </w:p>
    <w:p>
      <w:pPr>
        <w:pStyle w:val="Heading2"/>
        <w:spacing w:line="240" w:lineRule="auto"/>
        <w:ind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04" w:firstLine="420"/>
        <w:jc w:val="both"/>
      </w:pPr>
      <w:r>
        <w:rPr>
          <w:rFonts w:ascii="宋体" w:hAnsi="宋体" w:cs="宋体" w:eastAsia="宋体" w:hint="default"/>
          <w:spacing w:val="-2"/>
        </w:rPr>
        <w:t>2020</w:t>
      </w:r>
      <w:r>
        <w:rPr>
          <w:spacing w:val="-2"/>
        </w:rPr>
        <w:t>年中央经济工作会议明确指出：虽然“三期叠加”影响持续深化，国内经济下行压力加大，但是</w:t>
      </w:r>
      <w:r>
        <w:rPr>
          <w:w w:val="100"/>
        </w:rPr>
        <w:t> </w:t>
      </w:r>
      <w:r>
        <w:rPr>
          <w:spacing w:val="-2"/>
        </w:rPr>
        <w:t>我国经济稳中向好、长期向好的基本趋势没有改变。</w:t>
      </w:r>
      <w:r>
        <w:rPr>
          <w:rFonts w:ascii="宋体" w:hAnsi="宋体" w:cs="宋体" w:eastAsia="宋体" w:hint="default"/>
          <w:spacing w:val="-2"/>
        </w:rPr>
        <w:t>2020</w:t>
      </w:r>
      <w:r>
        <w:rPr>
          <w:spacing w:val="-2"/>
        </w:rPr>
        <w:t>年，基建或将成为国家逆周期调节的重要工具、</w:t>
      </w:r>
      <w:r>
        <w:rPr>
          <w:spacing w:val="-16"/>
        </w:rPr>
        <w:t> </w:t>
      </w:r>
      <w:r>
        <w:rPr>
          <w:spacing w:val="-16"/>
        </w:rPr>
      </w:r>
      <w:r>
        <w:rPr>
          <w:spacing w:val="-2"/>
        </w:rPr>
        <w:t>稳定经济增长的重要力量。在此影响下，重点都市圈的城市水环境治理、城市轨道交通、都市圈综合交通</w:t>
      </w:r>
      <w:r>
        <w:rPr>
          <w:spacing w:val="-47"/>
        </w:rPr>
        <w:t> </w:t>
      </w:r>
      <w:r>
        <w:rPr>
          <w:spacing w:val="-47"/>
        </w:rPr>
      </w:r>
      <w:r>
        <w:rPr>
          <w:spacing w:val="-2"/>
        </w:rPr>
        <w:t>一体化、冷链物流、城镇老旧小区改造以及自然灾害防治等一系列重点领域重大工程项目建设，将可能为</w:t>
      </w:r>
      <w:r>
        <w:rPr>
          <w:spacing w:val="-43"/>
        </w:rPr>
        <w:t> </w:t>
      </w:r>
      <w:r>
        <w:rPr>
          <w:spacing w:val="-43"/>
        </w:rPr>
      </w:r>
      <w:r>
        <w:rPr/>
        <w:t>公司相关板块带来一定的市场机遇。</w:t>
      </w:r>
    </w:p>
    <w:p>
      <w:pPr>
        <w:pStyle w:val="BodyText"/>
        <w:spacing w:line="408" w:lineRule="auto"/>
        <w:ind w:right="0" w:firstLine="420"/>
        <w:jc w:val="left"/>
      </w:pPr>
      <w:r>
        <w:rPr>
          <w:rFonts w:ascii="宋体" w:hAnsi="宋体" w:cs="宋体" w:eastAsia="宋体" w:hint="default"/>
        </w:rPr>
        <w:t>2020</w:t>
      </w:r>
      <w:r>
        <w:rPr/>
        <w:t>年是公司重塑能力的一年，也是高质量发展显实效的一年。公司将继续坚守“成为以传感器为核</w:t>
      </w:r>
      <w:r>
        <w:rPr>
          <w:w w:val="100"/>
        </w:rPr>
        <w:t> </w:t>
      </w:r>
      <w:r>
        <w:rPr>
          <w:spacing w:val="-5"/>
        </w:rPr>
        <w:t>心的物联网解决方案引领者”的企业愿景，深入贯彻落实中央经济工作会议精神，在省市发展战略指导下，</w:t>
      </w:r>
      <w:r>
        <w:rPr>
          <w:spacing w:val="-4"/>
        </w:rPr>
        <w:t> </w:t>
      </w:r>
      <w:r>
        <w:rPr>
          <w:spacing w:val="-4"/>
        </w:rPr>
      </w:r>
      <w:r>
        <w:rPr/>
        <w:t>以践行《汉威文化法典》为核心，加速物联网、大数据、云计算在各个业务领域的落地应用，不断巩固扩</w:t>
      </w:r>
      <w:r>
        <w:rPr>
          <w:w w:val="100"/>
        </w:rPr>
        <w:t> </w:t>
      </w:r>
      <w:r>
        <w:rPr/>
        <w:t>大核心竞争优势。</w:t>
      </w:r>
      <w:r>
        <w:rPr>
          <w:rFonts w:ascii="宋体" w:hAnsi="宋体" w:cs="宋体" w:eastAsia="宋体" w:hint="default"/>
        </w:rPr>
        <w:t>2020</w:t>
      </w:r>
      <w:r>
        <w:rPr/>
        <w:t>年，公司将加强如下几个方面的工作：</w:t>
      </w:r>
    </w:p>
    <w:p>
      <w:pPr>
        <w:pStyle w:val="BodyText"/>
        <w:spacing w:line="408" w:lineRule="auto"/>
        <w:ind w:left="573" w:right="0"/>
        <w:jc w:val="left"/>
      </w:pPr>
      <w:r>
        <w:rPr/>
        <w:t>（一）深化物联网生态圈建设，增强产业链优势</w:t>
      </w:r>
      <w:r>
        <w:rPr>
          <w:w w:val="100"/>
        </w:rPr>
        <w:t> </w:t>
      </w:r>
      <w:r>
        <w:rPr>
          <w:rFonts w:ascii="宋体" w:hAnsi="宋体" w:cs="宋体" w:eastAsia="宋体" w:hint="default"/>
          <w:spacing w:val="-2"/>
        </w:rPr>
        <w:t>2020</w:t>
      </w:r>
      <w:r>
        <w:rPr>
          <w:spacing w:val="-2"/>
        </w:rPr>
        <w:t>年，公司将继续落实“专注于物联网垂直行业的‘感·应·云’超级生态系统战略”，进一步做</w:t>
      </w:r>
    </w:p>
    <w:p>
      <w:pPr>
        <w:pStyle w:val="BodyText"/>
        <w:spacing w:line="408" w:lineRule="auto"/>
        <w:ind w:right="0"/>
        <w:jc w:val="left"/>
      </w:pPr>
      <w:r>
        <w:rPr>
          <w:spacing w:val="-2"/>
        </w:rPr>
        <w:t>好资源调配，并根据实际情况对业务组合、人才结构等进行结构化的调整，以支撑各业务板块发展，为实</w:t>
      </w:r>
      <w:r>
        <w:rPr>
          <w:spacing w:val="-50"/>
        </w:rPr>
        <w:t> </w:t>
      </w:r>
      <w:r>
        <w:rPr>
          <w:spacing w:val="-50"/>
        </w:rPr>
      </w:r>
      <w:r>
        <w:rPr/>
        <w:t>现新一轮良性健康的高质量发展奠定基础。</w:t>
      </w:r>
    </w:p>
    <w:p>
      <w:pPr>
        <w:pStyle w:val="BodyText"/>
        <w:spacing w:line="240" w:lineRule="auto"/>
        <w:ind w:left="573" w:right="0"/>
        <w:jc w:val="left"/>
      </w:pPr>
      <w:r>
        <w:rPr>
          <w:rFonts w:ascii="宋体" w:hAnsi="宋体" w:cs="宋体" w:eastAsia="宋体" w:hint="default"/>
        </w:rPr>
        <w:t>1</w:t>
      </w:r>
      <w:r>
        <w:rPr/>
        <w:t>、传感器业务方面</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rFonts w:ascii="宋体" w:hAnsi="宋体" w:cs="宋体" w:eastAsia="宋体" w:hint="default"/>
        </w:rPr>
        <w:t>2020</w:t>
      </w:r>
      <w:r>
        <w:rPr/>
        <w:t>年，公司传感器业务会加强战略、产品、技术以及市场聚焦，在保证传统优势的基础上，探索新</w:t>
      </w:r>
      <w:r>
        <w:rPr>
          <w:w w:val="100"/>
        </w:rPr>
        <w:t> </w:t>
      </w:r>
      <w:r>
        <w:rPr>
          <w:spacing w:val="-4"/>
        </w:rPr>
        <w:t>的领先领域，不断巩固核心竞争力，筑高行业壁垒。</w:t>
      </w:r>
      <w:r>
        <w:rPr>
          <w:rFonts w:ascii="宋体" w:hAnsi="宋体" w:cs="宋体" w:eastAsia="宋体" w:hint="default"/>
          <w:spacing w:val="-4"/>
        </w:rPr>
        <w:t>2020</w:t>
      </w:r>
      <w:r>
        <w:rPr>
          <w:spacing w:val="-4"/>
        </w:rPr>
        <w:t>年，公司将积极探索推进生产线自动化升级改造，</w:t>
      </w:r>
      <w:r>
        <w:rPr>
          <w:spacing w:val="-49"/>
        </w:rPr>
        <w:t> </w:t>
      </w:r>
      <w:r>
        <w:rPr>
          <w:spacing w:val="-49"/>
        </w:rPr>
      </w:r>
      <w:r>
        <w:rPr/>
        <w:t>改善产品质量和提升产品品质，同时加快多层次产品结构的一体化管理，形成更大合力。</w:t>
      </w:r>
    </w:p>
    <w:p>
      <w:pPr>
        <w:pStyle w:val="BodyText"/>
        <w:spacing w:line="408" w:lineRule="auto"/>
        <w:ind w:right="0" w:firstLine="420"/>
        <w:jc w:val="left"/>
      </w:pPr>
      <w:r>
        <w:rPr>
          <w:rFonts w:ascii="宋体" w:hAnsi="宋体" w:cs="宋体" w:eastAsia="宋体" w:hint="default"/>
          <w:spacing w:val="-2"/>
        </w:rPr>
        <w:t>2020</w:t>
      </w:r>
      <w:r>
        <w:rPr>
          <w:spacing w:val="-2"/>
        </w:rPr>
        <w:t>年，公司将进一步完善民用传感器在家电领域的应用，重点开拓燃气热水器、空气净化器、新风</w:t>
      </w:r>
      <w:r>
        <w:rPr>
          <w:w w:val="100"/>
        </w:rPr>
        <w:t> </w:t>
      </w:r>
      <w:r>
        <w:rPr>
          <w:spacing w:val="-4"/>
        </w:rPr>
        <w:t>系统等应用领域，提升产品价值。在产品方面，</w:t>
      </w:r>
      <w:r>
        <w:rPr>
          <w:rFonts w:ascii="宋体" w:hAnsi="宋体" w:cs="宋体" w:eastAsia="宋体" w:hint="default"/>
          <w:spacing w:val="-4"/>
        </w:rPr>
        <w:t>2020</w:t>
      </w:r>
      <w:r>
        <w:rPr>
          <w:spacing w:val="-4"/>
        </w:rPr>
        <w:t>年，公司将继续开拓红外探测传感器产品及市场应用，</w:t>
      </w:r>
      <w:r>
        <w:rPr>
          <w:spacing w:val="-47"/>
        </w:rPr>
        <w:t> </w:t>
      </w:r>
      <w:r>
        <w:rPr>
          <w:spacing w:val="-47"/>
        </w:rPr>
      </w:r>
      <w:r>
        <w:rPr>
          <w:spacing w:val="-4"/>
        </w:rPr>
        <w:t>完善红外探测器产品布局，同时探索水质检测传感器技术及市场，逐步完善溶解氧传感器、</w:t>
      </w:r>
      <w:r>
        <w:rPr>
          <w:rFonts w:ascii="宋体" w:hAnsi="宋体" w:cs="宋体" w:eastAsia="宋体" w:hint="default"/>
          <w:spacing w:val="-4"/>
        </w:rPr>
        <w:t>PH</w:t>
      </w:r>
      <w:r>
        <w:rPr>
          <w:spacing w:val="-4"/>
        </w:rPr>
        <w:t>传感器、</w:t>
      </w:r>
      <w:r>
        <w:rPr>
          <w:rFonts w:ascii="宋体" w:hAnsi="宋体" w:cs="宋体" w:eastAsia="宋体" w:hint="default"/>
          <w:spacing w:val="-4"/>
        </w:rPr>
        <w:t>ORP</w:t>
      </w:r>
      <w:r>
        <w:rPr>
          <w:rFonts w:ascii="宋体" w:hAnsi="宋体" w:cs="宋体" w:eastAsia="宋体" w:hint="default"/>
          <w:spacing w:val="-49"/>
        </w:rPr>
        <w:t> </w:t>
      </w:r>
      <w:r>
        <w:rPr>
          <w:spacing w:val="-2"/>
        </w:rPr>
        <w:t>传感器等水质检测传感器产品门类，完善传感器产业布局。</w:t>
      </w:r>
      <w:r>
        <w:rPr>
          <w:rFonts w:ascii="宋体" w:hAnsi="宋体" w:cs="宋体" w:eastAsia="宋体" w:hint="default"/>
          <w:spacing w:val="-2"/>
        </w:rPr>
        <w:t>2020</w:t>
      </w:r>
      <w:r>
        <w:rPr>
          <w:spacing w:val="-2"/>
        </w:rPr>
        <w:t>年，根据新型冠状病毒肺炎疫情的发展情</w:t>
      </w:r>
      <w:r>
        <w:rPr>
          <w:spacing w:val="-39"/>
        </w:rPr>
        <w:t> </w:t>
      </w:r>
      <w:r>
        <w:rPr>
          <w:spacing w:val="-39"/>
        </w:rPr>
      </w:r>
      <w:r>
        <w:rPr/>
        <w:t>况，公司将着力扩产红外热电堆型温度传感器，保障国内外防疫物资的供应。</w:t>
      </w:r>
    </w:p>
    <w:p>
      <w:pPr>
        <w:pStyle w:val="BodyText"/>
        <w:spacing w:line="240" w:lineRule="auto"/>
        <w:ind w:left="573" w:right="0"/>
        <w:jc w:val="left"/>
      </w:pPr>
      <w:r>
        <w:rPr>
          <w:rFonts w:ascii="宋体" w:hAnsi="宋体" w:cs="宋体" w:eastAsia="宋体" w:hint="default"/>
        </w:rPr>
        <w:t>2</w:t>
      </w:r>
      <w:r>
        <w:rPr/>
        <w:t>、物联网综合解决方案业务方面</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宋体" w:hAnsi="宋体" w:cs="宋体" w:eastAsia="宋体" w:hint="default"/>
        </w:rPr>
        <w:t>1</w:t>
      </w:r>
      <w:r>
        <w:rPr/>
        <w:t>）物联网平台解决方案</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firstLine="420"/>
        <w:jc w:val="left"/>
      </w:pPr>
      <w:r>
        <w:rPr>
          <w:spacing w:val="-5"/>
        </w:rPr>
        <w:t>水务、热力与燃气行业都属于民生行业，是可以深耕的百年行业，且智慧水务、智慧热力及智慧燃气，</w:t>
      </w:r>
      <w:r>
        <w:rPr>
          <w:w w:val="100"/>
        </w:rPr>
        <w:t> </w:t>
      </w:r>
      <w:r>
        <w:rPr>
          <w:spacing w:val="-2"/>
        </w:rPr>
        <w:t>相对于民生行业中的电力行业来说才刚刚起步。当前国内城市传统行业的信息化水平低，物联网综合解决</w:t>
      </w:r>
      <w:r>
        <w:rPr>
          <w:spacing w:val="-44"/>
        </w:rPr>
        <w:t> </w:t>
      </w:r>
      <w:r>
        <w:rPr>
          <w:spacing w:val="-44"/>
        </w:rPr>
      </w:r>
      <w:r>
        <w:rPr>
          <w:spacing w:val="-2"/>
        </w:rPr>
        <w:t>方案市场需求量大，商业模式多样，公司将持续努力抓住机会，在产品质量上，以用户实际需求出发，提</w:t>
      </w:r>
      <w:r>
        <w:rPr>
          <w:spacing w:val="-43"/>
        </w:rPr>
        <w:t> </w:t>
      </w:r>
      <w:r>
        <w:rPr>
          <w:spacing w:val="-43"/>
        </w:rPr>
      </w:r>
      <w:r>
        <w:rPr>
          <w:spacing w:val="-2"/>
        </w:rPr>
        <w:t>高交付质量，打造有核心竞争力的产品，在业务方向上，丰富自身业务结构，不断寻找新的机会，在业务</w:t>
      </w:r>
      <w:r>
        <w:rPr>
          <w:spacing w:val="-43"/>
        </w:rPr>
        <w:t> </w:t>
      </w:r>
      <w:r>
        <w:rPr>
          <w:spacing w:val="-43"/>
        </w:rPr>
      </w:r>
      <w:r>
        <w:rPr>
          <w:spacing w:val="-2"/>
        </w:rPr>
        <w:t>模式上，挖掘多种方式与商业伙伴紧密合作，并利用供应商或兄弟单位优势产品，丰富综合解决方案，扩</w:t>
      </w:r>
      <w:r>
        <w:rPr>
          <w:spacing w:val="-47"/>
        </w:rPr>
        <w:t> </w:t>
      </w:r>
      <w:r>
        <w:rPr>
          <w:spacing w:val="-47"/>
        </w:rPr>
      </w:r>
      <w:r>
        <w:rPr/>
        <w:t>大经营规模，实现快速发展。未来，公司将立足于重点客户，积极发展新的市场与客户资源。</w:t>
      </w:r>
    </w:p>
    <w:p>
      <w:pPr>
        <w:pStyle w:val="BodyText"/>
        <w:spacing w:line="408" w:lineRule="auto"/>
        <w:ind w:right="1104" w:firstLine="420"/>
        <w:jc w:val="both"/>
      </w:pPr>
      <w:r>
        <w:rPr>
          <w:rFonts w:ascii="宋体" w:hAnsi="宋体" w:cs="宋体" w:eastAsia="宋体" w:hint="default"/>
          <w:spacing w:val="-2"/>
        </w:rPr>
        <w:t>2020</w:t>
      </w:r>
      <w:r>
        <w:rPr>
          <w:spacing w:val="-2"/>
        </w:rPr>
        <w:t>年，公司智慧水务业务将以供水、排水、环水的应用为基础，深入发掘平台的整合及创新能力，</w:t>
      </w:r>
      <w:r>
        <w:rPr>
          <w:w w:val="100"/>
        </w:rPr>
        <w:t> </w:t>
      </w:r>
      <w:r>
        <w:rPr>
          <w:spacing w:val="-2"/>
        </w:rPr>
        <w:t>提升智慧水务大项目的整体集成及实施能力。同时，公司将开拓洗井洗管相关摸查、路面安全排查、管道</w:t>
      </w:r>
      <w:r>
        <w:rPr>
          <w:spacing w:val="-47"/>
        </w:rPr>
        <w:t> </w:t>
      </w:r>
      <w:r>
        <w:rPr>
          <w:spacing w:val="-47"/>
        </w:rPr>
      </w:r>
      <w:r>
        <w:rPr>
          <w:spacing w:val="-2"/>
        </w:rPr>
        <w:t>检测、非开挖修复等业务，利用自身优势，提升赢利能力。</w:t>
      </w:r>
      <w:r>
        <w:rPr>
          <w:rFonts w:ascii="宋体" w:hAnsi="宋体" w:cs="宋体" w:eastAsia="宋体" w:hint="default"/>
          <w:spacing w:val="-2"/>
        </w:rPr>
        <w:t>2020</w:t>
      </w:r>
      <w:r>
        <w:rPr>
          <w:spacing w:val="-2"/>
        </w:rPr>
        <w:t>年，公司智慧燃气及智慧热力将着力推动</w:t>
      </w:r>
      <w:r>
        <w:rPr>
          <w:spacing w:val="-40"/>
        </w:rPr>
        <w:t> </w:t>
      </w:r>
      <w:r>
        <w:rPr>
          <w:spacing w:val="-40"/>
        </w:rPr>
      </w:r>
      <w:r>
        <w:rPr>
          <w:spacing w:val="-2"/>
        </w:rPr>
        <w:t>技术、产品、交付与营销方面的彼此赋能、彼此支撑，完善可持续交付的流水线体系，以更快的效率、更</w:t>
      </w:r>
      <w:r>
        <w:rPr>
          <w:spacing w:val="-45"/>
        </w:rPr>
        <w:t> </w:t>
      </w:r>
      <w:r>
        <w:rPr>
          <w:spacing w:val="-45"/>
        </w:rPr>
      </w:r>
      <w:r>
        <w:rPr/>
        <w:t>好的质量、更低的成本提供更贴合用户需求的产品，助力用户实现“数字化转型”。</w:t>
      </w:r>
    </w:p>
    <w:p>
      <w:pPr>
        <w:pStyle w:val="BodyText"/>
        <w:spacing w:line="408" w:lineRule="auto"/>
        <w:ind w:left="573" w:right="0"/>
        <w:jc w:val="left"/>
      </w:pPr>
      <w:r>
        <w:rPr/>
        <w:t>（</w:t>
      </w:r>
      <w:r>
        <w:rPr>
          <w:rFonts w:ascii="宋体" w:hAnsi="宋体" w:cs="宋体" w:eastAsia="宋体" w:hint="default"/>
        </w:rPr>
        <w:t>2</w:t>
      </w:r>
      <w:r>
        <w:rPr/>
        <w:t>）智慧安全系统解决方案</w:t>
      </w:r>
      <w:r>
        <w:rPr>
          <w:w w:val="100"/>
        </w:rPr>
        <w:t> </w:t>
      </w:r>
      <w:r>
        <w:rPr>
          <w:rFonts w:ascii="宋体" w:hAnsi="宋体" w:cs="宋体" w:eastAsia="宋体" w:hint="default"/>
        </w:rPr>
        <w:t>2020</w:t>
      </w:r>
      <w:r>
        <w:rPr/>
        <w:t>年，“应急管理信息化发展战略”的落实将为“物联网</w:t>
      </w:r>
      <w:r>
        <w:rPr>
          <w:rFonts w:ascii="宋体" w:hAnsi="宋体" w:cs="宋体" w:eastAsia="宋体" w:hint="default"/>
        </w:rPr>
        <w:t>+</w:t>
      </w:r>
      <w:r>
        <w:rPr/>
        <w:t>大安全”提供多个领域的市场需求和增</w:t>
      </w:r>
    </w:p>
    <w:p>
      <w:pPr>
        <w:pStyle w:val="BodyText"/>
        <w:spacing w:line="408" w:lineRule="auto"/>
        <w:ind w:right="0"/>
        <w:jc w:val="left"/>
      </w:pPr>
      <w:r>
        <w:rPr>
          <w:spacing w:val="-4"/>
        </w:rPr>
        <w:t>长机会，后续经营发展空间广阔。</w:t>
      </w:r>
      <w:r>
        <w:rPr>
          <w:rFonts w:ascii="宋体" w:hAnsi="宋体" w:cs="宋体" w:eastAsia="宋体" w:hint="default"/>
          <w:spacing w:val="-4"/>
        </w:rPr>
        <w:t>2020</w:t>
      </w:r>
      <w:r>
        <w:rPr>
          <w:spacing w:val="-4"/>
        </w:rPr>
        <w:t>年，精细化工医药行业存在较大市场机遇，医药精细化学品品种多、</w:t>
      </w:r>
      <w:r>
        <w:rPr>
          <w:spacing w:val="-47"/>
        </w:rPr>
        <w:t> </w:t>
      </w:r>
      <w:r>
        <w:rPr>
          <w:spacing w:val="-47"/>
        </w:rPr>
      </w:r>
      <w:r>
        <w:rPr/>
        <w:t>配套性强</w:t>
      </w:r>
      <w:r>
        <w:rPr>
          <w:rFonts w:ascii="宋体" w:hAnsi="宋体" w:cs="宋体" w:eastAsia="宋体" w:hint="default"/>
        </w:rPr>
        <w:t>,</w:t>
      </w:r>
      <w:r>
        <w:rPr/>
        <w:t>在“新型冠状病毒”疫情期间，医药产品需求量大幅增加，精细化工原料及医药中间体的生产</w:t>
      </w:r>
      <w:r>
        <w:rPr>
          <w:spacing w:val="-24"/>
        </w:rPr>
        <w:t> </w:t>
      </w:r>
      <w:r>
        <w:rPr>
          <w:spacing w:val="-24"/>
        </w:rPr>
      </w:r>
      <w:r>
        <w:rPr>
          <w:spacing w:val="-2"/>
        </w:rPr>
        <w:t>过程需要大量的仪表设备的配套产品，特别是气体检测类仪表，将对公司的智慧安全系统解决方案带来市</w:t>
      </w:r>
      <w:r>
        <w:rPr>
          <w:spacing w:val="-44"/>
        </w:rPr>
        <w:t> </w:t>
      </w:r>
      <w:r>
        <w:rPr>
          <w:spacing w:val="-44"/>
        </w:rPr>
      </w:r>
      <w:r>
        <w:rPr>
          <w:spacing w:val="-4"/>
        </w:rPr>
        <w:t>场机遇。</w:t>
      </w:r>
      <w:r>
        <w:rPr>
          <w:rFonts w:ascii="宋体" w:hAnsi="宋体" w:cs="宋体" w:eastAsia="宋体" w:hint="default"/>
          <w:spacing w:val="-4"/>
        </w:rPr>
        <w:t>2020</w:t>
      </w:r>
      <w:r>
        <w:rPr>
          <w:spacing w:val="-4"/>
        </w:rPr>
        <w:t>年，公司将进一步深化集团化客户战略，重点服务石油、化工、医药领域的头部企业。同时，</w:t>
      </w:r>
      <w:r>
        <w:rPr>
          <w:spacing w:val="-46"/>
        </w:rPr>
        <w:t> </w:t>
      </w:r>
      <w:r>
        <w:rPr>
          <w:spacing w:val="-46"/>
        </w:rPr>
      </w:r>
      <w:r>
        <w:rPr/>
        <w:t>在石油价格下行的背景下，公司将积极把握国产替代的机会，提高市场占有率。</w:t>
      </w:r>
    </w:p>
    <w:p>
      <w:pPr>
        <w:pStyle w:val="BodyText"/>
        <w:spacing w:line="408" w:lineRule="auto"/>
        <w:ind w:left="573" w:right="0"/>
        <w:jc w:val="left"/>
      </w:pPr>
      <w:r>
        <w:rPr/>
        <w:t>（</w:t>
      </w:r>
      <w:r>
        <w:rPr>
          <w:rFonts w:ascii="宋体" w:hAnsi="宋体" w:cs="宋体" w:eastAsia="宋体" w:hint="default"/>
        </w:rPr>
        <w:t>3</w:t>
      </w:r>
      <w:r>
        <w:rPr/>
        <w:t>）智慧环保系统解决方案</w:t>
      </w:r>
      <w:r>
        <w:rPr>
          <w:w w:val="100"/>
        </w:rPr>
        <w:t> </w:t>
      </w:r>
      <w:r>
        <w:rPr>
          <w:rFonts w:ascii="宋体" w:hAnsi="宋体" w:cs="宋体" w:eastAsia="宋体" w:hint="default"/>
          <w:spacing w:val="-2"/>
        </w:rPr>
        <w:t>2020</w:t>
      </w:r>
      <w:r>
        <w:rPr>
          <w:spacing w:val="-2"/>
        </w:rPr>
        <w:t>年，公司将加强内部协同，加快打造监测、检测、监控、治理、运维、数据服务于一体的智慧环</w:t>
      </w:r>
    </w:p>
    <w:p>
      <w:pPr>
        <w:pStyle w:val="BodyText"/>
        <w:spacing w:line="240" w:lineRule="auto"/>
        <w:ind w:right="0"/>
        <w:jc w:val="left"/>
      </w:pPr>
      <w:r>
        <w:rPr/>
        <w:t>保生态圈。</w:t>
      </w:r>
    </w:p>
    <w:p>
      <w:pPr>
        <w:spacing w:line="240" w:lineRule="auto" w:before="10"/>
        <w:rPr>
          <w:rFonts w:ascii="宋体" w:hAnsi="宋体" w:cs="宋体" w:eastAsia="宋体" w:hint="default"/>
          <w:sz w:val="14"/>
          <w:szCs w:val="14"/>
        </w:rPr>
      </w:pPr>
    </w:p>
    <w:p>
      <w:pPr>
        <w:pStyle w:val="BodyText"/>
        <w:spacing w:line="408" w:lineRule="auto" w:before="0"/>
        <w:ind w:right="1128" w:firstLine="420"/>
        <w:jc w:val="both"/>
      </w:pPr>
      <w:r>
        <w:rPr>
          <w:spacing w:val="-2"/>
        </w:rPr>
        <w:t>监测方面，</w:t>
      </w:r>
      <w:r>
        <w:rPr>
          <w:rFonts w:ascii="宋体" w:hAnsi="宋体" w:cs="宋体" w:eastAsia="宋体" w:hint="default"/>
          <w:spacing w:val="-2"/>
        </w:rPr>
        <w:t>2020</w:t>
      </w:r>
      <w:r>
        <w:rPr>
          <w:spacing w:val="-2"/>
        </w:rPr>
        <w:t>年，公司将以生态环境污染防治为抓手，拓展在住建、市政、水利、农业、电力、应</w:t>
      </w:r>
      <w:r>
        <w:rPr>
          <w:w w:val="100"/>
        </w:rPr>
        <w:t> </w:t>
      </w:r>
      <w:r>
        <w:rPr>
          <w:spacing w:val="-2"/>
        </w:rPr>
        <w:t>急、公安等横向领域的生态环境管控平台建设、项目建设和管控数据挖掘、应用、共享，与气象、遥感等</w:t>
      </w:r>
      <w:r>
        <w:rPr>
          <w:spacing w:val="-45"/>
        </w:rPr>
        <w:t> </w:t>
      </w:r>
      <w:r>
        <w:rPr>
          <w:spacing w:val="-45"/>
        </w:rPr>
      </w:r>
      <w:r>
        <w:rPr/>
        <w:t>公开数据信息集成，通过“物联网</w:t>
      </w:r>
      <w:r>
        <w:rPr>
          <w:rFonts w:ascii="宋体" w:hAnsi="宋体" w:cs="宋体" w:eastAsia="宋体" w:hint="default"/>
        </w:rPr>
        <w:t>+</w:t>
      </w:r>
      <w:r>
        <w:rPr/>
        <w:t>监管”实现创新联动，从而提高环境治理决策的有效性，在数据应用</w:t>
      </w:r>
      <w:r>
        <w:rPr>
          <w:spacing w:val="-23"/>
        </w:rPr>
        <w:t> </w:t>
      </w:r>
      <w:r>
        <w:rPr>
          <w:spacing w:val="-23"/>
        </w:rPr>
      </w:r>
      <w:r>
        <w:rPr/>
        <w:t>上成为行业特色企业。</w:t>
      </w:r>
    </w:p>
    <w:p>
      <w:pPr>
        <w:pStyle w:val="BodyText"/>
        <w:spacing w:line="408" w:lineRule="auto"/>
        <w:ind w:right="1126" w:firstLine="420"/>
        <w:jc w:val="both"/>
      </w:pPr>
      <w:r>
        <w:rPr/>
        <w:t>环境治理方面，</w:t>
      </w:r>
      <w:r>
        <w:rPr>
          <w:rFonts w:ascii="宋体" w:hAnsi="宋体" w:cs="宋体" w:eastAsia="宋体" w:hint="default"/>
        </w:rPr>
        <w:t>2020</w:t>
      </w:r>
      <w:r>
        <w:rPr/>
        <w:t>年，公司将持续调整业务结构，进一步加强</w:t>
      </w:r>
      <w:r>
        <w:rPr>
          <w:rFonts w:ascii="宋体" w:hAnsi="宋体" w:cs="宋体" w:eastAsia="宋体" w:hint="default"/>
        </w:rPr>
        <w:t>EPC</w:t>
      </w:r>
      <w:r>
        <w:rPr/>
        <w:t>等轻资产类项目的管理及开拓。</w:t>
      </w:r>
      <w:r>
        <w:rPr>
          <w:w w:val="100"/>
        </w:rPr>
        <w:t> </w:t>
      </w:r>
      <w:r>
        <w:rPr>
          <w:rFonts w:ascii="宋体" w:hAnsi="宋体" w:cs="宋体" w:eastAsia="宋体" w:hint="default"/>
          <w:spacing w:val="-2"/>
        </w:rPr>
        <w:t>2020</w:t>
      </w:r>
      <w:r>
        <w:rPr>
          <w:spacing w:val="-2"/>
        </w:rPr>
        <w:t>年，公司将聚焦喷涂、包装、冷箱以及化工、焦化等重点行业客户的废气治理，积极布局挖掘垃圾渗</w:t>
      </w:r>
      <w:r>
        <w:rPr>
          <w:spacing w:val="-39"/>
        </w:rPr>
        <w:t> </w:t>
      </w:r>
      <w:r>
        <w:rPr>
          <w:spacing w:val="-39"/>
        </w:rPr>
      </w:r>
      <w:r>
        <w:rPr>
          <w:spacing w:val="-7"/>
        </w:rPr>
        <w:t>滤液治理项目机会，绑定垃圾发电集团客户，积极拓展化工、制药、酿酒等行业工业废水治理项目，在</w:t>
      </w:r>
      <w:r>
        <w:rPr>
          <w:rFonts w:ascii="宋体" w:hAnsi="宋体" w:cs="宋体" w:eastAsia="宋体" w:hint="default"/>
          <w:spacing w:val="-7"/>
        </w:rPr>
        <w:t>VOCs</w:t>
      </w:r>
      <w:r>
        <w:rPr>
          <w:rFonts w:ascii="宋体" w:hAnsi="宋体" w:cs="宋体" w:eastAsia="宋体" w:hint="default"/>
          <w:spacing w:val="-10"/>
        </w:rPr>
        <w:t> </w:t>
      </w:r>
      <w:r>
        <w:rPr>
          <w:rFonts w:ascii="宋体" w:hAnsi="宋体" w:cs="宋体" w:eastAsia="宋体" w:hint="default"/>
          <w:spacing w:val="-10"/>
        </w:rPr>
      </w:r>
      <w:r>
        <w:rPr/>
        <w:t>治理、垃圾渗滤液治理、废水治理领域不断提高核心竞争力。</w:t>
      </w:r>
    </w:p>
    <w:p>
      <w:pPr>
        <w:pStyle w:val="BodyText"/>
        <w:spacing w:line="240" w:lineRule="auto"/>
        <w:ind w:left="573" w:right="0"/>
        <w:jc w:val="left"/>
      </w:pPr>
      <w:r>
        <w:rPr/>
        <w:t>（</w:t>
      </w:r>
      <w:r>
        <w:rPr>
          <w:rFonts w:ascii="宋体" w:hAnsi="宋体" w:cs="宋体" w:eastAsia="宋体" w:hint="default"/>
        </w:rPr>
        <w:t>4</w:t>
      </w:r>
      <w:r>
        <w:rPr/>
        <w:t>）智慧市政系统解决方案</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rFonts w:ascii="宋体" w:hAnsi="宋体" w:cs="宋体" w:eastAsia="宋体" w:hint="default"/>
          <w:spacing w:val="-2"/>
        </w:rPr>
        <w:t>2020</w:t>
      </w:r>
      <w:r>
        <w:rPr>
          <w:spacing w:val="-2"/>
        </w:rPr>
        <w:t>年，智慧市政系统解决方案业务在继续发挥好民生服务以及“现金流稳定器”作用的同时，将重</w:t>
      </w:r>
      <w:r>
        <w:rPr>
          <w:w w:val="100"/>
        </w:rPr>
        <w:t> </w:t>
      </w:r>
      <w:r>
        <w:rPr>
          <w:spacing w:val="-2"/>
        </w:rPr>
        <w:t>点发挥好智慧城市“实验田”的职能，在智慧化示范方面实现更大的提升和突破，不断加快推进智慧水务</w:t>
      </w:r>
      <w:r>
        <w:rPr>
          <w:spacing w:val="-46"/>
        </w:rPr>
        <w:t> </w:t>
      </w:r>
      <w:r>
        <w:rPr>
          <w:spacing w:val="-46"/>
        </w:rPr>
      </w:r>
      <w:r>
        <w:rPr>
          <w:spacing w:val="-2"/>
        </w:rPr>
        <w:t>和智慧热力三期建设，使公司的物联网平台解决方案在智慧水务、智慧热力行业中的标杆示范作用进一步</w:t>
      </w:r>
      <w:r>
        <w:rPr>
          <w:spacing w:val="-43"/>
        </w:rPr>
        <w:t> </w:t>
      </w:r>
      <w:r>
        <w:rPr>
          <w:spacing w:val="-43"/>
        </w:rPr>
      </w:r>
      <w:r>
        <w:rPr/>
        <w:t>增强。</w:t>
      </w:r>
    </w:p>
    <w:p>
      <w:pPr>
        <w:pStyle w:val="BodyText"/>
        <w:spacing w:line="240" w:lineRule="auto"/>
        <w:ind w:left="573" w:right="0"/>
        <w:jc w:val="left"/>
      </w:pPr>
      <w:r>
        <w:rPr>
          <w:rFonts w:ascii="宋体" w:hAnsi="宋体" w:cs="宋体" w:eastAsia="宋体" w:hint="default"/>
        </w:rPr>
        <w:t>3</w:t>
      </w:r>
      <w:r>
        <w:rPr/>
        <w:t>、居家智能与健康</w:t>
      </w:r>
    </w:p>
    <w:p>
      <w:pPr>
        <w:spacing w:line="240" w:lineRule="auto" w:before="10"/>
        <w:rPr>
          <w:rFonts w:ascii="宋体" w:hAnsi="宋体" w:cs="宋体" w:eastAsia="宋体" w:hint="default"/>
          <w:sz w:val="14"/>
          <w:szCs w:val="14"/>
        </w:rPr>
      </w:pPr>
    </w:p>
    <w:p>
      <w:pPr>
        <w:pStyle w:val="BodyText"/>
        <w:spacing w:line="408" w:lineRule="auto" w:before="0"/>
        <w:ind w:right="1104" w:firstLine="420"/>
        <w:jc w:val="both"/>
      </w:pPr>
      <w:r>
        <w:rPr>
          <w:rFonts w:ascii="宋体" w:hAnsi="宋体" w:cs="宋体" w:eastAsia="宋体" w:hint="default"/>
          <w:spacing w:val="-2"/>
        </w:rPr>
        <w:t>2020</w:t>
      </w:r>
      <w:r>
        <w:rPr>
          <w:spacing w:val="-2"/>
        </w:rPr>
        <w:t>年，公司将加强消费端物联网业务生态的落地。未来，公司将持续跟进民用、家用网关的开发，</w:t>
      </w:r>
      <w:r>
        <w:rPr>
          <w:w w:val="100"/>
        </w:rPr>
        <w:t> </w:t>
      </w:r>
      <w:r>
        <w:rPr>
          <w:spacing w:val="-2"/>
        </w:rPr>
        <w:t>促进居家智能与健康业务由设备售前售后，转向服务售前售后。将公司的内在竞争力从产品设备逐步转移</w:t>
      </w:r>
      <w:r>
        <w:rPr>
          <w:spacing w:val="-44"/>
        </w:rPr>
        <w:t> </w:t>
      </w:r>
      <w:r>
        <w:rPr>
          <w:spacing w:val="-44"/>
        </w:rPr>
      </w:r>
      <w:r>
        <w:rPr>
          <w:spacing w:val="-2"/>
        </w:rPr>
        <w:t>到项目服务上来，公司致力于行业消费物联网生态建设，希望开放共享物联网生态模式，让生产和生活不</w:t>
      </w:r>
      <w:r>
        <w:rPr>
          <w:spacing w:val="-44"/>
        </w:rPr>
        <w:t> </w:t>
      </w:r>
      <w:r>
        <w:rPr>
          <w:spacing w:val="-44"/>
        </w:rPr>
      </w:r>
      <w:r>
        <w:rPr/>
        <w:t>断涌现新价值。</w:t>
      </w:r>
    </w:p>
    <w:p>
      <w:pPr>
        <w:pStyle w:val="BodyText"/>
        <w:spacing w:line="408" w:lineRule="auto"/>
        <w:ind w:left="573" w:right="0"/>
        <w:jc w:val="left"/>
      </w:pPr>
      <w:r>
        <w:rPr/>
        <w:t>（二）落实创新驱动，进一步提升研发实力</w:t>
      </w:r>
      <w:r>
        <w:rPr>
          <w:spacing w:val="-3"/>
          <w:w w:val="100"/>
        </w:rPr>
        <w:t> </w:t>
      </w:r>
      <w:r>
        <w:rPr>
          <w:rFonts w:ascii="宋体" w:hAnsi="宋体" w:cs="宋体" w:eastAsia="宋体" w:hint="default"/>
          <w:spacing w:val="-2"/>
        </w:rPr>
        <w:t>2020</w:t>
      </w:r>
      <w:r>
        <w:rPr>
          <w:spacing w:val="-2"/>
        </w:rPr>
        <w:t>年，公司将继续以提高创新平台功能发挥和提升创新成果转化为重点，加大力度深化创新引领和</w:t>
      </w:r>
    </w:p>
    <w:p>
      <w:pPr>
        <w:pStyle w:val="BodyText"/>
        <w:spacing w:line="408" w:lineRule="auto"/>
        <w:ind w:left="573" w:right="0" w:hanging="421"/>
        <w:jc w:val="left"/>
      </w:pPr>
      <w:r>
        <w:rPr/>
        <w:t>创新驱动战略，使创新真正成为引领企业高质量发展的第一动力。</w:t>
      </w:r>
      <w:r>
        <w:rPr>
          <w:w w:val="100"/>
        </w:rPr>
        <w:t> </w:t>
      </w:r>
      <w:r>
        <w:rPr>
          <w:rFonts w:ascii="宋体" w:hAnsi="宋体" w:cs="宋体" w:eastAsia="宋体" w:hint="default"/>
        </w:rPr>
        <w:t>1</w:t>
      </w:r>
      <w:r>
        <w:rPr/>
        <w:t>、</w:t>
      </w:r>
      <w:r>
        <w:rPr>
          <w:rFonts w:ascii="宋体" w:hAnsi="宋体" w:cs="宋体" w:eastAsia="宋体" w:hint="default"/>
        </w:rPr>
        <w:t>2020</w:t>
      </w:r>
      <w:r>
        <w:rPr/>
        <w:t>年，公司将继续拓宽创新格局。加大力度探索水质、超声、消费类电子等应用领域和方向，</w:t>
      </w:r>
    </w:p>
    <w:p>
      <w:pPr>
        <w:pStyle w:val="BodyText"/>
        <w:spacing w:line="408" w:lineRule="auto"/>
        <w:ind w:right="0"/>
        <w:jc w:val="left"/>
      </w:pPr>
      <w:r>
        <w:rPr>
          <w:spacing w:val="-2"/>
        </w:rPr>
        <w:t>拓展云计算、</w:t>
      </w:r>
      <w:r>
        <w:rPr>
          <w:rFonts w:ascii="宋体" w:hAnsi="宋体" w:cs="宋体" w:eastAsia="宋体" w:hint="default"/>
          <w:spacing w:val="-2"/>
        </w:rPr>
        <w:t>MEMS</w:t>
      </w:r>
      <w:r>
        <w:rPr>
          <w:spacing w:val="-2"/>
        </w:rPr>
        <w:t>等新领域，向硬件智能化、可视化、云化（消费类电子）、</w:t>
      </w:r>
      <w:r>
        <w:rPr>
          <w:rFonts w:ascii="宋体" w:hAnsi="宋体" w:cs="宋体" w:eastAsia="宋体" w:hint="default"/>
          <w:spacing w:val="-2"/>
        </w:rPr>
        <w:t>BIM</w:t>
      </w:r>
      <w:r>
        <w:rPr>
          <w:spacing w:val="-2"/>
        </w:rPr>
        <w:t>等新方向延伸；</w:t>
      </w:r>
      <w:r>
        <w:rPr>
          <w:rFonts w:ascii="宋体" w:hAnsi="宋体" w:cs="宋体" w:eastAsia="宋体" w:hint="default"/>
          <w:spacing w:val="-2"/>
        </w:rPr>
        <w:t>2020</w:t>
      </w:r>
      <w:r>
        <w:rPr>
          <w:spacing w:val="-2"/>
        </w:rPr>
        <w:t>年，</w:t>
      </w:r>
      <w:r>
        <w:rPr>
          <w:spacing w:val="-36"/>
        </w:rPr>
        <w:t> </w:t>
      </w:r>
      <w:r>
        <w:rPr/>
        <w:t>公司将持续加强</w:t>
      </w:r>
      <w:r>
        <w:rPr>
          <w:rFonts w:ascii="宋体" w:hAnsi="宋体" w:cs="宋体" w:eastAsia="宋体" w:hint="default"/>
        </w:rPr>
        <w:t>5G</w:t>
      </w:r>
      <w:r>
        <w:rPr/>
        <w:t>、区块链等新技术与现有技术、业务的融合，研究新业务、新模式。</w:t>
      </w:r>
    </w:p>
    <w:p>
      <w:pPr>
        <w:pStyle w:val="BodyText"/>
        <w:spacing w:line="408" w:lineRule="auto"/>
        <w:ind w:right="1134" w:firstLine="420"/>
        <w:jc w:val="both"/>
      </w:pPr>
      <w:r>
        <w:rPr>
          <w:rFonts w:ascii="宋体" w:hAnsi="宋体" w:cs="宋体" w:eastAsia="宋体" w:hint="default"/>
        </w:rPr>
        <w:t>2</w:t>
      </w:r>
      <w:r>
        <w:rPr/>
        <w:t>、</w:t>
      </w:r>
      <w:r>
        <w:rPr>
          <w:rFonts w:ascii="宋体" w:hAnsi="宋体" w:cs="宋体" w:eastAsia="宋体" w:hint="default"/>
        </w:rPr>
        <w:t>2020</w:t>
      </w:r>
      <w:r>
        <w:rPr/>
        <w:t>年，公司将加快传统产品迭代升级。在完成探测器产品的新国标换证工作的基础上，公司将</w:t>
      </w:r>
      <w:r>
        <w:rPr>
          <w:w w:val="100"/>
        </w:rPr>
        <w:t> </w:t>
      </w:r>
      <w:r>
        <w:rPr/>
        <w:t>启动面向高端工业产品线的研发工作和新技术的预研。</w:t>
      </w:r>
    </w:p>
    <w:p>
      <w:pPr>
        <w:pStyle w:val="BodyText"/>
        <w:spacing w:line="408" w:lineRule="auto"/>
        <w:ind w:right="1134" w:firstLine="420"/>
        <w:jc w:val="both"/>
      </w:pPr>
      <w:r>
        <w:rPr>
          <w:rFonts w:ascii="宋体" w:hAnsi="宋体" w:cs="宋体" w:eastAsia="宋体" w:hint="default"/>
        </w:rPr>
        <w:t>3</w:t>
      </w:r>
      <w:r>
        <w:rPr/>
        <w:t>、</w:t>
      </w:r>
      <w:r>
        <w:rPr>
          <w:rFonts w:ascii="宋体" w:hAnsi="宋体" w:cs="宋体" w:eastAsia="宋体" w:hint="default"/>
        </w:rPr>
        <w:t>2020</w:t>
      </w:r>
      <w:r>
        <w:rPr/>
        <w:t>年，公司将建设数据分析及数据建模研发及服务平台，主要服务于软件项目和具有边缘计算</w:t>
      </w:r>
      <w:r>
        <w:rPr>
          <w:w w:val="100"/>
        </w:rPr>
        <w:t> </w:t>
      </w:r>
      <w:r>
        <w:rPr/>
        <w:t>能力的硬件产品，同时加快完成实验室</w:t>
      </w:r>
      <w:r>
        <w:rPr>
          <w:rFonts w:ascii="宋体" w:hAnsi="宋体" w:cs="宋体" w:eastAsia="宋体" w:hint="default"/>
        </w:rPr>
        <w:t>CNAS</w:t>
      </w:r>
      <w:r>
        <w:rPr/>
        <w:t>认证和</w:t>
      </w:r>
      <w:r>
        <w:rPr>
          <w:rFonts w:ascii="宋体" w:hAnsi="宋体" w:cs="宋体" w:eastAsia="宋体" w:hint="default"/>
        </w:rPr>
        <w:t>BSI</w:t>
      </w:r>
      <w:r>
        <w:rPr/>
        <w:t>目击实验室相关工作，提高公共测试服务平台的服</w:t>
      </w:r>
      <w:r>
        <w:rPr>
          <w:spacing w:val="-30"/>
        </w:rPr>
        <w:t> </w:t>
      </w:r>
      <w:r>
        <w:rPr>
          <w:spacing w:val="-30"/>
        </w:rPr>
      </w:r>
      <w:r>
        <w:rPr/>
        <w:t>务能力。</w:t>
      </w:r>
    </w:p>
    <w:p>
      <w:pPr>
        <w:pStyle w:val="BodyText"/>
        <w:spacing w:line="408" w:lineRule="auto"/>
        <w:ind w:left="573" w:right="0"/>
        <w:jc w:val="left"/>
      </w:pPr>
      <w:r>
        <w:rPr/>
        <w:t>（三）瞄准“平台功能”，提升集团化管控成效</w:t>
      </w:r>
      <w:r>
        <w:rPr>
          <w:w w:val="100"/>
        </w:rPr>
        <w:t> </w:t>
      </w:r>
      <w:r>
        <w:rPr>
          <w:spacing w:val="-2"/>
        </w:rPr>
        <w:t>为了进一步提高运营效率，让集团化管理成果更加巩固，内部循环更加畅通，更好地支撑汉威战略的</w:t>
      </w:r>
    </w:p>
    <w:p>
      <w:pPr>
        <w:pStyle w:val="BodyText"/>
        <w:spacing w:line="408" w:lineRule="auto"/>
        <w:ind w:right="1128"/>
        <w:jc w:val="both"/>
      </w:pPr>
      <w:r>
        <w:rPr>
          <w:spacing w:val="-2"/>
        </w:rPr>
        <w:t>落地，从</w:t>
      </w:r>
      <w:r>
        <w:rPr>
          <w:rFonts w:ascii="宋体" w:hAnsi="宋体" w:cs="宋体" w:eastAsia="宋体" w:hint="default"/>
          <w:spacing w:val="-2"/>
        </w:rPr>
        <w:t>2020</w:t>
      </w:r>
      <w:r>
        <w:rPr>
          <w:spacing w:val="-2"/>
        </w:rPr>
        <w:t>年开始，公司将继续围绕“统分结合、控放有度、权责清晰、规范科学、灵活高效”的总目</w:t>
      </w:r>
      <w:r>
        <w:rPr>
          <w:spacing w:val="-45"/>
        </w:rPr>
        <w:t> </w:t>
      </w:r>
      <w:r>
        <w:rPr>
          <w:spacing w:val="-45"/>
        </w:rPr>
      </w:r>
      <w:r>
        <w:rPr>
          <w:spacing w:val="-2"/>
        </w:rPr>
        <w:t>标，以“大胆变革、严格管理”为主基调，以平台管理为抓手，进一步提升汉威平台价值。计划</w:t>
      </w:r>
      <w:r>
        <w:rPr>
          <w:rFonts w:ascii="宋体" w:hAnsi="宋体" w:cs="宋体" w:eastAsia="宋体" w:hint="default"/>
          <w:spacing w:val="-2"/>
        </w:rPr>
        <w:t>2020</w:t>
      </w:r>
      <w:r>
        <w:rPr>
          <w:spacing w:val="-2"/>
        </w:rPr>
        <w:t>年完</w:t>
      </w:r>
      <w:r>
        <w:rPr>
          <w:spacing w:val="-44"/>
        </w:rPr>
        <w:t> </w:t>
      </w:r>
      <w:r>
        <w:rPr/>
        <w:t>成“平台管理</w:t>
      </w:r>
      <w:r>
        <w:rPr>
          <w:rFonts w:ascii="宋体" w:hAnsi="宋体" w:cs="宋体" w:eastAsia="宋体" w:hint="default"/>
        </w:rPr>
        <w:t>2.0</w:t>
      </w:r>
      <w:r>
        <w:rPr/>
        <w:t>”，到</w:t>
      </w:r>
      <w:r>
        <w:rPr>
          <w:rFonts w:ascii="宋体" w:hAnsi="宋体" w:cs="宋体" w:eastAsia="宋体" w:hint="default"/>
        </w:rPr>
        <w:t>2021</w:t>
      </w:r>
      <w:r>
        <w:rPr/>
        <w:t>年实现“战略管控模式”的全面升级。</w:t>
      </w:r>
    </w:p>
    <w:p>
      <w:pPr>
        <w:pStyle w:val="BodyText"/>
        <w:spacing w:line="408" w:lineRule="auto"/>
        <w:ind w:right="1104" w:firstLine="420"/>
        <w:jc w:val="both"/>
      </w:pPr>
      <w:r>
        <w:rPr>
          <w:rFonts w:ascii="宋体" w:hAnsi="宋体" w:cs="宋体" w:eastAsia="宋体" w:hint="default"/>
          <w:spacing w:val="-2"/>
        </w:rPr>
        <w:t>2020</w:t>
      </w:r>
      <w:r>
        <w:rPr>
          <w:spacing w:val="-2"/>
        </w:rPr>
        <w:t>年，公司将通过打造“投融资及重大决策平台、战略绩效管理平台、人才管理平台、财务资金管</w:t>
      </w:r>
      <w:r>
        <w:rPr>
          <w:w w:val="100"/>
        </w:rPr>
        <w:t> </w:t>
      </w:r>
      <w:r>
        <w:rPr/>
        <w:t>理平台、审计监察管理平台、技术研发平台、知识分享平台”</w:t>
      </w:r>
      <w:r>
        <w:rPr>
          <w:rFonts w:ascii="宋体" w:hAnsi="宋体" w:cs="宋体" w:eastAsia="宋体" w:hint="default"/>
        </w:rPr>
        <w:t>7</w:t>
      </w:r>
      <w:r>
        <w:rPr/>
        <w:t>个多专业、高能力的综合平台，确保公司</w:t>
      </w:r>
      <w:r>
        <w:rPr>
          <w:spacing w:val="-22"/>
        </w:rPr>
        <w:t> </w:t>
      </w:r>
      <w:r>
        <w:rPr>
          <w:spacing w:val="-22"/>
        </w:rPr>
      </w:r>
      <w:r>
        <w:rPr>
          <w:spacing w:val="-2"/>
        </w:rPr>
        <w:t>平台功能的发挥；通过内部管理结构的调整和优化，激发各级组织的活力，建立稳定、高效高质的运营体</w:t>
      </w:r>
      <w:r>
        <w:rPr>
          <w:spacing w:val="-47"/>
        </w:rPr>
        <w:t> </w:t>
      </w:r>
      <w:r>
        <w:rPr>
          <w:spacing w:val="-47"/>
        </w:rPr>
      </w:r>
      <w:r>
        <w:rPr>
          <w:spacing w:val="-2"/>
        </w:rPr>
        <w:t>系和团队；通过做好信息上移、权限下移、因能授权，激发一线组织与员工的主观能动性；通过加强能力</w:t>
      </w:r>
      <w:r>
        <w:rPr>
          <w:spacing w:val="-43"/>
        </w:rPr>
        <w:t> </w:t>
      </w:r>
      <w:r>
        <w:rPr>
          <w:spacing w:val="-43"/>
        </w:rPr>
      </w:r>
      <w:r>
        <w:rPr>
          <w:spacing w:val="-2"/>
        </w:rPr>
        <w:t>建设，在集团战略框架内，实现前、中、后台高效联动，形成“研产供销良性互动，前端后台强势支撑”</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的局面，支撑各业务单位创造更大价值、实现自主可持续发展。</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（四）加强思想引领，加快文化落地</w:t>
      </w:r>
      <w:r>
        <w:rPr>
          <w:w w:val="100"/>
        </w:rPr>
        <w:t> </w:t>
      </w:r>
      <w:r>
        <w:rPr>
          <w:rFonts w:ascii="宋体" w:hAnsi="宋体" w:cs="宋体" w:eastAsia="宋体" w:hint="default"/>
          <w:spacing w:val="-2"/>
        </w:rPr>
        <w:t>2020</w:t>
      </w:r>
      <w:r>
        <w:rPr>
          <w:spacing w:val="-2"/>
        </w:rPr>
        <w:t>年，公司将以持续加快《汉威文化法典》的落实落地为重点，继续提炼、升华、完善、丰富公司</w:t>
      </w:r>
    </w:p>
    <w:p>
      <w:pPr>
        <w:pStyle w:val="BodyText"/>
        <w:spacing w:line="408" w:lineRule="auto"/>
        <w:ind w:right="0"/>
        <w:jc w:val="left"/>
      </w:pPr>
      <w:r>
        <w:rPr>
          <w:spacing w:val="-2"/>
        </w:rPr>
        <w:t>的理念体系和价值观体系。首先，公司将进一步加强母子品牌互动，逐步形成品牌矩阵，提升品牌传播效</w:t>
      </w:r>
      <w:r>
        <w:rPr>
          <w:spacing w:val="-47"/>
        </w:rPr>
        <w:t> </w:t>
      </w:r>
      <w:r>
        <w:rPr>
          <w:spacing w:val="-47"/>
        </w:rPr>
      </w:r>
      <w:r>
        <w:rPr>
          <w:spacing w:val="-5"/>
        </w:rPr>
        <w:t>果，并结合学术会议和社会组织资源，提升汉威的行业影响力；其次，公司将从政策、制度、组织、流程、</w:t>
      </w:r>
      <w:r>
        <w:rPr>
          <w:spacing w:val="-8"/>
        </w:rPr>
        <w:t> </w:t>
      </w:r>
      <w:r>
        <w:rPr>
          <w:spacing w:val="-8"/>
        </w:rPr>
      </w:r>
      <w:r>
        <w:rPr>
          <w:spacing w:val="-2"/>
        </w:rPr>
        <w:t>文化、培训与宣传等方面，将合法合规理念落实到所有业务活动中，融入到每一位员工的思想意识与行为</w:t>
      </w:r>
      <w:r>
        <w:rPr>
          <w:spacing w:val="-45"/>
        </w:rPr>
        <w:t> </w:t>
      </w:r>
      <w:r>
        <w:rPr>
          <w:spacing w:val="-45"/>
        </w:rPr>
      </w:r>
      <w:r>
        <w:rPr>
          <w:spacing w:val="-2"/>
        </w:rPr>
        <w:t>习惯中；再次，公司将以更大力度倡导“以价值创造者为本”的思想导向，积极鼓励价值创造，组合各种</w:t>
      </w:r>
      <w:r>
        <w:rPr>
          <w:spacing w:val="-42"/>
        </w:rPr>
        <w:t> </w:t>
      </w:r>
      <w:r>
        <w:rPr>
          <w:spacing w:val="-42"/>
        </w:rPr>
      </w:r>
      <w:r>
        <w:rPr>
          <w:spacing w:val="-2"/>
        </w:rPr>
        <w:t>激励工具手段，促进每一个组织与个人充满活力，同时对与公司文化严重不符、触碰公司红线的行为严肃</w:t>
      </w:r>
      <w:r>
        <w:rPr>
          <w:spacing w:val="-43"/>
        </w:rPr>
        <w:t> </w:t>
      </w:r>
      <w:r>
        <w:rPr>
          <w:spacing w:val="-43"/>
        </w:rPr>
      </w:r>
      <w:r>
        <w:rPr/>
        <w:t>追责，把激浊扬清的效率提升上来。</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十、接待调研、沟通、采访等活动登记表" w:id="57"/>
      <w:bookmarkEnd w:id="57"/>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8"/>
        <w:gridCol w:w="2206"/>
        <w:gridCol w:w="2206"/>
        <w:gridCol w:w="3077"/>
      </w:tblGrid>
      <w:tr>
        <w:trPr>
          <w:trHeight w:val="398" w:hRule="exact"/>
        </w:trPr>
        <w:tc>
          <w:tcPr>
            <w:tcW w:w="220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37"/>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2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2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59"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7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72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22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68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1">
              <w:r>
                <w:rPr>
                  <w:rFonts w:ascii="Times New Roman" w:hAnsi="Times New Roman" w:cs="Times New Roman" w:eastAsia="Times New Roman" w:hint="default"/>
                  <w:sz w:val="18"/>
                  <w:szCs w:val="18"/>
                </w:rPr>
                <w:t>www.cninfo.com.cn</w:t>
              </w:r>
            </w:hyperlink>
          </w:p>
        </w:tc>
      </w:tr>
      <w:tr>
        <w:trPr>
          <w:trHeight w:val="403" w:hRule="exact"/>
        </w:trPr>
        <w:tc>
          <w:tcPr>
            <w:tcW w:w="22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68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1">
              <w:r>
                <w:rPr>
                  <w:rFonts w:ascii="Times New Roman" w:hAnsi="Times New Roman" w:cs="Times New Roman" w:eastAsia="Times New Roman" w:hint="default"/>
                  <w:sz w:val="18"/>
                  <w:szCs w:val="18"/>
                </w:rPr>
                <w:t>www.cninfo.com.cn</w:t>
              </w:r>
            </w:hyperlink>
          </w:p>
        </w:tc>
      </w:tr>
      <w:tr>
        <w:trPr>
          <w:trHeight w:val="401" w:hRule="exact"/>
        </w:trPr>
        <w:tc>
          <w:tcPr>
            <w:tcW w:w="22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68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1">
              <w:r>
                <w:rPr>
                  <w:rFonts w:ascii="Times New Roman" w:hAnsi="Times New Roman" w:cs="Times New Roman" w:eastAsia="Times New Roman" w:hint="default"/>
                  <w:sz w:val="18"/>
                  <w:szCs w:val="18"/>
                </w:rPr>
                <w:t>www.cninfo.com.cn</w:t>
              </w:r>
            </w:hyperlink>
          </w:p>
        </w:tc>
      </w:tr>
      <w:tr>
        <w:trPr>
          <w:trHeight w:val="403" w:hRule="exact"/>
        </w:trPr>
        <w:tc>
          <w:tcPr>
            <w:tcW w:w="22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68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1">
              <w:r>
                <w:rPr>
                  <w:rFonts w:ascii="Times New Roman" w:hAnsi="Times New Roman" w:cs="Times New Roman" w:eastAsia="Times New Roman" w:hint="default"/>
                  <w:sz w:val="18"/>
                  <w:szCs w:val="18"/>
                </w:rPr>
                <w:t>www.cninfo.com.cn</w:t>
              </w:r>
            </w:hyperlink>
          </w:p>
        </w:tc>
      </w:tr>
      <w:tr>
        <w:trPr>
          <w:trHeight w:val="401" w:hRule="exact"/>
        </w:trPr>
        <w:tc>
          <w:tcPr>
            <w:tcW w:w="22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68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1">
              <w:r>
                <w:rPr>
                  <w:rFonts w:ascii="Times New Roman" w:hAnsi="Times New Roman" w:cs="Times New Roman" w:eastAsia="Times New Roman" w:hint="default"/>
                  <w:sz w:val="18"/>
                  <w:szCs w:val="18"/>
                </w:rPr>
                <w:t>www.cninfo.com.cn</w:t>
              </w:r>
            </w:hyperlink>
          </w:p>
        </w:tc>
      </w:tr>
      <w:tr>
        <w:trPr>
          <w:trHeight w:val="410" w:hRule="exact"/>
        </w:trPr>
        <w:tc>
          <w:tcPr>
            <w:tcW w:w="220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right="684"/>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2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7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11">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7"/>
        <w:ind w:right="0" w:firstLine="420"/>
        <w:jc w:val="left"/>
      </w:pPr>
      <w:r>
        <w:rPr>
          <w:spacing w:val="-5"/>
        </w:rPr>
        <w:t>报告期内，公司严格按照相关利润分配政策和审议程序实施利润分配方案，分红标准和分红比例明确、</w:t>
      </w:r>
      <w:r>
        <w:rPr>
          <w:w w:val="100"/>
        </w:rPr>
        <w:t> </w:t>
      </w:r>
      <w:r>
        <w:rPr>
          <w:spacing w:val="-2"/>
        </w:rPr>
        <w:t>清晰，相关的决策程序和机制完备；相关议案经由公司董事会、监事会审议后提交股东大会审议，公司独</w:t>
      </w:r>
      <w:r>
        <w:rPr>
          <w:spacing w:val="-50"/>
        </w:rPr>
        <w:t> </w:t>
      </w:r>
      <w:r>
        <w:rPr>
          <w:spacing w:val="-50"/>
        </w:rPr>
      </w:r>
      <w:r>
        <w:rPr/>
        <w:t>立董事发表了独立意见；并在分配方案审议通过后的</w:t>
      </w:r>
      <w:r>
        <w:rPr>
          <w:rFonts w:ascii="宋体" w:hAnsi="宋体" w:cs="宋体" w:eastAsia="宋体" w:hint="default"/>
        </w:rPr>
        <w:t>2</w:t>
      </w:r>
      <w:r>
        <w:rPr/>
        <w:t>个月内进行了权益分派，保证了全体股东的利益。</w:t>
      </w:r>
    </w:p>
    <w:p>
      <w:pPr>
        <w:pStyle w:val="BodyText"/>
        <w:spacing w:line="408" w:lineRule="auto"/>
        <w:ind w:right="1128" w:firstLine="420"/>
        <w:jc w:val="both"/>
      </w:pP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29</w:t>
      </w:r>
      <w:r>
        <w:rPr/>
        <w:t>日，公司第四届董事会第二十二次会议审议通过了</w:t>
      </w:r>
      <w:r>
        <w:rPr>
          <w:rFonts w:ascii="宋体" w:hAnsi="宋体" w:cs="宋体" w:eastAsia="宋体" w:hint="default"/>
        </w:rPr>
        <w:t>2018</w:t>
      </w:r>
      <w:r>
        <w:rPr/>
        <w:t>年度利润分配方案，以</w:t>
      </w:r>
      <w:r>
        <w:rPr>
          <w:rFonts w:ascii="宋体" w:hAnsi="宋体" w:cs="宋体" w:eastAsia="宋体" w:hint="default"/>
        </w:rPr>
        <w:t>2018</w:t>
      </w:r>
      <w:r>
        <w:rPr/>
        <w:t>年</w:t>
      </w:r>
      <w:r>
        <w:rPr>
          <w:rFonts w:ascii="宋体" w:hAnsi="宋体" w:cs="宋体" w:eastAsia="宋体" w:hint="default"/>
        </w:rPr>
        <w:t>12</w:t>
      </w:r>
      <w:r>
        <w:rPr>
          <w:rFonts w:ascii="宋体" w:hAnsi="宋体" w:cs="宋体" w:eastAsia="宋体" w:hint="default"/>
          <w:w w:val="100"/>
        </w:rPr>
        <w:t> </w:t>
      </w:r>
      <w:r>
        <w:rPr>
          <w:spacing w:val="3"/>
        </w:rPr>
        <w:t>月</w:t>
      </w:r>
      <w:r>
        <w:rPr>
          <w:rFonts w:ascii="宋体" w:hAnsi="宋体" w:cs="宋体" w:eastAsia="宋体" w:hint="default"/>
          <w:spacing w:val="3"/>
        </w:rPr>
        <w:t>31</w:t>
      </w:r>
      <w:r>
        <w:rPr>
          <w:spacing w:val="3"/>
        </w:rPr>
        <w:t>日总股本</w:t>
      </w:r>
      <w:r>
        <w:rPr>
          <w:rFonts w:ascii="宋体" w:hAnsi="宋体" w:cs="宋体" w:eastAsia="宋体" w:hint="default"/>
          <w:spacing w:val="3"/>
        </w:rPr>
        <w:t>293,022,806</w:t>
      </w:r>
      <w:r>
        <w:rPr>
          <w:spacing w:val="3"/>
        </w:rPr>
        <w:t>股为基数，向全体股东每</w:t>
      </w:r>
      <w:r>
        <w:rPr>
          <w:rFonts w:ascii="宋体" w:hAnsi="宋体" w:cs="宋体" w:eastAsia="宋体" w:hint="default"/>
          <w:spacing w:val="3"/>
        </w:rPr>
        <w:t>10</w:t>
      </w:r>
      <w:r>
        <w:rPr>
          <w:spacing w:val="3"/>
        </w:rPr>
        <w:t>股派发现金红利</w:t>
      </w:r>
      <w:r>
        <w:rPr>
          <w:rFonts w:ascii="宋体" w:hAnsi="宋体" w:cs="宋体" w:eastAsia="宋体" w:hint="default"/>
          <w:spacing w:val="3"/>
        </w:rPr>
        <w:t>0.15</w:t>
      </w:r>
      <w:r>
        <w:rPr>
          <w:spacing w:val="3"/>
        </w:rPr>
        <w:t>元（含税），合计派发现金</w:t>
      </w:r>
      <w:r>
        <w:rPr>
          <w:spacing w:val="-6"/>
        </w:rPr>
        <w:t> </w:t>
      </w:r>
      <w:r>
        <w:rPr>
          <w:spacing w:val="-6"/>
        </w:rPr>
      </w:r>
      <w:r>
        <w:rPr>
          <w:rFonts w:ascii="宋体" w:hAnsi="宋体" w:cs="宋体" w:eastAsia="宋体" w:hint="default"/>
        </w:rPr>
        <w:t>4,395,342.09</w:t>
      </w:r>
      <w:r>
        <w:rPr/>
        <w:t>元，剩余未分配利润结转以后年度，并于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23</w:t>
      </w:r>
      <w:r>
        <w:rPr/>
        <w:t>日召开的</w:t>
      </w:r>
      <w:r>
        <w:rPr>
          <w:rFonts w:ascii="宋体" w:hAnsi="宋体" w:cs="宋体" w:eastAsia="宋体" w:hint="default"/>
        </w:rPr>
        <w:t>2018</w:t>
      </w:r>
      <w:r>
        <w:rPr/>
        <w:t>年年度股东大会审议通</w:t>
      </w:r>
      <w:r>
        <w:rPr>
          <w:spacing w:val="-25"/>
        </w:rPr>
        <w:t> </w:t>
      </w:r>
      <w:r>
        <w:rPr>
          <w:spacing w:val="-25"/>
        </w:rPr>
      </w:r>
      <w:r>
        <w:rPr/>
        <w:t>过。</w:t>
      </w:r>
    </w:p>
    <w:p>
      <w:pPr>
        <w:pStyle w:val="BodyText"/>
        <w:spacing w:line="408" w:lineRule="auto"/>
        <w:ind w:right="0" w:firstLine="420"/>
        <w:jc w:val="left"/>
      </w:pP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14</w:t>
      </w:r>
      <w:r>
        <w:rPr/>
        <w:t>日，公司在中国证监会指定信息披露网站刊登了《</w:t>
      </w:r>
      <w:r>
        <w:rPr>
          <w:rFonts w:ascii="宋体" w:hAnsi="宋体" w:cs="宋体" w:eastAsia="宋体" w:hint="default"/>
        </w:rPr>
        <w:t>2018</w:t>
      </w:r>
      <w:r>
        <w:rPr/>
        <w:t>年度权益分派实施公告》，股权</w:t>
      </w:r>
      <w:r>
        <w:rPr>
          <w:w w:val="100"/>
        </w:rPr>
        <w:t> </w:t>
      </w:r>
      <w:r>
        <w:rPr>
          <w:spacing w:val="-4"/>
        </w:rPr>
        <w:t>登记日为</w:t>
      </w:r>
      <w:r>
        <w:rPr>
          <w:rFonts w:ascii="宋体" w:hAnsi="宋体" w:cs="宋体" w:eastAsia="宋体" w:hint="default"/>
          <w:spacing w:val="-4"/>
        </w:rPr>
        <w:t>2019</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20</w:t>
      </w:r>
      <w:r>
        <w:rPr>
          <w:spacing w:val="-4"/>
        </w:rPr>
        <w:t>日，除权除息日为</w:t>
      </w:r>
      <w:r>
        <w:rPr>
          <w:rFonts w:ascii="宋体" w:hAnsi="宋体" w:cs="宋体" w:eastAsia="宋体" w:hint="default"/>
          <w:spacing w:val="-4"/>
        </w:rPr>
        <w:t>2019</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21</w:t>
      </w:r>
      <w:r>
        <w:rPr>
          <w:spacing w:val="-4"/>
        </w:rPr>
        <w:t>日。截至报告期末，</w:t>
      </w:r>
      <w:r>
        <w:rPr>
          <w:rFonts w:ascii="宋体" w:hAnsi="宋体" w:cs="宋体" w:eastAsia="宋体" w:hint="default"/>
          <w:spacing w:val="-4"/>
        </w:rPr>
        <w:t>2018</w:t>
      </w:r>
      <w:r>
        <w:rPr>
          <w:spacing w:val="-4"/>
        </w:rPr>
        <w:t>年度权益分派已经实施完成。</w:t>
      </w:r>
    </w:p>
    <w:tbl>
      <w:tblPr>
        <w:tblW w:w="0" w:type="auto"/>
        <w:jc w:val="left"/>
        <w:tblInd w:w="116" w:type="dxa"/>
        <w:tblLayout w:type="fixed"/>
        <w:tblCellMar>
          <w:top w:w="0" w:type="dxa"/>
          <w:left w:w="0" w:type="dxa"/>
          <w:bottom w:w="0" w:type="dxa"/>
          <w:right w:w="0" w:type="dxa"/>
        </w:tblCellMar>
        <w:tblLook w:val="01E0"/>
      </w:tblPr>
      <w:tblGrid>
        <w:gridCol w:w="6303"/>
        <w:gridCol w:w="3388"/>
      </w:tblGrid>
      <w:tr>
        <w:trPr>
          <w:trHeight w:val="412" w:hRule="exact"/>
        </w:trPr>
        <w:tc>
          <w:tcPr>
            <w:tcW w:w="9691" w:type="dxa"/>
            <w:gridSpan w:val="2"/>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33"/>
              <w:ind w:right="7"/>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4" w:hRule="exact"/>
        </w:trPr>
        <w:tc>
          <w:tcPr>
            <w:tcW w:w="63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388"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32"/>
              <w:ind w:left="1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3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388"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32"/>
              <w:ind w:left="1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3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388"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32"/>
              <w:ind w:left="1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63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388"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32"/>
              <w:ind w:left="1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3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2"/>
              <w:ind w:left="7" w:right="-24"/>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388"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32"/>
              <w:ind w:left="13"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0" w:hRule="exact"/>
        </w:trPr>
        <w:tc>
          <w:tcPr>
            <w:tcW w:w="630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388" w:type="dxa"/>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32"/>
              <w:ind w:left="13"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3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5"/>
        <w:ind w:left="152" w:right="4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3"/>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316"/>
        <w:gridCol w:w="4381"/>
      </w:tblGrid>
      <w:tr>
        <w:trPr>
          <w:trHeight w:val="412" w:hRule="exact"/>
        </w:trPr>
        <w:tc>
          <w:tcPr>
            <w:tcW w:w="531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38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3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3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0.22</w:t>
            </w:r>
          </w:p>
        </w:tc>
      </w:tr>
      <w:tr>
        <w:trPr>
          <w:trHeight w:val="402" w:hRule="exact"/>
        </w:trPr>
        <w:tc>
          <w:tcPr>
            <w:tcW w:w="53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3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3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3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293,022,806</w:t>
            </w:r>
          </w:p>
        </w:tc>
      </w:tr>
      <w:tr>
        <w:trPr>
          <w:trHeight w:val="402" w:hRule="exact"/>
        </w:trPr>
        <w:tc>
          <w:tcPr>
            <w:tcW w:w="53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43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6,446,501.73</w:t>
            </w:r>
          </w:p>
        </w:tc>
      </w:tr>
      <w:tr>
        <w:trPr>
          <w:trHeight w:val="410" w:hRule="exact"/>
        </w:trPr>
        <w:tc>
          <w:tcPr>
            <w:tcW w:w="531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38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5305"/>
        <w:gridCol w:w="4393"/>
      </w:tblGrid>
      <w:tr>
        <w:trPr>
          <w:trHeight w:val="412" w:hRule="exact"/>
        </w:trPr>
        <w:tc>
          <w:tcPr>
            <w:tcW w:w="530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4393" w:type="dxa"/>
            <w:tcBorders>
              <w:top w:val="single" w:sz="12" w:space="0" w:color="000000"/>
              <w:left w:val="single" w:sz="10" w:space="0" w:color="D2D2D2"/>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6,446,501.73</w:t>
            </w:r>
          </w:p>
        </w:tc>
      </w:tr>
      <w:tr>
        <w:trPr>
          <w:trHeight w:val="401" w:hRule="exact"/>
        </w:trPr>
        <w:tc>
          <w:tcPr>
            <w:tcW w:w="5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393"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282,074,892.94</w:t>
            </w:r>
          </w:p>
        </w:tc>
      </w:tr>
      <w:tr>
        <w:trPr>
          <w:trHeight w:val="408" w:hRule="exact"/>
        </w:trPr>
        <w:tc>
          <w:tcPr>
            <w:tcW w:w="5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4393"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6" w:hRule="exact"/>
        </w:trPr>
        <w:tc>
          <w:tcPr>
            <w:tcW w:w="9698"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698" w:type="dxa"/>
            <w:gridSpan w:val="2"/>
            <w:tcBorders>
              <w:top w:val="single" w:sz="4" w:space="0" w:color="000000"/>
              <w:left w:val="single" w:sz="12" w:space="0" w:color="000000"/>
              <w:bottom w:val="single" w:sz="4" w:space="0" w:color="000000"/>
              <w:right w:val="single" w:sz="12"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698"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2943"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22" w:hRule="exact"/>
        </w:trPr>
        <w:tc>
          <w:tcPr>
            <w:tcW w:w="9698" w:type="dxa"/>
            <w:gridSpan w:val="2"/>
            <w:tcBorders>
              <w:top w:val="single" w:sz="4" w:space="0" w:color="000000"/>
              <w:left w:val="single" w:sz="12" w:space="0" w:color="000000"/>
              <w:bottom w:val="single" w:sz="12" w:space="0" w:color="000000"/>
              <w:right w:val="single" w:sz="12"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w:t>
            </w:r>
            <w:r>
              <w:rPr>
                <w:rFonts w:ascii="宋体" w:hAnsi="宋体" w:cs="宋体" w:eastAsia="宋体" w:hint="default"/>
                <w:spacing w:val="-3"/>
                <w:sz w:val="18"/>
                <w:szCs w:val="18"/>
              </w:rPr>
              <w:t>全</w:t>
            </w:r>
            <w:r>
              <w:rPr>
                <w:rFonts w:ascii="宋体" w:hAnsi="宋体" w:cs="宋体" w:eastAsia="宋体" w:hint="default"/>
                <w:sz w:val="18"/>
                <w:szCs w:val="18"/>
              </w:rPr>
              <w:t>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，合计派发现金</w:t>
            </w:r>
          </w:p>
          <w:p>
            <w:pPr>
              <w:pStyle w:val="TableParagraph"/>
              <w:spacing w:line="240" w:lineRule="auto" w:before="6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6,446,501.73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元。此方案尚需</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w:t>
            </w:r>
          </w:p>
        </w:tc>
      </w:tr>
    </w:tbl>
    <w:p>
      <w:pPr>
        <w:spacing w:line="400" w:lineRule="auto" w:before="51"/>
        <w:ind w:left="573" w:right="1119" w:hanging="421"/>
        <w:jc w:val="left"/>
        <w:rPr>
          <w:rFonts w:ascii="宋体" w:hAnsi="宋体" w:cs="宋体" w:eastAsia="宋体" w:hint="default"/>
          <w:sz w:val="21"/>
          <w:szCs w:val="21"/>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z w:val="21"/>
          <w:szCs w:val="21"/>
        </w:rPr>
        <w:t>年度权益分派情况</w:t>
      </w:r>
      <w:r>
        <w:rPr>
          <w:rFonts w:ascii="宋体" w:hAnsi="宋体" w:cs="宋体" w:eastAsia="宋体" w:hint="default"/>
          <w:w w:val="100"/>
          <w:sz w:val="21"/>
          <w:szCs w:val="21"/>
        </w:rPr>
        <w:t> </w:t>
      </w:r>
      <w:r>
        <w:rPr>
          <w:rFonts w:ascii="宋体" w:hAnsi="宋体" w:cs="宋体" w:eastAsia="宋体" w:hint="default"/>
          <w:spacing w:val="-2"/>
          <w:sz w:val="21"/>
          <w:szCs w:val="21"/>
        </w:rPr>
        <w:t>结合公司实际情况，与全体股东分享公司成长的经营成果，根据《公司法》和《公司章程》的规定，</w:t>
      </w:r>
    </w:p>
    <w:p>
      <w:pPr>
        <w:pStyle w:val="BodyText"/>
        <w:spacing w:line="408" w:lineRule="auto" w:before="52"/>
        <w:ind w:right="0"/>
        <w:jc w:val="left"/>
      </w:pP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30</w:t>
      </w:r>
      <w:r>
        <w:rPr/>
        <w:t>日，公司第五届董事会第二次会议、第五届监事会第二次会议审议通过</w:t>
      </w:r>
      <w:r>
        <w:rPr>
          <w:rFonts w:ascii="宋体" w:hAnsi="宋体" w:cs="宋体" w:eastAsia="宋体" w:hint="default"/>
        </w:rPr>
        <w:t>2019</w:t>
      </w:r>
      <w:r>
        <w:rPr/>
        <w:t>年度权益分派方</w:t>
      </w:r>
      <w:r>
        <w:rPr>
          <w:spacing w:val="-26"/>
        </w:rPr>
        <w:t> </w:t>
      </w:r>
      <w:r>
        <w:rPr>
          <w:spacing w:val="-26"/>
        </w:rPr>
      </w:r>
      <w:r>
        <w:rPr>
          <w:spacing w:val="-6"/>
        </w:rPr>
        <w:t>案。公司以</w:t>
      </w:r>
      <w:r>
        <w:rPr>
          <w:rFonts w:ascii="宋体" w:hAnsi="宋体" w:cs="宋体" w:eastAsia="宋体" w:hint="default"/>
          <w:spacing w:val="-6"/>
        </w:rPr>
        <w:t>2019</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31</w:t>
      </w:r>
      <w:r>
        <w:rPr>
          <w:spacing w:val="-6"/>
        </w:rPr>
        <w:t>日总股本</w:t>
      </w:r>
      <w:r>
        <w:rPr>
          <w:rFonts w:ascii="宋体" w:hAnsi="宋体" w:cs="宋体" w:eastAsia="宋体" w:hint="default"/>
          <w:spacing w:val="-6"/>
        </w:rPr>
        <w:t>293,022,806</w:t>
      </w:r>
      <w:r>
        <w:rPr>
          <w:spacing w:val="-6"/>
        </w:rPr>
        <w:t>股为基数，向全体股东每</w:t>
      </w:r>
      <w:r>
        <w:rPr>
          <w:rFonts w:ascii="宋体" w:hAnsi="宋体" w:cs="宋体" w:eastAsia="宋体" w:hint="default"/>
          <w:spacing w:val="-6"/>
        </w:rPr>
        <w:t>10</w:t>
      </w:r>
      <w:r>
        <w:rPr>
          <w:spacing w:val="-6"/>
        </w:rPr>
        <w:t>股派发现金红利</w:t>
      </w:r>
      <w:r>
        <w:rPr>
          <w:rFonts w:ascii="宋体" w:hAnsi="宋体" w:cs="宋体" w:eastAsia="宋体" w:hint="default"/>
          <w:spacing w:val="-6"/>
        </w:rPr>
        <w:t>0.22</w:t>
      </w:r>
      <w:r>
        <w:rPr>
          <w:spacing w:val="-6"/>
        </w:rPr>
        <w:t>元（含税），</w:t>
      </w:r>
      <w:r>
        <w:rPr>
          <w:spacing w:val="7"/>
        </w:rPr>
        <w:t> </w:t>
      </w:r>
      <w:r>
        <w:rPr>
          <w:spacing w:val="7"/>
        </w:rPr>
      </w:r>
      <w:r>
        <w:rPr/>
        <w:t>合计派发现金</w:t>
      </w:r>
      <w:r>
        <w:rPr>
          <w:rFonts w:ascii="宋体" w:hAnsi="宋体" w:cs="宋体" w:eastAsia="宋体" w:hint="default"/>
        </w:rPr>
        <w:t>6,446,501.73</w:t>
      </w:r>
      <w:r>
        <w:rPr/>
        <w:t>元。本次方案尚需</w:t>
      </w:r>
      <w:r>
        <w:rPr>
          <w:rFonts w:ascii="宋体" w:hAnsi="宋体" w:cs="宋体" w:eastAsia="宋体" w:hint="default"/>
        </w:rPr>
        <w:t>2019</w:t>
      </w:r>
      <w:r>
        <w:rPr/>
        <w:t>年年度股东大会审议通过。</w:t>
      </w:r>
    </w:p>
    <w:p>
      <w:pPr>
        <w:pStyle w:val="BodyText"/>
        <w:spacing w:line="408" w:lineRule="auto"/>
        <w:ind w:left="573" w:right="0"/>
        <w:jc w:val="left"/>
      </w:pPr>
      <w:r>
        <w:rPr>
          <w:rFonts w:ascii="宋体" w:hAnsi="宋体" w:cs="宋体" w:eastAsia="宋体" w:hint="default"/>
        </w:rPr>
        <w:t>2</w:t>
      </w:r>
      <w:r>
        <w:rPr/>
        <w:t>、</w:t>
      </w:r>
      <w:r>
        <w:rPr>
          <w:rFonts w:ascii="宋体" w:hAnsi="宋体" w:cs="宋体" w:eastAsia="宋体" w:hint="default"/>
        </w:rPr>
        <w:t>2018</w:t>
      </w:r>
      <w:r>
        <w:rPr/>
        <w:t>年度权益分派情况</w:t>
      </w:r>
      <w:r>
        <w:rPr>
          <w:w w:val="100"/>
        </w:rPr>
        <w:t> </w:t>
      </w:r>
      <w:r>
        <w:rPr>
          <w:spacing w:val="-2"/>
        </w:rPr>
        <w:t>结合公司实际情况，与全体股东分享公司成长的经营成果，根据《公司法》和《公司章程》的规定，</w:t>
      </w:r>
    </w:p>
    <w:p>
      <w:pPr>
        <w:pStyle w:val="BodyText"/>
        <w:spacing w:line="408" w:lineRule="auto"/>
        <w:ind w:right="0"/>
        <w:jc w:val="left"/>
      </w:pP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27</w:t>
      </w:r>
      <w:r>
        <w:rPr/>
        <w:t>日，公司第四届董事会第二十二次会议、第四届监事会第十一次会议审议通过</w:t>
      </w:r>
      <w:r>
        <w:rPr>
          <w:rFonts w:ascii="宋体" w:hAnsi="宋体" w:cs="宋体" w:eastAsia="宋体" w:hint="default"/>
        </w:rPr>
        <w:t>2018</w:t>
      </w:r>
      <w:r>
        <w:rPr/>
        <w:t>年度权益</w:t>
      </w:r>
      <w:r>
        <w:rPr>
          <w:spacing w:val="-26"/>
        </w:rPr>
        <w:t> </w:t>
      </w:r>
      <w:r>
        <w:rPr>
          <w:spacing w:val="-26"/>
        </w:rPr>
      </w:r>
      <w:r>
        <w:rPr/>
        <w:t>分派方案。公司以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293,022,806</w:t>
      </w:r>
      <w:r>
        <w:rPr/>
        <w:t>股为基数，向全体股东每</w:t>
      </w:r>
      <w:r>
        <w:rPr>
          <w:rFonts w:ascii="宋体" w:hAnsi="宋体" w:cs="宋体" w:eastAsia="宋体" w:hint="default"/>
        </w:rPr>
        <w:t>10</w:t>
      </w:r>
      <w:r>
        <w:rPr/>
        <w:t>股派发现金红利</w:t>
      </w:r>
      <w:r>
        <w:rPr>
          <w:rFonts w:ascii="宋体" w:hAnsi="宋体" w:cs="宋体" w:eastAsia="宋体" w:hint="default"/>
        </w:rPr>
        <w:t>0.15</w:t>
      </w:r>
      <w:r>
        <w:rPr/>
        <w:t>元</w:t>
      </w:r>
    </w:p>
    <w:p>
      <w:pPr>
        <w:pStyle w:val="BodyText"/>
        <w:spacing w:line="408" w:lineRule="auto"/>
        <w:ind w:left="573" w:right="2348" w:hanging="421"/>
        <w:jc w:val="left"/>
      </w:pPr>
      <w:r>
        <w:rPr>
          <w:spacing w:val="-2"/>
        </w:rPr>
        <w:t>（含税），合计派发现金</w:t>
      </w:r>
      <w:r>
        <w:rPr>
          <w:rFonts w:ascii="宋体" w:hAnsi="宋体" w:cs="宋体" w:eastAsia="宋体" w:hint="default"/>
          <w:spacing w:val="-2"/>
        </w:rPr>
        <w:t>4,395,342.09</w:t>
      </w:r>
      <w:r>
        <w:rPr>
          <w:spacing w:val="-2"/>
        </w:rPr>
        <w:t>元，其余未分配利润结转下年。</w:t>
      </w:r>
      <w:r>
        <w:rPr>
          <w:spacing w:val="-39"/>
        </w:rPr>
        <w:t> </w:t>
      </w:r>
      <w:r>
        <w:rPr>
          <w:spacing w:val="-39"/>
        </w:rPr>
      </w:r>
      <w:r>
        <w:rPr>
          <w:rFonts w:ascii="宋体" w:hAnsi="宋体" w:cs="宋体" w:eastAsia="宋体" w:hint="default"/>
        </w:rPr>
        <w:t>3</w:t>
      </w:r>
      <w:r>
        <w:rPr/>
        <w:t>、</w:t>
      </w:r>
      <w:r>
        <w:rPr>
          <w:rFonts w:ascii="宋体" w:hAnsi="宋体" w:cs="宋体" w:eastAsia="宋体" w:hint="default"/>
        </w:rPr>
        <w:t>2017</w:t>
      </w:r>
      <w:r>
        <w:rPr/>
        <w:t>年度权益分派情况</w:t>
      </w:r>
    </w:p>
    <w:p>
      <w:pPr>
        <w:pStyle w:val="BodyText"/>
        <w:spacing w:line="408" w:lineRule="auto"/>
        <w:ind w:right="1126" w:firstLine="420"/>
        <w:jc w:val="both"/>
      </w:pPr>
      <w:r>
        <w:rPr>
          <w:spacing w:val="-2"/>
        </w:rPr>
        <w:t>公司第四届董事会第十三次会议、第四届监事会第五次会议及</w:t>
      </w:r>
      <w:r>
        <w:rPr>
          <w:rFonts w:ascii="宋体" w:hAnsi="宋体" w:cs="宋体" w:eastAsia="宋体" w:hint="default"/>
          <w:spacing w:val="-2"/>
        </w:rPr>
        <w:t>2017</w:t>
      </w:r>
      <w:r>
        <w:rPr>
          <w:spacing w:val="-2"/>
        </w:rPr>
        <w:t>年年度股东大会审议通过</w:t>
      </w:r>
      <w:r>
        <w:rPr>
          <w:rFonts w:ascii="宋体" w:hAnsi="宋体" w:cs="宋体" w:eastAsia="宋体" w:hint="default"/>
          <w:spacing w:val="-2"/>
        </w:rPr>
        <w:t>2017</w:t>
      </w:r>
      <w:r>
        <w:rPr>
          <w:spacing w:val="-2"/>
        </w:rPr>
        <w:t>年度</w:t>
      </w:r>
      <w:r>
        <w:rPr>
          <w:w w:val="100"/>
        </w:rPr>
        <w:t> </w:t>
      </w:r>
      <w:r>
        <w:rPr>
          <w:spacing w:val="-4"/>
        </w:rPr>
        <w:t>权益分派方案。公司以</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日总股本</w:t>
      </w:r>
      <w:r>
        <w:rPr>
          <w:rFonts w:ascii="宋体" w:hAnsi="宋体" w:cs="宋体" w:eastAsia="宋体" w:hint="default"/>
          <w:spacing w:val="-4"/>
        </w:rPr>
        <w:t>293,022,806</w:t>
      </w:r>
      <w:r>
        <w:rPr>
          <w:spacing w:val="-4"/>
        </w:rPr>
        <w:t>股为基数，向全体股东每</w:t>
      </w:r>
      <w:r>
        <w:rPr>
          <w:rFonts w:ascii="宋体" w:hAnsi="宋体" w:cs="宋体" w:eastAsia="宋体" w:hint="default"/>
          <w:spacing w:val="-4"/>
        </w:rPr>
        <w:t>10</w:t>
      </w:r>
      <w:r>
        <w:rPr>
          <w:spacing w:val="-4"/>
        </w:rPr>
        <w:t>股派发现金红利</w:t>
      </w:r>
      <w:r>
        <w:rPr>
          <w:rFonts w:ascii="宋体" w:hAnsi="宋体" w:cs="宋体" w:eastAsia="宋体" w:hint="default"/>
          <w:spacing w:val="-4"/>
        </w:rPr>
        <w:t>0.45</w:t>
      </w:r>
      <w:r>
        <w:rPr>
          <w:rFonts w:ascii="宋体" w:hAnsi="宋体" w:cs="宋体" w:eastAsia="宋体" w:hint="default"/>
          <w:spacing w:val="-13"/>
        </w:rPr>
        <w:t> </w:t>
      </w:r>
      <w:r>
        <w:rPr>
          <w:rFonts w:ascii="宋体" w:hAnsi="宋体" w:cs="宋体" w:eastAsia="宋体" w:hint="default"/>
          <w:spacing w:val="-13"/>
        </w:rPr>
      </w:r>
      <w:r>
        <w:rPr/>
        <w:t>元（含税），合计派发现金</w:t>
      </w:r>
      <w:r>
        <w:rPr>
          <w:rFonts w:ascii="宋体" w:hAnsi="宋体" w:cs="宋体" w:eastAsia="宋体" w:hint="default"/>
        </w:rPr>
        <w:t>13,186,026.27</w:t>
      </w:r>
      <w:r>
        <w:rPr/>
        <w:t>元，其余未分配利润结转下年。</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0"/>
        <w:gridCol w:w="1207"/>
        <w:gridCol w:w="1241"/>
        <w:gridCol w:w="1196"/>
        <w:gridCol w:w="1220"/>
        <w:gridCol w:w="1196"/>
        <w:gridCol w:w="1221"/>
        <w:gridCol w:w="1199"/>
      </w:tblGrid>
      <w:tr>
        <w:trPr>
          <w:trHeight w:val="170" w:hRule="exact"/>
        </w:trPr>
        <w:tc>
          <w:tcPr>
            <w:tcW w:w="1210" w:type="dxa"/>
            <w:vMerge w:val="restart"/>
            <w:tcBorders>
              <w:top w:val="single" w:sz="12" w:space="0" w:color="000000"/>
              <w:left w:val="single" w:sz="12" w:space="0" w:color="000000"/>
              <w:right w:val="single" w:sz="4" w:space="0" w:color="000000"/>
            </w:tcBorders>
            <w:shd w:val="clear" w:color="auto" w:fill="D2D2D2"/>
          </w:tcPr>
          <w:p>
            <w:pPr/>
          </w:p>
        </w:tc>
        <w:tc>
          <w:tcPr>
            <w:tcW w:w="1207" w:type="dxa"/>
            <w:vMerge w:val="restart"/>
            <w:tcBorders>
              <w:top w:val="single" w:sz="12" w:space="0" w:color="000000"/>
              <w:left w:val="single" w:sz="4" w:space="0" w:color="000000"/>
              <w:right w:val="single" w:sz="4" w:space="0" w:color="000000"/>
            </w:tcBorders>
            <w:shd w:val="clear" w:color="auto" w:fill="D2D2D2"/>
          </w:tcPr>
          <w:p>
            <w:pPr/>
          </w:p>
        </w:tc>
        <w:tc>
          <w:tcPr>
            <w:tcW w:w="1241" w:type="dxa"/>
            <w:vMerge w:val="restart"/>
            <w:tcBorders>
              <w:top w:val="single" w:sz="12" w:space="0" w:color="000000"/>
              <w:left w:val="single" w:sz="4" w:space="0" w:color="000000"/>
              <w:right w:val="single" w:sz="4" w:space="0" w:color="000000"/>
            </w:tcBorders>
            <w:shd w:val="clear" w:color="auto" w:fill="D2D2D2"/>
          </w:tcPr>
          <w:p>
            <w:pPr/>
          </w:p>
        </w:tc>
        <w:tc>
          <w:tcPr>
            <w:tcW w:w="1196" w:type="dxa"/>
            <w:tcBorders>
              <w:top w:val="single" w:sz="12"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12" w:space="0" w:color="000000"/>
              <w:left w:val="single" w:sz="4" w:space="0" w:color="000000"/>
              <w:right w:val="single" w:sz="4" w:space="0" w:color="000000"/>
            </w:tcBorders>
            <w:shd w:val="clear" w:color="auto" w:fill="D2D2D2"/>
          </w:tcPr>
          <w:p>
            <w:pPr/>
          </w:p>
        </w:tc>
        <w:tc>
          <w:tcPr>
            <w:tcW w:w="1196" w:type="dxa"/>
            <w:tcBorders>
              <w:top w:val="single" w:sz="12" w:space="0" w:color="000000"/>
              <w:left w:val="single" w:sz="4" w:space="0" w:color="000000"/>
              <w:bottom w:val="nil" w:sz="6" w:space="0" w:color="auto"/>
              <w:right w:val="single" w:sz="4" w:space="0" w:color="000000"/>
            </w:tcBorders>
            <w:shd w:val="clear" w:color="auto" w:fill="D2D2D2"/>
          </w:tcPr>
          <w:p>
            <w:pPr/>
          </w:p>
        </w:tc>
        <w:tc>
          <w:tcPr>
            <w:tcW w:w="1221" w:type="dxa"/>
            <w:vMerge w:val="restart"/>
            <w:tcBorders>
              <w:top w:val="single" w:sz="12" w:space="0" w:color="000000"/>
              <w:left w:val="single" w:sz="4" w:space="0" w:color="000000"/>
              <w:right w:val="single" w:sz="4" w:space="0" w:color="000000"/>
            </w:tcBorders>
            <w:shd w:val="clear" w:color="auto" w:fill="D2D2D2"/>
          </w:tcPr>
          <w:p>
            <w:pPr/>
          </w:p>
        </w:tc>
        <w:tc>
          <w:tcPr>
            <w:tcW w:w="1199"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48"/>
              <w:ind w:left="13"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6"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210" w:type="dxa"/>
            <w:vMerge/>
            <w:tcBorders>
              <w:left w:val="single" w:sz="12"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0" w:right="44"/>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20"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8" w:right="47"/>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21" w:type="dxa"/>
            <w:vMerge/>
            <w:tcBorders>
              <w:left w:val="single" w:sz="4" w:space="0" w:color="000000"/>
              <w:right w:val="single" w:sz="4" w:space="0" w:color="000000"/>
            </w:tcBorders>
            <w:shd w:val="clear" w:color="auto" w:fill="D2D2D2"/>
          </w:tcPr>
          <w:p>
            <w:pPr/>
          </w:p>
        </w:tc>
        <w:tc>
          <w:tcPr>
            <w:tcW w:w="1199" w:type="dxa"/>
            <w:vMerge/>
            <w:tcBorders>
              <w:left w:val="single" w:sz="4" w:space="0" w:color="000000"/>
              <w:right w:val="single" w:sz="12" w:space="0" w:color="000000"/>
            </w:tcBorders>
            <w:shd w:val="clear" w:color="auto" w:fill="D2D2D2"/>
          </w:tcPr>
          <w:p>
            <w:pPr/>
          </w:p>
        </w:tc>
      </w:tr>
      <w:tr>
        <w:trPr>
          <w:trHeight w:val="156" w:hRule="exact"/>
        </w:trPr>
        <w:tc>
          <w:tcPr>
            <w:tcW w:w="1210" w:type="dxa"/>
            <w:vMerge/>
            <w:tcBorders>
              <w:left w:val="single" w:sz="12"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6" w:right="7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1" w:type="dxa"/>
            <w:vMerge/>
            <w:tcBorders>
              <w:left w:val="single" w:sz="4" w:space="0" w:color="000000"/>
              <w:right w:val="single" w:sz="4" w:space="0" w:color="000000"/>
            </w:tcBorders>
            <w:shd w:val="clear" w:color="auto" w:fill="D2D2D2"/>
          </w:tcPr>
          <w:p>
            <w:pPr/>
          </w:p>
        </w:tc>
        <w:tc>
          <w:tcPr>
            <w:tcW w:w="1199" w:type="dxa"/>
            <w:vMerge/>
            <w:tcBorders>
              <w:left w:val="single" w:sz="4" w:space="0" w:color="000000"/>
              <w:right w:val="single" w:sz="12" w:space="0" w:color="000000"/>
            </w:tcBorders>
            <w:shd w:val="clear" w:color="auto" w:fill="D2D2D2"/>
          </w:tcPr>
          <w:p>
            <w:pPr/>
          </w:p>
        </w:tc>
      </w:tr>
      <w:tr>
        <w:trPr>
          <w:trHeight w:val="156" w:hRule="exact"/>
        </w:trPr>
        <w:tc>
          <w:tcPr>
            <w:tcW w:w="1210" w:type="dxa"/>
            <w:vMerge/>
            <w:tcBorders>
              <w:left w:val="single" w:sz="12"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70" w:right="57" w:hanging="3"/>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6" w:type="dxa"/>
            <w:vMerge/>
            <w:tcBorders>
              <w:left w:val="single" w:sz="4" w:space="0" w:color="000000"/>
              <w:right w:val="single" w:sz="4" w:space="0" w:color="000000"/>
            </w:tcBorders>
            <w:shd w:val="clear" w:color="auto" w:fill="D2D2D2"/>
          </w:tcPr>
          <w:p>
            <w:pPr/>
          </w:p>
        </w:tc>
        <w:tc>
          <w:tcPr>
            <w:tcW w:w="1221" w:type="dxa"/>
            <w:vMerge/>
            <w:tcBorders>
              <w:left w:val="single" w:sz="4" w:space="0" w:color="000000"/>
              <w:bottom w:val="nil" w:sz="6" w:space="0" w:color="auto"/>
              <w:right w:val="single" w:sz="4" w:space="0" w:color="000000"/>
            </w:tcBorders>
            <w:shd w:val="clear" w:color="auto" w:fill="D2D2D2"/>
          </w:tcPr>
          <w:p>
            <w:pPr/>
          </w:p>
        </w:tc>
        <w:tc>
          <w:tcPr>
            <w:tcW w:w="1199" w:type="dxa"/>
            <w:vMerge/>
            <w:tcBorders>
              <w:left w:val="single" w:sz="4" w:space="0" w:color="000000"/>
              <w:right w:val="single" w:sz="12" w:space="0" w:color="000000"/>
            </w:tcBorders>
            <w:shd w:val="clear" w:color="auto" w:fill="D2D2D2"/>
          </w:tcPr>
          <w:p>
            <w:pPr/>
          </w:p>
        </w:tc>
      </w:tr>
      <w:tr>
        <w:trPr>
          <w:trHeight w:val="156" w:hRule="exact"/>
        </w:trPr>
        <w:tc>
          <w:tcPr>
            <w:tcW w:w="1210" w:type="dxa"/>
            <w:vMerge/>
            <w:tcBorders>
              <w:left w:val="single" w:sz="12"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31" w:right="148" w:hanging="272"/>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9" w:type="dxa"/>
            <w:vMerge/>
            <w:tcBorders>
              <w:left w:val="single" w:sz="4" w:space="0" w:color="000000"/>
              <w:right w:val="single" w:sz="12" w:space="0" w:color="000000"/>
            </w:tcBorders>
            <w:shd w:val="clear" w:color="auto" w:fill="D2D2D2"/>
          </w:tcPr>
          <w:p>
            <w:pPr/>
          </w:p>
        </w:tc>
      </w:tr>
      <w:tr>
        <w:trPr>
          <w:trHeight w:val="156" w:hRule="exact"/>
        </w:trPr>
        <w:tc>
          <w:tcPr>
            <w:tcW w:w="1210" w:type="dxa"/>
            <w:vMerge/>
            <w:tcBorders>
              <w:left w:val="single" w:sz="12"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4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1" w:type="dxa"/>
            <w:vMerge/>
            <w:tcBorders>
              <w:left w:val="single" w:sz="4" w:space="0" w:color="000000"/>
              <w:right w:val="single" w:sz="4" w:space="0" w:color="000000"/>
            </w:tcBorders>
            <w:shd w:val="clear" w:color="auto" w:fill="D2D2D2"/>
          </w:tcPr>
          <w:p>
            <w:pPr/>
          </w:p>
        </w:tc>
        <w:tc>
          <w:tcPr>
            <w:tcW w:w="1199" w:type="dxa"/>
            <w:vMerge/>
            <w:tcBorders>
              <w:left w:val="single" w:sz="4" w:space="0" w:color="000000"/>
              <w:right w:val="single" w:sz="12" w:space="0" w:color="000000"/>
            </w:tcBorders>
            <w:shd w:val="clear" w:color="auto" w:fill="D2D2D2"/>
          </w:tcPr>
          <w:p>
            <w:pPr/>
          </w:p>
        </w:tc>
      </w:tr>
      <w:tr>
        <w:trPr>
          <w:trHeight w:val="391" w:hRule="exact"/>
        </w:trPr>
        <w:tc>
          <w:tcPr>
            <w:tcW w:w="1210"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0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1" w:type="dxa"/>
            <w:vMerge/>
            <w:tcBorders>
              <w:left w:val="single" w:sz="4" w:space="0" w:color="000000"/>
              <w:right w:val="single" w:sz="4" w:space="0" w:color="000000"/>
            </w:tcBorders>
            <w:shd w:val="clear" w:color="auto" w:fill="D2D2D2"/>
          </w:tcPr>
          <w:p>
            <w:pPr/>
          </w:p>
        </w:tc>
        <w:tc>
          <w:tcPr>
            <w:tcW w:w="1199" w:type="dxa"/>
            <w:vMerge/>
            <w:tcBorders>
              <w:left w:val="single" w:sz="4" w:space="0" w:color="000000"/>
              <w:right w:val="single" w:sz="12" w:space="0" w:color="000000"/>
            </w:tcBorders>
            <w:shd w:val="clear" w:color="auto" w:fill="D2D2D2"/>
          </w:tcPr>
          <w:p>
            <w:pPr/>
          </w:p>
        </w:tc>
      </w:tr>
      <w:tr>
        <w:trPr>
          <w:trHeight w:val="156" w:hRule="exact"/>
        </w:trPr>
        <w:tc>
          <w:tcPr>
            <w:tcW w:w="1210" w:type="dxa"/>
            <w:vMerge w:val="restart"/>
            <w:tcBorders>
              <w:top w:val="nil" w:sz="6" w:space="0" w:color="auto"/>
              <w:left w:val="single" w:sz="12"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1" w:type="dxa"/>
            <w:vMerge/>
            <w:tcBorders>
              <w:left w:val="single" w:sz="4" w:space="0" w:color="000000"/>
              <w:right w:val="single" w:sz="4" w:space="0" w:color="000000"/>
            </w:tcBorders>
            <w:shd w:val="clear" w:color="auto" w:fill="D2D2D2"/>
          </w:tcPr>
          <w:p>
            <w:pPr/>
          </w:p>
        </w:tc>
        <w:tc>
          <w:tcPr>
            <w:tcW w:w="1199" w:type="dxa"/>
            <w:vMerge/>
            <w:tcBorders>
              <w:left w:val="single" w:sz="4" w:space="0" w:color="000000"/>
              <w:right w:val="single" w:sz="12" w:space="0" w:color="000000"/>
            </w:tcBorders>
            <w:shd w:val="clear" w:color="auto" w:fill="D2D2D2"/>
          </w:tcPr>
          <w:p>
            <w:pPr/>
          </w:p>
        </w:tc>
      </w:tr>
      <w:tr>
        <w:trPr>
          <w:trHeight w:val="156" w:hRule="exact"/>
        </w:trPr>
        <w:tc>
          <w:tcPr>
            <w:tcW w:w="1210" w:type="dxa"/>
            <w:vMerge/>
            <w:tcBorders>
              <w:left w:val="single" w:sz="12"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1" w:type="dxa"/>
            <w:vMerge/>
            <w:tcBorders>
              <w:left w:val="single" w:sz="4" w:space="0" w:color="000000"/>
              <w:bottom w:val="nil" w:sz="6" w:space="0" w:color="auto"/>
              <w:right w:val="single" w:sz="4" w:space="0" w:color="000000"/>
            </w:tcBorders>
            <w:shd w:val="clear" w:color="auto" w:fill="D2D2D2"/>
          </w:tcPr>
          <w:p>
            <w:pPr/>
          </w:p>
        </w:tc>
        <w:tc>
          <w:tcPr>
            <w:tcW w:w="1199" w:type="dxa"/>
            <w:vMerge/>
            <w:tcBorders>
              <w:left w:val="single" w:sz="4" w:space="0" w:color="000000"/>
              <w:right w:val="single" w:sz="12" w:space="0" w:color="000000"/>
            </w:tcBorders>
            <w:shd w:val="clear" w:color="auto" w:fill="D2D2D2"/>
          </w:tcPr>
          <w:p>
            <w:pPr/>
          </w:p>
        </w:tc>
      </w:tr>
      <w:tr>
        <w:trPr>
          <w:trHeight w:val="156" w:hRule="exact"/>
        </w:trPr>
        <w:tc>
          <w:tcPr>
            <w:tcW w:w="1210" w:type="dxa"/>
            <w:vMerge/>
            <w:tcBorders>
              <w:left w:val="single" w:sz="12"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1" w:type="dxa"/>
            <w:vMerge w:val="restart"/>
            <w:tcBorders>
              <w:top w:val="nil" w:sz="6" w:space="0" w:color="auto"/>
              <w:left w:val="single" w:sz="4" w:space="0" w:color="000000"/>
              <w:right w:val="single" w:sz="4" w:space="0" w:color="000000"/>
            </w:tcBorders>
            <w:shd w:val="clear" w:color="auto" w:fill="D2D2D2"/>
          </w:tcPr>
          <w:p>
            <w:pPr/>
          </w:p>
        </w:tc>
        <w:tc>
          <w:tcPr>
            <w:tcW w:w="1199" w:type="dxa"/>
            <w:vMerge/>
            <w:tcBorders>
              <w:left w:val="single" w:sz="4" w:space="0" w:color="000000"/>
              <w:right w:val="single" w:sz="12" w:space="0" w:color="000000"/>
            </w:tcBorders>
            <w:shd w:val="clear" w:color="auto" w:fill="D2D2D2"/>
          </w:tcPr>
          <w:p>
            <w:pPr/>
          </w:p>
        </w:tc>
      </w:tr>
      <w:tr>
        <w:trPr>
          <w:trHeight w:val="156" w:hRule="exact"/>
        </w:trPr>
        <w:tc>
          <w:tcPr>
            <w:tcW w:w="1210" w:type="dxa"/>
            <w:vMerge/>
            <w:tcBorders>
              <w:left w:val="single" w:sz="12"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4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21" w:type="dxa"/>
            <w:vMerge/>
            <w:tcBorders>
              <w:left w:val="single" w:sz="4" w:space="0" w:color="000000"/>
              <w:right w:val="single" w:sz="4" w:space="0" w:color="000000"/>
            </w:tcBorders>
            <w:shd w:val="clear" w:color="auto" w:fill="D2D2D2"/>
          </w:tcPr>
          <w:p>
            <w:pPr/>
          </w:p>
        </w:tc>
        <w:tc>
          <w:tcPr>
            <w:tcW w:w="1199" w:type="dxa"/>
            <w:vMerge/>
            <w:tcBorders>
              <w:left w:val="single" w:sz="4" w:space="0" w:color="000000"/>
              <w:right w:val="single" w:sz="12" w:space="0" w:color="000000"/>
            </w:tcBorders>
            <w:shd w:val="clear" w:color="auto" w:fill="D2D2D2"/>
          </w:tcPr>
          <w:p>
            <w:pPr/>
          </w:p>
        </w:tc>
      </w:tr>
      <w:tr>
        <w:trPr>
          <w:trHeight w:val="156" w:hRule="exact"/>
        </w:trPr>
        <w:tc>
          <w:tcPr>
            <w:tcW w:w="1210" w:type="dxa"/>
            <w:vMerge/>
            <w:tcBorders>
              <w:left w:val="single" w:sz="12"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4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21" w:type="dxa"/>
            <w:vMerge/>
            <w:tcBorders>
              <w:left w:val="single" w:sz="4" w:space="0" w:color="000000"/>
              <w:right w:val="single" w:sz="4" w:space="0" w:color="000000"/>
            </w:tcBorders>
            <w:shd w:val="clear" w:color="auto" w:fill="D2D2D2"/>
          </w:tcPr>
          <w:p>
            <w:pPr/>
          </w:p>
        </w:tc>
        <w:tc>
          <w:tcPr>
            <w:tcW w:w="1199" w:type="dxa"/>
            <w:vMerge/>
            <w:tcBorders>
              <w:left w:val="single" w:sz="4" w:space="0" w:color="000000"/>
              <w:right w:val="single" w:sz="12" w:space="0" w:color="000000"/>
            </w:tcBorders>
            <w:shd w:val="clear" w:color="auto" w:fill="D2D2D2"/>
          </w:tcPr>
          <w:p>
            <w:pPr/>
          </w:p>
        </w:tc>
      </w:tr>
      <w:tr>
        <w:trPr>
          <w:trHeight w:val="161" w:hRule="exact"/>
        </w:trPr>
        <w:tc>
          <w:tcPr>
            <w:tcW w:w="1210" w:type="dxa"/>
            <w:vMerge/>
            <w:tcBorders>
              <w:left w:val="single" w:sz="12"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1" w:type="dxa"/>
            <w:vMerge/>
            <w:tcBorders>
              <w:left w:val="single" w:sz="4" w:space="0" w:color="000000"/>
              <w:bottom w:val="single" w:sz="4" w:space="0" w:color="000000"/>
              <w:right w:val="single" w:sz="4" w:space="0" w:color="000000"/>
            </w:tcBorders>
            <w:shd w:val="clear" w:color="auto" w:fill="D2D2D2"/>
          </w:tcPr>
          <w:p>
            <w:pPr/>
          </w:p>
        </w:tc>
        <w:tc>
          <w:tcPr>
            <w:tcW w:w="1199" w:type="dxa"/>
            <w:vMerge/>
            <w:tcBorders>
              <w:left w:val="single" w:sz="4" w:space="0" w:color="000000"/>
              <w:bottom w:val="single" w:sz="4" w:space="0" w:color="000000"/>
              <w:right w:val="single" w:sz="12" w:space="0" w:color="000000"/>
            </w:tcBorders>
            <w:shd w:val="clear" w:color="auto" w:fill="D2D2D2"/>
          </w:tcPr>
          <w:p>
            <w:pPr/>
          </w:p>
        </w:tc>
      </w:tr>
      <w:tr>
        <w:trPr>
          <w:trHeight w:val="410" w:hRule="exact"/>
        </w:trPr>
        <w:tc>
          <w:tcPr>
            <w:tcW w:w="121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7"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3"/>
              <w:ind w:left="220" w:right="0"/>
              <w:jc w:val="left"/>
              <w:rPr>
                <w:rFonts w:ascii="Times New Roman" w:hAnsi="Times New Roman" w:cs="Times New Roman" w:eastAsia="Times New Roman" w:hint="default"/>
                <w:sz w:val="18"/>
                <w:szCs w:val="18"/>
              </w:rPr>
            </w:pPr>
            <w:r>
              <w:rPr>
                <w:rFonts w:ascii="Times New Roman"/>
                <w:sz w:val="18"/>
              </w:rPr>
              <w:t>6,446,501.73</w:t>
            </w:r>
          </w:p>
        </w:tc>
        <w:tc>
          <w:tcPr>
            <w:tcW w:w="12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-103,778,838.98</w:t>
            </w:r>
          </w:p>
        </w:tc>
        <w:tc>
          <w:tcPr>
            <w:tcW w:w="1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w:t>
            </w:r>
          </w:p>
        </w:tc>
        <w:tc>
          <w:tcPr>
            <w:tcW w:w="12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709" w:right="0"/>
              <w:jc w:val="left"/>
              <w:rPr>
                <w:rFonts w:ascii="Times New Roman" w:hAnsi="Times New Roman" w:cs="Times New Roman" w:eastAsia="Times New Roman" w:hint="default"/>
                <w:sz w:val="18"/>
                <w:szCs w:val="18"/>
              </w:rPr>
            </w:pPr>
            <w:r>
              <w:rPr>
                <w:rFonts w:ascii="Times New Roman"/>
                <w:sz w:val="18"/>
              </w:rPr>
              <w:t>0.00%</w:t>
            </w:r>
          </w:p>
        </w:tc>
        <w:tc>
          <w:tcPr>
            <w:tcW w:w="12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242" w:right="0"/>
              <w:jc w:val="left"/>
              <w:rPr>
                <w:rFonts w:ascii="Times New Roman" w:hAnsi="Times New Roman" w:cs="Times New Roman" w:eastAsia="Times New Roman" w:hint="default"/>
                <w:sz w:val="18"/>
                <w:szCs w:val="18"/>
              </w:rPr>
            </w:pPr>
            <w:r>
              <w:rPr>
                <w:rFonts w:ascii="Times New Roman"/>
                <w:sz w:val="18"/>
              </w:rPr>
              <w:t>6,446,501.73</w:t>
            </w:r>
          </w:p>
        </w:tc>
        <w:tc>
          <w:tcPr>
            <w:tcW w:w="11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209"/>
        <w:gridCol w:w="1207"/>
        <w:gridCol w:w="1241"/>
        <w:gridCol w:w="1207"/>
        <w:gridCol w:w="1208"/>
        <w:gridCol w:w="1210"/>
        <w:gridCol w:w="1208"/>
        <w:gridCol w:w="1207"/>
      </w:tblGrid>
      <w:tr>
        <w:trPr>
          <w:trHeight w:val="413" w:hRule="exact"/>
        </w:trPr>
        <w:tc>
          <w:tcPr>
            <w:tcW w:w="120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4,395,342.09</w:t>
            </w:r>
          </w:p>
        </w:tc>
        <w:tc>
          <w:tcPr>
            <w:tcW w:w="12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152" w:right="0"/>
              <w:jc w:val="center"/>
              <w:rPr>
                <w:rFonts w:ascii="Times New Roman" w:hAnsi="Times New Roman" w:cs="Times New Roman" w:eastAsia="Times New Roman" w:hint="default"/>
                <w:sz w:val="18"/>
                <w:szCs w:val="18"/>
              </w:rPr>
            </w:pPr>
            <w:r>
              <w:rPr>
                <w:rFonts w:ascii="Times New Roman"/>
                <w:sz w:val="18"/>
              </w:rPr>
              <w:t>61,657,351.15</w:t>
            </w:r>
          </w:p>
        </w:tc>
        <w:tc>
          <w:tcPr>
            <w:tcW w:w="12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7.13%</w:t>
            </w:r>
          </w:p>
        </w:tc>
        <w:tc>
          <w:tcPr>
            <w:tcW w:w="12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4,395,342.09</w:t>
            </w:r>
          </w:p>
        </w:tc>
        <w:tc>
          <w:tcPr>
            <w:tcW w:w="120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7.13%</w:t>
            </w:r>
          </w:p>
        </w:tc>
      </w:tr>
      <w:tr>
        <w:trPr>
          <w:trHeight w:val="410" w:hRule="exact"/>
        </w:trPr>
        <w:tc>
          <w:tcPr>
            <w:tcW w:w="120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13,186,026.27</w:t>
            </w:r>
          </w:p>
        </w:tc>
        <w:tc>
          <w:tcPr>
            <w:tcW w:w="12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110,320,925.94</w:t>
            </w:r>
          </w:p>
        </w:tc>
        <w:tc>
          <w:tcPr>
            <w:tcW w:w="12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11.95%</w:t>
            </w:r>
          </w:p>
        </w:tc>
        <w:tc>
          <w:tcPr>
            <w:tcW w:w="12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13,186,026.27</w:t>
            </w:r>
          </w:p>
        </w:tc>
        <w:tc>
          <w:tcPr>
            <w:tcW w:w="120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11.95%</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二、承诺事项履行情况" w:id="62"/>
      <w:bookmarkEnd w:id="62"/>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0"/>
        <w:jc w:val="left"/>
        <w:rPr>
          <w:b w:val="0"/>
          <w:bCs w:val="0"/>
        </w:rPr>
      </w:pPr>
      <w:bookmarkStart w:name="1、公司实际控制人、股东、关联方、收购人以及公司等承诺相关方在报告期内履行完毕及" w:id="63"/>
      <w:bookmarkEnd w:id="63"/>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44"/>
        <w:ind w:left="0" w:right="1040" w:firstLine="0"/>
        <w:jc w:val="right"/>
        <w:rPr>
          <w:rFonts w:ascii="宋体" w:hAnsi="宋体" w:cs="宋体" w:eastAsia="宋体" w:hint="default"/>
          <w:sz w:val="18"/>
          <w:szCs w:val="18"/>
        </w:rPr>
      </w:pPr>
      <w:r>
        <w:rPr/>
        <w:pict>
          <v:shape style="position:absolute;margin-left:54.48pt;margin-top:-154.415298pt;width:487.1pt;height:374.8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8"/>
                    <w:gridCol w:w="1435"/>
                    <w:gridCol w:w="865"/>
                    <w:gridCol w:w="3305"/>
                    <w:gridCol w:w="718"/>
                    <w:gridCol w:w="718"/>
                    <w:gridCol w:w="1649"/>
                  </w:tblGrid>
                  <w:tr>
                    <w:trPr>
                      <w:trHeight w:val="172" w:hRule="exact"/>
                    </w:trPr>
                    <w:tc>
                      <w:tcPr>
                        <w:tcW w:w="1008"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435" w:type="dxa"/>
                        <w:tcBorders>
                          <w:top w:val="single" w:sz="12" w:space="0" w:color="000000"/>
                          <w:left w:val="single" w:sz="4" w:space="0" w:color="000000"/>
                          <w:bottom w:val="nil" w:sz="6" w:space="0" w:color="auto"/>
                          <w:right w:val="single" w:sz="4" w:space="0" w:color="000000"/>
                        </w:tcBorders>
                        <w:shd w:val="clear" w:color="auto" w:fill="D2D2D2"/>
                      </w:tcPr>
                      <w:p>
                        <w:pPr/>
                      </w:p>
                    </w:tc>
                    <w:tc>
                      <w:tcPr>
                        <w:tcW w:w="865" w:type="dxa"/>
                        <w:tcBorders>
                          <w:top w:val="single" w:sz="12" w:space="0" w:color="000000"/>
                          <w:left w:val="single" w:sz="4" w:space="0" w:color="000000"/>
                          <w:bottom w:val="nil" w:sz="6" w:space="0" w:color="auto"/>
                          <w:right w:val="single" w:sz="4" w:space="0" w:color="000000"/>
                        </w:tcBorders>
                        <w:shd w:val="clear" w:color="auto" w:fill="D2D2D2"/>
                      </w:tcPr>
                      <w:p>
                        <w:pPr/>
                      </w:p>
                    </w:tc>
                    <w:tc>
                      <w:tcPr>
                        <w:tcW w:w="3305" w:type="dxa"/>
                        <w:tcBorders>
                          <w:top w:val="single" w:sz="12"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12" w:space="0" w:color="000000"/>
                          <w:left w:val="single" w:sz="4" w:space="0" w:color="000000"/>
                          <w:right w:val="single" w:sz="4" w:space="0" w:color="000000"/>
                        </w:tcBorders>
                        <w:shd w:val="clear" w:color="auto" w:fill="D2D2D2"/>
                      </w:tcPr>
                      <w:p>
                        <w:pPr>
                          <w:pStyle w:val="TableParagraph"/>
                          <w:spacing w:line="316" w:lineRule="auto" w:before="50"/>
                          <w:ind w:left="263" w:right="83"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718" w:type="dxa"/>
                        <w:vMerge w:val="restart"/>
                        <w:tcBorders>
                          <w:top w:val="single" w:sz="12" w:space="0" w:color="000000"/>
                          <w:left w:val="single" w:sz="4" w:space="0" w:color="000000"/>
                          <w:right w:val="single" w:sz="4" w:space="0" w:color="000000"/>
                        </w:tcBorders>
                        <w:shd w:val="clear" w:color="auto" w:fill="D2D2D2"/>
                      </w:tcPr>
                      <w:p>
                        <w:pPr>
                          <w:pStyle w:val="TableParagraph"/>
                          <w:spacing w:line="316" w:lineRule="auto" w:before="50"/>
                          <w:ind w:left="263" w:right="82"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649"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1" w:hRule="exact"/>
                    </w:trPr>
                    <w:tc>
                      <w:tcPr>
                        <w:tcW w:w="1008"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4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18" w:type="dxa"/>
                        <w:vMerge/>
                        <w:tcBorders>
                          <w:left w:val="single" w:sz="4" w:space="0" w:color="000000"/>
                          <w:right w:val="single" w:sz="4" w:space="0" w:color="000000"/>
                        </w:tcBorders>
                        <w:shd w:val="clear" w:color="auto" w:fill="D2D2D2"/>
                      </w:tcPr>
                      <w:p>
                        <w:pPr/>
                      </w:p>
                    </w:tc>
                    <w:tc>
                      <w:tcPr>
                        <w:tcW w:w="718" w:type="dxa"/>
                        <w:vMerge/>
                        <w:tcBorders>
                          <w:left w:val="single" w:sz="4" w:space="0" w:color="000000"/>
                          <w:right w:val="single" w:sz="4" w:space="0" w:color="000000"/>
                        </w:tcBorders>
                        <w:shd w:val="clear" w:color="auto" w:fill="D2D2D2"/>
                      </w:tcPr>
                      <w:p>
                        <w:pPr/>
                      </w:p>
                    </w:tc>
                    <w:tc>
                      <w:tcPr>
                        <w:tcW w:w="1649" w:type="dxa"/>
                        <w:vMerge/>
                        <w:tcBorders>
                          <w:left w:val="single" w:sz="4" w:space="0" w:color="000000"/>
                          <w:right w:val="single" w:sz="12" w:space="0" w:color="000000"/>
                        </w:tcBorders>
                        <w:shd w:val="clear" w:color="auto" w:fill="D2D2D2"/>
                      </w:tcPr>
                      <w:p>
                        <w:pPr/>
                      </w:p>
                    </w:tc>
                  </w:tr>
                  <w:tr>
                    <w:trPr>
                      <w:trHeight w:val="161" w:hRule="exact"/>
                    </w:trPr>
                    <w:tc>
                      <w:tcPr>
                        <w:tcW w:w="1008" w:type="dxa"/>
                        <w:tcBorders>
                          <w:top w:val="nil" w:sz="6" w:space="0" w:color="auto"/>
                          <w:left w:val="single" w:sz="12" w:space="0" w:color="000000"/>
                          <w:bottom w:val="single" w:sz="4" w:space="0" w:color="000000"/>
                          <w:right w:val="single" w:sz="4" w:space="0" w:color="000000"/>
                        </w:tcBorders>
                        <w:shd w:val="clear" w:color="auto" w:fill="D2D2D2"/>
                      </w:tcPr>
                      <w:p>
                        <w:pPr/>
                      </w:p>
                    </w:tc>
                    <w:tc>
                      <w:tcPr>
                        <w:tcW w:w="1435" w:type="dxa"/>
                        <w:tcBorders>
                          <w:top w:val="nil" w:sz="6" w:space="0" w:color="auto"/>
                          <w:left w:val="single" w:sz="4" w:space="0" w:color="000000"/>
                          <w:bottom w:val="single" w:sz="4" w:space="0" w:color="000000"/>
                          <w:right w:val="single" w:sz="4" w:space="0" w:color="000000"/>
                        </w:tcBorders>
                        <w:shd w:val="clear" w:color="auto" w:fill="D2D2D2"/>
                      </w:tcPr>
                      <w:p>
                        <w:pPr/>
                      </w:p>
                    </w:tc>
                    <w:tc>
                      <w:tcPr>
                        <w:tcW w:w="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1649" w:type="dxa"/>
                        <w:vMerge/>
                        <w:tcBorders>
                          <w:left w:val="single" w:sz="4" w:space="0" w:color="000000"/>
                          <w:bottom w:val="single" w:sz="4" w:space="0" w:color="000000"/>
                          <w:right w:val="single" w:sz="12" w:space="0" w:color="000000"/>
                        </w:tcBorders>
                        <w:shd w:val="clear" w:color="auto" w:fill="D2D2D2"/>
                      </w:tcPr>
                      <w:p>
                        <w:pPr/>
                      </w:p>
                    </w:tc>
                  </w:tr>
                  <w:tr>
                    <w:trPr>
                      <w:trHeight w:val="3015" w:hRule="exact"/>
                    </w:trPr>
                    <w:tc>
                      <w:tcPr>
                        <w:tcW w:w="1008" w:type="dxa"/>
                        <w:tcBorders>
                          <w:top w:val="single" w:sz="4" w:space="0" w:color="000000"/>
                          <w:left w:val="single" w:sz="12" w:space="0" w:color="000000"/>
                          <w:bottom w:val="nil" w:sz="6" w:space="0" w:color="auto"/>
                          <w:right w:val="single" w:sz="4" w:space="0" w:color="000000"/>
                        </w:tcBorders>
                        <w:shd w:val="clear" w:color="auto" w:fill="D2D2D2"/>
                      </w:tcPr>
                      <w:p>
                        <w:pPr/>
                      </w:p>
                    </w:tc>
                    <w:tc>
                      <w:tcPr>
                        <w:tcW w:w="1435"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4" w:lineRule="auto"/>
                          <w:ind w:left="16" w:right="17"/>
                          <w:jc w:val="both"/>
                          <w:rPr>
                            <w:rFonts w:ascii="宋体" w:hAnsi="宋体" w:cs="宋体" w:eastAsia="宋体" w:hint="default"/>
                            <w:sz w:val="18"/>
                            <w:szCs w:val="18"/>
                          </w:rPr>
                        </w:pPr>
                        <w:r>
                          <w:rPr>
                            <w:rFonts w:ascii="宋体" w:hAnsi="宋体" w:cs="宋体" w:eastAsia="宋体" w:hint="default"/>
                            <w:sz w:val="18"/>
                            <w:szCs w:val="18"/>
                          </w:rPr>
                          <w:t>陈泽枝</w:t>
                        </w:r>
                        <w:r>
                          <w:rPr>
                            <w:rFonts w:ascii="Times New Roman" w:hAnsi="Times New Roman" w:cs="Times New Roman" w:eastAsia="Times New Roman" w:hint="default"/>
                            <w:sz w:val="18"/>
                            <w:szCs w:val="18"/>
                          </w:rPr>
                          <w:t>;</w:t>
                        </w:r>
                        <w:r>
                          <w:rPr>
                            <w:rFonts w:ascii="宋体" w:hAnsi="宋体" w:cs="宋体" w:eastAsia="宋体" w:hint="default"/>
                            <w:sz w:val="18"/>
                            <w:szCs w:val="18"/>
                          </w:rPr>
                          <w:t>李泽清</w:t>
                        </w:r>
                        <w:r>
                          <w:rPr>
                            <w:rFonts w:ascii="Times New Roman" w:hAnsi="Times New Roman" w:cs="Times New Roman" w:eastAsia="Times New Roman" w:hint="default"/>
                            <w:sz w:val="18"/>
                            <w:szCs w:val="18"/>
                          </w:rPr>
                          <w:t>;</w:t>
                        </w:r>
                        <w:r>
                          <w:rPr>
                            <w:rFonts w:ascii="宋体" w:hAnsi="宋体" w:cs="宋体" w:eastAsia="宋体" w:hint="default"/>
                            <w:sz w:val="18"/>
                            <w:szCs w:val="18"/>
                          </w:rPr>
                          <w:t>高</w:t>
                        </w:r>
                        <w:r>
                          <w:rPr>
                            <w:rFonts w:ascii="宋体" w:hAnsi="宋体" w:cs="宋体" w:eastAsia="宋体" w:hint="default"/>
                            <w:spacing w:val="-75"/>
                            <w:sz w:val="18"/>
                            <w:szCs w:val="18"/>
                          </w:rPr>
                          <w:t> </w:t>
                        </w:r>
                        <w:r>
                          <w:rPr>
                            <w:rFonts w:ascii="宋体" w:hAnsi="宋体" w:cs="宋体" w:eastAsia="宋体" w:hint="default"/>
                            <w:spacing w:val="2"/>
                            <w:sz w:val="18"/>
                            <w:szCs w:val="18"/>
                          </w:rPr>
                          <w:t>孔兴</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刘智良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黄开 </w:t>
                        </w:r>
                        <w:r>
                          <w:rPr>
                            <w:rFonts w:ascii="宋体" w:hAnsi="宋体" w:cs="宋体" w:eastAsia="宋体" w:hint="default"/>
                            <w:sz w:val="18"/>
                            <w:szCs w:val="18"/>
                          </w:rPr>
                          <w:t>坚</w:t>
                        </w:r>
                        <w:r>
                          <w:rPr>
                            <w:rFonts w:ascii="Times New Roman" w:hAnsi="Times New Roman" w:cs="Times New Roman" w:eastAsia="Times New Roman" w:hint="default"/>
                            <w:sz w:val="18"/>
                            <w:szCs w:val="18"/>
                          </w:rPr>
                          <w:t>;</w:t>
                        </w:r>
                        <w:r>
                          <w:rPr>
                            <w:rFonts w:ascii="宋体" w:hAnsi="宋体" w:cs="宋体" w:eastAsia="宋体" w:hint="default"/>
                            <w:sz w:val="18"/>
                            <w:szCs w:val="18"/>
                          </w:rPr>
                          <w:t>许金炉</w:t>
                        </w:r>
                        <w:r>
                          <w:rPr>
                            <w:rFonts w:ascii="Times New Roman" w:hAnsi="Times New Roman" w:cs="Times New Roman" w:eastAsia="Times New Roman" w:hint="default"/>
                            <w:sz w:val="18"/>
                            <w:szCs w:val="18"/>
                          </w:rPr>
                          <w:t>;</w:t>
                        </w:r>
                        <w:r>
                          <w:rPr>
                            <w:rFonts w:ascii="宋体" w:hAnsi="宋体" w:cs="宋体" w:eastAsia="宋体" w:hint="default"/>
                            <w:sz w:val="18"/>
                            <w:szCs w:val="18"/>
                          </w:rPr>
                          <w:t>芜湖华</w:t>
                        </w:r>
                        <w:r>
                          <w:rPr>
                            <w:rFonts w:ascii="宋体" w:hAnsi="宋体" w:cs="宋体" w:eastAsia="宋体" w:hint="default"/>
                            <w:spacing w:val="-73"/>
                            <w:sz w:val="18"/>
                            <w:szCs w:val="18"/>
                          </w:rPr>
                          <w:t> </w:t>
                        </w:r>
                        <w:r>
                          <w:rPr>
                            <w:rFonts w:ascii="宋体" w:hAnsi="宋体" w:cs="宋体" w:eastAsia="宋体" w:hint="default"/>
                            <w:spacing w:val="16"/>
                            <w:sz w:val="18"/>
                            <w:szCs w:val="18"/>
                          </w:rPr>
                          <w:t>顺置业投资有限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责任公司</w:t>
                        </w:r>
                      </w:p>
                    </w:tc>
                    <w:tc>
                      <w:tcPr>
                        <w:tcW w:w="8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305"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12"/>
                          <w:jc w:val="left"/>
                          <w:rPr>
                            <w:rFonts w:ascii="宋体" w:hAnsi="宋体" w:cs="宋体" w:eastAsia="宋体" w:hint="default"/>
                            <w:sz w:val="18"/>
                            <w:szCs w:val="18"/>
                          </w:rPr>
                        </w:pPr>
                        <w:r>
                          <w:rPr>
                            <w:rFonts w:ascii="宋体" w:hAnsi="宋体" w:cs="宋体" w:eastAsia="宋体" w:hint="default"/>
                            <w:sz w:val="18"/>
                            <w:szCs w:val="18"/>
                          </w:rPr>
                          <w:t>承诺通过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年汉威电子重大资产重组 获得的上市公司股份，自股份发行结束之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个月且第一年度利润补偿承诺已 经履行完毕后，所持股份的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可以对外 转让；在第二年度利润承诺专项审核报告 公告且第一、二年度利润补偿承诺已经履 行完毕后，所持股份增加解锁比例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在第三年度利润承诺专项审核报告公告、 确定承诺期业绩补偿履行完毕后，剩余部 分解锁，在此之后按中国证监会及证券交 易所的有关规定执行。</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649" w:type="dxa"/>
                        <w:vMerge w:val="restart"/>
                        <w:tcBorders>
                          <w:top w:val="single" w:sz="4" w:space="0" w:color="000000"/>
                          <w:left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2"/>
                          <w:jc w:val="center"/>
                          <w:rPr>
                            <w:rFonts w:ascii="宋体" w:hAnsi="宋体" w:cs="宋体" w:eastAsia="宋体" w:hint="default"/>
                            <w:sz w:val="18"/>
                            <w:szCs w:val="18"/>
                          </w:rPr>
                        </w:pPr>
                        <w:r>
                          <w:rPr>
                            <w:rFonts w:ascii="宋体" w:hAnsi="宋体" w:cs="宋体" w:eastAsia="宋体" w:hint="default"/>
                            <w:spacing w:val="-4"/>
                            <w:sz w:val="18"/>
                            <w:szCs w:val="18"/>
                          </w:rPr>
                          <w:t>截至报告期末，上述</w:t>
                        </w:r>
                        <w:r>
                          <w:rPr>
                            <w:rFonts w:ascii="宋体" w:hAnsi="宋体" w:cs="宋体" w:eastAsia="宋体" w:hint="default"/>
                            <w:sz w:val="18"/>
                            <w:szCs w:val="18"/>
                          </w:rPr>
                          <w:t> 承诺人已缴付全部 </w:t>
                        </w:r>
                        <w:r>
                          <w:rPr>
                            <w:rFonts w:ascii="宋体" w:hAnsi="宋体" w:cs="宋体" w:eastAsia="宋体" w:hint="default"/>
                            <w:spacing w:val="-4"/>
                            <w:sz w:val="18"/>
                            <w:szCs w:val="18"/>
                          </w:rPr>
                          <w:t>业绩补偿款，相关承</w:t>
                        </w:r>
                        <w:r>
                          <w:rPr>
                            <w:rFonts w:ascii="宋体" w:hAnsi="宋体" w:cs="宋体" w:eastAsia="宋体" w:hint="default"/>
                            <w:sz w:val="18"/>
                            <w:szCs w:val="18"/>
                          </w:rPr>
                          <w:t> </w:t>
                        </w:r>
                        <w:r>
                          <w:rPr>
                            <w:rFonts w:ascii="宋体" w:hAnsi="宋体" w:cs="宋体" w:eastAsia="宋体" w:hint="default"/>
                            <w:spacing w:val="-4"/>
                            <w:sz w:val="18"/>
                            <w:szCs w:val="18"/>
                          </w:rPr>
                          <w:t>诺事项履行完毕。具</w:t>
                        </w:r>
                        <w:r>
                          <w:rPr>
                            <w:rFonts w:ascii="宋体" w:hAnsi="宋体" w:cs="宋体" w:eastAsia="宋体" w:hint="default"/>
                            <w:sz w:val="18"/>
                            <w:szCs w:val="18"/>
                          </w:rPr>
                          <w:t> 体情况详见巨潮资 讯网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w:t>
                        </w:r>
                      </w:p>
                    </w:tc>
                  </w:tr>
                  <w:tr>
                    <w:trPr>
                      <w:trHeight w:val="509" w:hRule="exact"/>
                    </w:trPr>
                    <w:tc>
                      <w:tcPr>
                        <w:tcW w:w="1008" w:type="dxa"/>
                        <w:vMerge w:val="restart"/>
                        <w:tcBorders>
                          <w:top w:val="nil" w:sz="6" w:space="0" w:color="auto"/>
                          <w:left w:val="single" w:sz="12" w:space="0" w:color="000000"/>
                          <w:right w:val="single" w:sz="4" w:space="0" w:color="000000"/>
                        </w:tcBorders>
                        <w:shd w:val="clear" w:color="auto" w:fill="D2D2D2"/>
                      </w:tcPr>
                      <w:p>
                        <w:pPr>
                          <w:pStyle w:val="TableParagraph"/>
                          <w:spacing w:line="316" w:lineRule="auto" w:before="49"/>
                          <w:ind w:left="14" w:right="12"/>
                          <w:jc w:val="left"/>
                          <w:rPr>
                            <w:rFonts w:ascii="宋体" w:hAnsi="宋体" w:cs="宋体" w:eastAsia="宋体" w:hint="default"/>
                            <w:sz w:val="18"/>
                            <w:szCs w:val="18"/>
                          </w:rPr>
                        </w:pPr>
                        <w:r>
                          <w:rPr>
                            <w:rFonts w:ascii="宋体" w:hAnsi="宋体" w:cs="宋体" w:eastAsia="宋体" w:hint="default"/>
                            <w:spacing w:val="12"/>
                            <w:sz w:val="18"/>
                            <w:szCs w:val="18"/>
                          </w:rPr>
                          <w:t>资产重组时 </w:t>
                        </w:r>
                        <w:r>
                          <w:rPr>
                            <w:rFonts w:ascii="宋体" w:hAnsi="宋体" w:cs="宋体" w:eastAsia="宋体" w:hint="default"/>
                            <w:sz w:val="18"/>
                            <w:szCs w:val="18"/>
                          </w:rPr>
                          <w:t>所作承诺</w:t>
                        </w:r>
                      </w:p>
                    </w:tc>
                    <w:tc>
                      <w:tcPr>
                        <w:tcW w:w="1435" w:type="dxa"/>
                        <w:vMerge/>
                        <w:tcBorders>
                          <w:left w:val="single" w:sz="10" w:space="0" w:color="D2D2D2"/>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3305"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1649" w:type="dxa"/>
                        <w:vMerge/>
                        <w:tcBorders>
                          <w:left w:val="single" w:sz="4" w:space="0" w:color="000000"/>
                          <w:bottom w:val="single" w:sz="4" w:space="0" w:color="000000"/>
                          <w:right w:val="single" w:sz="12" w:space="0" w:color="000000"/>
                        </w:tcBorders>
                      </w:tcPr>
                      <w:p>
                        <w:pPr/>
                      </w:p>
                    </w:tc>
                  </w:tr>
                  <w:tr>
                    <w:trPr>
                      <w:trHeight w:val="197" w:hRule="exact"/>
                    </w:trPr>
                    <w:tc>
                      <w:tcPr>
                        <w:tcW w:w="1008" w:type="dxa"/>
                        <w:vMerge/>
                        <w:tcBorders>
                          <w:left w:val="single" w:sz="12" w:space="0" w:color="000000"/>
                          <w:bottom w:val="nil" w:sz="6" w:space="0" w:color="auto"/>
                          <w:right w:val="single" w:sz="4" w:space="0" w:color="000000"/>
                        </w:tcBorders>
                        <w:shd w:val="clear" w:color="auto" w:fill="D2D2D2"/>
                      </w:tcPr>
                      <w:p>
                        <w:pPr/>
                      </w:p>
                    </w:tc>
                    <w:tc>
                      <w:tcPr>
                        <w:tcW w:w="1435"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2"/>
                          <w:ind w:left="16" w:right="17"/>
                          <w:jc w:val="both"/>
                          <w:rPr>
                            <w:rFonts w:ascii="宋体" w:hAnsi="宋体" w:cs="宋体" w:eastAsia="宋体" w:hint="default"/>
                            <w:sz w:val="18"/>
                            <w:szCs w:val="18"/>
                          </w:rPr>
                        </w:pPr>
                        <w:r>
                          <w:rPr>
                            <w:rFonts w:ascii="宋体" w:hAnsi="宋体" w:cs="宋体" w:eastAsia="宋体" w:hint="default"/>
                            <w:sz w:val="18"/>
                            <w:szCs w:val="18"/>
                          </w:rPr>
                          <w:t>陈泽枝</w:t>
                        </w:r>
                        <w:r>
                          <w:rPr>
                            <w:rFonts w:ascii="Times New Roman" w:hAnsi="Times New Roman" w:cs="Times New Roman" w:eastAsia="Times New Roman" w:hint="default"/>
                            <w:sz w:val="18"/>
                            <w:szCs w:val="18"/>
                          </w:rPr>
                          <w:t>;</w:t>
                        </w:r>
                        <w:r>
                          <w:rPr>
                            <w:rFonts w:ascii="宋体" w:hAnsi="宋体" w:cs="宋体" w:eastAsia="宋体" w:hint="default"/>
                            <w:sz w:val="18"/>
                            <w:szCs w:val="18"/>
                          </w:rPr>
                          <w:t>李泽清</w:t>
                        </w:r>
                        <w:r>
                          <w:rPr>
                            <w:rFonts w:ascii="Times New Roman" w:hAnsi="Times New Roman" w:cs="Times New Roman" w:eastAsia="Times New Roman" w:hint="default"/>
                            <w:sz w:val="18"/>
                            <w:szCs w:val="18"/>
                          </w:rPr>
                          <w:t>;</w:t>
                        </w:r>
                        <w:r>
                          <w:rPr>
                            <w:rFonts w:ascii="宋体" w:hAnsi="宋体" w:cs="宋体" w:eastAsia="宋体" w:hint="default"/>
                            <w:sz w:val="18"/>
                            <w:szCs w:val="18"/>
                          </w:rPr>
                          <w:t>高</w:t>
                        </w:r>
                        <w:r>
                          <w:rPr>
                            <w:rFonts w:ascii="宋体" w:hAnsi="宋体" w:cs="宋体" w:eastAsia="宋体" w:hint="default"/>
                            <w:spacing w:val="-75"/>
                            <w:sz w:val="18"/>
                            <w:szCs w:val="18"/>
                          </w:rPr>
                          <w:t> </w:t>
                        </w:r>
                        <w:r>
                          <w:rPr>
                            <w:rFonts w:ascii="宋体" w:hAnsi="宋体" w:cs="宋体" w:eastAsia="宋体" w:hint="default"/>
                            <w:spacing w:val="2"/>
                            <w:sz w:val="18"/>
                            <w:szCs w:val="18"/>
                          </w:rPr>
                          <w:t>孔兴</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黄开坚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许金 </w:t>
                        </w:r>
                        <w:r>
                          <w:rPr>
                            <w:rFonts w:ascii="宋体" w:hAnsi="宋体" w:cs="宋体" w:eastAsia="宋体" w:hint="default"/>
                            <w:sz w:val="18"/>
                            <w:szCs w:val="18"/>
                          </w:rPr>
                          <w:t>炉</w:t>
                        </w:r>
                        <w:r>
                          <w:rPr>
                            <w:rFonts w:ascii="Times New Roman" w:hAnsi="Times New Roman" w:cs="Times New Roman" w:eastAsia="Times New Roman" w:hint="default"/>
                            <w:sz w:val="18"/>
                            <w:szCs w:val="18"/>
                          </w:rPr>
                          <w:t>;</w:t>
                        </w:r>
                        <w:r>
                          <w:rPr>
                            <w:rFonts w:ascii="宋体" w:hAnsi="宋体" w:cs="宋体" w:eastAsia="宋体" w:hint="default"/>
                            <w:sz w:val="18"/>
                            <w:szCs w:val="18"/>
                          </w:rPr>
                          <w:t>刘智良</w:t>
                        </w:r>
                        <w:r>
                          <w:rPr>
                            <w:rFonts w:ascii="Times New Roman" w:hAnsi="Times New Roman" w:cs="Times New Roman" w:eastAsia="Times New Roman" w:hint="default"/>
                            <w:sz w:val="18"/>
                            <w:szCs w:val="18"/>
                          </w:rPr>
                          <w:t>;</w:t>
                        </w:r>
                        <w:r>
                          <w:rPr>
                            <w:rFonts w:ascii="宋体" w:hAnsi="宋体" w:cs="宋体" w:eastAsia="宋体" w:hint="default"/>
                            <w:sz w:val="18"/>
                            <w:szCs w:val="18"/>
                          </w:rPr>
                          <w:t>芜湖华</w:t>
                        </w:r>
                        <w:r>
                          <w:rPr>
                            <w:rFonts w:ascii="宋体" w:hAnsi="宋体" w:cs="宋体" w:eastAsia="宋体" w:hint="default"/>
                            <w:spacing w:val="-73"/>
                            <w:sz w:val="18"/>
                            <w:szCs w:val="18"/>
                          </w:rPr>
                          <w:t> </w:t>
                        </w:r>
                        <w:r>
                          <w:rPr>
                            <w:rFonts w:ascii="宋体" w:hAnsi="宋体" w:cs="宋体" w:eastAsia="宋体" w:hint="default"/>
                            <w:spacing w:val="16"/>
                            <w:sz w:val="18"/>
                            <w:szCs w:val="18"/>
                          </w:rPr>
                          <w:t>顺置业投资有限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责任公司</w:t>
                        </w:r>
                      </w:p>
                    </w:tc>
                    <w:tc>
                      <w:tcPr>
                        <w:tcW w:w="8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305"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交易对方陈泽枝、李泽清、高孔兴、芜湖 华顺置业投资有限责任公司、许金炉、刘 </w:t>
                        </w:r>
                        <w:r>
                          <w:rPr>
                            <w:rFonts w:ascii="宋体" w:hAnsi="宋体" w:cs="宋体" w:eastAsia="宋体" w:hint="default"/>
                            <w:spacing w:val="-14"/>
                            <w:sz w:val="18"/>
                            <w:szCs w:val="18"/>
                          </w:rPr>
                          <w:t>智良、黄开坚承诺：嘉园环保</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pacing w:val="-16"/>
                            <w:sz w:val="18"/>
                            <w:szCs w:val="18"/>
                          </w:rPr>
                          <w:t>年、</w:t>
                        </w:r>
                        <w:r>
                          <w:rPr>
                            <w:rFonts w:ascii="Times New Roman" w:hAnsi="Times New Roman" w:cs="Times New Roman" w:eastAsia="Times New Roman" w:hint="default"/>
                            <w:spacing w:val="-16"/>
                            <w:sz w:val="18"/>
                            <w:szCs w:val="18"/>
                          </w:rPr>
                          <w:t>2015</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年实现的扣除非经常性损益前后 归属于母公司所有者净利润孰低数不低于 </w:t>
                        </w:r>
                        <w:r>
                          <w:rPr>
                            <w:rFonts w:ascii="Times New Roman" w:hAnsi="Times New Roman" w:cs="Times New Roman" w:eastAsia="Times New Roman" w:hint="default"/>
                            <w:sz w:val="18"/>
                            <w:szCs w:val="18"/>
                          </w:rPr>
                          <w:t>3,353.20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4,289.34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5,252.41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w:t>
                        </w:r>
                      </w:p>
                      <w:p>
                        <w:pPr>
                          <w:pStyle w:val="TableParagraph"/>
                          <w:spacing w:line="319" w:lineRule="auto" w:before="3"/>
                          <w:ind w:left="23" w:right="29"/>
                          <w:jc w:val="both"/>
                          <w:rPr>
                            <w:rFonts w:ascii="宋体" w:hAnsi="宋体" w:cs="宋体" w:eastAsia="宋体" w:hint="default"/>
                            <w:sz w:val="18"/>
                            <w:szCs w:val="18"/>
                          </w:rPr>
                        </w:pPr>
                        <w:r>
                          <w:rPr>
                            <w:rFonts w:ascii="宋体" w:hAnsi="宋体" w:cs="宋体" w:eastAsia="宋体" w:hint="default"/>
                            <w:sz w:val="18"/>
                            <w:szCs w:val="18"/>
                          </w:rPr>
                          <w:t>元。如嘉园环保实际净利润低于上述承诺 金额，则由上述交易对方按照《利润承诺 补偿协议》的约定负责向上市公司进行补 偿。</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649" w:type="dxa"/>
                        <w:vMerge w:val="restart"/>
                        <w:tcBorders>
                          <w:top w:val="single" w:sz="4" w:space="0" w:color="000000"/>
                          <w:left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2"/>
                          <w:jc w:val="center"/>
                          <w:rPr>
                            <w:rFonts w:ascii="宋体" w:hAnsi="宋体" w:cs="宋体" w:eastAsia="宋体" w:hint="default"/>
                            <w:sz w:val="18"/>
                            <w:szCs w:val="18"/>
                          </w:rPr>
                        </w:pPr>
                        <w:r>
                          <w:rPr>
                            <w:rFonts w:ascii="宋体" w:hAnsi="宋体" w:cs="宋体" w:eastAsia="宋体" w:hint="default"/>
                            <w:spacing w:val="-4"/>
                            <w:sz w:val="18"/>
                            <w:szCs w:val="18"/>
                          </w:rPr>
                          <w:t>截至报告期末，上述</w:t>
                        </w:r>
                        <w:r>
                          <w:rPr>
                            <w:rFonts w:ascii="宋体" w:hAnsi="宋体" w:cs="宋体" w:eastAsia="宋体" w:hint="default"/>
                            <w:sz w:val="18"/>
                            <w:szCs w:val="18"/>
                          </w:rPr>
                          <w:t> 承诺人已缴付全部 </w:t>
                        </w:r>
                        <w:r>
                          <w:rPr>
                            <w:rFonts w:ascii="宋体" w:hAnsi="宋体" w:cs="宋体" w:eastAsia="宋体" w:hint="default"/>
                            <w:spacing w:val="-4"/>
                            <w:sz w:val="18"/>
                            <w:szCs w:val="18"/>
                          </w:rPr>
                          <w:t>补偿款，相关承诺事</w:t>
                        </w:r>
                        <w:r>
                          <w:rPr>
                            <w:rFonts w:ascii="宋体" w:hAnsi="宋体" w:cs="宋体" w:eastAsia="宋体" w:hint="default"/>
                            <w:sz w:val="18"/>
                            <w:szCs w:val="18"/>
                          </w:rPr>
                          <w:t> </w:t>
                        </w:r>
                        <w:r>
                          <w:rPr>
                            <w:rFonts w:ascii="宋体" w:hAnsi="宋体" w:cs="宋体" w:eastAsia="宋体" w:hint="default"/>
                            <w:spacing w:val="-4"/>
                            <w:sz w:val="18"/>
                            <w:szCs w:val="18"/>
                          </w:rPr>
                          <w:t>项履行完毕。具体情</w:t>
                        </w:r>
                        <w:r>
                          <w:rPr>
                            <w:rFonts w:ascii="宋体" w:hAnsi="宋体" w:cs="宋体" w:eastAsia="宋体" w:hint="default"/>
                            <w:sz w:val="18"/>
                            <w:szCs w:val="18"/>
                          </w:rPr>
                          <w:t> 况详见巨潮资讯网 </w:t>
                        </w:r>
                        <w:r>
                          <w:rPr>
                            <w:rFonts w:ascii="Times New Roman" w:hAnsi="Times New Roman" w:cs="Times New Roman" w:eastAsia="Times New Roman" w:hint="default"/>
                            <w:sz w:val="18"/>
                            <w:szCs w:val="18"/>
                          </w:rPr>
                          <w:t>2019-035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公告。</w:t>
                        </w:r>
                      </w:p>
                    </w:tc>
                  </w:tr>
                  <w:tr>
                    <w:trPr>
                      <w:trHeight w:val="3022" w:hRule="exact"/>
                    </w:trPr>
                    <w:tc>
                      <w:tcPr>
                        <w:tcW w:w="1008" w:type="dxa"/>
                        <w:tcBorders>
                          <w:top w:val="nil" w:sz="6" w:space="0" w:color="auto"/>
                          <w:left w:val="single" w:sz="12" w:space="0" w:color="000000"/>
                          <w:bottom w:val="single" w:sz="12" w:space="0" w:color="000000"/>
                          <w:right w:val="single" w:sz="4" w:space="0" w:color="000000"/>
                        </w:tcBorders>
                        <w:shd w:val="clear" w:color="auto" w:fill="D2D2D2"/>
                      </w:tcPr>
                      <w:p>
                        <w:pPr/>
                      </w:p>
                    </w:tc>
                    <w:tc>
                      <w:tcPr>
                        <w:tcW w:w="1435" w:type="dxa"/>
                        <w:vMerge/>
                        <w:tcBorders>
                          <w:left w:val="single" w:sz="10" w:space="0" w:color="D2D2D2"/>
                          <w:bottom w:val="single" w:sz="12" w:space="0" w:color="000000"/>
                          <w:right w:val="single" w:sz="4" w:space="0" w:color="000000"/>
                        </w:tcBorders>
                      </w:tcPr>
                      <w:p>
                        <w:pPr/>
                      </w:p>
                    </w:tc>
                    <w:tc>
                      <w:tcPr>
                        <w:tcW w:w="865" w:type="dxa"/>
                        <w:vMerge/>
                        <w:tcBorders>
                          <w:left w:val="single" w:sz="4" w:space="0" w:color="000000"/>
                          <w:bottom w:val="single" w:sz="12" w:space="0" w:color="000000"/>
                          <w:right w:val="single" w:sz="4" w:space="0" w:color="000000"/>
                        </w:tcBorders>
                      </w:tcPr>
                      <w:p>
                        <w:pPr/>
                      </w:p>
                    </w:tc>
                    <w:tc>
                      <w:tcPr>
                        <w:tcW w:w="3305" w:type="dxa"/>
                        <w:vMerge/>
                        <w:tcBorders>
                          <w:left w:val="single" w:sz="4" w:space="0" w:color="000000"/>
                          <w:bottom w:val="single" w:sz="12" w:space="0" w:color="000000"/>
                          <w:right w:val="single" w:sz="4" w:space="0" w:color="000000"/>
                        </w:tcBorders>
                      </w:tcPr>
                      <w:p>
                        <w:pPr/>
                      </w:p>
                    </w:tc>
                    <w:tc>
                      <w:tcPr>
                        <w:tcW w:w="718" w:type="dxa"/>
                        <w:vMerge/>
                        <w:tcBorders>
                          <w:left w:val="single" w:sz="4" w:space="0" w:color="000000"/>
                          <w:bottom w:val="single" w:sz="12" w:space="0" w:color="000000"/>
                          <w:right w:val="single" w:sz="4" w:space="0" w:color="000000"/>
                        </w:tcBorders>
                      </w:tcPr>
                      <w:p>
                        <w:pPr/>
                      </w:p>
                    </w:tc>
                    <w:tc>
                      <w:tcPr>
                        <w:tcW w:w="718" w:type="dxa"/>
                        <w:vMerge/>
                        <w:tcBorders>
                          <w:left w:val="single" w:sz="4" w:space="0" w:color="000000"/>
                          <w:bottom w:val="single" w:sz="12" w:space="0" w:color="000000"/>
                          <w:right w:val="single" w:sz="4" w:space="0" w:color="000000"/>
                        </w:tcBorders>
                      </w:tcPr>
                      <w:p>
                        <w:pPr/>
                      </w:p>
                    </w:tc>
                    <w:tc>
                      <w:tcPr>
                        <w:tcW w:w="1649" w:type="dxa"/>
                        <w:vMerge/>
                        <w:tcBorders>
                          <w:left w:val="single" w:sz="4" w:space="0" w:color="000000"/>
                          <w:bottom w:val="single" w:sz="12" w:space="0" w:color="000000"/>
                          <w:right w:val="single" w:sz="12"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3"/>
          <w:szCs w:val="3"/>
        </w:rPr>
      </w:pPr>
      <w:r>
        <w:rPr/>
        <w:pict>
          <v:shape style="position:absolute;margin-left:271.972992pt;margin-top:73.559982pt;width:149.7pt;height:335.35pt;mso-position-horizontal-relative:page;mso-position-vertical-relative:page;z-index:-11215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636" w:lineRule="auto" w:before="152"/>
                    <w:ind w:left="0" w:right="651" w:firstLine="1260"/>
                    <w:jc w:val="right"/>
                    <w:rPr>
                      <w:rFonts w:ascii="宋体" w:hAnsi="宋体" w:cs="宋体" w:eastAsia="宋体" w:hint="default"/>
                      <w:sz w:val="18"/>
                      <w:szCs w:val="18"/>
                    </w:rPr>
                  </w:pPr>
                  <w:r>
                    <w:rPr>
                      <w:rFonts w:ascii="宋体" w:hAnsi="宋体" w:cs="宋体" w:eastAsia="宋体" w:hint="default"/>
                      <w:sz w:val="18"/>
                      <w:szCs w:val="18"/>
                    </w:rPr>
                    <w:t>任红军先生、 钟超及其控制的其他子公司、</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6"/>
                      <w:szCs w:val="26"/>
                    </w:rPr>
                  </w:pPr>
                </w:p>
                <w:p>
                  <w:pPr>
                    <w:spacing w:before="0"/>
                    <w:ind w:left="0" w:right="651" w:firstLine="0"/>
                    <w:jc w:val="right"/>
                    <w:rPr>
                      <w:rFonts w:ascii="宋体" w:hAnsi="宋体" w:cs="宋体" w:eastAsia="宋体" w:hint="default"/>
                      <w:sz w:val="18"/>
                      <w:szCs w:val="18"/>
                    </w:rPr>
                  </w:pPr>
                  <w:r>
                    <w:rPr>
                      <w:rFonts w:ascii="宋体" w:hAnsi="宋体" w:cs="宋体" w:eastAsia="宋体" w:hint="default"/>
                      <w:sz w:val="18"/>
                      <w:szCs w:val="18"/>
                    </w:rPr>
                    <w:t>分公司、</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6"/>
                      <w:szCs w:val="26"/>
                    </w:rPr>
                  </w:pPr>
                </w:p>
                <w:p>
                  <w:pPr>
                    <w:spacing w:before="0"/>
                    <w:ind w:left="0" w:right="650" w:firstLine="0"/>
                    <w:jc w:val="righ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57.899994pt;margin-top:459.79599pt;width:81.5pt;height:335.45pt;mso-position-horizontal-relative:page;mso-position-vertical-relative:page;z-index:-1121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spacing w:before="0"/>
                    <w:ind w:left="0" w:right="11" w:firstLine="0"/>
                    <w:jc w:val="right"/>
                    <w:rPr>
                      <w:rFonts w:ascii="Times New Roman" w:hAnsi="Times New Roman" w:cs="Times New Roman" w:eastAsia="Times New Roman" w:hint="default"/>
                      <w:sz w:val="18"/>
                      <w:szCs w:val="18"/>
                    </w:rPr>
                  </w:pPr>
                  <w:r>
                    <w:rPr>
                      <w:rFonts w:ascii="Times New Roman"/>
                      <w:sz w:val="18"/>
                    </w:rPr>
                    <w:t>38</w:t>
                  </w:r>
                </w:p>
              </w:txbxContent>
            </v:textbox>
            <w10:wrap type="none"/>
          </v:shape>
        </w:pict>
      </w:r>
      <w:r>
        <w:rPr/>
        <w:pict>
          <v:group style="position:absolute;margin-left:386.109985pt;margin-top:73.559982pt;width:35.550pt;height:335.35pt;mso-position-horizontal-relative:page;mso-position-vertical-relative:page;z-index:-1121488" coordorigin="7722,1471" coordsize="711,6707">
            <v:shape style="position:absolute;left:7722;top:1471;width:711;height:6707" coordorigin="7722,1471" coordsize="711,6707" path="m7722,8178l8433,8178,8433,1471,7722,1471,7722,8178xe" filled="true" fillcolor="#ffffff" stroked="false">
              <v:path arrowok="t"/>
              <v:fill type="solid"/>
            </v:shape>
            <w10:wrap type="none"/>
          </v:group>
        </w:pict>
      </w:r>
      <w:r>
        <w:rPr/>
        <w:pict>
          <v:group style="position:absolute;margin-left:386.109985pt;margin-top:442.125977pt;width:35.550pt;height:353.1pt;mso-position-horizontal-relative:page;mso-position-vertical-relative:page;z-index:-1121464" coordorigin="7722,8843" coordsize="711,7062">
            <v:group style="position:absolute;left:7722;top:9196;width:711;height:6709" coordorigin="7722,9196" coordsize="711,6709">
              <v:shape style="position:absolute;left:7722;top:9196;width:711;height:6709" coordorigin="7722,9196" coordsize="711,6709" path="m7722,15904l8433,15904,8433,9196,7722,9196,7722,15904xe" filled="true" fillcolor="#ffffff" stroked="false">
                <v:path arrowok="t"/>
                <v:fill type="solid"/>
              </v:shape>
            </v:group>
            <v:group style="position:absolute;left:7746;top:8843;width:663;height:354" coordorigin="7746,8843" coordsize="663,354">
              <v:shape style="position:absolute;left:7746;top:8843;width:663;height:354" coordorigin="7746,8843" coordsize="663,354" path="m7746,9196l8409,9196,8409,8843,7746,8843,7746,9196xe" filled="true" fillcolor="#ffffff" stroked="false">
                <v:path arrowok="t"/>
                <v:fill type="solid"/>
              </v:shape>
            </v:group>
            <w10:wrap type="none"/>
          </v:group>
        </w:pict>
      </w:r>
      <w:r>
        <w:rPr/>
        <w:pict>
          <v:group style="position:absolute;margin-left:457.899994pt;margin-top:459.79599pt;width:81.5pt;height:335.45pt;mso-position-horizontal-relative:page;mso-position-vertical-relative:page;z-index:-1121440" coordorigin="9158,9196" coordsize="1630,6709">
            <v:shape style="position:absolute;left:9158;top:9196;width:1630;height:6709" coordorigin="9158,9196" coordsize="1630,6709" path="m9158,15904l10788,15904,10788,9196,9158,9196,9158,15904xe" filled="true" fillcolor="#ffffff" stroked="false">
              <v:path arrowok="t"/>
              <v:fill type="solid"/>
            </v:shape>
            <w10:wrap type="none"/>
          </v:group>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007"/>
        <w:gridCol w:w="1435"/>
        <w:gridCol w:w="865"/>
        <w:gridCol w:w="3305"/>
        <w:gridCol w:w="718"/>
        <w:gridCol w:w="718"/>
        <w:gridCol w:w="1649"/>
      </w:tblGrid>
      <w:tr>
        <w:trPr>
          <w:trHeight w:val="366" w:hRule="exact"/>
        </w:trPr>
        <w:tc>
          <w:tcPr>
            <w:tcW w:w="1007" w:type="dxa"/>
            <w:vMerge w:val="restart"/>
            <w:tcBorders>
              <w:top w:val="single" w:sz="12" w:space="0" w:color="000000"/>
              <w:left w:val="single" w:sz="12" w:space="0" w:color="000000"/>
              <w:right w:val="single" w:sz="4" w:space="0" w:color="000000"/>
            </w:tcBorders>
            <w:shd w:val="clear" w:color="auto" w:fill="D2D2D2"/>
          </w:tcPr>
          <w:p>
            <w:pPr/>
          </w:p>
        </w:tc>
        <w:tc>
          <w:tcPr>
            <w:tcW w:w="1435" w:type="dxa"/>
            <w:tcBorders>
              <w:top w:val="single" w:sz="12" w:space="0" w:color="000000"/>
              <w:left w:val="single" w:sz="4" w:space="0" w:color="000000"/>
              <w:bottom w:val="nil" w:sz="6" w:space="0" w:color="auto"/>
              <w:right w:val="single" w:sz="4" w:space="0" w:color="000000"/>
            </w:tcBorders>
          </w:tcPr>
          <w:p>
            <w:pPr/>
          </w:p>
        </w:tc>
        <w:tc>
          <w:tcPr>
            <w:tcW w:w="865" w:type="dxa"/>
            <w:tcBorders>
              <w:top w:val="single" w:sz="12" w:space="0" w:color="000000"/>
              <w:left w:val="single" w:sz="4" w:space="0" w:color="000000"/>
              <w:bottom w:val="nil" w:sz="6" w:space="0" w:color="auto"/>
              <w:right w:val="single" w:sz="4" w:space="0" w:color="000000"/>
            </w:tcBorders>
          </w:tcPr>
          <w:p>
            <w:pPr/>
          </w:p>
        </w:tc>
        <w:tc>
          <w:tcPr>
            <w:tcW w:w="330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为充分保护上市公司的利益，作为汉威电</w:t>
            </w:r>
          </w:p>
        </w:tc>
        <w:tc>
          <w:tcPr>
            <w:tcW w:w="718" w:type="dxa"/>
            <w:tcBorders>
              <w:top w:val="single" w:sz="12" w:space="0" w:color="000000"/>
              <w:left w:val="single" w:sz="4" w:space="0" w:color="000000"/>
              <w:bottom w:val="nil" w:sz="6" w:space="0" w:color="auto"/>
              <w:right w:val="single" w:sz="4" w:space="0" w:color="000000"/>
            </w:tcBorders>
          </w:tcPr>
          <w:p>
            <w:pPr/>
          </w:p>
        </w:tc>
        <w:tc>
          <w:tcPr>
            <w:tcW w:w="718" w:type="dxa"/>
            <w:tcBorders>
              <w:top w:val="single" w:sz="12" w:space="0" w:color="000000"/>
              <w:left w:val="single" w:sz="4" w:space="0" w:color="000000"/>
              <w:bottom w:val="nil" w:sz="6" w:space="0" w:color="auto"/>
              <w:right w:val="single" w:sz="4" w:space="0" w:color="000000"/>
            </w:tcBorders>
          </w:tcPr>
          <w:p>
            <w:pPr/>
          </w:p>
        </w:tc>
        <w:tc>
          <w:tcPr>
            <w:tcW w:w="1649" w:type="dxa"/>
            <w:tcBorders>
              <w:top w:val="single" w:sz="12" w:space="0" w:color="000000"/>
              <w:left w:val="single" w:sz="4" w:space="0" w:color="000000"/>
              <w:bottom w:val="nil" w:sz="6" w:space="0" w:color="auto"/>
              <w:right w:val="single" w:sz="12" w:space="0" w:color="000000"/>
            </w:tcBorders>
          </w:tcPr>
          <w:p>
            <w:pPr/>
          </w:p>
        </w:tc>
      </w:tr>
      <w:tr>
        <w:trPr>
          <w:trHeight w:val="311"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子的控股股东及实际控制人，</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钟超女士承诺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）将采取有效措施尽量</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0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避免任红军、</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分公司、合营或联营公司与汉威电子及其</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子公司之间发生关联交易</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）不利用自</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0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身作为汉威电子控股股东之地位为任红</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军、钟超及其控制的其他子公司、</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合营或联营公司谋求与汉威电子在业务合</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作等方面给予优于市场其他第三方的权</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）不利用自身作为汉威电子控股股</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0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东之地位为任红军、钟超及其控制的其他</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子公司、分公司、合营或联营公司谋求与</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汉威电子优先达成交易的权利</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）在进</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0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行确有必要且无法避免的关联交易时，保</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证按市场化原则和公允价格进行公平操</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作，并按相关法律法规、规范性文件及汉</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威电子的公司章程的规定履行相应审批程</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序及信息披露义务。为充分保护上市公司</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的利益，作为汉威电子的控股股东及实际</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关于同业</w:t>
            </w: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控制人</w:t>
            </w:r>
            <w:r>
              <w:rPr>
                <w:rFonts w:ascii="宋体" w:hAnsi="宋体" w:cs="宋体" w:eastAsia="宋体" w:hint="default"/>
                <w:spacing w:val="-27"/>
                <w:sz w:val="18"/>
                <w:szCs w:val="18"/>
              </w:rPr>
              <w:t>，</w:t>
            </w:r>
            <w:r>
              <w:rPr>
                <w:rFonts w:ascii="宋体" w:hAnsi="宋体" w:cs="宋体" w:eastAsia="宋体" w:hint="default"/>
                <w:sz w:val="18"/>
                <w:szCs w:val="18"/>
              </w:rPr>
              <w:t>任红军先生</w:t>
            </w:r>
            <w:r>
              <w:rPr>
                <w:rFonts w:ascii="宋体" w:hAnsi="宋体" w:cs="宋体" w:eastAsia="宋体" w:hint="default"/>
                <w:spacing w:val="-27"/>
                <w:sz w:val="18"/>
                <w:szCs w:val="18"/>
              </w:rPr>
              <w:t>、</w:t>
            </w:r>
            <w:r>
              <w:rPr>
                <w:rFonts w:ascii="宋体" w:hAnsi="宋体" w:cs="宋体" w:eastAsia="宋体" w:hint="default"/>
                <w:sz w:val="18"/>
                <w:szCs w:val="18"/>
              </w:rPr>
              <w:t>钟超</w:t>
            </w:r>
            <w:r>
              <w:rPr>
                <w:rFonts w:ascii="宋体" w:hAnsi="宋体" w:cs="宋体" w:eastAsia="宋体" w:hint="default"/>
                <w:spacing w:val="-3"/>
                <w:sz w:val="18"/>
                <w:szCs w:val="18"/>
              </w:rPr>
              <w:t>女</w:t>
            </w:r>
            <w:r>
              <w:rPr>
                <w:rFonts w:ascii="宋体" w:hAnsi="宋体" w:cs="宋体" w:eastAsia="宋体" w:hint="default"/>
                <w:sz w:val="18"/>
                <w:szCs w:val="18"/>
              </w:rPr>
              <w:t>士承诺</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1243"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钟超</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67" w:right="65"/>
              <w:jc w:val="both"/>
              <w:rPr>
                <w:rFonts w:ascii="宋体" w:hAnsi="宋体" w:cs="宋体" w:eastAsia="宋体" w:hint="default"/>
                <w:sz w:val="18"/>
                <w:szCs w:val="18"/>
              </w:rPr>
            </w:pPr>
            <w:r>
              <w:rPr>
                <w:rFonts w:ascii="宋体" w:hAnsi="宋体" w:cs="宋体" w:eastAsia="宋体" w:hint="default"/>
                <w:sz w:val="18"/>
                <w:szCs w:val="18"/>
              </w:rPr>
              <w:t>竞争、关 联交易、 资金占用 方面的承</w:t>
            </w:r>
          </w:p>
        </w:tc>
        <w:tc>
          <w:tcPr>
            <w:tcW w:w="3305" w:type="dxa"/>
            <w:tcBorders>
              <w:top w:val="nil" w:sz="6" w:space="0" w:color="auto"/>
              <w:left w:val="single" w:sz="4" w:space="0" w:color="000000"/>
              <w:bottom w:val="nil" w:sz="6" w:space="0" w:color="auto"/>
              <w:right w:val="single" w:sz="10" w:space="0" w:color="FFFFFF"/>
            </w:tcBorders>
          </w:tcPr>
          <w:p>
            <w:pPr>
              <w:pStyle w:val="TableParagraph"/>
              <w:spacing w:line="312" w:lineRule="auto" w:before="5"/>
              <w:ind w:left="23" w:right="22"/>
              <w:jc w:val="both"/>
              <w:rPr>
                <w:rFonts w:ascii="宋体" w:hAnsi="宋体" w:cs="宋体" w:eastAsia="宋体" w:hint="default"/>
                <w:sz w:val="18"/>
                <w:szCs w:val="18"/>
              </w:rPr>
            </w:pPr>
            <w:r>
              <w:rPr>
                <w:rFonts w:ascii="宋体" w:hAnsi="宋体" w:cs="宋体" w:eastAsia="宋体" w:hint="default"/>
                <w:sz w:val="18"/>
                <w:szCs w:val="18"/>
              </w:rPr>
              <w:t>承诺人及承诺人所控制的其他子公司、分 公司、合营或联营公司及其他任何类型企 业（以下统称为</w:t>
            </w:r>
            <w:r>
              <w:rPr>
                <w:rFonts w:ascii="Times New Roman" w:hAnsi="Times New Roman" w:cs="Times New Roman" w:eastAsia="Times New Roman" w:hint="default"/>
                <w:sz w:val="18"/>
                <w:szCs w:val="18"/>
              </w:rPr>
              <w:t>"</w:t>
            </w:r>
            <w:r>
              <w:rPr>
                <w:rFonts w:ascii="宋体" w:hAnsi="宋体" w:cs="宋体" w:eastAsia="宋体" w:hint="default"/>
                <w:sz w:val="18"/>
                <w:szCs w:val="18"/>
              </w:rPr>
              <w:t>相关企业</w:t>
            </w:r>
            <w:r>
              <w:rPr>
                <w:rFonts w:ascii="Times New Roman" w:hAnsi="Times New Roman" w:cs="Times New Roman" w:eastAsia="Times New Roman" w:hint="default"/>
                <w:sz w:val="18"/>
                <w:szCs w:val="18"/>
              </w:rPr>
              <w:t>"</w:t>
            </w:r>
            <w:r>
              <w:rPr>
                <w:rFonts w:ascii="宋体" w:hAnsi="宋体" w:cs="宋体" w:eastAsia="宋体" w:hint="default"/>
                <w:sz w:val="18"/>
                <w:szCs w:val="18"/>
              </w:rPr>
              <w:t>）目前均未从 </w:t>
            </w:r>
            <w:r>
              <w:rPr>
                <w:rFonts w:ascii="宋体" w:hAnsi="宋体" w:cs="宋体" w:eastAsia="宋体" w:hint="default"/>
                <w:spacing w:val="-5"/>
                <w:sz w:val="18"/>
                <w:szCs w:val="18"/>
              </w:rPr>
              <w:t>事任何与汉威电子及其子公司、嘉园环保</w:t>
            </w:r>
          </w:p>
        </w:tc>
        <w:tc>
          <w:tcPr>
            <w:tcW w:w="718" w:type="dxa"/>
            <w:tcBorders>
              <w:top w:val="nil" w:sz="6" w:space="0" w:color="auto"/>
              <w:left w:val="single" w:sz="10" w:space="0" w:color="FFFFFF"/>
              <w:bottom w:val="nil" w:sz="6" w:space="0" w:color="auto"/>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196" w:lineRule="exact" w:before="63"/>
              <w:ind w:right="5"/>
              <w:jc w:val="center"/>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49" w:type="dxa"/>
            <w:tcBorders>
              <w:top w:val="nil" w:sz="6" w:space="0" w:color="auto"/>
              <w:left w:val="single" w:sz="4" w:space="0" w:color="000000"/>
              <w:bottom w:val="nil" w:sz="6" w:space="0" w:color="auto"/>
              <w:right w:val="single" w:sz="12" w:space="0" w:color="000000"/>
            </w:tcBorders>
          </w:tcPr>
          <w:p>
            <w:pPr>
              <w:pStyle w:val="TableParagraph"/>
              <w:spacing w:line="319" w:lineRule="auto" w:before="161"/>
              <w:ind w:left="24" w:right="12"/>
              <w:jc w:val="center"/>
              <w:rPr>
                <w:rFonts w:ascii="宋体" w:hAnsi="宋体" w:cs="宋体" w:eastAsia="宋体" w:hint="default"/>
                <w:sz w:val="18"/>
                <w:szCs w:val="18"/>
              </w:rPr>
            </w:pPr>
            <w:r>
              <w:rPr>
                <w:rFonts w:ascii="宋体" w:hAnsi="宋体" w:cs="宋体" w:eastAsia="宋体" w:hint="default"/>
                <w:spacing w:val="-4"/>
                <w:sz w:val="18"/>
                <w:szCs w:val="18"/>
              </w:rPr>
              <w:t>截至报告期末，上述</w:t>
            </w:r>
            <w:r>
              <w:rPr>
                <w:rFonts w:ascii="宋体" w:hAnsi="宋体" w:cs="宋体" w:eastAsia="宋体" w:hint="default"/>
                <w:sz w:val="18"/>
                <w:szCs w:val="18"/>
              </w:rPr>
              <w:t> 承诺人均遵守了所 做的承诺。</w:t>
            </w: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诺</w:t>
            </w: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沈阳金建构成直接或间接竞争的生产经营</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业务或活动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）承诺人及相关企业将来</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0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亦不直接或间接从事任何与汉威电子及其</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子公司相同或类似的业务，不直接或间接</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从事、参与或进行与汉威电子及其子公司</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的生产经营构成竞争的任何生产经营业务</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或活动，且不再对具有与汉威电子及其子</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公司有相同或类似业务的企业进行投资。</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82"/>
                <w:sz w:val="18"/>
                <w:szCs w:val="18"/>
              </w:rPr>
              <w:t>）</w:t>
            </w:r>
            <w:r>
              <w:rPr>
                <w:rFonts w:ascii="宋体" w:hAnsi="宋体" w:cs="宋体" w:eastAsia="宋体" w:hint="default"/>
                <w:sz w:val="18"/>
                <w:szCs w:val="18"/>
              </w:rPr>
              <w:t>承诺人将对自身及相关</w:t>
            </w:r>
            <w:r>
              <w:rPr>
                <w:rFonts w:ascii="宋体" w:hAnsi="宋体" w:cs="宋体" w:eastAsia="宋体" w:hint="default"/>
                <w:spacing w:val="-3"/>
                <w:sz w:val="18"/>
                <w:szCs w:val="18"/>
              </w:rPr>
              <w:t>企</w:t>
            </w:r>
            <w:r>
              <w:rPr>
                <w:rFonts w:ascii="宋体" w:hAnsi="宋体" w:cs="宋体" w:eastAsia="宋体" w:hint="default"/>
                <w:sz w:val="18"/>
                <w:szCs w:val="18"/>
              </w:rPr>
              <w:t>业的生产经</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0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营活动进行监督和约束，如果将来承诺人</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及相关企业的产品或业务与汉威电子及其</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子公司的产品或业务出现相同或类似的情</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况，承诺人承诺将采取以下措施解决：①</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汉威电子认为必要时，承诺人及相关企业</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将减持直至全部转让所持有的有关资产和</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1"/>
                <w:sz w:val="18"/>
                <w:szCs w:val="18"/>
              </w:rPr>
              <w:t>业务；②</w:t>
            </w:r>
            <w:r>
              <w:rPr>
                <w:rFonts w:ascii="宋体" w:hAnsi="宋体" w:cs="宋体" w:eastAsia="宋体" w:hint="default"/>
                <w:spacing w:val="16"/>
                <w:sz w:val="18"/>
                <w:szCs w:val="18"/>
              </w:rPr>
              <w:t> </w:t>
            </w:r>
            <w:r>
              <w:rPr>
                <w:rFonts w:ascii="宋体" w:hAnsi="宋体" w:cs="宋体" w:eastAsia="宋体" w:hint="default"/>
                <w:spacing w:val="-4"/>
                <w:sz w:val="18"/>
                <w:szCs w:val="18"/>
              </w:rPr>
              <w:t>汉威电子认为必要时，可以通过</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适当方式优先收购承诺人及相关企业持有</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的有关资产和业务</w:t>
            </w:r>
            <w:r>
              <w:rPr>
                <w:rFonts w:ascii="宋体" w:hAnsi="宋体" w:cs="宋体" w:eastAsia="宋体" w:hint="default"/>
                <w:spacing w:val="-82"/>
                <w:sz w:val="18"/>
                <w:szCs w:val="18"/>
              </w:rPr>
              <w:t>；</w:t>
            </w: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如承</w:t>
            </w:r>
            <w:r>
              <w:rPr>
                <w:rFonts w:ascii="宋体" w:hAnsi="宋体" w:cs="宋体" w:eastAsia="宋体" w:hint="default"/>
                <w:spacing w:val="-3"/>
                <w:sz w:val="18"/>
                <w:szCs w:val="18"/>
              </w:rPr>
              <w:t>诺</w:t>
            </w:r>
            <w:r>
              <w:rPr>
                <w:rFonts w:ascii="宋体" w:hAnsi="宋体" w:cs="宋体" w:eastAsia="宋体" w:hint="default"/>
                <w:sz w:val="18"/>
                <w:szCs w:val="18"/>
              </w:rPr>
              <w:t>人及相关企</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业与汉威电子及其子公司因同业竞争产生</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利益冲突，则无条件将相关利益让与汉威</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67" w:hRule="exact"/>
        </w:trPr>
        <w:tc>
          <w:tcPr>
            <w:tcW w:w="1007" w:type="dxa"/>
            <w:vMerge/>
            <w:tcBorders>
              <w:left w:val="single" w:sz="12" w:space="0" w:color="000000"/>
              <w:bottom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single" w:sz="12" w:space="0" w:color="000000"/>
              <w:right w:val="single" w:sz="4" w:space="0" w:color="000000"/>
            </w:tcBorders>
          </w:tcPr>
          <w:p>
            <w:pPr/>
          </w:p>
        </w:tc>
        <w:tc>
          <w:tcPr>
            <w:tcW w:w="865" w:type="dxa"/>
            <w:tcBorders>
              <w:top w:val="nil" w:sz="6" w:space="0" w:color="auto"/>
              <w:left w:val="single" w:sz="4" w:space="0" w:color="000000"/>
              <w:bottom w:val="single" w:sz="12" w:space="0" w:color="000000"/>
              <w:right w:val="single" w:sz="4" w:space="0" w:color="000000"/>
            </w:tcBorders>
          </w:tcPr>
          <w:p>
            <w:pPr/>
          </w:p>
        </w:tc>
        <w:tc>
          <w:tcPr>
            <w:tcW w:w="33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电子。</w:t>
            </w:r>
          </w:p>
        </w:tc>
        <w:tc>
          <w:tcPr>
            <w:tcW w:w="718" w:type="dxa"/>
            <w:tcBorders>
              <w:top w:val="nil" w:sz="6" w:space="0" w:color="auto"/>
              <w:left w:val="single" w:sz="4" w:space="0" w:color="000000"/>
              <w:bottom w:val="single" w:sz="12" w:space="0" w:color="000000"/>
              <w:right w:val="single" w:sz="4" w:space="0" w:color="000000"/>
            </w:tcBorders>
          </w:tcPr>
          <w:p>
            <w:pPr/>
          </w:p>
        </w:tc>
        <w:tc>
          <w:tcPr>
            <w:tcW w:w="718" w:type="dxa"/>
            <w:tcBorders>
              <w:top w:val="nil" w:sz="6" w:space="0" w:color="auto"/>
              <w:left w:val="single" w:sz="4" w:space="0" w:color="000000"/>
              <w:bottom w:val="single" w:sz="12" w:space="0" w:color="000000"/>
              <w:right w:val="single" w:sz="4" w:space="0" w:color="000000"/>
            </w:tcBorders>
          </w:tcPr>
          <w:p>
            <w:pPr/>
          </w:p>
        </w:tc>
        <w:tc>
          <w:tcPr>
            <w:tcW w:w="1649" w:type="dxa"/>
            <w:tcBorders>
              <w:top w:val="nil" w:sz="6" w:space="0" w:color="auto"/>
              <w:left w:val="single" w:sz="4" w:space="0" w:color="000000"/>
              <w:bottom w:val="single" w:sz="12" w:space="0" w:color="000000"/>
              <w:right w:val="single" w:sz="12" w:space="0" w:color="000000"/>
            </w:tcBorders>
          </w:tcPr>
          <w:p>
            <w:pPr/>
          </w:p>
        </w:tc>
      </w:tr>
    </w:tbl>
    <w:p>
      <w:pPr>
        <w:spacing w:after="0"/>
        <w:sectPr>
          <w:footerReference w:type="default" r:id="rId12"/>
          <w:pgSz w:w="11910" w:h="16840"/>
          <w:pgMar w:footer="504" w:header="745" w:top="1060" w:bottom="700" w:left="980" w:right="0"/>
        </w:sectPr>
      </w:pPr>
    </w:p>
    <w:p>
      <w:pPr>
        <w:spacing w:line="240" w:lineRule="auto" w:before="2"/>
        <w:rPr>
          <w:rFonts w:ascii="Times New Roman" w:hAnsi="Times New Roman" w:cs="Times New Roman" w:eastAsia="Times New Roman" w:hint="default"/>
          <w:sz w:val="3"/>
          <w:szCs w:val="3"/>
        </w:rPr>
      </w:pPr>
      <w:r>
        <w:rPr/>
        <w:pict>
          <v:shape style="position:absolute;margin-left:379.869995pt;margin-top:526.639954pt;width:41.8pt;height:117.05pt;mso-position-horizontal-relative:page;mso-position-vertical-relative:page;z-index:-11213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86.109985pt;margin-top:526.639954pt;width:35.550pt;height:117.05pt;mso-position-horizontal-relative:page;mso-position-vertical-relative:page;z-index:-1121368" coordorigin="7722,10533" coordsize="711,2341">
            <v:shape style="position:absolute;left:7722;top:10533;width:711;height:2341" coordorigin="7722,10533" coordsize="711,2341" path="m7722,12873l8433,12873,8433,10533,7722,10533,7722,12873xe" filled="true" fillcolor="#ffffff" stroked="false">
              <v:path arrowok="t"/>
              <v:fill type="solid"/>
            </v:shape>
            <w10:wrap type="none"/>
          </v:group>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007"/>
        <w:gridCol w:w="1435"/>
        <w:gridCol w:w="865"/>
        <w:gridCol w:w="3305"/>
        <w:gridCol w:w="718"/>
        <w:gridCol w:w="718"/>
        <w:gridCol w:w="1649"/>
      </w:tblGrid>
      <w:tr>
        <w:trPr>
          <w:trHeight w:val="5718" w:hRule="exact"/>
        </w:trPr>
        <w:tc>
          <w:tcPr>
            <w:tcW w:w="1007" w:type="dxa"/>
            <w:vMerge w:val="restart"/>
            <w:tcBorders>
              <w:top w:val="single" w:sz="12" w:space="0" w:color="000000"/>
              <w:left w:val="single" w:sz="12" w:space="0" w:color="000000"/>
              <w:right w:val="single" w:sz="4" w:space="0" w:color="000000"/>
            </w:tcBorders>
            <w:shd w:val="clear" w:color="auto" w:fill="D2D2D2"/>
          </w:tcPr>
          <w:p>
            <w:pPr/>
          </w:p>
        </w:tc>
        <w:tc>
          <w:tcPr>
            <w:tcW w:w="14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8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3305" w:type="dxa"/>
            <w:tcBorders>
              <w:top w:val="single" w:sz="12" w:space="0" w:color="000000"/>
              <w:left w:val="single" w:sz="4" w:space="0" w:color="000000"/>
              <w:bottom w:val="single" w:sz="4" w:space="0" w:color="000000"/>
              <w:right w:val="single" w:sz="4" w:space="0" w:color="000000"/>
            </w:tcBorders>
          </w:tcPr>
          <w:p>
            <w:pPr>
              <w:pStyle w:val="TableParagraph"/>
              <w:spacing w:line="309"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尚剑红承诺自标的资产交割日起，仍需至 少在沈阳金建或上市公司任职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pacing w:val="-21"/>
                <w:sz w:val="18"/>
                <w:szCs w:val="18"/>
              </w:rPr>
              <w:t>个月，并</w:t>
            </w:r>
            <w:r>
              <w:rPr>
                <w:rFonts w:ascii="宋体" w:hAnsi="宋体" w:cs="宋体" w:eastAsia="宋体" w:hint="default"/>
                <w:sz w:val="18"/>
                <w:szCs w:val="18"/>
              </w:rPr>
              <w:t> 承诺在沈阳金建和上市公司任职期间及离 职后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个月内，不从事与沈阳金建生产或</w:t>
            </w:r>
            <w:r>
              <w:rPr>
                <w:rFonts w:ascii="宋体" w:hAnsi="宋体" w:cs="宋体" w:eastAsia="宋体" w:hint="default"/>
                <w:sz w:val="18"/>
                <w:szCs w:val="18"/>
              </w:rPr>
              <w:t> 者经营同类产品或从事同类业务的、有竞 争关系的其他用人单位工作或提供劳务， 或者自己开业生产或者经营同类产品、从 </w:t>
            </w:r>
            <w:r>
              <w:rPr>
                <w:rFonts w:ascii="宋体" w:hAnsi="宋体" w:cs="宋体" w:eastAsia="宋体" w:hint="default"/>
                <w:spacing w:val="-5"/>
                <w:sz w:val="18"/>
                <w:szCs w:val="18"/>
              </w:rPr>
              <w:t>事同类业务。如违反上述承诺，则：（</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自交割日起任职期限不满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15"/>
                <w:sz w:val="18"/>
                <w:szCs w:val="18"/>
              </w:rPr>
              <w:t>个月的，违约</w:t>
            </w:r>
            <w:r>
              <w:rPr>
                <w:rFonts w:ascii="宋体" w:hAnsi="宋体" w:cs="宋体" w:eastAsia="宋体" w:hint="default"/>
                <w:sz w:val="18"/>
                <w:szCs w:val="18"/>
              </w:rPr>
              <w:t> 方应将其于本交易中已获对价的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作为 赔偿金返还给上市公司，上市公司尚未支 </w:t>
            </w:r>
            <w:r>
              <w:rPr>
                <w:rFonts w:ascii="宋体" w:hAnsi="宋体" w:cs="宋体" w:eastAsia="宋体" w:hint="default"/>
                <w:spacing w:val="-5"/>
                <w:sz w:val="18"/>
                <w:szCs w:val="18"/>
              </w:rPr>
              <w:t>付的对价无需支付；（</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）自交割日起任职</w:t>
            </w:r>
            <w:r>
              <w:rPr>
                <w:rFonts w:ascii="宋体" w:hAnsi="宋体" w:cs="宋体" w:eastAsia="宋体" w:hint="default"/>
                <w:spacing w:val="-86"/>
                <w:sz w:val="18"/>
                <w:szCs w:val="18"/>
              </w:rPr>
              <w:t> </w:t>
            </w:r>
            <w:r>
              <w:rPr>
                <w:rFonts w:ascii="宋体" w:hAnsi="宋体" w:cs="宋体" w:eastAsia="宋体" w:hint="default"/>
                <w:sz w:val="18"/>
                <w:szCs w:val="18"/>
              </w:rPr>
              <w:t>期限已满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个月的，违约方 应将其于本交易中所获对价的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作为赔 </w:t>
            </w:r>
            <w:r>
              <w:rPr>
                <w:rFonts w:ascii="宋体" w:hAnsi="宋体" w:cs="宋体" w:eastAsia="宋体" w:hint="default"/>
                <w:spacing w:val="-6"/>
                <w:sz w:val="18"/>
                <w:szCs w:val="18"/>
              </w:rPr>
              <w:t>偿金支付给上市公司；（</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）自离职后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24</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个月内违反竞业禁止义务的，违约方还应 向上市公司支付相当于其上一年度报酬总 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倍的违约金。</w:t>
            </w:r>
          </w:p>
        </w:tc>
        <w:tc>
          <w:tcPr>
            <w:tcW w:w="7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64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2"/>
              <w:jc w:val="center"/>
              <w:rPr>
                <w:rFonts w:ascii="宋体" w:hAnsi="宋体" w:cs="宋体" w:eastAsia="宋体" w:hint="default"/>
                <w:sz w:val="18"/>
                <w:szCs w:val="18"/>
              </w:rPr>
            </w:pPr>
            <w:r>
              <w:rPr>
                <w:rFonts w:ascii="宋体" w:hAnsi="宋体" w:cs="宋体" w:eastAsia="宋体" w:hint="default"/>
                <w:spacing w:val="-4"/>
                <w:sz w:val="18"/>
                <w:szCs w:val="18"/>
              </w:rPr>
              <w:t>截至报告期末，上述</w:t>
            </w:r>
            <w:r>
              <w:rPr>
                <w:rFonts w:ascii="宋体" w:hAnsi="宋体" w:cs="宋体" w:eastAsia="宋体" w:hint="default"/>
                <w:sz w:val="18"/>
                <w:szCs w:val="18"/>
              </w:rPr>
              <w:t> 承诺人均遵守了所 </w:t>
            </w:r>
            <w:r>
              <w:rPr>
                <w:rFonts w:ascii="宋体" w:hAnsi="宋体" w:cs="宋体" w:eastAsia="宋体" w:hint="default"/>
                <w:spacing w:val="-4"/>
                <w:sz w:val="18"/>
                <w:szCs w:val="18"/>
              </w:rPr>
              <w:t>做的承诺，相关承诺</w:t>
            </w:r>
            <w:r>
              <w:rPr>
                <w:rFonts w:ascii="宋体" w:hAnsi="宋体" w:cs="宋体" w:eastAsia="宋体" w:hint="default"/>
                <w:sz w:val="18"/>
                <w:szCs w:val="18"/>
              </w:rPr>
              <w:t> 事项履行完毕。</w:t>
            </w:r>
          </w:p>
        </w:tc>
      </w:tr>
      <w:tr>
        <w:trPr>
          <w:trHeight w:val="5706" w:hRule="exact"/>
        </w:trPr>
        <w:tc>
          <w:tcPr>
            <w:tcW w:w="1007" w:type="dxa"/>
            <w:vMerge/>
            <w:tcBorders>
              <w:left w:val="single" w:sz="12" w:space="0" w:color="000000"/>
              <w:bottom w:val="single" w:sz="4" w:space="0" w:color="000000"/>
              <w:right w:val="single" w:sz="4" w:space="0" w:color="000000"/>
            </w:tcBorders>
            <w:shd w:val="clear" w:color="auto" w:fill="D2D2D2"/>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00" w:lineRule="auto"/>
              <w:ind w:left="23" w:right="19"/>
              <w:jc w:val="left"/>
              <w:rPr>
                <w:rFonts w:ascii="宋体" w:hAnsi="宋体" w:cs="宋体" w:eastAsia="宋体" w:hint="default"/>
                <w:sz w:val="18"/>
                <w:szCs w:val="18"/>
              </w:rPr>
            </w:pPr>
            <w:r>
              <w:rPr>
                <w:rFonts w:ascii="宋体" w:hAnsi="宋体" w:cs="宋体" w:eastAsia="宋体" w:hint="default"/>
                <w:sz w:val="18"/>
                <w:szCs w:val="18"/>
              </w:rPr>
              <w:t>陈泽枝</w:t>
            </w:r>
            <w:r>
              <w:rPr>
                <w:rFonts w:ascii="Times New Roman" w:hAnsi="Times New Roman" w:cs="Times New Roman" w:eastAsia="Times New Roman" w:hint="default"/>
                <w:sz w:val="18"/>
                <w:szCs w:val="18"/>
              </w:rPr>
              <w:t>;</w:t>
            </w:r>
            <w:r>
              <w:rPr>
                <w:rFonts w:ascii="宋体" w:hAnsi="宋体" w:cs="宋体" w:eastAsia="宋体" w:hint="default"/>
                <w:sz w:val="18"/>
                <w:szCs w:val="18"/>
              </w:rPr>
              <w:t>李泽清</w:t>
            </w:r>
            <w:r>
              <w:rPr>
                <w:rFonts w:ascii="Times New Roman" w:hAnsi="Times New Roman" w:cs="Times New Roman" w:eastAsia="Times New Roman" w:hint="default"/>
                <w:sz w:val="18"/>
                <w:szCs w:val="18"/>
              </w:rPr>
              <w:t>;</w:t>
            </w:r>
            <w:r>
              <w:rPr>
                <w:rFonts w:ascii="宋体" w:hAnsi="宋体" w:cs="宋体" w:eastAsia="宋体" w:hint="default"/>
                <w:sz w:val="18"/>
                <w:szCs w:val="18"/>
              </w:rPr>
              <w:t>高</w:t>
            </w:r>
            <w:r>
              <w:rPr>
                <w:rFonts w:ascii="宋体" w:hAnsi="宋体" w:cs="宋体" w:eastAsia="宋体" w:hint="default"/>
                <w:spacing w:val="-75"/>
                <w:sz w:val="18"/>
                <w:szCs w:val="18"/>
              </w:rPr>
              <w:t> </w:t>
            </w:r>
            <w:r>
              <w:rPr>
                <w:rFonts w:ascii="宋体" w:hAnsi="宋体" w:cs="宋体" w:eastAsia="宋体" w:hint="default"/>
                <w:sz w:val="18"/>
                <w:szCs w:val="18"/>
              </w:rPr>
              <w:t>孔兴</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嘉园环保管理层股东陈泽枝、李泽清、高 孔兴承诺自标的资产交割日起，仍需至少 在嘉园环保任职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个月，并承诺在嘉园环</w:t>
            </w:r>
          </w:p>
          <w:p>
            <w:pPr>
              <w:pStyle w:val="TableParagraph"/>
              <w:spacing w:line="307" w:lineRule="auto"/>
              <w:ind w:left="23" w:right="15"/>
              <w:jc w:val="left"/>
              <w:rPr>
                <w:rFonts w:ascii="宋体" w:hAnsi="宋体" w:cs="宋体" w:eastAsia="宋体" w:hint="default"/>
                <w:sz w:val="18"/>
                <w:szCs w:val="18"/>
              </w:rPr>
            </w:pPr>
            <w:r>
              <w:rPr>
                <w:rFonts w:ascii="宋体" w:hAnsi="宋体" w:cs="宋体" w:eastAsia="宋体" w:hint="default"/>
                <w:sz w:val="18"/>
                <w:szCs w:val="18"/>
              </w:rPr>
              <w:t>保任职期间及离职后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11"/>
                <w:sz w:val="18"/>
                <w:szCs w:val="18"/>
              </w:rPr>
              <w:t>个月内，不从事与</w:t>
            </w:r>
            <w:r>
              <w:rPr>
                <w:rFonts w:ascii="宋体" w:hAnsi="宋体" w:cs="宋体" w:eastAsia="宋体" w:hint="default"/>
                <w:sz w:val="18"/>
                <w:szCs w:val="18"/>
              </w:rPr>
              <w:t> 嘉园环保生产或者经营同类产品或从事同 类业务的、有竞争关系的其他用人单位工 作或提供劳务，或者自己开业生产或者经 营同类产品、从事同类业务。如违反上述 </w:t>
            </w:r>
            <w:r>
              <w:rPr>
                <w:rFonts w:ascii="宋体" w:hAnsi="宋体" w:cs="宋体" w:eastAsia="宋体" w:hint="default"/>
                <w:spacing w:val="-5"/>
                <w:sz w:val="18"/>
                <w:szCs w:val="18"/>
              </w:rPr>
              <w:t>承诺，则：（</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）自交割日起任职期限不满</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个月的，违约方应将其于本交易中已获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对价的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作为赔偿金返还给上市公司， </w:t>
            </w:r>
            <w:r>
              <w:rPr>
                <w:rFonts w:ascii="宋体" w:hAnsi="宋体" w:cs="宋体" w:eastAsia="宋体" w:hint="default"/>
                <w:spacing w:val="-5"/>
                <w:sz w:val="18"/>
                <w:szCs w:val="18"/>
              </w:rPr>
              <w:t>上市公司尚未支付的对价无需支付；（</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自交割日起任职期限已满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个月的，违约方应将其于本交易中所获对 价的</w:t>
            </w:r>
            <w:r>
              <w:rPr>
                <w:rFonts w:ascii="宋体" w:hAnsi="宋体" w:cs="宋体" w:eastAsia="宋体" w:hint="default"/>
                <w:spacing w:val="-50"/>
                <w:sz w:val="18"/>
                <w:szCs w:val="18"/>
              </w:rPr>
              <w:t> </w:t>
            </w:r>
            <w:r>
              <w:rPr>
                <w:rFonts w:ascii="Times New Roman" w:hAnsi="Times New Roman" w:cs="Times New Roman" w:eastAsia="Times New Roman" w:hint="default"/>
                <w:spacing w:val="-11"/>
                <w:sz w:val="18"/>
                <w:szCs w:val="18"/>
              </w:rPr>
              <w:t>20%</w:t>
            </w:r>
            <w:r>
              <w:rPr>
                <w:rFonts w:ascii="宋体" w:hAnsi="宋体" w:cs="宋体" w:eastAsia="宋体" w:hint="default"/>
                <w:spacing w:val="-11"/>
                <w:sz w:val="18"/>
                <w:szCs w:val="18"/>
              </w:rPr>
              <w:t>作为赔偿金支付给上市公司（；</w:t>
            </w:r>
            <w:r>
              <w:rPr>
                <w:rFonts w:ascii="Times New Roman" w:hAnsi="Times New Roman" w:cs="Times New Roman" w:eastAsia="Times New Roman" w:hint="default"/>
                <w:spacing w:val="-11"/>
                <w:sz w:val="18"/>
                <w:szCs w:val="18"/>
              </w:rPr>
              <w:t>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自离职后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个月内违反竞业禁止义务的 违约方还应向上市公司支付相当于其上一 年度报酬总额的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倍的违约金。</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6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12"/>
              <w:jc w:val="center"/>
              <w:rPr>
                <w:rFonts w:ascii="宋体" w:hAnsi="宋体" w:cs="宋体" w:eastAsia="宋体" w:hint="default"/>
                <w:sz w:val="18"/>
                <w:szCs w:val="18"/>
              </w:rPr>
            </w:pPr>
            <w:r>
              <w:rPr>
                <w:rFonts w:ascii="宋体" w:hAnsi="宋体" w:cs="宋体" w:eastAsia="宋体" w:hint="default"/>
                <w:spacing w:val="-4"/>
                <w:sz w:val="18"/>
                <w:szCs w:val="18"/>
              </w:rPr>
              <w:t>截至报告期末，上述</w:t>
            </w:r>
            <w:r>
              <w:rPr>
                <w:rFonts w:ascii="宋体" w:hAnsi="宋体" w:cs="宋体" w:eastAsia="宋体" w:hint="default"/>
                <w:sz w:val="18"/>
                <w:szCs w:val="18"/>
              </w:rPr>
              <w:t> 承诺人均遵守了所 </w:t>
            </w:r>
            <w:r>
              <w:rPr>
                <w:rFonts w:ascii="宋体" w:hAnsi="宋体" w:cs="宋体" w:eastAsia="宋体" w:hint="default"/>
                <w:spacing w:val="-4"/>
                <w:sz w:val="18"/>
                <w:szCs w:val="18"/>
              </w:rPr>
              <w:t>做的承诺，相关承诺</w:t>
            </w:r>
            <w:r>
              <w:rPr>
                <w:rFonts w:ascii="宋体" w:hAnsi="宋体" w:cs="宋体" w:eastAsia="宋体" w:hint="default"/>
                <w:sz w:val="18"/>
                <w:szCs w:val="18"/>
              </w:rPr>
              <w:t> 事项履行完毕。</w:t>
            </w:r>
          </w:p>
        </w:tc>
      </w:tr>
      <w:tr>
        <w:trPr>
          <w:trHeight w:val="1658" w:hRule="exact"/>
        </w:trPr>
        <w:tc>
          <w:tcPr>
            <w:tcW w:w="100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3" w:right="12"/>
              <w:jc w:val="both"/>
              <w:rPr>
                <w:rFonts w:ascii="宋体" w:hAnsi="宋体" w:cs="宋体" w:eastAsia="宋体" w:hint="default"/>
                <w:sz w:val="18"/>
                <w:szCs w:val="18"/>
              </w:rPr>
            </w:pPr>
            <w:r>
              <w:rPr>
                <w:rFonts w:ascii="宋体" w:hAnsi="宋体" w:cs="宋体" w:eastAsia="宋体" w:hint="default"/>
                <w:spacing w:val="12"/>
                <w:sz w:val="18"/>
                <w:szCs w:val="18"/>
              </w:rPr>
              <w:t>首次公开发 行或再融资 </w:t>
            </w:r>
            <w:r>
              <w:rPr>
                <w:rFonts w:ascii="宋体" w:hAnsi="宋体" w:cs="宋体" w:eastAsia="宋体" w:hint="default"/>
                <w:sz w:val="18"/>
                <w:szCs w:val="18"/>
              </w:rPr>
              <w:t>时所作承诺</w:t>
            </w:r>
          </w:p>
        </w:tc>
        <w:tc>
          <w:tcPr>
            <w:tcW w:w="14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钟超</w:t>
            </w:r>
          </w:p>
        </w:tc>
        <w:tc>
          <w:tcPr>
            <w:tcW w:w="8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3305"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6" w:right="27"/>
              <w:jc w:val="center"/>
              <w:rPr>
                <w:rFonts w:ascii="宋体" w:hAnsi="宋体" w:cs="宋体" w:eastAsia="宋体" w:hint="default"/>
                <w:sz w:val="18"/>
                <w:szCs w:val="18"/>
              </w:rPr>
            </w:pPr>
            <w:r>
              <w:rPr>
                <w:rFonts w:ascii="宋体" w:hAnsi="宋体" w:cs="宋体" w:eastAsia="宋体" w:hint="default"/>
                <w:sz w:val="18"/>
                <w:szCs w:val="18"/>
              </w:rPr>
              <w:t>公司控股股东、实际控制人任红军先生、 钟超女士作出以下承诺：不越权干预公司 经营管理活动，不侵占公司利益。若违反 上述承诺给公司或者股东造成损失的，本 人将依法承担相应责任。</w:t>
            </w:r>
          </w:p>
        </w:tc>
        <w:tc>
          <w:tcPr>
            <w:tcW w:w="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3" w:right="82" w:hanging="180"/>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64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2"/>
              <w:jc w:val="center"/>
              <w:rPr>
                <w:rFonts w:ascii="宋体" w:hAnsi="宋体" w:cs="宋体" w:eastAsia="宋体" w:hint="default"/>
                <w:sz w:val="18"/>
                <w:szCs w:val="18"/>
              </w:rPr>
            </w:pPr>
            <w:r>
              <w:rPr>
                <w:rFonts w:ascii="宋体" w:hAnsi="宋体" w:cs="宋体" w:eastAsia="宋体" w:hint="default"/>
                <w:spacing w:val="-4"/>
                <w:sz w:val="18"/>
                <w:szCs w:val="18"/>
              </w:rPr>
              <w:t>截至报告期末，上述</w:t>
            </w:r>
            <w:r>
              <w:rPr>
                <w:rFonts w:ascii="宋体" w:hAnsi="宋体" w:cs="宋体" w:eastAsia="宋体" w:hint="default"/>
                <w:sz w:val="18"/>
                <w:szCs w:val="18"/>
              </w:rPr>
              <w:t> 承诺人均遵守了所 做的承诺。</w:t>
            </w:r>
          </w:p>
        </w:tc>
      </w:tr>
    </w:tbl>
    <w:p>
      <w:pPr>
        <w:spacing w:after="0" w:line="316" w:lineRule="auto"/>
        <w:jc w:val="center"/>
        <w:rPr>
          <w:rFonts w:ascii="宋体" w:hAnsi="宋体" w:cs="宋体" w:eastAsia="宋体" w:hint="default"/>
          <w:sz w:val="18"/>
          <w:szCs w:val="18"/>
        </w:rPr>
        <w:sectPr>
          <w:footerReference w:type="default" r:id="rId13"/>
          <w:pgSz w:w="11910" w:h="16840"/>
          <w:pgMar w:footer="980" w:header="745" w:top="1060" w:bottom="1160" w:left="980" w:right="0"/>
          <w:pgNumType w:start="39"/>
        </w:sectPr>
      </w:pPr>
    </w:p>
    <w:p>
      <w:pPr>
        <w:spacing w:line="240" w:lineRule="auto" w:before="0"/>
        <w:rPr>
          <w:rFonts w:ascii="Times New Roman" w:hAnsi="Times New Roman" w:cs="Times New Roman" w:eastAsia="Times New Roman" w:hint="default"/>
          <w:sz w:val="20"/>
          <w:szCs w:val="20"/>
        </w:rPr>
      </w:pPr>
      <w:r>
        <w:rPr/>
        <w:pict>
          <v:group style="position:absolute;margin-left:387.309998pt;margin-top:151.459976pt;width:33.15pt;height:17.650pt;mso-position-horizontal-relative:page;mso-position-vertical-relative:page;z-index:-1121344" coordorigin="7746,3029" coordsize="663,353">
            <v:shape style="position:absolute;left:7746;top:3029;width:663;height:353" coordorigin="7746,3029" coordsize="663,353" path="m7746,3382l8409,3382,8409,3029,7746,3029,7746,3382xe" filled="true" fillcolor="#ffffff" stroked="false">
              <v:path arrowok="t"/>
              <v:fill type="solid"/>
            </v:shape>
            <w10:wrap type="none"/>
          </v:group>
        </w:pict>
      </w:r>
      <w:r>
        <w:rPr/>
        <w:pict>
          <v:group style="position:absolute;margin-left:387.309998pt;margin-top:304.249969pt;width:33.15pt;height:17.650pt;mso-position-horizontal-relative:page;mso-position-vertical-relative:page;z-index:-1121320" coordorigin="7746,6085" coordsize="663,353">
            <v:shape style="position:absolute;left:7746;top:6085;width:663;height:353" coordorigin="7746,6085" coordsize="663,353" path="m7746,6438l8409,6438,8409,6085,7746,6085,7746,643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007"/>
        <w:gridCol w:w="1435"/>
        <w:gridCol w:w="865"/>
        <w:gridCol w:w="3305"/>
        <w:gridCol w:w="718"/>
        <w:gridCol w:w="718"/>
        <w:gridCol w:w="1649"/>
      </w:tblGrid>
      <w:tr>
        <w:trPr>
          <w:trHeight w:val="366" w:hRule="exact"/>
        </w:trPr>
        <w:tc>
          <w:tcPr>
            <w:tcW w:w="1007" w:type="dxa"/>
            <w:vMerge w:val="restart"/>
            <w:tcBorders>
              <w:top w:val="single" w:sz="12" w:space="0" w:color="000000"/>
              <w:left w:val="single" w:sz="12" w:space="0" w:color="000000"/>
              <w:right w:val="single" w:sz="4" w:space="0" w:color="000000"/>
            </w:tcBorders>
            <w:shd w:val="clear" w:color="auto" w:fill="D2D2D2"/>
          </w:tcPr>
          <w:p>
            <w:pPr/>
          </w:p>
        </w:tc>
        <w:tc>
          <w:tcPr>
            <w:tcW w:w="1435" w:type="dxa"/>
            <w:tcBorders>
              <w:top w:val="single" w:sz="12" w:space="0" w:color="000000"/>
              <w:left w:val="single" w:sz="4" w:space="0" w:color="000000"/>
              <w:bottom w:val="nil" w:sz="6" w:space="0" w:color="auto"/>
              <w:right w:val="single" w:sz="4" w:space="0" w:color="000000"/>
            </w:tcBorders>
          </w:tcPr>
          <w:p>
            <w:pPr/>
          </w:p>
        </w:tc>
        <w:tc>
          <w:tcPr>
            <w:tcW w:w="865" w:type="dxa"/>
            <w:tcBorders>
              <w:top w:val="single" w:sz="12" w:space="0" w:color="000000"/>
              <w:left w:val="single" w:sz="4" w:space="0" w:color="000000"/>
              <w:bottom w:val="nil" w:sz="6" w:space="0" w:color="auto"/>
              <w:right w:val="single" w:sz="4" w:space="0" w:color="000000"/>
            </w:tcBorders>
          </w:tcPr>
          <w:p>
            <w:pPr/>
          </w:p>
        </w:tc>
        <w:tc>
          <w:tcPr>
            <w:tcW w:w="3305"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公司全体董事、高级管理人员作出以下承</w:t>
            </w:r>
          </w:p>
        </w:tc>
        <w:tc>
          <w:tcPr>
            <w:tcW w:w="718" w:type="dxa"/>
            <w:tcBorders>
              <w:top w:val="single" w:sz="12" w:space="0" w:color="000000"/>
              <w:left w:val="single" w:sz="4" w:space="0" w:color="000000"/>
              <w:bottom w:val="nil" w:sz="6" w:space="0" w:color="auto"/>
              <w:right w:val="single" w:sz="4" w:space="0" w:color="000000"/>
            </w:tcBorders>
          </w:tcPr>
          <w:p>
            <w:pPr/>
          </w:p>
        </w:tc>
        <w:tc>
          <w:tcPr>
            <w:tcW w:w="718" w:type="dxa"/>
            <w:tcBorders>
              <w:top w:val="single" w:sz="12" w:space="0" w:color="000000"/>
              <w:left w:val="single" w:sz="4" w:space="0" w:color="000000"/>
              <w:bottom w:val="nil" w:sz="6" w:space="0" w:color="auto"/>
              <w:right w:val="single" w:sz="4" w:space="0" w:color="000000"/>
            </w:tcBorders>
          </w:tcPr>
          <w:p>
            <w:pPr/>
          </w:p>
        </w:tc>
        <w:tc>
          <w:tcPr>
            <w:tcW w:w="1649" w:type="dxa"/>
            <w:tcBorders>
              <w:top w:val="single" w:sz="12" w:space="0" w:color="000000"/>
              <w:left w:val="single" w:sz="4" w:space="0" w:color="000000"/>
              <w:bottom w:val="nil" w:sz="6" w:space="0" w:color="auto"/>
              <w:right w:val="single" w:sz="12" w:space="0" w:color="000000"/>
            </w:tcBorders>
          </w:tcPr>
          <w:p>
            <w:pPr/>
          </w:p>
        </w:tc>
      </w:tr>
      <w:tr>
        <w:trPr>
          <w:trHeight w:val="316"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pacing w:val="-5"/>
                <w:sz w:val="18"/>
                <w:szCs w:val="18"/>
              </w:rPr>
              <w:t>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、承诺不无偿或以不公平条件向其他</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0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单位或者个人输送利益，也不采用其他方</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5"/>
                <w:sz w:val="18"/>
                <w:szCs w:val="18"/>
              </w:rPr>
              <w:t>式损害公司利益；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、承诺对个人职务消费</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高天增</w:t>
            </w:r>
            <w:r>
              <w:rPr>
                <w:rFonts w:ascii="Times New Roman" w:hAnsi="Times New Roman" w:cs="Times New Roman" w:eastAsia="Times New Roman" w:hint="default"/>
                <w:sz w:val="18"/>
                <w:szCs w:val="18"/>
              </w:rPr>
              <w:t>;</w:t>
            </w:r>
            <w:r>
              <w:rPr>
                <w:rFonts w:ascii="宋体" w:hAnsi="宋体" w:cs="宋体" w:eastAsia="宋体" w:hint="default"/>
                <w:sz w:val="18"/>
                <w:szCs w:val="18"/>
              </w:rPr>
              <w:t>焦</w:t>
            </w: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pacing w:val="-5"/>
                <w:sz w:val="18"/>
                <w:szCs w:val="18"/>
              </w:rPr>
              <w:t>行为进行约束；</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、承诺不动用公司资产从</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936"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10"/>
              <w:jc w:val="both"/>
              <w:rPr>
                <w:rFonts w:ascii="宋体" w:hAnsi="宋体" w:cs="宋体" w:eastAsia="宋体" w:hint="default"/>
                <w:sz w:val="18"/>
                <w:szCs w:val="18"/>
              </w:rPr>
            </w:pPr>
            <w:r>
              <w:rPr>
                <w:rFonts w:ascii="宋体" w:hAnsi="宋体" w:cs="宋体" w:eastAsia="宋体" w:hint="default"/>
                <w:spacing w:val="2"/>
                <w:sz w:val="18"/>
                <w:szCs w:val="18"/>
              </w:rPr>
              <w:t>桂东</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李颖江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刘瑞 </w:t>
            </w:r>
            <w:r>
              <w:rPr>
                <w:rFonts w:ascii="宋体" w:hAnsi="宋体" w:cs="宋体" w:eastAsia="宋体" w:hint="default"/>
                <w:spacing w:val="9"/>
                <w:sz w:val="18"/>
                <w:szCs w:val="18"/>
              </w:rPr>
              <w:t>玲</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2"/>
                <w:sz w:val="18"/>
                <w:szCs w:val="18"/>
              </w:rPr>
              <w:t>刘威</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3"/>
                <w:sz w:val="18"/>
                <w:szCs w:val="18"/>
              </w:rPr>
              <w:t>尚剑红</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14"/>
                <w:sz w:val="18"/>
                <w:szCs w:val="18"/>
              </w:rPr>
              <w:t>肖锋</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徐克</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张潇</w:t>
            </w:r>
            <w:r>
              <w:rPr>
                <w:rFonts w:ascii="宋体" w:hAnsi="宋体" w:cs="宋体" w:eastAsia="宋体" w:hint="default"/>
                <w:spacing w:val="-62"/>
                <w:sz w:val="18"/>
                <w:szCs w:val="18"/>
              </w:rPr>
              <w:t> </w:t>
            </w:r>
            <w:r>
              <w:rPr>
                <w:rFonts w:ascii="宋体" w:hAnsi="宋体" w:cs="宋体" w:eastAsia="宋体" w:hint="default"/>
                <w:sz w:val="18"/>
                <w:szCs w:val="18"/>
              </w:rPr>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3305" w:type="dxa"/>
            <w:tcBorders>
              <w:top w:val="nil" w:sz="6" w:space="0" w:color="auto"/>
              <w:left w:val="single" w:sz="4" w:space="0" w:color="000000"/>
              <w:bottom w:val="nil" w:sz="6" w:space="0" w:color="auto"/>
              <w:right w:val="single" w:sz="10" w:space="0" w:color="FFFFFF"/>
            </w:tcBorders>
          </w:tcPr>
          <w:p>
            <w:pPr>
              <w:pStyle w:val="TableParagraph"/>
              <w:spacing w:line="309" w:lineRule="auto" w:before="5"/>
              <w:ind w:left="23" w:right="21" w:hanging="85"/>
              <w:jc w:val="center"/>
              <w:rPr>
                <w:rFonts w:ascii="宋体" w:hAnsi="宋体" w:cs="宋体" w:eastAsia="宋体" w:hint="default"/>
                <w:sz w:val="18"/>
                <w:szCs w:val="18"/>
              </w:rPr>
            </w:pPr>
            <w:r>
              <w:rPr>
                <w:rFonts w:ascii="宋体" w:hAnsi="宋体" w:cs="宋体" w:eastAsia="宋体" w:hint="default"/>
                <w:spacing w:val="-10"/>
                <w:sz w:val="18"/>
                <w:szCs w:val="18"/>
              </w:rPr>
              <w:t>事与其履行职责无关的投资、消费活动；</w:t>
            </w:r>
            <w:r>
              <w:rPr>
                <w:rFonts w:ascii="Times New Roman" w:hAnsi="Times New Roman" w:cs="Times New Roman" w:eastAsia="Times New Roman" w:hint="default"/>
                <w:spacing w:val="-10"/>
                <w:sz w:val="18"/>
                <w:szCs w:val="18"/>
              </w:rPr>
              <w:t>4</w:t>
            </w:r>
            <w:r>
              <w:rPr>
                <w:rFonts w:ascii="Times New Roman" w:hAnsi="Times New Roman" w:cs="Times New Roman" w:eastAsia="Times New Roman" w:hint="default"/>
                <w:sz w:val="18"/>
                <w:szCs w:val="18"/>
              </w:rPr>
              <w:t> </w:t>
            </w:r>
            <w:r>
              <w:rPr>
                <w:rFonts w:ascii="宋体" w:hAnsi="宋体" w:cs="宋体" w:eastAsia="宋体" w:hint="default"/>
                <w:sz w:val="18"/>
                <w:szCs w:val="18"/>
              </w:rPr>
              <w:t>承诺由董事会或薪酬委员会制定的薪酬制 度与公司填补回报措施的执行情况相挂</w:t>
            </w:r>
          </w:p>
        </w:tc>
        <w:tc>
          <w:tcPr>
            <w:tcW w:w="718" w:type="dxa"/>
            <w:tcBorders>
              <w:top w:val="nil" w:sz="6" w:space="0" w:color="auto"/>
              <w:left w:val="single" w:sz="10" w:space="0" w:color="FFFFFF"/>
              <w:bottom w:val="nil" w:sz="6" w:space="0" w:color="auto"/>
              <w:right w:val="single" w:sz="4" w:space="0" w:color="000000"/>
            </w:tcBorders>
          </w:tcPr>
          <w:p>
            <w:pPr>
              <w:pStyle w:val="TableParagraph"/>
              <w:spacing w:line="240" w:lineRule="auto" w:before="5"/>
              <w:ind w:left="-130" w:right="5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63" w:right="82" w:hanging="180"/>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649" w:type="dxa"/>
            <w:tcBorders>
              <w:top w:val="nil" w:sz="6" w:space="0" w:color="auto"/>
              <w:left w:val="single" w:sz="4" w:space="0" w:color="000000"/>
              <w:bottom w:val="nil" w:sz="6" w:space="0" w:color="auto"/>
              <w:right w:val="single" w:sz="12" w:space="0" w:color="000000"/>
            </w:tcBorders>
          </w:tcPr>
          <w:p>
            <w:pPr>
              <w:pStyle w:val="TableParagraph"/>
              <w:spacing w:line="316" w:lineRule="auto" w:before="5"/>
              <w:ind w:left="24" w:right="12"/>
              <w:jc w:val="center"/>
              <w:rPr>
                <w:rFonts w:ascii="宋体" w:hAnsi="宋体" w:cs="宋体" w:eastAsia="宋体" w:hint="default"/>
                <w:sz w:val="18"/>
                <w:szCs w:val="18"/>
              </w:rPr>
            </w:pPr>
            <w:r>
              <w:rPr>
                <w:rFonts w:ascii="宋体" w:hAnsi="宋体" w:cs="宋体" w:eastAsia="宋体" w:hint="default"/>
                <w:spacing w:val="-4"/>
                <w:sz w:val="18"/>
                <w:szCs w:val="18"/>
              </w:rPr>
              <w:t>截至报告期末，上述</w:t>
            </w:r>
            <w:r>
              <w:rPr>
                <w:rFonts w:ascii="宋体" w:hAnsi="宋体" w:cs="宋体" w:eastAsia="宋体" w:hint="default"/>
                <w:sz w:val="18"/>
                <w:szCs w:val="18"/>
              </w:rPr>
              <w:t> 承诺人均遵守了所 做的承诺。</w:t>
            </w: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君</w:t>
            </w:r>
            <w:r>
              <w:rPr>
                <w:rFonts w:ascii="Times New Roman" w:hAnsi="Times New Roman" w:cs="Times New Roman" w:eastAsia="Times New Roman" w:hint="default"/>
                <w:sz w:val="18"/>
                <w:szCs w:val="18"/>
              </w:rPr>
              <w:t>;</w:t>
            </w:r>
            <w:r>
              <w:rPr>
                <w:rFonts w:ascii="宋体" w:hAnsi="宋体" w:cs="宋体" w:eastAsia="宋体" w:hint="default"/>
                <w:sz w:val="18"/>
                <w:szCs w:val="18"/>
              </w:rPr>
              <w:t>张小水</w:t>
            </w:r>
            <w:r>
              <w:rPr>
                <w:rFonts w:ascii="Times New Roman" w:hAnsi="Times New Roman" w:cs="Times New Roman" w:eastAsia="Times New Roman" w:hint="default"/>
                <w:sz w:val="18"/>
                <w:szCs w:val="18"/>
              </w:rPr>
              <w:t>;</w:t>
            </w:r>
            <w:r>
              <w:rPr>
                <w:rFonts w:ascii="宋体" w:hAnsi="宋体" w:cs="宋体" w:eastAsia="宋体" w:hint="default"/>
                <w:sz w:val="18"/>
                <w:szCs w:val="18"/>
              </w:rPr>
              <w:t>赵向阳</w:t>
            </w: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pacing w:val="-5"/>
                <w:sz w:val="18"/>
                <w:szCs w:val="18"/>
              </w:rPr>
              <w:t>钩；</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、若公司后续推出股权激励政策，承</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07"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诺拟公布的公司股权激励的行权条件与公</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司填补回报措施的执行情况相挂钩。若违</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12"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反上述承诺给公司或者股东造成损失的，</w:t>
            </w:r>
          </w:p>
        </w:tc>
        <w:tc>
          <w:tcPr>
            <w:tcW w:w="718" w:type="dxa"/>
            <w:tcBorders>
              <w:top w:val="nil" w:sz="6" w:space="0" w:color="auto"/>
              <w:left w:val="single" w:sz="4" w:space="0" w:color="000000"/>
              <w:bottom w:val="nil" w:sz="6" w:space="0" w:color="auto"/>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
        </w:tc>
        <w:tc>
          <w:tcPr>
            <w:tcW w:w="1649" w:type="dxa"/>
            <w:tcBorders>
              <w:top w:val="nil" w:sz="6" w:space="0" w:color="auto"/>
              <w:left w:val="single" w:sz="4" w:space="0" w:color="000000"/>
              <w:bottom w:val="nil" w:sz="6" w:space="0" w:color="auto"/>
              <w:right w:val="single" w:sz="12" w:space="0" w:color="000000"/>
            </w:tcBorders>
          </w:tcPr>
          <w:p>
            <w:pPr/>
          </w:p>
        </w:tc>
      </w:tr>
      <w:tr>
        <w:trPr>
          <w:trHeight w:val="360"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single" w:sz="4" w:space="0" w:color="000000"/>
              <w:right w:val="single" w:sz="4" w:space="0" w:color="000000"/>
            </w:tcBorders>
          </w:tcPr>
          <w:p>
            <w:pPr/>
          </w:p>
        </w:tc>
        <w:tc>
          <w:tcPr>
            <w:tcW w:w="865" w:type="dxa"/>
            <w:tcBorders>
              <w:top w:val="nil" w:sz="6" w:space="0" w:color="auto"/>
              <w:left w:val="single" w:sz="4" w:space="0" w:color="000000"/>
              <w:bottom w:val="single" w:sz="4" w:space="0" w:color="000000"/>
              <w:right w:val="single" w:sz="4" w:space="0" w:color="000000"/>
            </w:tcBorders>
          </w:tcPr>
          <w:p>
            <w:pPr/>
          </w:p>
        </w:tc>
        <w:tc>
          <w:tcPr>
            <w:tcW w:w="33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本人将依法承担相应责任。</w:t>
            </w:r>
          </w:p>
        </w:tc>
        <w:tc>
          <w:tcPr>
            <w:tcW w:w="71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1649" w:type="dxa"/>
            <w:tcBorders>
              <w:top w:val="nil" w:sz="6" w:space="0" w:color="auto"/>
              <w:left w:val="single" w:sz="4" w:space="0" w:color="000000"/>
              <w:bottom w:val="single" w:sz="4" w:space="0" w:color="000000"/>
              <w:right w:val="single" w:sz="12" w:space="0" w:color="000000"/>
            </w:tcBorders>
          </w:tcPr>
          <w:p>
            <w:pPr/>
          </w:p>
        </w:tc>
      </w:tr>
      <w:tr>
        <w:trPr>
          <w:trHeight w:val="1961" w:hRule="exact"/>
        </w:trPr>
        <w:tc>
          <w:tcPr>
            <w:tcW w:w="1007" w:type="dxa"/>
            <w:vMerge/>
            <w:tcBorders>
              <w:left w:val="single" w:sz="12" w:space="0" w:color="000000"/>
              <w:right w:val="single" w:sz="4" w:space="0" w:color="000000"/>
            </w:tcBorders>
            <w:shd w:val="clear" w:color="auto" w:fill="D2D2D2"/>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钟超</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305"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1" w:firstLine="2"/>
              <w:jc w:val="center"/>
              <w:rPr>
                <w:rFonts w:ascii="宋体" w:hAnsi="宋体" w:cs="宋体" w:eastAsia="宋体" w:hint="default"/>
                <w:sz w:val="18"/>
                <w:szCs w:val="18"/>
              </w:rPr>
            </w:pPr>
            <w:r>
              <w:rPr>
                <w:rFonts w:ascii="宋体" w:hAnsi="宋体" w:cs="宋体" w:eastAsia="宋体" w:hint="default"/>
                <w:sz w:val="18"/>
                <w:szCs w:val="18"/>
              </w:rPr>
              <w:t>上市前，公司实际控制人任红军、钟超承 </w:t>
            </w:r>
            <w:r>
              <w:rPr>
                <w:rFonts w:ascii="宋体" w:hAnsi="宋体" w:cs="宋体" w:eastAsia="宋体" w:hint="default"/>
                <w:spacing w:val="-5"/>
                <w:sz w:val="18"/>
                <w:szCs w:val="18"/>
              </w:rPr>
              <w:t>诺，承诺将尽量避免与公司进行关联交易</w:t>
            </w:r>
            <w:r>
              <w:rPr>
                <w:rFonts w:ascii="宋体" w:hAnsi="宋体" w:cs="宋体" w:eastAsia="宋体" w:hint="default"/>
                <w:sz w:val="18"/>
                <w:szCs w:val="18"/>
              </w:rPr>
              <w:t> 对于因生产经营需要而发生的关联交易， 将严格按照公司章程及相关法律法规进行 操作。</w:t>
            </w:r>
          </w:p>
        </w:tc>
        <w:tc>
          <w:tcPr>
            <w:tcW w:w="71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30" w:right="5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right="5"/>
              <w:jc w:val="center"/>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3" w:right="82" w:hanging="180"/>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6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2"/>
              <w:jc w:val="center"/>
              <w:rPr>
                <w:rFonts w:ascii="宋体" w:hAnsi="宋体" w:cs="宋体" w:eastAsia="宋体" w:hint="default"/>
                <w:sz w:val="18"/>
                <w:szCs w:val="18"/>
              </w:rPr>
            </w:pPr>
            <w:r>
              <w:rPr>
                <w:rFonts w:ascii="宋体" w:hAnsi="宋体" w:cs="宋体" w:eastAsia="宋体" w:hint="default"/>
                <w:spacing w:val="-4"/>
                <w:sz w:val="18"/>
                <w:szCs w:val="18"/>
              </w:rPr>
              <w:t>截至报告期末，上述</w:t>
            </w:r>
            <w:r>
              <w:rPr>
                <w:rFonts w:ascii="宋体" w:hAnsi="宋体" w:cs="宋体" w:eastAsia="宋体" w:hint="default"/>
                <w:sz w:val="18"/>
                <w:szCs w:val="18"/>
              </w:rPr>
              <w:t> 承诺人均遵守了所 做的承诺。</w:t>
            </w:r>
          </w:p>
        </w:tc>
      </w:tr>
      <w:tr>
        <w:trPr>
          <w:trHeight w:val="355" w:hRule="exact"/>
        </w:trPr>
        <w:tc>
          <w:tcPr>
            <w:tcW w:w="1007" w:type="dxa"/>
            <w:vMerge/>
            <w:tcBorders>
              <w:left w:val="single" w:sz="12" w:space="0" w:color="000000"/>
              <w:right w:val="single" w:sz="4" w:space="0" w:color="000000"/>
            </w:tcBorders>
            <w:shd w:val="clear" w:color="auto" w:fill="D2D2D2"/>
          </w:tcPr>
          <w:p>
            <w:pPr/>
          </w:p>
        </w:tc>
        <w:tc>
          <w:tcPr>
            <w:tcW w:w="1435" w:type="dxa"/>
            <w:tcBorders>
              <w:top w:val="single" w:sz="4" w:space="0" w:color="000000"/>
              <w:left w:val="single" w:sz="4" w:space="0" w:color="000000"/>
              <w:bottom w:val="nil" w:sz="6" w:space="0" w:color="auto"/>
              <w:right w:val="single" w:sz="4" w:space="0" w:color="000000"/>
            </w:tcBorders>
          </w:tcPr>
          <w:p>
            <w:pPr/>
          </w:p>
        </w:tc>
        <w:tc>
          <w:tcPr>
            <w:tcW w:w="8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关于同业</w:t>
            </w:r>
          </w:p>
        </w:tc>
        <w:tc>
          <w:tcPr>
            <w:tcW w:w="3305"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single" w:sz="12" w:space="0" w:color="000000"/>
            </w:tcBorders>
          </w:tcPr>
          <w:p>
            <w:pPr/>
          </w:p>
        </w:tc>
      </w:tr>
      <w:tr>
        <w:trPr>
          <w:trHeight w:val="1248"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23" w:right="19"/>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刘瑞玲</w:t>
            </w:r>
            <w:r>
              <w:rPr>
                <w:rFonts w:ascii="Times New Roman" w:hAnsi="Times New Roman" w:cs="Times New Roman" w:eastAsia="Times New Roman" w:hint="default"/>
                <w:sz w:val="18"/>
                <w:szCs w:val="18"/>
              </w:rPr>
              <w:t>;</w:t>
            </w:r>
            <w:r>
              <w:rPr>
                <w:rFonts w:ascii="宋体" w:hAnsi="宋体" w:cs="宋体" w:eastAsia="宋体" w:hint="default"/>
                <w:sz w:val="18"/>
                <w:szCs w:val="18"/>
              </w:rPr>
              <w:t>张</w:t>
            </w:r>
            <w:r>
              <w:rPr>
                <w:rFonts w:ascii="宋体" w:hAnsi="宋体" w:cs="宋体" w:eastAsia="宋体" w:hint="default"/>
                <w:spacing w:val="-75"/>
                <w:sz w:val="18"/>
                <w:szCs w:val="18"/>
              </w:rPr>
              <w:t> </w:t>
            </w:r>
            <w:r>
              <w:rPr>
                <w:rFonts w:ascii="宋体" w:hAnsi="宋体" w:cs="宋体" w:eastAsia="宋体" w:hint="default"/>
                <w:sz w:val="18"/>
                <w:szCs w:val="18"/>
              </w:rPr>
              <w:t>小水</w:t>
            </w:r>
            <w:r>
              <w:rPr>
                <w:rFonts w:ascii="Times New Roman" w:hAnsi="Times New Roman" w:cs="Times New Roman" w:eastAsia="Times New Roman" w:hint="default"/>
                <w:sz w:val="18"/>
                <w:szCs w:val="18"/>
              </w:rPr>
              <w:t>;</w:t>
            </w:r>
            <w:r>
              <w:rPr>
                <w:rFonts w:ascii="宋体" w:hAnsi="宋体" w:cs="宋体" w:eastAsia="宋体" w:hint="default"/>
                <w:sz w:val="18"/>
                <w:szCs w:val="18"/>
              </w:rPr>
              <w:t>焦桂东</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67" w:right="65"/>
              <w:jc w:val="both"/>
              <w:rPr>
                <w:rFonts w:ascii="宋体" w:hAnsi="宋体" w:cs="宋体" w:eastAsia="宋体" w:hint="default"/>
                <w:sz w:val="18"/>
                <w:szCs w:val="18"/>
              </w:rPr>
            </w:pPr>
            <w:r>
              <w:rPr>
                <w:rFonts w:ascii="宋体" w:hAnsi="宋体" w:cs="宋体" w:eastAsia="宋体" w:hint="default"/>
                <w:sz w:val="18"/>
                <w:szCs w:val="18"/>
              </w:rPr>
              <w:t>竞争、关 联交易、 资金占用 方面的承</w:t>
            </w: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6" w:right="27"/>
              <w:jc w:val="center"/>
              <w:rPr>
                <w:rFonts w:ascii="宋体" w:hAnsi="宋体" w:cs="宋体" w:eastAsia="宋体" w:hint="default"/>
                <w:sz w:val="18"/>
                <w:szCs w:val="18"/>
              </w:rPr>
            </w:pPr>
            <w:r>
              <w:rPr>
                <w:rFonts w:ascii="宋体" w:hAnsi="宋体" w:cs="宋体" w:eastAsia="宋体" w:hint="default"/>
                <w:sz w:val="18"/>
                <w:szCs w:val="18"/>
              </w:rPr>
              <w:t>上市前，公司董事承诺涉及关联交易事项 时，将严格按照公司章程及相关法律法规 规定，严格履行董事的职责。</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3" w:right="82" w:hanging="180"/>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649" w:type="dxa"/>
            <w:tcBorders>
              <w:top w:val="nil" w:sz="6" w:space="0" w:color="auto"/>
              <w:left w:val="single" w:sz="4" w:space="0" w:color="000000"/>
              <w:bottom w:val="nil" w:sz="6" w:space="0" w:color="auto"/>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12"/>
              <w:jc w:val="center"/>
              <w:rPr>
                <w:rFonts w:ascii="宋体" w:hAnsi="宋体" w:cs="宋体" w:eastAsia="宋体" w:hint="default"/>
                <w:sz w:val="18"/>
                <w:szCs w:val="18"/>
              </w:rPr>
            </w:pPr>
            <w:r>
              <w:rPr>
                <w:rFonts w:ascii="宋体" w:hAnsi="宋体" w:cs="宋体" w:eastAsia="宋体" w:hint="default"/>
                <w:spacing w:val="-4"/>
                <w:sz w:val="18"/>
                <w:szCs w:val="18"/>
              </w:rPr>
              <w:t>截至报告期末，上述</w:t>
            </w:r>
            <w:r>
              <w:rPr>
                <w:rFonts w:ascii="宋体" w:hAnsi="宋体" w:cs="宋体" w:eastAsia="宋体" w:hint="default"/>
                <w:sz w:val="18"/>
                <w:szCs w:val="18"/>
              </w:rPr>
              <w:t> 承诺人均遵守了所 做的承诺。</w:t>
            </w:r>
          </w:p>
        </w:tc>
      </w:tr>
      <w:tr>
        <w:trPr>
          <w:trHeight w:val="360"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single" w:sz="4" w:space="0" w:color="000000"/>
              <w:right w:val="single" w:sz="4" w:space="0" w:color="000000"/>
            </w:tcBorders>
          </w:tcPr>
          <w:p>
            <w:pPr/>
          </w:p>
        </w:tc>
        <w:tc>
          <w:tcPr>
            <w:tcW w:w="8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诺</w:t>
            </w:r>
          </w:p>
        </w:tc>
        <w:tc>
          <w:tcPr>
            <w:tcW w:w="3305"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1649" w:type="dxa"/>
            <w:tcBorders>
              <w:top w:val="nil" w:sz="6" w:space="0" w:color="auto"/>
              <w:left w:val="single" w:sz="4" w:space="0" w:color="000000"/>
              <w:bottom w:val="single" w:sz="4" w:space="0" w:color="000000"/>
              <w:right w:val="single" w:sz="12" w:space="0" w:color="000000"/>
            </w:tcBorders>
          </w:tcPr>
          <w:p>
            <w:pPr/>
          </w:p>
        </w:tc>
      </w:tr>
      <w:tr>
        <w:trPr>
          <w:trHeight w:val="2273" w:hRule="exact"/>
        </w:trPr>
        <w:tc>
          <w:tcPr>
            <w:tcW w:w="1007" w:type="dxa"/>
            <w:vMerge/>
            <w:tcBorders>
              <w:left w:val="single" w:sz="12" w:space="0" w:color="000000"/>
              <w:right w:val="single" w:sz="4" w:space="0" w:color="000000"/>
            </w:tcBorders>
            <w:shd w:val="clear" w:color="auto" w:fill="D2D2D2"/>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0" w:lineRule="auto"/>
              <w:ind w:left="23" w:right="17"/>
              <w:jc w:val="both"/>
              <w:rPr>
                <w:rFonts w:ascii="宋体" w:hAnsi="宋体" w:cs="宋体" w:eastAsia="宋体" w:hint="default"/>
                <w:sz w:val="18"/>
                <w:szCs w:val="18"/>
              </w:rPr>
            </w:pPr>
            <w:r>
              <w:rPr>
                <w:rFonts w:ascii="宋体" w:hAnsi="宋体" w:cs="宋体" w:eastAsia="宋体" w:hint="default"/>
                <w:sz w:val="18"/>
                <w:szCs w:val="18"/>
              </w:rPr>
              <w:t>刘瑞玲</w:t>
            </w:r>
            <w:r>
              <w:rPr>
                <w:rFonts w:ascii="Times New Roman" w:hAnsi="Times New Roman" w:cs="Times New Roman" w:eastAsia="Times New Roman" w:hint="default"/>
                <w:sz w:val="18"/>
                <w:szCs w:val="18"/>
              </w:rPr>
              <w:t>;</w:t>
            </w:r>
            <w:r>
              <w:rPr>
                <w:rFonts w:ascii="宋体" w:hAnsi="宋体" w:cs="宋体" w:eastAsia="宋体" w:hint="default"/>
                <w:sz w:val="18"/>
                <w:szCs w:val="18"/>
              </w:rPr>
              <w:t>张小水</w:t>
            </w:r>
            <w:r>
              <w:rPr>
                <w:rFonts w:ascii="Times New Roman" w:hAnsi="Times New Roman" w:cs="Times New Roman" w:eastAsia="Times New Roman" w:hint="default"/>
                <w:sz w:val="18"/>
                <w:szCs w:val="18"/>
              </w:rPr>
              <w:t>;</w:t>
            </w:r>
            <w:r>
              <w:rPr>
                <w:rFonts w:ascii="宋体" w:hAnsi="宋体" w:cs="宋体" w:eastAsia="宋体" w:hint="default"/>
                <w:sz w:val="18"/>
                <w:szCs w:val="18"/>
              </w:rPr>
              <w:t>焦</w:t>
            </w:r>
            <w:r>
              <w:rPr>
                <w:rFonts w:ascii="宋体" w:hAnsi="宋体" w:cs="宋体" w:eastAsia="宋体" w:hint="default"/>
                <w:spacing w:val="-75"/>
                <w:sz w:val="18"/>
                <w:szCs w:val="18"/>
              </w:rPr>
              <w:t> </w:t>
            </w:r>
            <w:r>
              <w:rPr>
                <w:rFonts w:ascii="宋体" w:hAnsi="宋体" w:cs="宋体" w:eastAsia="宋体" w:hint="default"/>
                <w:spacing w:val="2"/>
                <w:sz w:val="18"/>
                <w:szCs w:val="18"/>
              </w:rPr>
              <w:t>桂东</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张艳丽</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尚中 </w:t>
            </w:r>
            <w:r>
              <w:rPr>
                <w:rFonts w:ascii="宋体" w:hAnsi="宋体" w:cs="宋体" w:eastAsia="宋体" w:hint="default"/>
                <w:sz w:val="18"/>
                <w:szCs w:val="18"/>
              </w:rPr>
              <w:t>锋</w:t>
            </w:r>
            <w:r>
              <w:rPr>
                <w:rFonts w:ascii="Times New Roman" w:hAnsi="Times New Roman" w:cs="Times New Roman" w:eastAsia="Times New Roman" w:hint="default"/>
                <w:sz w:val="18"/>
                <w:szCs w:val="18"/>
              </w:rPr>
              <w:t>;</w:t>
            </w:r>
            <w:r>
              <w:rPr>
                <w:rFonts w:ascii="宋体" w:hAnsi="宋体" w:cs="宋体" w:eastAsia="宋体" w:hint="default"/>
                <w:sz w:val="18"/>
                <w:szCs w:val="18"/>
              </w:rPr>
              <w:t>任红军</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center"/>
              <w:rPr>
                <w:rFonts w:ascii="宋体" w:hAnsi="宋体" w:cs="宋体" w:eastAsia="宋体" w:hint="default"/>
                <w:sz w:val="18"/>
                <w:szCs w:val="18"/>
              </w:rPr>
            </w:pPr>
            <w:r>
              <w:rPr>
                <w:rFonts w:ascii="宋体" w:hAnsi="宋体" w:cs="宋体" w:eastAsia="宋体" w:hint="default"/>
                <w:sz w:val="18"/>
                <w:szCs w:val="18"/>
              </w:rPr>
              <w:t>上市前，公司董事、监事、高管承诺</w:t>
            </w:r>
            <w:r>
              <w:rPr>
                <w:rFonts w:ascii="Times New Roman" w:hAnsi="Times New Roman" w:cs="Times New Roman" w:eastAsia="Times New Roman" w:hint="default"/>
                <w:sz w:val="18"/>
                <w:szCs w:val="18"/>
              </w:rPr>
              <w:t>:1</w:t>
            </w:r>
            <w:r>
              <w:rPr>
                <w:rFonts w:ascii="宋体" w:hAnsi="宋体" w:cs="宋体" w:eastAsia="宋体" w:hint="default"/>
                <w:sz w:val="18"/>
                <w:szCs w:val="18"/>
              </w:rPr>
              <w:t>、 不存在自营或为他人经营与公司同类业务 </w:t>
            </w:r>
            <w:r>
              <w:rPr>
                <w:rFonts w:ascii="宋体" w:hAnsi="宋体" w:cs="宋体" w:eastAsia="宋体" w:hint="default"/>
                <w:spacing w:val="-5"/>
                <w:sz w:val="18"/>
                <w:szCs w:val="18"/>
              </w:rPr>
              <w:t>的情况；</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、在担任公司职务期间，不在任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何地域以任何形式从事可能与公司构成同 业竞争关系的活动，同时督促其本人的配 偶、成年子女及其配偶等主要亲属遵守上 述承诺的约束。</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3" w:right="82" w:hanging="180"/>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6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2"/>
              <w:jc w:val="center"/>
              <w:rPr>
                <w:rFonts w:ascii="宋体" w:hAnsi="宋体" w:cs="宋体" w:eastAsia="宋体" w:hint="default"/>
                <w:sz w:val="18"/>
                <w:szCs w:val="18"/>
              </w:rPr>
            </w:pPr>
            <w:r>
              <w:rPr>
                <w:rFonts w:ascii="宋体" w:hAnsi="宋体" w:cs="宋体" w:eastAsia="宋体" w:hint="default"/>
                <w:spacing w:val="-4"/>
                <w:sz w:val="18"/>
                <w:szCs w:val="18"/>
              </w:rPr>
              <w:t>截至报告期末，上述</w:t>
            </w:r>
            <w:r>
              <w:rPr>
                <w:rFonts w:ascii="宋体" w:hAnsi="宋体" w:cs="宋体" w:eastAsia="宋体" w:hint="default"/>
                <w:sz w:val="18"/>
                <w:szCs w:val="18"/>
              </w:rPr>
              <w:t> 承诺人均遵守了所 做的承诺。</w:t>
            </w:r>
          </w:p>
        </w:tc>
      </w:tr>
      <w:tr>
        <w:trPr>
          <w:trHeight w:val="360" w:hRule="exact"/>
        </w:trPr>
        <w:tc>
          <w:tcPr>
            <w:tcW w:w="1007" w:type="dxa"/>
            <w:vMerge/>
            <w:tcBorders>
              <w:left w:val="single" w:sz="12" w:space="0" w:color="000000"/>
              <w:right w:val="single" w:sz="4" w:space="0" w:color="000000"/>
            </w:tcBorders>
            <w:shd w:val="clear" w:color="auto" w:fill="D2D2D2"/>
          </w:tcPr>
          <w:p>
            <w:pPr/>
          </w:p>
        </w:tc>
        <w:tc>
          <w:tcPr>
            <w:tcW w:w="1435" w:type="dxa"/>
            <w:tcBorders>
              <w:top w:val="single" w:sz="4" w:space="0" w:color="000000"/>
              <w:left w:val="single" w:sz="4" w:space="0" w:color="000000"/>
              <w:bottom w:val="nil" w:sz="6" w:space="0" w:color="auto"/>
              <w:right w:val="single" w:sz="4" w:space="0" w:color="000000"/>
            </w:tcBorders>
          </w:tcPr>
          <w:p>
            <w:pPr/>
          </w:p>
        </w:tc>
        <w:tc>
          <w:tcPr>
            <w:tcW w:w="865" w:type="dxa"/>
            <w:tcBorders>
              <w:top w:val="single" w:sz="4" w:space="0" w:color="000000"/>
              <w:left w:val="single" w:sz="4" w:space="0" w:color="000000"/>
              <w:bottom w:val="nil" w:sz="6" w:space="0" w:color="auto"/>
              <w:right w:val="single" w:sz="4" w:space="0" w:color="000000"/>
            </w:tcBorders>
          </w:tcPr>
          <w:p>
            <w:pPr/>
          </w:p>
        </w:tc>
        <w:tc>
          <w:tcPr>
            <w:tcW w:w="33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上市前，公司实际控制人及持股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p>
        </w:tc>
        <w:tc>
          <w:tcPr>
            <w:tcW w:w="718"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1649" w:type="dxa"/>
            <w:tcBorders>
              <w:top w:val="single" w:sz="4" w:space="0" w:color="000000"/>
              <w:left w:val="single" w:sz="4" w:space="0" w:color="000000"/>
              <w:bottom w:val="nil" w:sz="6" w:space="0" w:color="auto"/>
              <w:right w:val="single" w:sz="12" w:space="0" w:color="000000"/>
            </w:tcBorders>
          </w:tcPr>
          <w:p>
            <w:pPr/>
          </w:p>
        </w:tc>
      </w:tr>
      <w:tr>
        <w:trPr>
          <w:trHeight w:val="2180" w:hRule="exact"/>
        </w:trPr>
        <w:tc>
          <w:tcPr>
            <w:tcW w:w="1007" w:type="dxa"/>
            <w:vMerge/>
            <w:tcBorders>
              <w:left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任红军</w:t>
            </w:r>
            <w:r>
              <w:rPr>
                <w:rFonts w:ascii="Times New Roman" w:hAnsi="Times New Roman" w:cs="Times New Roman" w:eastAsia="Times New Roman" w:hint="default"/>
                <w:sz w:val="18"/>
                <w:szCs w:val="18"/>
              </w:rPr>
              <w:t>;</w:t>
            </w:r>
            <w:r>
              <w:rPr>
                <w:rFonts w:ascii="宋体" w:hAnsi="宋体" w:cs="宋体" w:eastAsia="宋体" w:hint="default"/>
                <w:sz w:val="18"/>
                <w:szCs w:val="18"/>
              </w:rPr>
              <w:t>钟超</w:t>
            </w: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305"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17"/>
              <w:jc w:val="center"/>
              <w:rPr>
                <w:rFonts w:ascii="宋体" w:hAnsi="宋体" w:cs="宋体" w:eastAsia="宋体" w:hint="default"/>
                <w:sz w:val="18"/>
                <w:szCs w:val="18"/>
              </w:rPr>
            </w:pPr>
            <w:r>
              <w:rPr>
                <w:rFonts w:ascii="宋体" w:hAnsi="宋体" w:cs="宋体" w:eastAsia="宋体" w:hint="default"/>
                <w:sz w:val="18"/>
                <w:szCs w:val="18"/>
              </w:rPr>
              <w:t>股东任红军、钟超承诺：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、在其持有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以上股份期间，不在任何地域以任何形式 从事可能与公司构成同业竞争关系的活 </w:t>
            </w:r>
            <w:r>
              <w:rPr>
                <w:rFonts w:ascii="宋体" w:hAnsi="宋体" w:cs="宋体" w:eastAsia="宋体" w:hint="default"/>
                <w:spacing w:val="-5"/>
                <w:sz w:val="18"/>
                <w:szCs w:val="18"/>
              </w:rPr>
              <w:t>动；</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、从第三方获得的商业机会如果属于</w:t>
            </w:r>
            <w:r>
              <w:rPr>
                <w:rFonts w:ascii="宋体" w:hAnsi="宋体" w:cs="宋体" w:eastAsia="宋体" w:hint="default"/>
                <w:sz w:val="18"/>
                <w:szCs w:val="18"/>
              </w:rPr>
              <w:t> 公司主要业务范围之内的，将告知公司并 </w:t>
            </w:r>
            <w:r>
              <w:rPr>
                <w:rFonts w:ascii="宋体" w:hAnsi="宋体" w:cs="宋体" w:eastAsia="宋体" w:hint="default"/>
                <w:spacing w:val="-5"/>
                <w:sz w:val="18"/>
                <w:szCs w:val="18"/>
              </w:rPr>
              <w:t>尽可能协助公司取得该机会；</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、不以任何</w:t>
            </w:r>
            <w:r>
              <w:rPr>
                <w:rFonts w:ascii="宋体" w:hAnsi="宋体" w:cs="宋体" w:eastAsia="宋体" w:hint="default"/>
                <w:sz w:val="18"/>
                <w:szCs w:val="18"/>
              </w:rPr>
              <w:t> 形式从事可能影响公司经营和发展的业务</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63" w:right="82" w:hanging="180"/>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1649" w:type="dxa"/>
            <w:tcBorders>
              <w:top w:val="nil" w:sz="6" w:space="0" w:color="auto"/>
              <w:left w:val="single" w:sz="4" w:space="0" w:color="000000"/>
              <w:bottom w:val="nil" w:sz="6" w:space="0" w:color="auto"/>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4" w:right="12"/>
              <w:jc w:val="center"/>
              <w:rPr>
                <w:rFonts w:ascii="宋体" w:hAnsi="宋体" w:cs="宋体" w:eastAsia="宋体" w:hint="default"/>
                <w:sz w:val="18"/>
                <w:szCs w:val="18"/>
              </w:rPr>
            </w:pPr>
            <w:r>
              <w:rPr>
                <w:rFonts w:ascii="宋体" w:hAnsi="宋体" w:cs="宋体" w:eastAsia="宋体" w:hint="default"/>
                <w:spacing w:val="-4"/>
                <w:sz w:val="18"/>
                <w:szCs w:val="18"/>
              </w:rPr>
              <w:t>截至报告期末，上述</w:t>
            </w:r>
            <w:r>
              <w:rPr>
                <w:rFonts w:ascii="宋体" w:hAnsi="宋体" w:cs="宋体" w:eastAsia="宋体" w:hint="default"/>
                <w:sz w:val="18"/>
                <w:szCs w:val="18"/>
              </w:rPr>
              <w:t> 承诺人均遵守了所 做的承诺。</w:t>
            </w:r>
          </w:p>
        </w:tc>
      </w:tr>
      <w:tr>
        <w:trPr>
          <w:trHeight w:val="367" w:hRule="exact"/>
        </w:trPr>
        <w:tc>
          <w:tcPr>
            <w:tcW w:w="1007" w:type="dxa"/>
            <w:vMerge/>
            <w:tcBorders>
              <w:left w:val="single" w:sz="12" w:space="0" w:color="000000"/>
              <w:bottom w:val="single" w:sz="12" w:space="0" w:color="000000"/>
              <w:right w:val="single" w:sz="4" w:space="0" w:color="000000"/>
            </w:tcBorders>
            <w:shd w:val="clear" w:color="auto" w:fill="D2D2D2"/>
          </w:tcPr>
          <w:p>
            <w:pPr/>
          </w:p>
        </w:tc>
        <w:tc>
          <w:tcPr>
            <w:tcW w:w="1435" w:type="dxa"/>
            <w:tcBorders>
              <w:top w:val="nil" w:sz="6" w:space="0" w:color="auto"/>
              <w:left w:val="single" w:sz="4" w:space="0" w:color="000000"/>
              <w:bottom w:val="single" w:sz="12" w:space="0" w:color="000000"/>
              <w:right w:val="single" w:sz="4" w:space="0" w:color="000000"/>
            </w:tcBorders>
          </w:tcPr>
          <w:p>
            <w:pPr/>
          </w:p>
        </w:tc>
        <w:tc>
          <w:tcPr>
            <w:tcW w:w="865" w:type="dxa"/>
            <w:tcBorders>
              <w:top w:val="nil" w:sz="6" w:space="0" w:color="auto"/>
              <w:left w:val="single" w:sz="4" w:space="0" w:color="000000"/>
              <w:bottom w:val="single" w:sz="12" w:space="0" w:color="000000"/>
              <w:right w:val="single" w:sz="4" w:space="0" w:color="000000"/>
            </w:tcBorders>
          </w:tcPr>
          <w:p>
            <w:pPr/>
          </w:p>
        </w:tc>
        <w:tc>
          <w:tcPr>
            <w:tcW w:w="33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或活动。</w:t>
            </w:r>
          </w:p>
        </w:tc>
        <w:tc>
          <w:tcPr>
            <w:tcW w:w="718" w:type="dxa"/>
            <w:tcBorders>
              <w:top w:val="nil" w:sz="6" w:space="0" w:color="auto"/>
              <w:left w:val="single" w:sz="4" w:space="0" w:color="000000"/>
              <w:bottom w:val="single" w:sz="12" w:space="0" w:color="000000"/>
              <w:right w:val="single" w:sz="4" w:space="0" w:color="000000"/>
            </w:tcBorders>
          </w:tcPr>
          <w:p>
            <w:pPr/>
          </w:p>
        </w:tc>
        <w:tc>
          <w:tcPr>
            <w:tcW w:w="718" w:type="dxa"/>
            <w:tcBorders>
              <w:top w:val="nil" w:sz="6" w:space="0" w:color="auto"/>
              <w:left w:val="single" w:sz="4" w:space="0" w:color="000000"/>
              <w:bottom w:val="single" w:sz="12" w:space="0" w:color="000000"/>
              <w:right w:val="single" w:sz="4" w:space="0" w:color="000000"/>
            </w:tcBorders>
          </w:tcPr>
          <w:p>
            <w:pPr/>
          </w:p>
        </w:tc>
        <w:tc>
          <w:tcPr>
            <w:tcW w:w="1649" w:type="dxa"/>
            <w:tcBorders>
              <w:top w:val="nil" w:sz="6" w:space="0" w:color="auto"/>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008"/>
        <w:gridCol w:w="1435"/>
        <w:gridCol w:w="865"/>
        <w:gridCol w:w="3305"/>
        <w:gridCol w:w="712"/>
        <w:gridCol w:w="724"/>
        <w:gridCol w:w="1649"/>
      </w:tblGrid>
      <w:tr>
        <w:trPr>
          <w:trHeight w:val="2088" w:hRule="exact"/>
        </w:trPr>
        <w:tc>
          <w:tcPr>
            <w:tcW w:w="1008"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435" w:type="dxa"/>
            <w:vMerge w:val="restart"/>
            <w:tcBorders>
              <w:top w:val="single" w:sz="12"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6" w:right="0"/>
              <w:jc w:val="left"/>
              <w:rPr>
                <w:rFonts w:ascii="宋体" w:hAnsi="宋体" w:cs="宋体" w:eastAsia="宋体" w:hint="default"/>
                <w:sz w:val="18"/>
                <w:szCs w:val="18"/>
              </w:rPr>
            </w:pPr>
            <w:r>
              <w:rPr>
                <w:rFonts w:ascii="宋体" w:hAnsi="宋体" w:cs="宋体" w:eastAsia="宋体" w:hint="default"/>
                <w:sz w:val="18"/>
                <w:szCs w:val="18"/>
              </w:rPr>
              <w:t>周志刚</w:t>
            </w:r>
            <w:r>
              <w:rPr>
                <w:rFonts w:ascii="Times New Roman" w:hAnsi="Times New Roman" w:cs="Times New Roman" w:eastAsia="Times New Roman" w:hint="default"/>
                <w:sz w:val="18"/>
                <w:szCs w:val="18"/>
              </w:rPr>
              <w:t>;</w:t>
            </w:r>
            <w:r>
              <w:rPr>
                <w:rFonts w:ascii="宋体" w:hAnsi="宋体" w:cs="宋体" w:eastAsia="宋体" w:hint="default"/>
                <w:sz w:val="18"/>
                <w:szCs w:val="18"/>
              </w:rPr>
              <w:t>王家豪</w:t>
            </w:r>
          </w:p>
        </w:tc>
        <w:tc>
          <w:tcPr>
            <w:tcW w:w="865"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305" w:type="dxa"/>
            <w:vMerge w:val="restart"/>
            <w:tcBorders>
              <w:top w:val="single" w:sz="12" w:space="0" w:color="000000"/>
              <w:left w:val="single" w:sz="4" w:space="0" w:color="000000"/>
              <w:right w:val="single" w:sz="4" w:space="0" w:color="000000"/>
            </w:tcBorders>
          </w:tcPr>
          <w:p>
            <w:pPr>
              <w:pStyle w:val="TableParagraph"/>
              <w:spacing w:line="307" w:lineRule="auto" w:before="51"/>
              <w:ind w:left="23" w:right="18" w:hanging="7"/>
              <w:jc w:val="center"/>
              <w:rPr>
                <w:rFonts w:ascii="宋体" w:hAnsi="宋体" w:cs="宋体" w:eastAsia="宋体" w:hint="default"/>
                <w:sz w:val="18"/>
                <w:szCs w:val="18"/>
              </w:rPr>
            </w:pPr>
            <w:r>
              <w:rPr>
                <w:rFonts w:ascii="宋体" w:hAnsi="宋体" w:cs="宋体" w:eastAsia="宋体" w:hint="default"/>
                <w:sz w:val="18"/>
                <w:szCs w:val="18"/>
              </w:rPr>
              <w:t>广东龙泉交易对方周志刚、王家豪承诺：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年实现净利润不低于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年实现净利润不低于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455</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 现净利润不低于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年实现净 利润不低于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740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年不低于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10"/>
                <w:sz w:val="18"/>
                <w:szCs w:val="18"/>
              </w:rPr>
              <w:t>年的业绩承诺水平。（上述净利润均以经审</w:t>
            </w:r>
            <w:r>
              <w:rPr>
                <w:rFonts w:ascii="宋体" w:hAnsi="宋体" w:cs="宋体" w:eastAsia="宋体" w:hint="default"/>
                <w:sz w:val="18"/>
                <w:szCs w:val="18"/>
              </w:rPr>
              <w:t> 计确认的扣除非经常性损益前后孰低值为 准）</w:t>
            </w:r>
          </w:p>
        </w:tc>
        <w:tc>
          <w:tcPr>
            <w:tcW w:w="712"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24"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649" w:type="dxa"/>
            <w:vMerge w:val="restart"/>
            <w:tcBorders>
              <w:top w:val="single" w:sz="12" w:space="0" w:color="000000"/>
              <w:left w:val="single" w:sz="4" w:space="0" w:color="000000"/>
              <w:right w:val="single" w:sz="12" w:space="0" w:color="000000"/>
            </w:tcBorders>
          </w:tcPr>
          <w:p>
            <w:pPr>
              <w:pStyle w:val="TableParagraph"/>
              <w:spacing w:line="316" w:lineRule="auto" w:before="51"/>
              <w:ind w:left="24" w:right="-15" w:hanging="32"/>
              <w:jc w:val="center"/>
              <w:rPr>
                <w:rFonts w:ascii="宋体" w:hAnsi="宋体" w:cs="宋体" w:eastAsia="宋体" w:hint="default"/>
                <w:sz w:val="18"/>
                <w:szCs w:val="18"/>
              </w:rPr>
            </w:pPr>
            <w:r>
              <w:rPr>
                <w:rFonts w:ascii="宋体" w:hAnsi="宋体" w:cs="宋体" w:eastAsia="宋体" w:hint="default"/>
                <w:sz w:val="18"/>
                <w:szCs w:val="18"/>
              </w:rPr>
              <w:t>根据原股权转让协 议，截止报告期末， 广东龙泉已完成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年承诺期内累</w:t>
            </w:r>
          </w:p>
          <w:p>
            <w:pPr>
              <w:pStyle w:val="TableParagraph"/>
              <w:spacing w:line="309" w:lineRule="auto" w:before="63"/>
              <w:ind w:left="31" w:right="19"/>
              <w:jc w:val="center"/>
              <w:rPr>
                <w:rFonts w:ascii="宋体" w:hAnsi="宋体" w:cs="宋体" w:eastAsia="宋体" w:hint="default"/>
                <w:sz w:val="18"/>
                <w:szCs w:val="18"/>
              </w:rPr>
            </w:pPr>
            <w:r>
              <w:rPr>
                <w:rFonts w:ascii="宋体" w:hAnsi="宋体" w:cs="宋体" w:eastAsia="宋体" w:hint="default"/>
                <w:sz w:val="18"/>
                <w:szCs w:val="18"/>
              </w:rPr>
              <w:t>计业绩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1,787 </w:t>
            </w:r>
            <w:r>
              <w:rPr>
                <w:rFonts w:ascii="宋体" w:hAnsi="宋体" w:cs="宋体" w:eastAsia="宋体" w:hint="default"/>
                <w:sz w:val="18"/>
                <w:szCs w:val="18"/>
              </w:rPr>
              <w:t>万元， 相关承诺事项履行 完毕。</w:t>
            </w:r>
          </w:p>
        </w:tc>
      </w:tr>
      <w:tr>
        <w:trPr>
          <w:trHeight w:val="509" w:hRule="exact"/>
        </w:trPr>
        <w:tc>
          <w:tcPr>
            <w:tcW w:w="1008" w:type="dxa"/>
            <w:vMerge w:val="restart"/>
            <w:tcBorders>
              <w:top w:val="nil" w:sz="6" w:space="0" w:color="auto"/>
              <w:left w:val="single" w:sz="12" w:space="0" w:color="000000"/>
              <w:right w:val="single" w:sz="4" w:space="0" w:color="000000"/>
            </w:tcBorders>
            <w:shd w:val="clear" w:color="auto" w:fill="D2D2D2"/>
          </w:tcPr>
          <w:p>
            <w:pPr>
              <w:pStyle w:val="TableParagraph"/>
              <w:spacing w:line="316" w:lineRule="auto" w:before="49"/>
              <w:ind w:left="14" w:right="12"/>
              <w:jc w:val="both"/>
              <w:rPr>
                <w:rFonts w:ascii="宋体" w:hAnsi="宋体" w:cs="宋体" w:eastAsia="宋体" w:hint="default"/>
                <w:sz w:val="18"/>
                <w:szCs w:val="18"/>
              </w:rPr>
            </w:pPr>
            <w:r>
              <w:rPr>
                <w:rFonts w:ascii="宋体" w:hAnsi="宋体" w:cs="宋体" w:eastAsia="宋体" w:hint="default"/>
                <w:spacing w:val="12"/>
                <w:sz w:val="18"/>
                <w:szCs w:val="18"/>
              </w:rPr>
              <w:t>其他对公司 中小股东所 </w:t>
            </w:r>
            <w:r>
              <w:rPr>
                <w:rFonts w:ascii="宋体" w:hAnsi="宋体" w:cs="宋体" w:eastAsia="宋体" w:hint="default"/>
                <w:sz w:val="18"/>
                <w:szCs w:val="18"/>
              </w:rPr>
              <w:t>作承诺</w:t>
            </w:r>
          </w:p>
        </w:tc>
        <w:tc>
          <w:tcPr>
            <w:tcW w:w="1435" w:type="dxa"/>
            <w:vMerge/>
            <w:tcBorders>
              <w:left w:val="single" w:sz="10" w:space="0" w:color="D2D2D2"/>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3305"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24" w:type="dxa"/>
            <w:vMerge/>
            <w:tcBorders>
              <w:left w:val="single" w:sz="4" w:space="0" w:color="000000"/>
              <w:bottom w:val="single" w:sz="4" w:space="0" w:color="000000"/>
              <w:right w:val="single" w:sz="4" w:space="0" w:color="000000"/>
            </w:tcBorders>
          </w:tcPr>
          <w:p>
            <w:pPr/>
          </w:p>
        </w:tc>
        <w:tc>
          <w:tcPr>
            <w:tcW w:w="1649" w:type="dxa"/>
            <w:vMerge/>
            <w:tcBorders>
              <w:left w:val="single" w:sz="4" w:space="0" w:color="000000"/>
              <w:bottom w:val="single" w:sz="4" w:space="0" w:color="000000"/>
              <w:right w:val="single" w:sz="12" w:space="0" w:color="000000"/>
            </w:tcBorders>
          </w:tcPr>
          <w:p>
            <w:pPr/>
          </w:p>
        </w:tc>
      </w:tr>
      <w:tr>
        <w:trPr>
          <w:trHeight w:val="509" w:hRule="exact"/>
        </w:trPr>
        <w:tc>
          <w:tcPr>
            <w:tcW w:w="1008" w:type="dxa"/>
            <w:vMerge/>
            <w:tcBorders>
              <w:left w:val="single" w:sz="12" w:space="0" w:color="000000"/>
              <w:bottom w:val="nil" w:sz="6" w:space="0" w:color="auto"/>
              <w:right w:val="single" w:sz="4" w:space="0" w:color="000000"/>
            </w:tcBorders>
            <w:shd w:val="clear" w:color="auto" w:fill="D2D2D2"/>
          </w:tcPr>
          <w:p>
            <w:pPr/>
          </w:p>
        </w:tc>
        <w:tc>
          <w:tcPr>
            <w:tcW w:w="1435"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16" w:right="17"/>
              <w:jc w:val="both"/>
              <w:rPr>
                <w:rFonts w:ascii="宋体" w:hAnsi="宋体" w:cs="宋体" w:eastAsia="宋体" w:hint="default"/>
                <w:sz w:val="18"/>
                <w:szCs w:val="18"/>
              </w:rPr>
            </w:pPr>
            <w:r>
              <w:rPr>
                <w:rFonts w:ascii="宋体" w:hAnsi="宋体" w:cs="宋体" w:eastAsia="宋体" w:hint="default"/>
                <w:sz w:val="18"/>
                <w:szCs w:val="18"/>
              </w:rPr>
              <w:t>王明慧</w:t>
            </w:r>
            <w:r>
              <w:rPr>
                <w:rFonts w:ascii="Times New Roman" w:hAnsi="Times New Roman" w:cs="Times New Roman" w:eastAsia="Times New Roman" w:hint="default"/>
                <w:sz w:val="18"/>
                <w:szCs w:val="18"/>
              </w:rPr>
              <w:t>;</w:t>
            </w:r>
            <w:r>
              <w:rPr>
                <w:rFonts w:ascii="宋体" w:hAnsi="宋体" w:cs="宋体" w:eastAsia="宋体" w:hint="default"/>
                <w:sz w:val="18"/>
                <w:szCs w:val="18"/>
              </w:rPr>
              <w:t>张连富</w:t>
            </w:r>
            <w:r>
              <w:rPr>
                <w:rFonts w:ascii="Times New Roman" w:hAnsi="Times New Roman" w:cs="Times New Roman" w:eastAsia="Times New Roman" w:hint="default"/>
                <w:sz w:val="18"/>
                <w:szCs w:val="18"/>
              </w:rPr>
              <w:t>;</w:t>
            </w:r>
            <w:r>
              <w:rPr>
                <w:rFonts w:ascii="宋体" w:hAnsi="宋体" w:cs="宋体" w:eastAsia="宋体" w:hint="default"/>
                <w:sz w:val="18"/>
                <w:szCs w:val="18"/>
              </w:rPr>
              <w:t>韩</w:t>
            </w:r>
            <w:r>
              <w:rPr>
                <w:rFonts w:ascii="宋体" w:hAnsi="宋体" w:cs="宋体" w:eastAsia="宋体" w:hint="default"/>
                <w:spacing w:val="-75"/>
                <w:sz w:val="18"/>
                <w:szCs w:val="18"/>
              </w:rPr>
              <w:t> </w:t>
            </w:r>
            <w:r>
              <w:rPr>
                <w:rFonts w:ascii="宋体" w:hAnsi="宋体" w:cs="宋体" w:eastAsia="宋体" w:hint="default"/>
                <w:spacing w:val="2"/>
                <w:sz w:val="18"/>
                <w:szCs w:val="18"/>
              </w:rPr>
              <w:t>晓东</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吴世伟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邢洪 </w:t>
            </w:r>
            <w:r>
              <w:rPr>
                <w:rFonts w:ascii="宋体" w:hAnsi="宋体" w:cs="宋体" w:eastAsia="宋体" w:hint="default"/>
                <w:spacing w:val="9"/>
                <w:sz w:val="18"/>
                <w:szCs w:val="18"/>
              </w:rPr>
              <w:t>杰</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2"/>
                <w:sz w:val="18"/>
                <w:szCs w:val="18"/>
              </w:rPr>
              <w:t>高伟</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13"/>
                <w:sz w:val="18"/>
                <w:szCs w:val="18"/>
              </w:rPr>
              <w:t>李世铭</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王铭岩</w:t>
            </w:r>
            <w:r>
              <w:rPr>
                <w:rFonts w:ascii="Times New Roman" w:hAnsi="Times New Roman" w:cs="Times New Roman" w:eastAsia="Times New Roman" w:hint="default"/>
                <w:sz w:val="18"/>
                <w:szCs w:val="18"/>
              </w:rPr>
              <w:t>;</w:t>
            </w:r>
            <w:r>
              <w:rPr>
                <w:rFonts w:ascii="宋体" w:hAnsi="宋体" w:cs="宋体" w:eastAsia="宋体" w:hint="default"/>
                <w:sz w:val="18"/>
                <w:szCs w:val="18"/>
              </w:rPr>
              <w:t>赵东阳</w:t>
            </w:r>
            <w:r>
              <w:rPr>
                <w:rFonts w:ascii="Times New Roman" w:hAnsi="Times New Roman" w:cs="Times New Roman" w:eastAsia="Times New Roman" w:hint="default"/>
                <w:sz w:val="18"/>
                <w:szCs w:val="18"/>
              </w:rPr>
              <w:t>;</w:t>
            </w:r>
            <w:r>
              <w:rPr>
                <w:rFonts w:ascii="宋体" w:hAnsi="宋体" w:cs="宋体" w:eastAsia="宋体" w:hint="default"/>
                <w:sz w:val="18"/>
                <w:szCs w:val="18"/>
              </w:rPr>
              <w:t>曲</w:t>
            </w:r>
            <w:r>
              <w:rPr>
                <w:rFonts w:ascii="宋体" w:hAnsi="宋体" w:cs="宋体" w:eastAsia="宋体" w:hint="default"/>
                <w:spacing w:val="-75"/>
                <w:sz w:val="18"/>
                <w:szCs w:val="18"/>
              </w:rPr>
              <w:t> </w:t>
            </w:r>
            <w:r>
              <w:rPr>
                <w:rFonts w:ascii="宋体" w:hAnsi="宋体" w:cs="宋体" w:eastAsia="宋体" w:hint="default"/>
                <w:sz w:val="18"/>
                <w:szCs w:val="18"/>
              </w:rPr>
              <w:t>兴瑞</w:t>
            </w:r>
            <w:r>
              <w:rPr>
                <w:rFonts w:ascii="Times New Roman" w:hAnsi="Times New Roman" w:cs="Times New Roman" w:eastAsia="Times New Roman" w:hint="default"/>
                <w:sz w:val="18"/>
                <w:szCs w:val="18"/>
              </w:rPr>
              <w:t>;</w:t>
            </w:r>
            <w:r>
              <w:rPr>
                <w:rFonts w:ascii="宋体" w:hAnsi="宋体" w:cs="宋体" w:eastAsia="宋体" w:hint="default"/>
                <w:sz w:val="18"/>
                <w:szCs w:val="18"/>
              </w:rPr>
              <w:t>李想</w:t>
            </w:r>
            <w:r>
              <w:rPr>
                <w:rFonts w:ascii="Times New Roman" w:hAnsi="Times New Roman" w:cs="Times New Roman" w:eastAsia="Times New Roman" w:hint="default"/>
                <w:sz w:val="18"/>
                <w:szCs w:val="18"/>
              </w:rPr>
              <w:t>;</w:t>
            </w:r>
            <w:r>
              <w:rPr>
                <w:rFonts w:ascii="宋体" w:hAnsi="宋体" w:cs="宋体" w:eastAsia="宋体" w:hint="default"/>
                <w:sz w:val="18"/>
                <w:szCs w:val="18"/>
              </w:rPr>
              <w:t>杨金龙</w:t>
            </w:r>
          </w:p>
        </w:tc>
        <w:tc>
          <w:tcPr>
            <w:tcW w:w="8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3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4"/>
              <w:ind w:left="23" w:right="21" w:hanging="4"/>
              <w:jc w:val="center"/>
              <w:rPr>
                <w:rFonts w:ascii="宋体" w:hAnsi="宋体" w:cs="宋体" w:eastAsia="宋体" w:hint="default"/>
                <w:sz w:val="18"/>
                <w:szCs w:val="18"/>
              </w:rPr>
            </w:pPr>
            <w:r>
              <w:rPr>
                <w:rFonts w:ascii="宋体" w:hAnsi="宋体" w:cs="宋体" w:eastAsia="宋体" w:hint="default"/>
                <w:sz w:val="18"/>
                <w:szCs w:val="18"/>
              </w:rPr>
              <w:t>鞍山易兴交易对方王明慧、张连富、韩晓 东等承诺：鞍山易兴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2016 </w:t>
            </w:r>
            <w:r>
              <w:rPr>
                <w:rFonts w:ascii="宋体" w:hAnsi="宋体" w:cs="宋体" w:eastAsia="宋体" w:hint="default"/>
                <w:spacing w:val="-15"/>
                <w:sz w:val="18"/>
                <w:szCs w:val="18"/>
              </w:rPr>
              <w:t>年、</w:t>
            </w:r>
            <w:r>
              <w:rPr>
                <w:rFonts w:ascii="Times New Roman" w:hAnsi="Times New Roman" w:cs="Times New Roman" w:eastAsia="Times New Roman" w:hint="default"/>
                <w:spacing w:val="-15"/>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年实现的净利润扣除非经常</w:t>
            </w:r>
            <w:r>
              <w:rPr>
                <w:rFonts w:ascii="宋体" w:hAnsi="宋体" w:cs="宋体" w:eastAsia="宋体" w:hint="default"/>
                <w:sz w:val="18"/>
                <w:szCs w:val="18"/>
              </w:rPr>
              <w:t> 性损益后孰低值不低于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750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年分别不低于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年的承诺水平。</w:t>
            </w:r>
          </w:p>
        </w:tc>
        <w:tc>
          <w:tcPr>
            <w:tcW w:w="7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649" w:type="dxa"/>
            <w:vMerge w:val="restart"/>
            <w:tcBorders>
              <w:top w:val="single" w:sz="4" w:space="0" w:color="000000"/>
              <w:left w:val="single" w:sz="4" w:space="0" w:color="000000"/>
              <w:right w:val="single" w:sz="12" w:space="0" w:color="000000"/>
            </w:tcBorders>
          </w:tcPr>
          <w:p>
            <w:pPr>
              <w:pStyle w:val="TableParagraph"/>
              <w:spacing w:line="316" w:lineRule="auto" w:before="49"/>
              <w:ind w:left="24" w:right="-15" w:hanging="32"/>
              <w:jc w:val="center"/>
              <w:rPr>
                <w:rFonts w:ascii="宋体" w:hAnsi="宋体" w:cs="宋体" w:eastAsia="宋体" w:hint="default"/>
                <w:sz w:val="18"/>
                <w:szCs w:val="18"/>
              </w:rPr>
            </w:pPr>
            <w:r>
              <w:rPr>
                <w:rFonts w:ascii="宋体" w:hAnsi="宋体" w:cs="宋体" w:eastAsia="宋体" w:hint="default"/>
                <w:sz w:val="18"/>
                <w:szCs w:val="18"/>
              </w:rPr>
              <w:t>根据原股权转让协 议，截止报告期末， 鞍山易兴已完成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7" w:lineRule="auto"/>
              <w:ind w:left="52"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 诺期内累计业绩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万元，相关承 诺事项履行完毕。</w:t>
            </w:r>
          </w:p>
        </w:tc>
      </w:tr>
      <w:tr>
        <w:trPr>
          <w:trHeight w:val="2076" w:hRule="exact"/>
        </w:trPr>
        <w:tc>
          <w:tcPr>
            <w:tcW w:w="1008" w:type="dxa"/>
            <w:tcBorders>
              <w:top w:val="nil" w:sz="6" w:space="0" w:color="auto"/>
              <w:left w:val="single" w:sz="12" w:space="0" w:color="000000"/>
              <w:bottom w:val="single" w:sz="4" w:space="0" w:color="000000"/>
              <w:right w:val="single" w:sz="4" w:space="0" w:color="000000"/>
            </w:tcBorders>
            <w:shd w:val="clear" w:color="auto" w:fill="D2D2D2"/>
          </w:tcPr>
          <w:p>
            <w:pPr/>
          </w:p>
        </w:tc>
        <w:tc>
          <w:tcPr>
            <w:tcW w:w="1435" w:type="dxa"/>
            <w:vMerge/>
            <w:tcBorders>
              <w:left w:val="single" w:sz="10" w:space="0" w:color="D2D2D2"/>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3305"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724" w:type="dxa"/>
            <w:vMerge/>
            <w:tcBorders>
              <w:left w:val="single" w:sz="4" w:space="0" w:color="000000"/>
              <w:bottom w:val="single" w:sz="4" w:space="0" w:color="000000"/>
              <w:right w:val="single" w:sz="4" w:space="0" w:color="000000"/>
            </w:tcBorders>
          </w:tcPr>
          <w:p>
            <w:pPr/>
          </w:p>
        </w:tc>
        <w:tc>
          <w:tcPr>
            <w:tcW w:w="1649" w:type="dxa"/>
            <w:vMerge/>
            <w:tcBorders>
              <w:left w:val="single" w:sz="4" w:space="0" w:color="000000"/>
              <w:bottom w:val="single" w:sz="4" w:space="0" w:color="000000"/>
              <w:right w:val="single" w:sz="12" w:space="0" w:color="000000"/>
            </w:tcBorders>
          </w:tcPr>
          <w:p>
            <w:pPr/>
          </w:p>
        </w:tc>
      </w:tr>
      <w:tr>
        <w:trPr>
          <w:trHeight w:val="403" w:hRule="exact"/>
        </w:trPr>
        <w:tc>
          <w:tcPr>
            <w:tcW w:w="2444"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254" w:type="dxa"/>
            <w:gridSpan w:val="5"/>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2" w:hRule="exact"/>
        </w:trPr>
        <w:tc>
          <w:tcPr>
            <w:tcW w:w="7326" w:type="dxa"/>
            <w:gridSpan w:val="5"/>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2372" w:type="dxa"/>
            <w:gridSpan w:val="2"/>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Times New Roman" w:hAnsi="Times New Roman" w:cs="Times New Roman" w:eastAsia="Times New Roman" w:hint="default"/>
          <w:sz w:val="21"/>
          <w:szCs w:val="21"/>
        </w:rPr>
      </w:pPr>
    </w:p>
    <w:p>
      <w:pPr>
        <w:pStyle w:val="Heading4"/>
        <w:spacing w:line="256" w:lineRule="auto" w:before="36"/>
        <w:ind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控股股东及其关联方对上市公司的非经营性占用资金情况" w:id="65"/>
      <w:bookmarkEnd w:id="65"/>
      <w:r>
        <w:rPr>
          <w:b w:val="0"/>
          <w:bCs w:val="0"/>
        </w:rPr>
      </w:r>
      <w:r>
        <w:rPr/>
        <w:t>三、控股股东及其关联方对上市公司的非经营性占用资金情况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6"/>
      <w:bookmarkEnd w:id="66"/>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68"/>
      <w:bookmarkEnd w:id="68"/>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44" w:lineRule="auto" w:before="80"/>
        <w:ind w:left="573" w:right="0" w:hanging="421"/>
        <w:jc w:val="left"/>
      </w:pPr>
      <w:r>
        <w:rPr/>
        <w:t>关于会计政策变更的说明</w:t>
      </w:r>
      <w:r>
        <w:rPr>
          <w:w w:val="100"/>
        </w:rPr>
        <w:t> </w:t>
      </w:r>
      <w:r>
        <w:rPr>
          <w:spacing w:val="-4"/>
        </w:rPr>
        <w:t>财政部于</w:t>
      </w:r>
      <w:r>
        <w:rPr>
          <w:rFonts w:ascii="宋体" w:hAnsi="宋体" w:cs="宋体" w:eastAsia="宋体" w:hint="default"/>
          <w:spacing w:val="-4"/>
        </w:rPr>
        <w:t>2017</w:t>
      </w:r>
      <w:r>
        <w:rPr>
          <w:spacing w:val="-4"/>
        </w:rPr>
        <w:t>年</w:t>
      </w:r>
      <w:r>
        <w:rPr>
          <w:rFonts w:ascii="宋体" w:hAnsi="宋体" w:cs="宋体" w:eastAsia="宋体" w:hint="default"/>
          <w:spacing w:val="-4"/>
        </w:rPr>
        <w:t>03</w:t>
      </w:r>
      <w:r>
        <w:rPr>
          <w:spacing w:val="-4"/>
        </w:rPr>
        <w:t>月</w:t>
      </w:r>
      <w:r>
        <w:rPr>
          <w:rFonts w:ascii="宋体" w:hAnsi="宋体" w:cs="宋体" w:eastAsia="宋体" w:hint="default"/>
          <w:spacing w:val="-4"/>
        </w:rPr>
        <w:t>31</w:t>
      </w:r>
      <w:r>
        <w:rPr>
          <w:spacing w:val="-4"/>
        </w:rPr>
        <w:t>日分别发布了《企业会计准则第</w:t>
      </w:r>
      <w:r>
        <w:rPr>
          <w:rFonts w:ascii="宋体" w:hAnsi="宋体" w:cs="宋体" w:eastAsia="宋体" w:hint="default"/>
          <w:spacing w:val="-4"/>
        </w:rPr>
        <w:t>22</w:t>
      </w:r>
      <w:r>
        <w:rPr>
          <w:spacing w:val="-4"/>
        </w:rPr>
        <w:t>号——金融工具确认和计量（</w:t>
      </w:r>
      <w:r>
        <w:rPr>
          <w:rFonts w:ascii="宋体" w:hAnsi="宋体" w:cs="宋体" w:eastAsia="宋体" w:hint="default"/>
          <w:spacing w:val="-4"/>
        </w:rPr>
        <w:t>2017</w:t>
      </w:r>
      <w:r>
        <w:rPr>
          <w:spacing w:val="-4"/>
        </w:rPr>
        <w:t>年修订）》</w:t>
      </w:r>
    </w:p>
    <w:p>
      <w:pPr>
        <w:spacing w:after="0" w:line="444"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spacing w:val="-4"/>
        </w:rPr>
        <w:t>（财会〔</w:t>
      </w:r>
      <w:r>
        <w:rPr>
          <w:rFonts w:ascii="宋体" w:hAnsi="宋体" w:cs="宋体" w:eastAsia="宋体" w:hint="default"/>
          <w:spacing w:val="-4"/>
        </w:rPr>
        <w:t>2017</w:t>
      </w:r>
      <w:r>
        <w:rPr>
          <w:spacing w:val="-4"/>
        </w:rPr>
        <w:t>〕</w:t>
      </w:r>
      <w:r>
        <w:rPr>
          <w:rFonts w:ascii="宋体" w:hAnsi="宋体" w:cs="宋体" w:eastAsia="宋体" w:hint="default"/>
          <w:spacing w:val="-4"/>
        </w:rPr>
        <w:t>7</w:t>
      </w:r>
      <w:r>
        <w:rPr>
          <w:spacing w:val="-4"/>
        </w:rPr>
        <w:t>号）、《企业会计准则第</w:t>
      </w:r>
      <w:r>
        <w:rPr>
          <w:rFonts w:ascii="宋体" w:hAnsi="宋体" w:cs="宋体" w:eastAsia="宋体" w:hint="default"/>
          <w:spacing w:val="-4"/>
        </w:rPr>
        <w:t>23</w:t>
      </w:r>
      <w:r>
        <w:rPr>
          <w:spacing w:val="-4"/>
        </w:rPr>
        <w:t>号——金融资产转移（</w:t>
      </w:r>
      <w:r>
        <w:rPr>
          <w:rFonts w:ascii="宋体" w:hAnsi="宋体" w:cs="宋体" w:eastAsia="宋体" w:hint="default"/>
          <w:spacing w:val="-4"/>
        </w:rPr>
        <w:t>2017</w:t>
      </w:r>
      <w:r>
        <w:rPr>
          <w:spacing w:val="-4"/>
        </w:rPr>
        <w:t>年修订）》（财会〔</w:t>
      </w:r>
      <w:r>
        <w:rPr>
          <w:rFonts w:ascii="宋体" w:hAnsi="宋体" w:cs="宋体" w:eastAsia="宋体" w:hint="default"/>
          <w:spacing w:val="-4"/>
        </w:rPr>
        <w:t>2017</w:t>
      </w:r>
      <w:r>
        <w:rPr>
          <w:spacing w:val="-4"/>
        </w:rPr>
        <w:t>〕</w:t>
      </w:r>
      <w:r>
        <w:rPr>
          <w:rFonts w:ascii="宋体" w:hAnsi="宋体" w:cs="宋体" w:eastAsia="宋体" w:hint="default"/>
          <w:spacing w:val="-4"/>
        </w:rPr>
        <w:t>8</w:t>
      </w:r>
      <w:r>
        <w:rPr>
          <w:spacing w:val="-4"/>
        </w:rPr>
        <w:t>号）、</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《企业会计准则第</w:t>
      </w:r>
      <w:r>
        <w:rPr>
          <w:rFonts w:ascii="宋体" w:hAnsi="宋体" w:cs="宋体" w:eastAsia="宋体" w:hint="default"/>
        </w:rPr>
        <w:t>24</w:t>
      </w:r>
      <w:r>
        <w:rPr/>
        <w:t>号——套期会计（</w:t>
      </w:r>
      <w:r>
        <w:rPr>
          <w:rFonts w:ascii="宋体" w:hAnsi="宋体" w:cs="宋体" w:eastAsia="宋体" w:hint="default"/>
        </w:rPr>
        <w:t>2017</w:t>
      </w:r>
      <w:r>
        <w:rPr/>
        <w:t>年修订）》（财会〔</w:t>
      </w:r>
      <w:r>
        <w:rPr>
          <w:rFonts w:ascii="宋体" w:hAnsi="宋体" w:cs="宋体" w:eastAsia="宋体" w:hint="default"/>
        </w:rPr>
        <w:t>2017</w:t>
      </w:r>
      <w:r>
        <w:rPr/>
        <w:t>〕</w:t>
      </w:r>
      <w:r>
        <w:rPr>
          <w:rFonts w:ascii="宋体" w:hAnsi="宋体" w:cs="宋体" w:eastAsia="宋体" w:hint="default"/>
        </w:rPr>
        <w:t>9</w:t>
      </w:r>
      <w:r>
        <w:rPr/>
        <w:t>号），于</w:t>
      </w:r>
      <w:r>
        <w:rPr>
          <w:rFonts w:ascii="宋体" w:hAnsi="宋体" w:cs="宋体" w:eastAsia="宋体" w:hint="default"/>
        </w:rPr>
        <w:t>2017</w:t>
      </w:r>
      <w:r>
        <w:rPr/>
        <w:t>年</w:t>
      </w:r>
      <w:r>
        <w:rPr>
          <w:rFonts w:ascii="宋体" w:hAnsi="宋体" w:cs="宋体" w:eastAsia="宋体" w:hint="default"/>
        </w:rPr>
        <w:t>05</w:t>
      </w:r>
      <w:r>
        <w:rPr/>
        <w:t>月</w:t>
      </w:r>
      <w:r>
        <w:rPr>
          <w:rFonts w:ascii="宋体" w:hAnsi="宋体" w:cs="宋体" w:eastAsia="宋体" w:hint="default"/>
        </w:rPr>
        <w:t>02</w:t>
      </w:r>
      <w:r>
        <w:rPr/>
        <w:t>日发布了</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6"/>
        </w:rPr>
        <w:t>《企业会计准则第</w:t>
      </w:r>
      <w:r>
        <w:rPr>
          <w:rFonts w:ascii="宋体" w:hAnsi="宋体" w:cs="宋体" w:eastAsia="宋体" w:hint="default"/>
          <w:spacing w:val="-6"/>
        </w:rPr>
        <w:t>37</w:t>
      </w:r>
      <w:r>
        <w:rPr>
          <w:spacing w:val="-6"/>
        </w:rPr>
        <w:t>号——金融工具列报（</w:t>
      </w:r>
      <w:r>
        <w:rPr>
          <w:rFonts w:ascii="宋体" w:hAnsi="宋体" w:cs="宋体" w:eastAsia="宋体" w:hint="default"/>
          <w:spacing w:val="-6"/>
        </w:rPr>
        <w:t>2017</w:t>
      </w:r>
      <w:r>
        <w:rPr>
          <w:spacing w:val="-6"/>
        </w:rPr>
        <w:t>年修订）》（财会〔</w:t>
      </w:r>
      <w:r>
        <w:rPr>
          <w:rFonts w:ascii="宋体" w:hAnsi="宋体" w:cs="宋体" w:eastAsia="宋体" w:hint="default"/>
          <w:spacing w:val="-6"/>
        </w:rPr>
        <w:t>2017</w:t>
      </w:r>
      <w:r>
        <w:rPr>
          <w:spacing w:val="-6"/>
        </w:rPr>
        <w:t>〕</w:t>
      </w:r>
      <w:r>
        <w:rPr>
          <w:rFonts w:ascii="宋体" w:hAnsi="宋体" w:cs="宋体" w:eastAsia="宋体" w:hint="default"/>
          <w:spacing w:val="-6"/>
        </w:rPr>
        <w:t>14</w:t>
      </w:r>
      <w:r>
        <w:rPr>
          <w:spacing w:val="-6"/>
        </w:rPr>
        <w:t>号）（上述准则以下统称“新</w:t>
      </w:r>
      <w:r>
        <w:rPr>
          <w:spacing w:val="-33"/>
        </w:rPr>
        <w:t> </w:t>
      </w:r>
      <w:r>
        <w:rPr>
          <w:spacing w:val="-33"/>
        </w:rPr>
      </w:r>
      <w:r>
        <w:rPr/>
        <w:t>金融工具准则”），要求境内上市企业自</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01</w:t>
      </w:r>
      <w:r>
        <w:rPr/>
        <w:t>日起施行。</w:t>
      </w:r>
    </w:p>
    <w:p>
      <w:pPr>
        <w:pStyle w:val="BodyText"/>
        <w:spacing w:line="244" w:lineRule="exact" w:before="0"/>
        <w:ind w:left="573" w:right="0"/>
        <w:jc w:val="left"/>
      </w:pPr>
      <w:r>
        <w:rPr>
          <w:spacing w:val="2"/>
        </w:rPr>
        <w:t>公司按照财政部的要求时间开始执行前述新金融工具准则，执行新金融工具准则对公司产生如下影</w:t>
      </w:r>
    </w:p>
    <w:p>
      <w:pPr>
        <w:pStyle w:val="BodyText"/>
        <w:spacing w:line="240" w:lineRule="auto" w:before="37"/>
        <w:ind w:right="0"/>
        <w:jc w:val="left"/>
      </w:pPr>
      <w:r>
        <w:rPr/>
        <w:t>响：</w:t>
      </w:r>
    </w:p>
    <w:p>
      <w:pPr>
        <w:spacing w:line="240" w:lineRule="auto" w:before="9"/>
        <w:rPr>
          <w:rFonts w:ascii="宋体" w:hAnsi="宋体" w:cs="宋体" w:eastAsia="宋体"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2803"/>
        <w:gridCol w:w="2348"/>
        <w:gridCol w:w="2199"/>
        <w:gridCol w:w="2319"/>
      </w:tblGrid>
      <w:tr>
        <w:trPr>
          <w:trHeight w:val="665" w:hRule="exact"/>
        </w:trPr>
        <w:tc>
          <w:tcPr>
            <w:tcW w:w="280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sz w:val="18"/>
                <w:szCs w:val="18"/>
              </w:rPr>
              <w:t>合并资产负债表项目</w:t>
            </w:r>
          </w:p>
        </w:tc>
        <w:tc>
          <w:tcPr>
            <w:tcW w:w="234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会计政策变更前</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2199"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734" w:right="463" w:hanging="272"/>
              <w:jc w:val="left"/>
              <w:rPr>
                <w:rFonts w:ascii="宋体" w:hAnsi="宋体" w:cs="宋体" w:eastAsia="宋体" w:hint="default"/>
                <w:sz w:val="18"/>
                <w:szCs w:val="18"/>
              </w:rPr>
            </w:pPr>
            <w:r>
              <w:rPr>
                <w:rFonts w:ascii="宋体" w:hAnsi="宋体" w:cs="宋体" w:eastAsia="宋体" w:hint="default"/>
                <w:sz w:val="18"/>
                <w:szCs w:val="18"/>
              </w:rPr>
              <w:t>新金融工具准则 影响金额</w:t>
            </w:r>
          </w:p>
        </w:tc>
        <w:tc>
          <w:tcPr>
            <w:tcW w:w="2319"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300" w:lineRule="auto" w:before="20"/>
              <w:ind w:left="886" w:right="61" w:hanging="812"/>
              <w:jc w:val="left"/>
              <w:rPr>
                <w:rFonts w:ascii="宋体" w:hAnsi="宋体" w:cs="宋体" w:eastAsia="宋体" w:hint="default"/>
                <w:sz w:val="18"/>
                <w:szCs w:val="18"/>
              </w:rPr>
            </w:pPr>
            <w:r>
              <w:rPr>
                <w:rFonts w:ascii="宋体" w:hAnsi="宋体" w:cs="宋体" w:eastAsia="宋体" w:hint="default"/>
                <w:sz w:val="18"/>
                <w:szCs w:val="18"/>
              </w:rPr>
              <w:t>会计政策变更后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348" w:type="dxa"/>
            <w:tcBorders>
              <w:top w:val="single" w:sz="8" w:space="0" w:color="000000"/>
              <w:left w:val="single" w:sz="4" w:space="0" w:color="000000"/>
              <w:bottom w:val="single" w:sz="4" w:space="0" w:color="000000"/>
              <w:right w:val="single" w:sz="4" w:space="0" w:color="000000"/>
            </w:tcBorders>
          </w:tcPr>
          <w:p>
            <w:pPr/>
          </w:p>
        </w:tc>
        <w:tc>
          <w:tcPr>
            <w:tcW w:w="2199" w:type="dxa"/>
            <w:tcBorders>
              <w:top w:val="single" w:sz="8" w:space="0" w:color="000000"/>
              <w:left w:val="single" w:sz="4" w:space="0" w:color="000000"/>
              <w:bottom w:val="single" w:sz="4" w:space="0" w:color="000000"/>
              <w:right w:val="single" w:sz="4" w:space="0" w:color="000000"/>
            </w:tcBorders>
          </w:tcPr>
          <w:p>
            <w:pPr/>
          </w:p>
        </w:tc>
        <w:tc>
          <w:tcPr>
            <w:tcW w:w="2319" w:type="dxa"/>
            <w:tcBorders>
              <w:top w:val="single" w:sz="8" w:space="0" w:color="000000"/>
              <w:left w:val="single" w:sz="4" w:space="0" w:color="000000"/>
              <w:bottom w:val="single" w:sz="4" w:space="0" w:color="000000"/>
              <w:right w:val="single" w:sz="12" w:space="0" w:color="000000"/>
            </w:tcBorders>
          </w:tcPr>
          <w:p>
            <w:pPr/>
          </w:p>
        </w:tc>
      </w:tr>
      <w:tr>
        <w:trPr>
          <w:trHeight w:val="344"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4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46,250,000.00</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46,250,000.00</w:t>
            </w: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23,550,664.69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-21,644,898.32</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1,905,766.37</w:t>
            </w: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470,143,769.08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-3,281,113.29</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466,862,655.79</w:t>
            </w: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34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21,582,608.19</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21,582,608.19</w:t>
            </w: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84,513,721.65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-46,250,000.00</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38,263,721.65</w:t>
            </w: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38,100,001.00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-38,100,001.00</w:t>
            </w:r>
          </w:p>
        </w:tc>
        <w:tc>
          <w:tcPr>
            <w:tcW w:w="2319" w:type="dxa"/>
            <w:tcBorders>
              <w:top w:val="single" w:sz="4" w:space="0" w:color="000000"/>
              <w:left w:val="single" w:sz="4" w:space="0" w:color="000000"/>
              <w:bottom w:val="single" w:sz="4" w:space="0" w:color="000000"/>
              <w:right w:val="single" w:sz="12" w:space="0" w:color="000000"/>
            </w:tcBorders>
          </w:tcPr>
          <w:p>
            <w:pP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4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38,100,001.00</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38,100,001.00</w:t>
            </w: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107,545,600.52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472,136.05</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108,017,736.57</w:t>
            </w: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234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12" w:space="0" w:color="000000"/>
            </w:tcBorders>
          </w:tcPr>
          <w:p>
            <w:pP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526,909,816.62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-2,579,457.56</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524,330,359.06</w:t>
            </w:r>
          </w:p>
        </w:tc>
      </w:tr>
      <w:tr>
        <w:trPr>
          <w:trHeight w:val="353" w:hRule="exact"/>
        </w:trPr>
        <w:tc>
          <w:tcPr>
            <w:tcW w:w="280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563,384,263.98</w:t>
            </w:r>
          </w:p>
        </w:tc>
        <w:tc>
          <w:tcPr>
            <w:tcW w:w="2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-291,809.81</w:t>
            </w:r>
          </w:p>
        </w:tc>
        <w:tc>
          <w:tcPr>
            <w:tcW w:w="231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563,092,454.17</w:t>
            </w:r>
          </w:p>
        </w:tc>
      </w:tr>
    </w:tbl>
    <w:p>
      <w:pPr>
        <w:spacing w:line="240" w:lineRule="auto" w:before="11"/>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2803"/>
        <w:gridCol w:w="2348"/>
        <w:gridCol w:w="2199"/>
        <w:gridCol w:w="2319"/>
      </w:tblGrid>
      <w:tr>
        <w:trPr>
          <w:trHeight w:val="665" w:hRule="exact"/>
        </w:trPr>
        <w:tc>
          <w:tcPr>
            <w:tcW w:w="280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母公司资产负债表项目</w:t>
            </w:r>
          </w:p>
        </w:tc>
        <w:tc>
          <w:tcPr>
            <w:tcW w:w="234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会计政策变更前</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2199"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734" w:right="463" w:hanging="272"/>
              <w:jc w:val="left"/>
              <w:rPr>
                <w:rFonts w:ascii="宋体" w:hAnsi="宋体" w:cs="宋体" w:eastAsia="宋体" w:hint="default"/>
                <w:sz w:val="18"/>
                <w:szCs w:val="18"/>
              </w:rPr>
            </w:pPr>
            <w:r>
              <w:rPr>
                <w:rFonts w:ascii="宋体" w:hAnsi="宋体" w:cs="宋体" w:eastAsia="宋体" w:hint="default"/>
                <w:sz w:val="18"/>
                <w:szCs w:val="18"/>
              </w:rPr>
              <w:t>新金融工具准则 影响金额</w:t>
            </w:r>
          </w:p>
        </w:tc>
        <w:tc>
          <w:tcPr>
            <w:tcW w:w="2319"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300" w:lineRule="auto" w:before="20"/>
              <w:ind w:left="886" w:right="61" w:hanging="812"/>
              <w:jc w:val="left"/>
              <w:rPr>
                <w:rFonts w:ascii="宋体" w:hAnsi="宋体" w:cs="宋体" w:eastAsia="宋体" w:hint="default"/>
                <w:sz w:val="18"/>
                <w:szCs w:val="18"/>
              </w:rPr>
            </w:pPr>
            <w:r>
              <w:rPr>
                <w:rFonts w:ascii="宋体" w:hAnsi="宋体" w:cs="宋体" w:eastAsia="宋体" w:hint="default"/>
                <w:sz w:val="18"/>
                <w:szCs w:val="18"/>
              </w:rPr>
              <w:t>会计政策变更后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34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12" w:space="0" w:color="000000"/>
            </w:tcBorders>
          </w:tcPr>
          <w:p>
            <w:pP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15,474,752.24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-14,963,103.91</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511,648.33</w:t>
            </w: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171,485,062.44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-1,580,450.91</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169,904,611.53</w:t>
            </w: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34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14,935,095.74</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14,935,095.74</w:t>
            </w: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36,900,001.00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-36,900,001.00</w:t>
            </w:r>
          </w:p>
        </w:tc>
        <w:tc>
          <w:tcPr>
            <w:tcW w:w="2319" w:type="dxa"/>
            <w:tcBorders>
              <w:top w:val="single" w:sz="4" w:space="0" w:color="000000"/>
              <w:left w:val="single" w:sz="4" w:space="0" w:color="000000"/>
              <w:bottom w:val="single" w:sz="4" w:space="0" w:color="000000"/>
              <w:right w:val="single" w:sz="12" w:space="0" w:color="000000"/>
            </w:tcBorders>
          </w:tcPr>
          <w:p>
            <w:pP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4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36,900,001.00</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36,900,001.00</w:t>
            </w: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5,820,325.97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241,268.86</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6,061,594.83</w:t>
            </w: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8"/>
              <w:ind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234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12" w:space="0" w:color="000000"/>
            </w:tcBorders>
          </w:tcPr>
          <w:p>
            <w:pPr/>
          </w:p>
        </w:tc>
      </w:tr>
      <w:tr>
        <w:trPr>
          <w:trHeight w:val="353" w:hRule="exact"/>
        </w:trPr>
        <w:tc>
          <w:tcPr>
            <w:tcW w:w="280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232,197,519.93</w:t>
            </w:r>
          </w:p>
        </w:tc>
        <w:tc>
          <w:tcPr>
            <w:tcW w:w="2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-1,367,190.22</w:t>
            </w:r>
          </w:p>
        </w:tc>
        <w:tc>
          <w:tcPr>
            <w:tcW w:w="231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230,830,329.71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七、与上年度财务报告相比，合并报表范围发生变化的情况说明" w:id="69"/>
      <w:bookmarkEnd w:id="69"/>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39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报告期内，合并范围新增</w:t>
      </w:r>
      <w:r>
        <w:rPr>
          <w:rFonts w:ascii="Times New Roman" w:hAnsi="Times New Roman" w:cs="Times New Roman" w:eastAsia="Times New Roman" w:hint="default"/>
          <w:sz w:val="18"/>
          <w:szCs w:val="18"/>
        </w:rPr>
        <w:t>2</w:t>
      </w:r>
      <w:r>
        <w:rPr>
          <w:rFonts w:ascii="宋体" w:hAnsi="宋体" w:cs="宋体" w:eastAsia="宋体" w:hint="default"/>
          <w:sz w:val="18"/>
          <w:szCs w:val="18"/>
        </w:rPr>
        <w:t>家，为山西腾星、汉威香港；合并范围减少</w:t>
      </w:r>
      <w:r>
        <w:rPr>
          <w:rFonts w:ascii="Times New Roman" w:hAnsi="Times New Roman" w:cs="Times New Roman" w:eastAsia="Times New Roman" w:hint="default"/>
          <w:sz w:val="18"/>
          <w:szCs w:val="18"/>
        </w:rPr>
        <w:t>1</w:t>
      </w:r>
      <w:r>
        <w:rPr>
          <w:rFonts w:ascii="宋体" w:hAnsi="宋体" w:cs="宋体" w:eastAsia="宋体" w:hint="default"/>
          <w:sz w:val="18"/>
          <w:szCs w:val="18"/>
        </w:rPr>
        <w:t>家，北京威果。</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聘任、解聘会计师事务所情况" w:id="70"/>
      <w:bookmarkEnd w:id="70"/>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3"/>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855"/>
        <w:gridCol w:w="4842"/>
      </w:tblGrid>
      <w:tr>
        <w:trPr>
          <w:trHeight w:val="412" w:hRule="exact"/>
        </w:trPr>
        <w:tc>
          <w:tcPr>
            <w:tcW w:w="485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84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3" w:hRule="exact"/>
        </w:trPr>
        <w:tc>
          <w:tcPr>
            <w:tcW w:w="48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120</w:t>
            </w:r>
          </w:p>
        </w:tc>
      </w:tr>
      <w:tr>
        <w:trPr>
          <w:trHeight w:val="401" w:hRule="exact"/>
        </w:trPr>
        <w:tc>
          <w:tcPr>
            <w:tcW w:w="48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48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84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郝东升、邓小强</w:t>
            </w:r>
          </w:p>
        </w:tc>
      </w:tr>
      <w:tr>
        <w:trPr>
          <w:trHeight w:val="410" w:hRule="exact"/>
        </w:trPr>
        <w:tc>
          <w:tcPr>
            <w:tcW w:w="485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84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71"/>
      <w:bookmarkEnd w:id="71"/>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破产重整相关事项" w:id="72"/>
      <w:bookmarkEnd w:id="72"/>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3"/>
      <w:bookmarkEnd w:id="73"/>
      <w:r>
        <w:rPr>
          <w:b w:val="0"/>
          <w:bCs w:val="0"/>
        </w:rPr>
      </w:r>
      <w:r>
        <w:rPr/>
        <w:t>十一、重大诉讼、仲裁事项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4"/>
      <w:bookmarkEnd w:id="74"/>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5"/>
      <w:bookmarkEnd w:id="75"/>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73" w:lineRule="auto" w:before="83"/>
        <w:ind w:right="1119" w:firstLine="420"/>
        <w:jc w:val="left"/>
      </w:pPr>
      <w:r>
        <w:rPr>
          <w:spacing w:val="-2"/>
        </w:rPr>
        <w:t>报告期内公司及其控股股东、实际控制人不存在未履行法院生效判决、所负数额较大的债务到期未清</w:t>
      </w:r>
      <w:r>
        <w:rPr>
          <w:w w:val="100"/>
        </w:rPr>
        <w:t> </w:t>
      </w:r>
      <w:r>
        <w:rPr/>
        <w:t>偿等情况。</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十四、公司股权激励计划、员工持股计划或其他员工激励措施的实施情况" w:id="76"/>
      <w:bookmarkEnd w:id="76"/>
      <w:r>
        <w:rPr>
          <w:b w:val="0"/>
          <w:bCs w:val="0"/>
        </w:rPr>
      </w: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4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五、重大关联交易" w:id="77"/>
      <w:bookmarkEnd w:id="77"/>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3"/>
      <w:bookmarkEnd w:id="83"/>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租赁情况说明</w:t>
      </w:r>
    </w:p>
    <w:p>
      <w:pPr>
        <w:pStyle w:val="BodyText"/>
        <w:spacing w:line="240" w:lineRule="auto" w:before="97"/>
        <w:ind w:left="453" w:right="0"/>
        <w:jc w:val="left"/>
      </w:pPr>
      <w:r>
        <w:rPr/>
        <w:t>报告期内，公司充分利用闲置资产，将部分闲置房产对外进行出租，提高了资产使用效率。</w:t>
      </w:r>
    </w:p>
    <w:p>
      <w:pPr>
        <w:spacing w:before="98"/>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1）担保情况" w:id="89"/>
      <w:bookmarkEnd w:id="89"/>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28"/>
        <w:gridCol w:w="941"/>
        <w:gridCol w:w="941"/>
        <w:gridCol w:w="1313"/>
        <w:gridCol w:w="1078"/>
        <w:gridCol w:w="1049"/>
        <w:gridCol w:w="1061"/>
        <w:gridCol w:w="804"/>
        <w:gridCol w:w="782"/>
      </w:tblGrid>
      <w:tr>
        <w:trPr>
          <w:trHeight w:val="412" w:hRule="exact"/>
        </w:trPr>
        <w:tc>
          <w:tcPr>
            <w:tcW w:w="9698" w:type="dxa"/>
            <w:gridSpan w:val="9"/>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0"/>
              <w:ind w:left="258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4" w:right="82"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3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7" w:hRule="exact"/>
        </w:trPr>
        <w:tc>
          <w:tcPr>
            <w:tcW w:w="17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 w:right="72"/>
              <w:jc w:val="left"/>
              <w:rPr>
                <w:rFonts w:ascii="宋体" w:hAnsi="宋体" w:cs="宋体" w:eastAsia="宋体" w:hint="default"/>
                <w:sz w:val="18"/>
                <w:szCs w:val="18"/>
              </w:rPr>
            </w:pPr>
            <w:r>
              <w:rPr>
                <w:rFonts w:ascii="宋体" w:hAnsi="宋体" w:cs="宋体" w:eastAsia="宋体" w:hint="default"/>
                <w:sz w:val="18"/>
                <w:szCs w:val="18"/>
              </w:rPr>
              <w:t>郑州高新梧桐水务有 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2"/>
                <w:szCs w:val="12"/>
              </w:rPr>
            </w:pPr>
            <w:r>
              <w:rPr>
                <w:rFonts w:ascii="Times New Roman"/>
                <w:sz w:val="18"/>
              </w:rPr>
              <w:t>6,500</w:t>
            </w:r>
            <w:r>
              <w:rPr>
                <w:rFonts w:ascii="Times New Roman"/>
                <w:color w:val="FF0000"/>
                <w:position w:val="8"/>
                <w:sz w:val="12"/>
              </w:rPr>
              <w:t>1</w:t>
            </w:r>
            <w:r>
              <w:rPr>
                <w:rFonts w:ascii="Times New Roman"/>
                <w:sz w:val="12"/>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669"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49"/>
              <w:ind w:left="14" w:right="11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54"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48"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2669"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113"/>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54"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6,600</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48"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3,300</w:t>
            </w:r>
          </w:p>
        </w:tc>
      </w:tr>
      <w:tr>
        <w:trPr>
          <w:trHeight w:val="394" w:hRule="exact"/>
        </w:trPr>
        <w:tc>
          <w:tcPr>
            <w:tcW w:w="9698" w:type="dxa"/>
            <w:gridSpan w:val="9"/>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28" w:type="dxa"/>
            <w:vMerge w:val="restart"/>
            <w:tcBorders>
              <w:top w:val="single" w:sz="4" w:space="0" w:color="000000"/>
              <w:left w:val="single" w:sz="12" w:space="0" w:color="000000"/>
              <w:right w:val="single" w:sz="4" w:space="0" w:color="000000"/>
            </w:tcBorders>
            <w:shd w:val="clear" w:color="auto" w:fill="D2D2D2"/>
          </w:tcPr>
          <w:p>
            <w:pPr/>
          </w:p>
        </w:tc>
        <w:tc>
          <w:tcPr>
            <w:tcW w:w="9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7"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1" w:type="dxa"/>
            <w:vMerge w:val="restart"/>
            <w:tcBorders>
              <w:top w:val="single" w:sz="4" w:space="0" w:color="000000"/>
              <w:left w:val="single" w:sz="4" w:space="0" w:color="000000"/>
              <w:right w:val="single" w:sz="4" w:space="0" w:color="000000"/>
            </w:tcBorders>
            <w:shd w:val="clear" w:color="auto" w:fill="D2D2D2"/>
          </w:tcPr>
          <w:p>
            <w:pPr/>
          </w:p>
        </w:tc>
        <w:tc>
          <w:tcPr>
            <w:tcW w:w="1313" w:type="dxa"/>
            <w:vMerge w:val="restart"/>
            <w:tcBorders>
              <w:top w:val="single" w:sz="4" w:space="0" w:color="000000"/>
              <w:left w:val="single" w:sz="4" w:space="0" w:color="000000"/>
              <w:right w:val="single" w:sz="4" w:space="0" w:color="000000"/>
            </w:tcBorders>
            <w:shd w:val="clear" w:color="auto" w:fill="D2D2D2"/>
          </w:tcPr>
          <w:p>
            <w:pPr/>
          </w:p>
        </w:tc>
        <w:tc>
          <w:tcPr>
            <w:tcW w:w="1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
        </w:tc>
        <w:tc>
          <w:tcPr>
            <w:tcW w:w="8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156" w:hRule="exact"/>
        </w:trPr>
        <w:tc>
          <w:tcPr>
            <w:tcW w:w="1728" w:type="dxa"/>
            <w:vMerge/>
            <w:tcBorders>
              <w:left w:val="single" w:sz="12" w:space="0" w:color="000000"/>
              <w:bottom w:val="nil" w:sz="6" w:space="0" w:color="auto"/>
              <w:right w:val="single" w:sz="4" w:space="0" w:color="000000"/>
            </w:tcBorders>
            <w:shd w:val="clear" w:color="auto" w:fill="D2D2D2"/>
          </w:tcPr>
          <w:p>
            <w:pPr/>
          </w:p>
        </w:tc>
        <w:tc>
          <w:tcPr>
            <w:tcW w:w="941" w:type="dxa"/>
            <w:vMerge/>
            <w:tcBorders>
              <w:left w:val="single" w:sz="4" w:space="0" w:color="000000"/>
              <w:right w:val="single" w:sz="4" w:space="0" w:color="000000"/>
            </w:tcBorders>
            <w:shd w:val="clear" w:color="auto" w:fill="D2D2D2"/>
          </w:tcPr>
          <w:p>
            <w:pPr/>
          </w:p>
        </w:tc>
        <w:tc>
          <w:tcPr>
            <w:tcW w:w="941" w:type="dxa"/>
            <w:vMerge/>
            <w:tcBorders>
              <w:left w:val="single" w:sz="4" w:space="0" w:color="000000"/>
              <w:bottom w:val="nil" w:sz="6" w:space="0" w:color="auto"/>
              <w:right w:val="single" w:sz="4" w:space="0" w:color="000000"/>
            </w:tcBorders>
            <w:shd w:val="clear" w:color="auto" w:fill="D2D2D2"/>
          </w:tcPr>
          <w:p>
            <w:pPr/>
          </w:p>
        </w:tc>
        <w:tc>
          <w:tcPr>
            <w:tcW w:w="1313" w:type="dxa"/>
            <w:vMerge/>
            <w:tcBorders>
              <w:left w:val="single" w:sz="4" w:space="0" w:color="000000"/>
              <w:bottom w:val="nil" w:sz="6" w:space="0" w:color="auto"/>
              <w:right w:val="single" w:sz="4" w:space="0" w:color="000000"/>
            </w:tcBorders>
            <w:shd w:val="clear" w:color="auto" w:fill="D2D2D2"/>
          </w:tcPr>
          <w:p>
            <w:pPr/>
          </w:p>
        </w:tc>
        <w:tc>
          <w:tcPr>
            <w:tcW w:w="10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44" w:right="82"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9"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80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6"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vMerge w:val="restart"/>
            <w:tcBorders>
              <w:top w:val="nil" w:sz="6" w:space="0" w:color="auto"/>
              <w:left w:val="single" w:sz="4" w:space="0" w:color="000000"/>
              <w:right w:val="single" w:sz="12" w:space="0" w:color="000000"/>
            </w:tcBorders>
            <w:shd w:val="clear" w:color="auto" w:fill="D2D2D2"/>
          </w:tcPr>
          <w:p>
            <w:pPr>
              <w:pStyle w:val="TableParagraph"/>
              <w:spacing w:line="316" w:lineRule="auto" w:before="49"/>
              <w:ind w:left="26" w:right="1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28"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49"/>
              <w:ind w:right="317"/>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vMerge/>
            <w:tcBorders>
              <w:left w:val="single" w:sz="4" w:space="0" w:color="000000"/>
              <w:right w:val="single" w:sz="4" w:space="0" w:color="000000"/>
            </w:tcBorders>
            <w:shd w:val="clear" w:color="auto" w:fill="D2D2D2"/>
          </w:tcPr>
          <w:p>
            <w:pPr/>
          </w:p>
        </w:tc>
        <w:tc>
          <w:tcPr>
            <w:tcW w:w="9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78" w:type="dxa"/>
            <w:vMerge/>
            <w:tcBorders>
              <w:left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12" w:space="0" w:color="000000"/>
            </w:tcBorders>
            <w:shd w:val="clear" w:color="auto" w:fill="D2D2D2"/>
          </w:tcPr>
          <w:p>
            <w:pPr/>
          </w:p>
        </w:tc>
      </w:tr>
      <w:tr>
        <w:trPr>
          <w:trHeight w:val="156" w:hRule="exact"/>
        </w:trPr>
        <w:tc>
          <w:tcPr>
            <w:tcW w:w="1728" w:type="dxa"/>
            <w:vMerge w:val="restart"/>
            <w:tcBorders>
              <w:top w:val="nil" w:sz="6" w:space="0" w:color="auto"/>
              <w:left w:val="single" w:sz="12" w:space="0" w:color="000000"/>
              <w:right w:val="single" w:sz="4" w:space="0" w:color="000000"/>
            </w:tcBorders>
            <w:shd w:val="clear" w:color="auto" w:fill="D2D2D2"/>
          </w:tcPr>
          <w:p>
            <w:pPr/>
          </w:p>
        </w:tc>
        <w:tc>
          <w:tcPr>
            <w:tcW w:w="941" w:type="dxa"/>
            <w:vMerge/>
            <w:tcBorders>
              <w:left w:val="single" w:sz="4" w:space="0" w:color="000000"/>
              <w:right w:val="single" w:sz="4" w:space="0" w:color="000000"/>
            </w:tcBorders>
            <w:shd w:val="clear" w:color="auto" w:fill="D2D2D2"/>
          </w:tcPr>
          <w:p>
            <w:pPr/>
          </w:p>
        </w:tc>
        <w:tc>
          <w:tcPr>
            <w:tcW w:w="941" w:type="dxa"/>
            <w:vMerge w:val="restart"/>
            <w:tcBorders>
              <w:top w:val="nil" w:sz="6" w:space="0" w:color="auto"/>
              <w:left w:val="single" w:sz="4" w:space="0" w:color="000000"/>
              <w:right w:val="single" w:sz="4" w:space="0" w:color="000000"/>
            </w:tcBorders>
            <w:shd w:val="clear" w:color="auto" w:fill="D2D2D2"/>
          </w:tcPr>
          <w:p>
            <w:pPr/>
          </w:p>
        </w:tc>
        <w:tc>
          <w:tcPr>
            <w:tcW w:w="1313" w:type="dxa"/>
            <w:vMerge w:val="restart"/>
            <w:tcBorders>
              <w:top w:val="nil" w:sz="6" w:space="0" w:color="auto"/>
              <w:left w:val="single" w:sz="4" w:space="0" w:color="000000"/>
              <w:right w:val="single" w:sz="4" w:space="0" w:color="000000"/>
            </w:tcBorders>
            <w:shd w:val="clear" w:color="auto" w:fill="D2D2D2"/>
          </w:tcPr>
          <w:p>
            <w:pPr/>
          </w:p>
        </w:tc>
        <w:tc>
          <w:tcPr>
            <w:tcW w:w="1078" w:type="dxa"/>
            <w:vMerge/>
            <w:tcBorders>
              <w:left w:val="single" w:sz="4" w:space="0" w:color="000000"/>
              <w:bottom w:val="nil" w:sz="6" w:space="0" w:color="auto"/>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804" w:type="dxa"/>
            <w:vMerge/>
            <w:tcBorders>
              <w:left w:val="single" w:sz="4" w:space="0" w:color="000000"/>
              <w:bottom w:val="nil" w:sz="6" w:space="0" w:color="auto"/>
              <w:right w:val="single" w:sz="4" w:space="0" w:color="000000"/>
            </w:tcBorders>
            <w:shd w:val="clear" w:color="auto" w:fill="D2D2D2"/>
          </w:tcPr>
          <w:p>
            <w:pPr/>
          </w:p>
        </w:tc>
        <w:tc>
          <w:tcPr>
            <w:tcW w:w="782" w:type="dxa"/>
            <w:vMerge/>
            <w:tcBorders>
              <w:left w:val="single" w:sz="4" w:space="0" w:color="000000"/>
              <w:bottom w:val="nil" w:sz="6" w:space="0" w:color="auto"/>
              <w:right w:val="single" w:sz="12" w:space="0" w:color="000000"/>
            </w:tcBorders>
            <w:shd w:val="clear" w:color="auto" w:fill="D2D2D2"/>
          </w:tcPr>
          <w:p>
            <w:pPr/>
          </w:p>
        </w:tc>
      </w:tr>
      <w:tr>
        <w:trPr>
          <w:trHeight w:val="161" w:hRule="exact"/>
        </w:trPr>
        <w:tc>
          <w:tcPr>
            <w:tcW w:w="1728" w:type="dxa"/>
            <w:vMerge/>
            <w:tcBorders>
              <w:left w:val="single" w:sz="12" w:space="0" w:color="000000"/>
              <w:bottom w:val="single" w:sz="4" w:space="0" w:color="000000"/>
              <w:right w:val="single" w:sz="4" w:space="0" w:color="000000"/>
            </w:tcBorders>
            <w:shd w:val="clear" w:color="auto" w:fill="D2D2D2"/>
          </w:tcPr>
          <w:p>
            <w:pPr/>
          </w:p>
        </w:tc>
        <w:tc>
          <w:tcPr>
            <w:tcW w:w="941" w:type="dxa"/>
            <w:vMerge/>
            <w:tcBorders>
              <w:left w:val="single" w:sz="4" w:space="0" w:color="000000"/>
              <w:bottom w:val="single" w:sz="4" w:space="0" w:color="000000"/>
              <w:right w:val="single" w:sz="4" w:space="0" w:color="000000"/>
            </w:tcBorders>
            <w:shd w:val="clear" w:color="auto" w:fill="D2D2D2"/>
          </w:tcPr>
          <w:p>
            <w:pPr/>
          </w:p>
        </w:tc>
        <w:tc>
          <w:tcPr>
            <w:tcW w:w="941" w:type="dxa"/>
            <w:vMerge/>
            <w:tcBorders>
              <w:left w:val="single" w:sz="4" w:space="0" w:color="000000"/>
              <w:bottom w:val="single" w:sz="4" w:space="0" w:color="000000"/>
              <w:right w:val="single" w:sz="4" w:space="0" w:color="000000"/>
            </w:tcBorders>
            <w:shd w:val="clear" w:color="auto" w:fill="D2D2D2"/>
          </w:tcPr>
          <w:p>
            <w:pPr/>
          </w:p>
        </w:tc>
        <w:tc>
          <w:tcPr>
            <w:tcW w:w="1313" w:type="dxa"/>
            <w:vMerge/>
            <w:tcBorders>
              <w:left w:val="single" w:sz="4" w:space="0" w:color="000000"/>
              <w:bottom w:val="single" w:sz="4" w:space="0" w:color="000000"/>
              <w:right w:val="single" w:sz="4" w:space="0" w:color="000000"/>
            </w:tcBorders>
            <w:shd w:val="clear" w:color="auto" w:fill="D2D2D2"/>
          </w:tcPr>
          <w:p>
            <w:pPr/>
          </w:p>
        </w:tc>
        <w:tc>
          <w:tcPr>
            <w:tcW w:w="1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1027" w:hRule="exact"/>
        </w:trPr>
        <w:tc>
          <w:tcPr>
            <w:tcW w:w="17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4" w:hRule="exact"/>
        </w:trPr>
        <w:tc>
          <w:tcPr>
            <w:tcW w:w="172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9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3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28"/>
        <w:gridCol w:w="929"/>
        <w:gridCol w:w="927"/>
        <w:gridCol w:w="1343"/>
        <w:gridCol w:w="1056"/>
        <w:gridCol w:w="1060"/>
        <w:gridCol w:w="1067"/>
        <w:gridCol w:w="797"/>
        <w:gridCol w:w="792"/>
      </w:tblGrid>
      <w:tr>
        <w:trPr>
          <w:trHeight w:val="724" w:hRule="exact"/>
        </w:trPr>
        <w:tc>
          <w:tcPr>
            <w:tcW w:w="2657" w:type="dxa"/>
            <w:gridSpan w:val="2"/>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0"/>
              <w:ind w:left="14" w:right="10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69" w:type="dxa"/>
            <w:gridSpan w:val="2"/>
            <w:tcBorders>
              <w:top w:val="single" w:sz="12" w:space="0" w:color="000000"/>
              <w:left w:val="single" w:sz="10" w:space="0" w:color="D2D2D2"/>
              <w:bottom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3,000</w:t>
            </w:r>
          </w:p>
        </w:tc>
        <w:tc>
          <w:tcPr>
            <w:tcW w:w="2115"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 w:right="10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56" w:type="dxa"/>
            <w:gridSpan w:val="3"/>
            <w:tcBorders>
              <w:top w:val="single" w:sz="12" w:space="0" w:color="000000"/>
              <w:left w:val="single" w:sz="13" w:space="0" w:color="D2D2D2"/>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3,000</w:t>
            </w:r>
          </w:p>
        </w:tc>
      </w:tr>
      <w:tr>
        <w:trPr>
          <w:trHeight w:val="718" w:hRule="exact"/>
        </w:trPr>
        <w:tc>
          <w:tcPr>
            <w:tcW w:w="2657"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10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69"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5,850</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10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56"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5,850</w:t>
            </w:r>
          </w:p>
        </w:tc>
      </w:tr>
      <w:tr>
        <w:trPr>
          <w:trHeight w:val="394" w:hRule="exact"/>
        </w:trPr>
        <w:tc>
          <w:tcPr>
            <w:tcW w:w="9698" w:type="dxa"/>
            <w:gridSpan w:val="9"/>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28" w:type="dxa"/>
            <w:vMerge w:val="restart"/>
            <w:tcBorders>
              <w:top w:val="single" w:sz="4" w:space="0" w:color="000000"/>
              <w:left w:val="single" w:sz="12" w:space="0" w:color="000000"/>
              <w:right w:val="single" w:sz="4" w:space="0" w:color="000000"/>
            </w:tcBorders>
            <w:shd w:val="clear" w:color="auto" w:fill="D2D2D2"/>
          </w:tcPr>
          <w:p>
            <w:pP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8"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7" w:type="dxa"/>
            <w:vMerge w:val="restart"/>
            <w:tcBorders>
              <w:top w:val="single" w:sz="4" w:space="0" w:color="000000"/>
              <w:left w:val="single" w:sz="4" w:space="0" w:color="000000"/>
              <w:right w:val="single" w:sz="4" w:space="0" w:color="000000"/>
            </w:tcBorders>
            <w:shd w:val="clear" w:color="auto" w:fill="D2D2D2"/>
          </w:tcPr>
          <w:p>
            <w:pPr/>
          </w:p>
        </w:tc>
        <w:tc>
          <w:tcPr>
            <w:tcW w:w="1343" w:type="dxa"/>
            <w:vMerge w:val="restart"/>
            <w:tcBorders>
              <w:top w:val="single" w:sz="4" w:space="0" w:color="000000"/>
              <w:left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0" w:type="dxa"/>
            <w:vMerge w:val="restart"/>
            <w:tcBorders>
              <w:top w:val="single" w:sz="4" w:space="0" w:color="000000"/>
              <w:left w:val="single" w:sz="4" w:space="0" w:color="000000"/>
              <w:right w:val="single" w:sz="4" w:space="0" w:color="000000"/>
            </w:tcBorders>
            <w:shd w:val="clear" w:color="auto" w:fill="D2D2D2"/>
          </w:tcPr>
          <w:p>
            <w:pPr/>
          </w:p>
        </w:tc>
        <w:tc>
          <w:tcPr>
            <w:tcW w:w="1067" w:type="dxa"/>
            <w:vMerge w:val="restart"/>
            <w:tcBorders>
              <w:top w:val="single" w:sz="4" w:space="0" w:color="000000"/>
              <w:left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156" w:hRule="exact"/>
        </w:trPr>
        <w:tc>
          <w:tcPr>
            <w:tcW w:w="1728" w:type="dxa"/>
            <w:vMerge/>
            <w:tcBorders>
              <w:left w:val="single" w:sz="12" w:space="0" w:color="000000"/>
              <w:bottom w:val="nil" w:sz="6" w:space="0" w:color="auto"/>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927" w:type="dxa"/>
            <w:vMerge/>
            <w:tcBorders>
              <w:left w:val="single" w:sz="4" w:space="0" w:color="000000"/>
              <w:bottom w:val="nil" w:sz="6" w:space="0" w:color="auto"/>
              <w:right w:val="single" w:sz="4" w:space="0" w:color="000000"/>
            </w:tcBorders>
            <w:shd w:val="clear" w:color="auto" w:fill="D2D2D2"/>
          </w:tcPr>
          <w:p>
            <w:pPr/>
          </w:p>
        </w:tc>
        <w:tc>
          <w:tcPr>
            <w:tcW w:w="1343" w:type="dxa"/>
            <w:vMerge/>
            <w:tcBorders>
              <w:left w:val="single" w:sz="4" w:space="0" w:color="000000"/>
              <w:bottom w:val="nil" w:sz="6" w:space="0" w:color="auto"/>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1" w:right="72"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60" w:type="dxa"/>
            <w:vMerge/>
            <w:tcBorders>
              <w:left w:val="single" w:sz="4" w:space="0" w:color="000000"/>
              <w:bottom w:val="nil" w:sz="6" w:space="0" w:color="auto"/>
              <w:right w:val="single" w:sz="4" w:space="0" w:color="000000"/>
            </w:tcBorders>
            <w:shd w:val="clear" w:color="auto" w:fill="D2D2D2"/>
          </w:tcPr>
          <w:p>
            <w:pPr/>
          </w:p>
        </w:tc>
        <w:tc>
          <w:tcPr>
            <w:tcW w:w="106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2" w:type="dxa"/>
            <w:vMerge w:val="restart"/>
            <w:tcBorders>
              <w:top w:val="nil" w:sz="6" w:space="0" w:color="auto"/>
              <w:left w:val="single" w:sz="4" w:space="0" w:color="000000"/>
              <w:right w:val="single" w:sz="12" w:space="0" w:color="000000"/>
            </w:tcBorders>
            <w:shd w:val="clear" w:color="auto" w:fill="D2D2D2"/>
          </w:tcPr>
          <w:p>
            <w:pPr>
              <w:pStyle w:val="TableParagraph"/>
              <w:spacing w:line="316" w:lineRule="auto" w:before="49"/>
              <w:ind w:left="31" w:right="1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28"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9" w:type="dxa"/>
            <w:vMerge/>
            <w:tcBorders>
              <w:left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6" w:type="dxa"/>
            <w:vMerge/>
            <w:tcBorders>
              <w:left w:val="single" w:sz="4" w:space="0" w:color="000000"/>
              <w:right w:val="single" w:sz="4" w:space="0" w:color="000000"/>
            </w:tcBorders>
            <w:shd w:val="clear" w:color="auto" w:fill="D2D2D2"/>
          </w:tcPr>
          <w:p>
            <w:pPr/>
          </w:p>
        </w:tc>
        <w:tc>
          <w:tcPr>
            <w:tcW w:w="10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7" w:type="dxa"/>
            <w:vMerge/>
            <w:tcBorders>
              <w:left w:val="single" w:sz="4" w:space="0" w:color="000000"/>
              <w:right w:val="single" w:sz="4" w:space="0" w:color="000000"/>
            </w:tcBorders>
            <w:shd w:val="clear" w:color="auto" w:fill="D2D2D2"/>
          </w:tcPr>
          <w:p>
            <w:pPr/>
          </w:p>
        </w:tc>
        <w:tc>
          <w:tcPr>
            <w:tcW w:w="792" w:type="dxa"/>
            <w:vMerge/>
            <w:tcBorders>
              <w:left w:val="single" w:sz="4" w:space="0" w:color="000000"/>
              <w:right w:val="single" w:sz="12" w:space="0" w:color="000000"/>
            </w:tcBorders>
            <w:shd w:val="clear" w:color="auto" w:fill="D2D2D2"/>
          </w:tcPr>
          <w:p>
            <w:pPr/>
          </w:p>
        </w:tc>
      </w:tr>
      <w:tr>
        <w:trPr>
          <w:trHeight w:val="156" w:hRule="exact"/>
        </w:trPr>
        <w:tc>
          <w:tcPr>
            <w:tcW w:w="1728" w:type="dxa"/>
            <w:vMerge w:val="restart"/>
            <w:tcBorders>
              <w:top w:val="nil" w:sz="6" w:space="0" w:color="auto"/>
              <w:left w:val="single" w:sz="12"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927" w:type="dxa"/>
            <w:vMerge w:val="restart"/>
            <w:tcBorders>
              <w:top w:val="nil" w:sz="6" w:space="0" w:color="auto"/>
              <w:left w:val="single" w:sz="4" w:space="0" w:color="000000"/>
              <w:right w:val="single" w:sz="4" w:space="0" w:color="000000"/>
            </w:tcBorders>
            <w:shd w:val="clear" w:color="auto" w:fill="D2D2D2"/>
          </w:tcPr>
          <w:p>
            <w:pPr/>
          </w:p>
        </w:tc>
        <w:tc>
          <w:tcPr>
            <w:tcW w:w="1343" w:type="dxa"/>
            <w:vMerge w:val="restart"/>
            <w:tcBorders>
              <w:top w:val="nil" w:sz="6" w:space="0" w:color="auto"/>
              <w:left w:val="single" w:sz="4" w:space="0" w:color="000000"/>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1060" w:type="dxa"/>
            <w:vMerge w:val="restart"/>
            <w:tcBorders>
              <w:top w:val="nil" w:sz="6" w:space="0" w:color="auto"/>
              <w:left w:val="single" w:sz="4" w:space="0" w:color="000000"/>
              <w:right w:val="single" w:sz="4" w:space="0" w:color="000000"/>
            </w:tcBorders>
            <w:shd w:val="clear" w:color="auto" w:fill="D2D2D2"/>
          </w:tcPr>
          <w:p>
            <w:pPr/>
          </w:p>
        </w:tc>
        <w:tc>
          <w:tcPr>
            <w:tcW w:w="1067"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12" w:space="0" w:color="000000"/>
            </w:tcBorders>
            <w:shd w:val="clear" w:color="auto" w:fill="D2D2D2"/>
          </w:tcPr>
          <w:p>
            <w:pPr/>
          </w:p>
        </w:tc>
      </w:tr>
      <w:tr>
        <w:trPr>
          <w:trHeight w:val="161" w:hRule="exact"/>
        </w:trPr>
        <w:tc>
          <w:tcPr>
            <w:tcW w:w="1728" w:type="dxa"/>
            <w:vMerge/>
            <w:tcBorders>
              <w:left w:val="single" w:sz="12"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1343" w:type="dxa"/>
            <w:vMerge/>
            <w:tcBorders>
              <w:left w:val="single" w:sz="4" w:space="0" w:color="000000"/>
              <w:bottom w:val="single" w:sz="4" w:space="0" w:color="000000"/>
              <w:right w:val="single" w:sz="4" w:space="0" w:color="000000"/>
            </w:tcBorders>
            <w:shd w:val="clear" w:color="auto" w:fill="D2D2D2"/>
          </w:tcPr>
          <w:p>
            <w:pPr/>
          </w:p>
        </w:tc>
        <w:tc>
          <w:tcPr>
            <w:tcW w:w="10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0" w:type="dxa"/>
            <w:vMerge/>
            <w:tcBorders>
              <w:left w:val="single" w:sz="4" w:space="0" w:color="000000"/>
              <w:bottom w:val="single" w:sz="4" w:space="0" w:color="000000"/>
              <w:right w:val="single" w:sz="4" w:space="0" w:color="000000"/>
            </w:tcBorders>
            <w:shd w:val="clear" w:color="auto" w:fill="D2D2D2"/>
          </w:tcPr>
          <w:p>
            <w:pPr/>
          </w:p>
        </w:tc>
        <w:tc>
          <w:tcPr>
            <w:tcW w:w="106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1340" w:hRule="exact"/>
        </w:trPr>
        <w:tc>
          <w:tcPr>
            <w:tcW w:w="17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光山嘉园</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2026</w:t>
            </w:r>
          </w:p>
          <w:p>
            <w:pPr>
              <w:pStyle w:val="TableParagraph"/>
              <w:spacing w:line="240" w:lineRule="auto" w:before="63"/>
              <w:ind w:left="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2029</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4"/>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57"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10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69"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10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56"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657"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49"/>
              <w:ind w:left="14" w:right="10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69"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9,900</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0" w:right="10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56"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5"/>
                <w:sz w:val="18"/>
              </w:rPr>
              <w:t>8,410.09</w:t>
            </w:r>
          </w:p>
        </w:tc>
      </w:tr>
      <w:tr>
        <w:trPr>
          <w:trHeight w:val="391" w:hRule="exact"/>
        </w:trPr>
        <w:tc>
          <w:tcPr>
            <w:tcW w:w="9698" w:type="dxa"/>
            <w:gridSpan w:val="9"/>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657"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69"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3,000</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 w:right="10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56"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3,000</w:t>
            </w:r>
          </w:p>
        </w:tc>
      </w:tr>
      <w:tr>
        <w:trPr>
          <w:trHeight w:val="713" w:hRule="exact"/>
        </w:trPr>
        <w:tc>
          <w:tcPr>
            <w:tcW w:w="2657"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69"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22,350</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 w:right="10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56" w:type="dxa"/>
            <w:gridSpan w:val="3"/>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17,560.09</w:t>
            </w:r>
          </w:p>
        </w:tc>
      </w:tr>
      <w:tr>
        <w:trPr>
          <w:trHeight w:val="408" w:hRule="exact"/>
        </w:trPr>
        <w:tc>
          <w:tcPr>
            <w:tcW w:w="492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71" w:type="dxa"/>
            <w:gridSpan w:val="5"/>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13.05%</w:t>
            </w:r>
          </w:p>
        </w:tc>
      </w:tr>
      <w:tr>
        <w:trPr>
          <w:trHeight w:val="391" w:hRule="exact"/>
        </w:trPr>
        <w:tc>
          <w:tcPr>
            <w:tcW w:w="9698" w:type="dxa"/>
            <w:gridSpan w:val="9"/>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92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71" w:type="dxa"/>
            <w:gridSpan w:val="5"/>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92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4" w:right="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 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71" w:type="dxa"/>
            <w:gridSpan w:val="5"/>
            <w:tcBorders>
              <w:top w:val="single" w:sz="4" w:space="0" w:color="000000"/>
              <w:left w:val="single" w:sz="10" w:space="0" w:color="D2D2D2"/>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92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71" w:type="dxa"/>
            <w:gridSpan w:val="5"/>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92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71" w:type="dxa"/>
            <w:gridSpan w:val="5"/>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492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31"/>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 责任的情况说明（如有）</w:t>
            </w:r>
          </w:p>
        </w:tc>
        <w:tc>
          <w:tcPr>
            <w:tcW w:w="4771" w:type="dxa"/>
            <w:gridSpan w:val="5"/>
            <w:tcBorders>
              <w:top w:val="single" w:sz="4" w:space="0" w:color="000000"/>
              <w:left w:val="single" w:sz="10" w:space="0" w:color="D2D2D2"/>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2"/>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10" w:hRule="exact"/>
        </w:trPr>
        <w:tc>
          <w:tcPr>
            <w:tcW w:w="4927" w:type="dxa"/>
            <w:gridSpan w:val="4"/>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71" w:type="dxa"/>
            <w:gridSpan w:val="5"/>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郑州高新梧桐水务有</w:t>
      </w:r>
      <w:r>
        <w:rPr>
          <w:rFonts w:ascii="宋体" w:hAnsi="宋体" w:cs="宋体" w:eastAsia="宋体" w:hint="default"/>
          <w:spacing w:val="-3"/>
          <w:sz w:val="18"/>
          <w:szCs w:val="18"/>
        </w:rPr>
        <w:t>限</w:t>
      </w:r>
      <w:r>
        <w:rPr>
          <w:rFonts w:ascii="宋体" w:hAnsi="宋体" w:cs="宋体" w:eastAsia="宋体" w:hint="default"/>
          <w:sz w:val="18"/>
          <w:szCs w:val="18"/>
        </w:rPr>
        <w:t>公司已为本次担保提供了反担保保证措施，并签署了《反担保抵押合同</w:t>
      </w:r>
      <w:r>
        <w:rPr>
          <w:rFonts w:ascii="宋体" w:hAnsi="宋体" w:cs="宋体" w:eastAsia="宋体" w:hint="default"/>
          <w:spacing w:val="-92"/>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2）违规对外担保情况" w:id="90"/>
      <w:bookmarkEnd w:id="90"/>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787"/>
            <w:col w:w="2190"/>
          </w:cols>
        </w:sectPr>
      </w:pP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894"/>
        <w:gridCol w:w="1988"/>
        <w:gridCol w:w="2009"/>
        <w:gridCol w:w="1935"/>
        <w:gridCol w:w="1872"/>
      </w:tblGrid>
      <w:tr>
        <w:trPr>
          <w:trHeight w:val="396" w:hRule="exact"/>
        </w:trPr>
        <w:tc>
          <w:tcPr>
            <w:tcW w:w="18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5"/>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8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80"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0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371"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3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513"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7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5"/>
              <w:ind w:left="21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87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413" w:hRule="exact"/>
        </w:trPr>
        <w:tc>
          <w:tcPr>
            <w:tcW w:w="3882" w:type="dxa"/>
            <w:gridSpan w:val="2"/>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19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87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5"/>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spacing w:line="508" w:lineRule="auto" w:before="0"/>
        <w:ind w:left="573" w:right="2348" w:hanging="421"/>
        <w:jc w:val="left"/>
        <w:rPr>
          <w:rFonts w:ascii="宋体" w:hAnsi="宋体" w:cs="宋体" w:eastAsia="宋体" w:hint="default"/>
          <w:sz w:val="21"/>
          <w:szCs w:val="21"/>
        </w:rPr>
      </w:pPr>
      <w:bookmarkStart w:name="1、履行社会责任情况" w:id="96"/>
      <w:bookmarkEnd w:id="9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具体内容请查看公司于巨潮资讯网刊登的《</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年度社会责任报告》。</w:t>
      </w:r>
    </w:p>
    <w:p>
      <w:pPr>
        <w:spacing w:line="568" w:lineRule="auto" w:before="61"/>
        <w:ind w:left="573" w:right="2348" w:hanging="421"/>
        <w:jc w:val="left"/>
        <w:rPr>
          <w:rFonts w:ascii="宋体" w:hAnsi="宋体" w:cs="宋体" w:eastAsia="宋体" w:hint="default"/>
          <w:sz w:val="21"/>
          <w:szCs w:val="21"/>
        </w:rPr>
      </w:pPr>
      <w:bookmarkStart w:name="2、履行精准扶贫社会责任情况" w:id="97"/>
      <w:bookmarkEnd w:id="9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公司报告年度暂未开展精准扶贫工作，也暂无后续精准扶贫计划。</w:t>
      </w:r>
    </w:p>
    <w:p>
      <w:pPr>
        <w:spacing w:after="0" w:line="568"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是</w:t>
      </w:r>
    </w:p>
    <w:tbl>
      <w:tblPr>
        <w:tblW w:w="0" w:type="auto"/>
        <w:jc w:val="left"/>
        <w:tblInd w:w="109" w:type="dxa"/>
        <w:tblLayout w:type="fixed"/>
        <w:tblCellMar>
          <w:top w:w="0" w:type="dxa"/>
          <w:left w:w="0" w:type="dxa"/>
          <w:bottom w:w="0" w:type="dxa"/>
          <w:right w:w="0" w:type="dxa"/>
        </w:tblCellMar>
        <w:tblLook w:val="01E0"/>
      </w:tblPr>
      <w:tblGrid>
        <w:gridCol w:w="905"/>
        <w:gridCol w:w="898"/>
        <w:gridCol w:w="901"/>
        <w:gridCol w:w="898"/>
        <w:gridCol w:w="898"/>
        <w:gridCol w:w="941"/>
        <w:gridCol w:w="1596"/>
        <w:gridCol w:w="913"/>
        <w:gridCol w:w="910"/>
        <w:gridCol w:w="840"/>
      </w:tblGrid>
      <w:tr>
        <w:trPr>
          <w:trHeight w:val="1349" w:hRule="exact"/>
        </w:trPr>
        <w:tc>
          <w:tcPr>
            <w:tcW w:w="90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87"/>
              <w:jc w:val="left"/>
              <w:rPr>
                <w:rFonts w:ascii="宋体" w:hAnsi="宋体" w:cs="宋体" w:eastAsia="宋体" w:hint="default"/>
                <w:sz w:val="18"/>
                <w:szCs w:val="18"/>
              </w:rPr>
            </w:pPr>
            <w:r>
              <w:rPr>
                <w:rFonts w:ascii="宋体" w:hAnsi="宋体" w:cs="宋体" w:eastAsia="宋体" w:hint="default"/>
                <w:sz w:val="18"/>
                <w:szCs w:val="18"/>
              </w:rPr>
              <w:t>公司或子 公司名称</w:t>
            </w:r>
          </w:p>
        </w:tc>
        <w:tc>
          <w:tcPr>
            <w:tcW w:w="89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3"/>
              <w:jc w:val="center"/>
              <w:rPr>
                <w:rFonts w:ascii="宋体" w:hAnsi="宋体" w:cs="宋体" w:eastAsia="宋体" w:hint="default"/>
                <w:sz w:val="18"/>
                <w:szCs w:val="18"/>
              </w:rPr>
            </w:pPr>
            <w:r>
              <w:rPr>
                <w:rFonts w:ascii="宋体" w:hAnsi="宋体" w:cs="宋体" w:eastAsia="宋体" w:hint="default"/>
                <w:sz w:val="18"/>
                <w:szCs w:val="18"/>
              </w:rPr>
              <w:t>主要污染 物及特征 污染物的 名称</w:t>
            </w:r>
          </w:p>
        </w:tc>
        <w:tc>
          <w:tcPr>
            <w:tcW w:w="90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89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55" w:right="83" w:hanging="272"/>
              <w:jc w:val="left"/>
              <w:rPr>
                <w:rFonts w:ascii="宋体" w:hAnsi="宋体" w:cs="宋体" w:eastAsia="宋体" w:hint="default"/>
                <w:sz w:val="18"/>
                <w:szCs w:val="18"/>
              </w:rPr>
            </w:pPr>
            <w:r>
              <w:rPr>
                <w:rFonts w:ascii="宋体" w:hAnsi="宋体" w:cs="宋体" w:eastAsia="宋体" w:hint="default"/>
                <w:sz w:val="18"/>
                <w:szCs w:val="18"/>
              </w:rPr>
              <w:t>排放口数 量</w:t>
            </w:r>
          </w:p>
        </w:tc>
        <w:tc>
          <w:tcPr>
            <w:tcW w:w="89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75" w:right="83" w:hanging="92"/>
              <w:jc w:val="left"/>
              <w:rPr>
                <w:rFonts w:ascii="宋体" w:hAnsi="宋体" w:cs="宋体" w:eastAsia="宋体" w:hint="default"/>
                <w:sz w:val="18"/>
                <w:szCs w:val="18"/>
              </w:rPr>
            </w:pPr>
            <w:r>
              <w:rPr>
                <w:rFonts w:ascii="宋体" w:hAnsi="宋体" w:cs="宋体" w:eastAsia="宋体" w:hint="default"/>
                <w:sz w:val="18"/>
                <w:szCs w:val="18"/>
              </w:rPr>
              <w:t>排放口分 布情况</w:t>
            </w:r>
          </w:p>
        </w:tc>
        <w:tc>
          <w:tcPr>
            <w:tcW w:w="94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15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14" w:right="71" w:hanging="540"/>
              <w:jc w:val="left"/>
              <w:rPr>
                <w:rFonts w:ascii="宋体" w:hAnsi="宋体" w:cs="宋体" w:eastAsia="宋体" w:hint="default"/>
                <w:sz w:val="18"/>
                <w:szCs w:val="18"/>
              </w:rPr>
            </w:pPr>
            <w:r>
              <w:rPr>
                <w:rFonts w:ascii="宋体" w:hAnsi="宋体" w:cs="宋体" w:eastAsia="宋体" w:hint="default"/>
                <w:sz w:val="18"/>
                <w:szCs w:val="18"/>
              </w:rPr>
              <w:t>执行的污染物排放 标准</w:t>
            </w:r>
          </w:p>
        </w:tc>
        <w:tc>
          <w:tcPr>
            <w:tcW w:w="9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79" w:right="86" w:hanging="89"/>
              <w:jc w:val="left"/>
              <w:rPr>
                <w:rFonts w:ascii="宋体" w:hAnsi="宋体" w:cs="宋体" w:eastAsia="宋体" w:hint="default"/>
                <w:sz w:val="18"/>
                <w:szCs w:val="18"/>
              </w:rPr>
            </w:pPr>
            <w:r>
              <w:rPr>
                <w:rFonts w:ascii="宋体" w:hAnsi="宋体" w:cs="宋体" w:eastAsia="宋体" w:hint="default"/>
                <w:sz w:val="18"/>
                <w:szCs w:val="18"/>
              </w:rPr>
              <w:t>核定的排 放总量</w:t>
            </w:r>
          </w:p>
        </w:tc>
        <w:tc>
          <w:tcPr>
            <w:tcW w:w="84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5" w:right="43" w:hanging="180"/>
              <w:jc w:val="left"/>
              <w:rPr>
                <w:rFonts w:ascii="宋体" w:hAnsi="宋体" w:cs="宋体" w:eastAsia="宋体" w:hint="default"/>
                <w:sz w:val="18"/>
                <w:szCs w:val="18"/>
              </w:rPr>
            </w:pPr>
            <w:r>
              <w:rPr>
                <w:rFonts w:ascii="宋体" w:hAnsi="宋体" w:cs="宋体" w:eastAsia="宋体" w:hint="default"/>
                <w:sz w:val="18"/>
                <w:szCs w:val="18"/>
              </w:rPr>
              <w:t>超标排放 情况</w:t>
            </w:r>
          </w:p>
        </w:tc>
      </w:tr>
      <w:tr>
        <w:trPr>
          <w:trHeight w:val="1025" w:hRule="exact"/>
        </w:trPr>
        <w:tc>
          <w:tcPr>
            <w:tcW w:w="9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COD</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东山双东 污水处理 厂总排口</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15.182mg/L</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GB18918-2002</w:t>
            </w:r>
            <w:r>
              <w:rPr>
                <w:rFonts w:ascii="宋体" w:hAnsi="宋体" w:cs="宋体" w:eastAsia="宋体" w:hint="default"/>
                <w:sz w:val="18"/>
                <w:szCs w:val="18"/>
              </w:rPr>
              <w:t>《城</w:t>
            </w:r>
          </w:p>
          <w:p>
            <w:pPr>
              <w:pStyle w:val="TableParagraph"/>
              <w:spacing w:line="316"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镇污水处理厂污染 </w:t>
            </w:r>
            <w:r>
              <w:rPr>
                <w:rFonts w:ascii="宋体" w:hAnsi="宋体" w:cs="宋体" w:eastAsia="宋体" w:hint="default"/>
                <w:spacing w:val="-10"/>
                <w:sz w:val="18"/>
                <w:szCs w:val="18"/>
              </w:rPr>
              <w:t>物排放标准》一级</w:t>
            </w:r>
            <w:r>
              <w:rPr>
                <w:rFonts w:ascii="宋体" w:hAnsi="宋体" w:cs="宋体" w:eastAsia="宋体" w:hint="default"/>
                <w:spacing w:val="-40"/>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140159kg</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140159kg</w:t>
            </w:r>
          </w:p>
        </w:tc>
        <w:tc>
          <w:tcPr>
            <w:tcW w:w="8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8" w:hRule="exact"/>
        </w:trPr>
        <w:tc>
          <w:tcPr>
            <w:tcW w:w="9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BOD</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东山双东 污水处理 厂总排口</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4.8mg/L</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GB18918-2002</w:t>
            </w:r>
            <w:r>
              <w:rPr>
                <w:rFonts w:ascii="宋体" w:hAnsi="宋体" w:cs="宋体" w:eastAsia="宋体" w:hint="default"/>
                <w:sz w:val="18"/>
                <w:szCs w:val="18"/>
              </w:rPr>
              <w:t>《城</w:t>
            </w:r>
          </w:p>
          <w:p>
            <w:pPr>
              <w:pStyle w:val="TableParagraph"/>
              <w:spacing w:line="316"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镇污水处理厂污染 </w:t>
            </w:r>
            <w:r>
              <w:rPr>
                <w:rFonts w:ascii="宋体" w:hAnsi="宋体" w:cs="宋体" w:eastAsia="宋体" w:hint="default"/>
                <w:spacing w:val="-10"/>
                <w:sz w:val="18"/>
                <w:szCs w:val="18"/>
              </w:rPr>
              <w:t>物排放标准》一级</w:t>
            </w:r>
            <w:r>
              <w:rPr>
                <w:rFonts w:ascii="宋体" w:hAnsi="宋体" w:cs="宋体" w:eastAsia="宋体" w:hint="default"/>
                <w:spacing w:val="-40"/>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44438kg</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44438kg</w:t>
            </w:r>
          </w:p>
        </w:tc>
        <w:tc>
          <w:tcPr>
            <w:tcW w:w="8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9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SS</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东山双东 污水处理 厂总排口</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6.0mg/L</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GB18918-2002</w:t>
            </w:r>
            <w:r>
              <w:rPr>
                <w:rFonts w:ascii="宋体" w:hAnsi="宋体" w:cs="宋体" w:eastAsia="宋体" w:hint="default"/>
                <w:sz w:val="18"/>
                <w:szCs w:val="18"/>
              </w:rPr>
              <w:t>《城</w:t>
            </w:r>
          </w:p>
          <w:p>
            <w:pPr>
              <w:pStyle w:val="TableParagraph"/>
              <w:spacing w:line="316"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镇污水处理厂污染 </w:t>
            </w:r>
            <w:r>
              <w:rPr>
                <w:rFonts w:ascii="宋体" w:hAnsi="宋体" w:cs="宋体" w:eastAsia="宋体" w:hint="default"/>
                <w:spacing w:val="-10"/>
                <w:sz w:val="18"/>
                <w:szCs w:val="18"/>
              </w:rPr>
              <w:t>物排放标准》一级</w:t>
            </w:r>
            <w:r>
              <w:rPr>
                <w:rFonts w:ascii="宋体" w:hAnsi="宋体" w:cs="宋体" w:eastAsia="宋体" w:hint="default"/>
                <w:spacing w:val="-40"/>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59159kg</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59159kg</w:t>
            </w:r>
          </w:p>
        </w:tc>
        <w:tc>
          <w:tcPr>
            <w:tcW w:w="8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9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东山双东 污水处理 厂总排口</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1.000mg/L</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GB18918-2002</w:t>
            </w:r>
            <w:r>
              <w:rPr>
                <w:rFonts w:ascii="宋体" w:hAnsi="宋体" w:cs="宋体" w:eastAsia="宋体" w:hint="default"/>
                <w:sz w:val="18"/>
                <w:szCs w:val="18"/>
              </w:rPr>
              <w:t>《城</w:t>
            </w:r>
          </w:p>
          <w:p>
            <w:pPr>
              <w:pStyle w:val="TableParagraph"/>
              <w:spacing w:line="316"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镇污水处理厂污染 </w:t>
            </w:r>
            <w:r>
              <w:rPr>
                <w:rFonts w:ascii="宋体" w:hAnsi="宋体" w:cs="宋体" w:eastAsia="宋体" w:hint="default"/>
                <w:spacing w:val="-10"/>
                <w:sz w:val="18"/>
                <w:szCs w:val="18"/>
              </w:rPr>
              <w:t>物排放标准》一级</w:t>
            </w:r>
            <w:r>
              <w:rPr>
                <w:rFonts w:ascii="宋体" w:hAnsi="宋体" w:cs="宋体" w:eastAsia="宋体" w:hint="default"/>
                <w:spacing w:val="-40"/>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9231kg</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9231kg</w:t>
            </w:r>
          </w:p>
        </w:tc>
        <w:tc>
          <w:tcPr>
            <w:tcW w:w="8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9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TN</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东山双东 污水处理 厂总排口</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9.808mg/L</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GB18918-2002</w:t>
            </w:r>
            <w:r>
              <w:rPr>
                <w:rFonts w:ascii="宋体" w:hAnsi="宋体" w:cs="宋体" w:eastAsia="宋体" w:hint="default"/>
                <w:sz w:val="18"/>
                <w:szCs w:val="18"/>
              </w:rPr>
              <w:t>《城</w:t>
            </w:r>
          </w:p>
          <w:p>
            <w:pPr>
              <w:pStyle w:val="TableParagraph"/>
              <w:spacing w:line="319"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镇污水处理厂污染 </w:t>
            </w:r>
            <w:r>
              <w:rPr>
                <w:rFonts w:ascii="宋体" w:hAnsi="宋体" w:cs="宋体" w:eastAsia="宋体" w:hint="default"/>
                <w:spacing w:val="-10"/>
                <w:sz w:val="18"/>
                <w:szCs w:val="18"/>
              </w:rPr>
              <w:t>物排放标准》一级</w:t>
            </w:r>
            <w:r>
              <w:rPr>
                <w:rFonts w:ascii="宋体" w:hAnsi="宋体" w:cs="宋体" w:eastAsia="宋体" w:hint="default"/>
                <w:spacing w:val="-40"/>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90551kg</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90551kg</w:t>
            </w:r>
          </w:p>
        </w:tc>
        <w:tc>
          <w:tcPr>
            <w:tcW w:w="8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9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东山嘉园</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TP</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东山双东 污水处理 厂总排口</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0.120mg/L</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GB18918-2002</w:t>
            </w:r>
            <w:r>
              <w:rPr>
                <w:rFonts w:ascii="宋体" w:hAnsi="宋体" w:cs="宋体" w:eastAsia="宋体" w:hint="default"/>
                <w:sz w:val="18"/>
                <w:szCs w:val="18"/>
              </w:rPr>
              <w:t>《城</w:t>
            </w:r>
          </w:p>
          <w:p>
            <w:pPr>
              <w:pStyle w:val="TableParagraph"/>
              <w:spacing w:line="316"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镇污水处理厂污染 </w:t>
            </w:r>
            <w:r>
              <w:rPr>
                <w:rFonts w:ascii="宋体" w:hAnsi="宋体" w:cs="宋体" w:eastAsia="宋体" w:hint="default"/>
                <w:spacing w:val="-10"/>
                <w:sz w:val="18"/>
                <w:szCs w:val="18"/>
              </w:rPr>
              <w:t>物排放标准》一级</w:t>
            </w:r>
            <w:r>
              <w:rPr>
                <w:rFonts w:ascii="宋体" w:hAnsi="宋体" w:cs="宋体" w:eastAsia="宋体" w:hint="default"/>
                <w:spacing w:val="-40"/>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z w:val="18"/>
                <w:szCs w:val="18"/>
              </w:rPr>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1104kg</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1104kg</w:t>
            </w:r>
          </w:p>
        </w:tc>
        <w:tc>
          <w:tcPr>
            <w:tcW w:w="8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7" w:hRule="exact"/>
        </w:trPr>
        <w:tc>
          <w:tcPr>
            <w:tcW w:w="9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福安嘉园</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COD</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直接排放</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厂区内</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13.839mg/l</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GB16889-2008-1996</w:t>
            </w:r>
          </w:p>
          <w:p>
            <w:pPr>
              <w:pStyle w:val="TableParagraph"/>
              <w:spacing w:line="338"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《生活垃圾填埋场 </w:t>
            </w:r>
            <w:r>
              <w:rPr>
                <w:rFonts w:ascii="宋体" w:hAnsi="宋体" w:cs="宋体" w:eastAsia="宋体" w:hint="default"/>
                <w:spacing w:val="-9"/>
                <w:sz w:val="18"/>
                <w:szCs w:val="18"/>
              </w:rPr>
              <w:t>污染物控制标准》表</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2408.30kg</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2408.30kg</w:t>
            </w:r>
          </w:p>
        </w:tc>
        <w:tc>
          <w:tcPr>
            <w:tcW w:w="8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40" w:hRule="exact"/>
        </w:trPr>
        <w:tc>
          <w:tcPr>
            <w:tcW w:w="9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福安嘉园</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直接排放</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厂区内</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1.849mg/l</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GB16889-2008-1996</w:t>
            </w:r>
          </w:p>
          <w:p>
            <w:pPr>
              <w:pStyle w:val="TableParagraph"/>
              <w:spacing w:line="340"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《生活垃圾填埋场 </w:t>
            </w:r>
            <w:r>
              <w:rPr>
                <w:rFonts w:ascii="宋体" w:hAnsi="宋体" w:cs="宋体" w:eastAsia="宋体" w:hint="default"/>
                <w:spacing w:val="-9"/>
                <w:sz w:val="18"/>
                <w:szCs w:val="18"/>
              </w:rPr>
              <w:t>污染物控制标准》表</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321.76kg</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321.76kg</w:t>
            </w:r>
          </w:p>
        </w:tc>
        <w:tc>
          <w:tcPr>
            <w:tcW w:w="8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7" w:hRule="exact"/>
        </w:trPr>
        <w:tc>
          <w:tcPr>
            <w:tcW w:w="9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福安嘉园</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总磷</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直接排放</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厂区内</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0.411mg/l</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GB16889-2008-1996</w:t>
            </w:r>
          </w:p>
          <w:p>
            <w:pPr>
              <w:pStyle w:val="TableParagraph"/>
              <w:spacing w:line="338" w:lineRule="auto" w:before="60"/>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《生活垃圾填埋场 </w:t>
            </w:r>
            <w:r>
              <w:rPr>
                <w:rFonts w:ascii="宋体" w:hAnsi="宋体" w:cs="宋体" w:eastAsia="宋体" w:hint="default"/>
                <w:spacing w:val="-9"/>
                <w:sz w:val="18"/>
                <w:szCs w:val="18"/>
              </w:rPr>
              <w:t>污染物控制标准》表</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71.523kg</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71.523kg</w:t>
            </w:r>
          </w:p>
        </w:tc>
        <w:tc>
          <w:tcPr>
            <w:tcW w:w="8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34" w:hRule="exact"/>
        </w:trPr>
        <w:tc>
          <w:tcPr>
            <w:tcW w:w="90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合肥嘉园</w:t>
            </w:r>
          </w:p>
        </w:tc>
        <w:tc>
          <w:tcPr>
            <w:tcW w:w="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COD</w:t>
            </w:r>
          </w:p>
        </w:tc>
        <w:tc>
          <w:tcPr>
            <w:tcW w:w="9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合肥嘉园 污水处理 总排口</w:t>
            </w:r>
          </w:p>
        </w:tc>
        <w:tc>
          <w:tcPr>
            <w:tcW w:w="9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38.64mg/L</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生活垃圾填埋污染 控制标准</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GB16889-2008</w:t>
            </w:r>
            <w:r>
              <w:rPr>
                <w:rFonts w:ascii="宋体" w:hAnsi="宋体" w:cs="宋体" w:eastAsia="宋体" w:hint="default"/>
                <w:sz w:val="18"/>
                <w:szCs w:val="18"/>
              </w:rPr>
              <w:t>）</w:t>
            </w:r>
          </w:p>
        </w:tc>
        <w:tc>
          <w:tcPr>
            <w:tcW w:w="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15868.56kg</w:t>
            </w:r>
          </w:p>
        </w:tc>
        <w:tc>
          <w:tcPr>
            <w:tcW w:w="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15868.56kg</w:t>
            </w:r>
          </w:p>
        </w:tc>
        <w:tc>
          <w:tcPr>
            <w:tcW w:w="8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05"/>
        <w:gridCol w:w="898"/>
        <w:gridCol w:w="901"/>
        <w:gridCol w:w="898"/>
        <w:gridCol w:w="898"/>
        <w:gridCol w:w="941"/>
        <w:gridCol w:w="1596"/>
        <w:gridCol w:w="913"/>
        <w:gridCol w:w="910"/>
        <w:gridCol w:w="840"/>
      </w:tblGrid>
      <w:tr>
        <w:trPr>
          <w:trHeight w:val="1037" w:hRule="exact"/>
        </w:trPr>
        <w:tc>
          <w:tcPr>
            <w:tcW w:w="90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合肥嘉园</w:t>
            </w:r>
          </w:p>
        </w:tc>
        <w:tc>
          <w:tcPr>
            <w:tcW w:w="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1"/>
              <w:ind w:left="23" w:right="143"/>
              <w:jc w:val="both"/>
              <w:rPr>
                <w:rFonts w:ascii="宋体" w:hAnsi="宋体" w:cs="宋体" w:eastAsia="宋体" w:hint="default"/>
                <w:sz w:val="18"/>
                <w:szCs w:val="18"/>
              </w:rPr>
            </w:pPr>
            <w:r>
              <w:rPr>
                <w:rFonts w:ascii="宋体" w:hAnsi="宋体" w:cs="宋体" w:eastAsia="宋体" w:hint="default"/>
                <w:sz w:val="18"/>
                <w:szCs w:val="18"/>
              </w:rPr>
              <w:t>合肥嘉园 污水处理 总排口</w:t>
            </w:r>
          </w:p>
        </w:tc>
        <w:tc>
          <w:tcPr>
            <w:tcW w:w="9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1.81mg/L</w:t>
            </w:r>
          </w:p>
        </w:tc>
        <w:tc>
          <w:tcPr>
            <w:tcW w:w="1596"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1"/>
              <w:ind w:left="23" w:right="120"/>
              <w:jc w:val="left"/>
              <w:rPr>
                <w:rFonts w:ascii="宋体" w:hAnsi="宋体" w:cs="宋体" w:eastAsia="宋体" w:hint="default"/>
                <w:sz w:val="18"/>
                <w:szCs w:val="18"/>
              </w:rPr>
            </w:pPr>
            <w:r>
              <w:rPr>
                <w:rFonts w:ascii="宋体" w:hAnsi="宋体" w:cs="宋体" w:eastAsia="宋体" w:hint="default"/>
                <w:sz w:val="18"/>
                <w:szCs w:val="18"/>
              </w:rPr>
              <w:t>生活垃圾填埋污染 控制标准</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GB16889-2008</w:t>
            </w:r>
            <w:r>
              <w:rPr>
                <w:rFonts w:ascii="宋体" w:hAnsi="宋体" w:cs="宋体" w:eastAsia="宋体" w:hint="default"/>
                <w:sz w:val="18"/>
                <w:szCs w:val="18"/>
              </w:rPr>
              <w:t>）</w:t>
            </w:r>
          </w:p>
        </w:tc>
        <w:tc>
          <w:tcPr>
            <w:tcW w:w="9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743.33kg</w:t>
            </w:r>
          </w:p>
        </w:tc>
        <w:tc>
          <w:tcPr>
            <w:tcW w:w="9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743.33kg</w:t>
            </w:r>
          </w:p>
        </w:tc>
        <w:tc>
          <w:tcPr>
            <w:tcW w:w="84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90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合肥嘉园</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总氮</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合肥嘉园 污水处理 总排口</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22.48mg/L</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生活垃圾填埋污染 控制标准</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GB16889-2008</w:t>
            </w:r>
            <w:r>
              <w:rPr>
                <w:rFonts w:ascii="宋体" w:hAnsi="宋体" w:cs="宋体" w:eastAsia="宋体" w:hint="default"/>
                <w:sz w:val="18"/>
                <w:szCs w:val="18"/>
              </w:rPr>
              <w:t>）</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9232.02kg</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9232.02kg</w:t>
            </w:r>
          </w:p>
        </w:tc>
        <w:tc>
          <w:tcPr>
            <w:tcW w:w="8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34" w:hRule="exact"/>
        </w:trPr>
        <w:tc>
          <w:tcPr>
            <w:tcW w:w="90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合肥嘉园</w:t>
            </w:r>
          </w:p>
        </w:tc>
        <w:tc>
          <w:tcPr>
            <w:tcW w:w="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总磷</w:t>
            </w:r>
          </w:p>
        </w:tc>
        <w:tc>
          <w:tcPr>
            <w:tcW w:w="9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连续排放</w:t>
            </w:r>
          </w:p>
        </w:tc>
        <w:tc>
          <w:tcPr>
            <w:tcW w:w="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c>
          <w:tcPr>
            <w:tcW w:w="89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合肥嘉园 污水处理 总排口</w:t>
            </w:r>
          </w:p>
        </w:tc>
        <w:tc>
          <w:tcPr>
            <w:tcW w:w="9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0.562mg/L</w:t>
            </w:r>
          </w:p>
        </w:tc>
        <w:tc>
          <w:tcPr>
            <w:tcW w:w="1596"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生活垃圾填埋污染 控制标准</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GB16889-2008</w:t>
            </w:r>
            <w:r>
              <w:rPr>
                <w:rFonts w:ascii="宋体" w:hAnsi="宋体" w:cs="宋体" w:eastAsia="宋体" w:hint="default"/>
                <w:sz w:val="18"/>
                <w:szCs w:val="18"/>
              </w:rPr>
              <w:t>）</w:t>
            </w:r>
          </w:p>
        </w:tc>
        <w:tc>
          <w:tcPr>
            <w:tcW w:w="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230.8kg</w:t>
            </w:r>
          </w:p>
        </w:tc>
        <w:tc>
          <w:tcPr>
            <w:tcW w:w="9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230.8kg</w:t>
            </w:r>
          </w:p>
        </w:tc>
        <w:tc>
          <w:tcPr>
            <w:tcW w:w="8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2" w:right="0" w:firstLine="0"/>
        <w:jc w:val="both"/>
        <w:rPr>
          <w:rFonts w:ascii="宋体" w:hAnsi="宋体" w:cs="宋体" w:eastAsia="宋体" w:hint="default"/>
          <w:sz w:val="18"/>
          <w:szCs w:val="18"/>
        </w:rPr>
      </w:pPr>
      <w:r>
        <w:rPr>
          <w:rFonts w:ascii="宋体" w:hAnsi="宋体" w:cs="宋体" w:eastAsia="宋体" w:hint="default"/>
          <w:sz w:val="18"/>
          <w:szCs w:val="18"/>
        </w:rPr>
        <w:t>防治污染设施的建设和运行情况</w:t>
      </w:r>
    </w:p>
    <w:p>
      <w:pPr>
        <w:spacing w:line="240" w:lineRule="auto" w:before="3"/>
        <w:rPr>
          <w:rFonts w:ascii="宋体" w:hAnsi="宋体" w:cs="宋体" w:eastAsia="宋体" w:hint="default"/>
          <w:sz w:val="13"/>
          <w:szCs w:val="13"/>
        </w:rPr>
      </w:pPr>
    </w:p>
    <w:p>
      <w:pPr>
        <w:pStyle w:val="BodyText"/>
        <w:spacing w:line="408" w:lineRule="auto" w:before="0"/>
        <w:ind w:right="0" w:firstLine="420"/>
        <w:jc w:val="left"/>
      </w:pPr>
      <w:r>
        <w:rPr>
          <w:rFonts w:ascii="宋体" w:hAnsi="宋体" w:cs="宋体" w:eastAsia="宋体" w:hint="default"/>
        </w:rPr>
        <w:t>1</w:t>
      </w:r>
      <w:r>
        <w:rPr/>
        <w:t>、东山嘉园主要采用卡鲁塞尔改良型氧化沟工艺，现有</w:t>
      </w:r>
      <w:r>
        <w:rPr>
          <w:rFonts w:ascii="宋体" w:hAnsi="宋体" w:cs="宋体" w:eastAsia="宋体" w:hint="default"/>
        </w:rPr>
        <w:t>3</w:t>
      </w:r>
      <w:r>
        <w:rPr/>
        <w:t>条设计日处理量</w:t>
      </w:r>
      <w:r>
        <w:rPr>
          <w:rFonts w:ascii="宋体" w:hAnsi="宋体" w:cs="宋体" w:eastAsia="宋体" w:hint="default"/>
        </w:rPr>
        <w:t>1</w:t>
      </w:r>
      <w:r>
        <w:rPr/>
        <w:t>万吨的生产线，总处理规</w:t>
      </w:r>
      <w:r>
        <w:rPr>
          <w:w w:val="100"/>
        </w:rPr>
        <w:t> </w:t>
      </w:r>
      <w:r>
        <w:rPr>
          <w:spacing w:val="-2"/>
        </w:rPr>
        <w:t>模达到</w:t>
      </w:r>
      <w:r>
        <w:rPr>
          <w:rFonts w:ascii="宋体" w:hAnsi="宋体" w:cs="宋体" w:eastAsia="宋体" w:hint="default"/>
          <w:spacing w:val="-2"/>
        </w:rPr>
        <w:t>3</w:t>
      </w:r>
      <w:r>
        <w:rPr>
          <w:spacing w:val="-2"/>
        </w:rPr>
        <w:t>万吨</w:t>
      </w:r>
      <w:r>
        <w:rPr>
          <w:rFonts w:ascii="宋体" w:hAnsi="宋体" w:cs="宋体" w:eastAsia="宋体" w:hint="default"/>
          <w:spacing w:val="-2"/>
        </w:rPr>
        <w:t>/</w:t>
      </w:r>
      <w:r>
        <w:rPr>
          <w:spacing w:val="-2"/>
        </w:rPr>
        <w:t>日。主要生产设施有：西埔泵站、沉砂池、粗格栅及提升泵井、分配井、细格栅及旋流除砂</w:t>
      </w:r>
      <w:r>
        <w:rPr>
          <w:spacing w:val="-40"/>
        </w:rPr>
        <w:t> </w:t>
      </w:r>
      <w:r>
        <w:rPr>
          <w:spacing w:val="-40"/>
        </w:rPr>
      </w:r>
      <w:r>
        <w:rPr/>
        <w:t>池（</w:t>
      </w:r>
      <w:r>
        <w:rPr>
          <w:rFonts w:ascii="宋体" w:hAnsi="宋体" w:cs="宋体" w:eastAsia="宋体" w:hint="default"/>
        </w:rPr>
        <w:t>2</w:t>
      </w:r>
      <w:r>
        <w:rPr/>
        <w:t>座）、水解酸化池及厌氧池（</w:t>
      </w:r>
      <w:r>
        <w:rPr>
          <w:rFonts w:ascii="宋体" w:hAnsi="宋体" w:cs="宋体" w:eastAsia="宋体" w:hint="default"/>
        </w:rPr>
        <w:t>1</w:t>
      </w:r>
      <w:r>
        <w:rPr/>
        <w:t>座）、氧化沟（</w:t>
      </w:r>
      <w:r>
        <w:rPr>
          <w:rFonts w:ascii="宋体" w:hAnsi="宋体" w:cs="宋体" w:eastAsia="宋体" w:hint="default"/>
        </w:rPr>
        <w:t>3</w:t>
      </w:r>
      <w:r>
        <w:rPr/>
        <w:t>座）、二沉池（</w:t>
      </w:r>
      <w:r>
        <w:rPr>
          <w:rFonts w:ascii="宋体" w:hAnsi="宋体" w:cs="宋体" w:eastAsia="宋体" w:hint="default"/>
        </w:rPr>
        <w:t>3</w:t>
      </w:r>
      <w:r>
        <w:rPr/>
        <w:t>座）、二次提升泵房（</w:t>
      </w:r>
      <w:r>
        <w:rPr>
          <w:rFonts w:ascii="宋体" w:hAnsi="宋体" w:cs="宋体" w:eastAsia="宋体" w:hint="default"/>
        </w:rPr>
        <w:t>1</w:t>
      </w:r>
      <w:r>
        <w:rPr/>
        <w:t>座）、高</w:t>
      </w:r>
      <w:r>
        <w:rPr>
          <w:spacing w:val="-24"/>
        </w:rPr>
        <w:t> </w:t>
      </w:r>
      <w:r>
        <w:rPr>
          <w:spacing w:val="-24"/>
        </w:rPr>
      </w:r>
      <w:r>
        <w:rPr>
          <w:spacing w:val="-2"/>
        </w:rPr>
        <w:t>密度澄清池（</w:t>
      </w:r>
      <w:r>
        <w:rPr>
          <w:rFonts w:ascii="宋体" w:hAnsi="宋体" w:cs="宋体" w:eastAsia="宋体" w:hint="default"/>
          <w:spacing w:val="-2"/>
        </w:rPr>
        <w:t>1</w:t>
      </w:r>
      <w:r>
        <w:rPr>
          <w:spacing w:val="-2"/>
        </w:rPr>
        <w:t>座）、纤维转盘滤池（</w:t>
      </w:r>
      <w:r>
        <w:rPr>
          <w:rFonts w:ascii="宋体" w:hAnsi="宋体" w:cs="宋体" w:eastAsia="宋体" w:hint="default"/>
          <w:spacing w:val="-2"/>
        </w:rPr>
        <w:t>1</w:t>
      </w:r>
      <w:r>
        <w:rPr>
          <w:spacing w:val="-2"/>
        </w:rPr>
        <w:t>座）、接触消毒池（</w:t>
      </w:r>
      <w:r>
        <w:rPr>
          <w:rFonts w:ascii="宋体" w:hAnsi="宋体" w:cs="宋体" w:eastAsia="宋体" w:hint="default"/>
          <w:spacing w:val="-2"/>
        </w:rPr>
        <w:t>1</w:t>
      </w:r>
      <w:r>
        <w:rPr>
          <w:spacing w:val="-2"/>
        </w:rPr>
        <w:t>座）、污泥池（</w:t>
      </w:r>
      <w:r>
        <w:rPr>
          <w:rFonts w:ascii="宋体" w:hAnsi="宋体" w:cs="宋体" w:eastAsia="宋体" w:hint="default"/>
          <w:spacing w:val="-2"/>
        </w:rPr>
        <w:t>2</w:t>
      </w:r>
      <w:r>
        <w:rPr>
          <w:spacing w:val="-2"/>
        </w:rPr>
        <w:t>座）、污泥浓缩池（</w:t>
      </w:r>
      <w:r>
        <w:rPr>
          <w:rFonts w:ascii="宋体" w:hAnsi="宋体" w:cs="宋体" w:eastAsia="宋体" w:hint="default"/>
          <w:spacing w:val="-2"/>
        </w:rPr>
        <w:t>2</w:t>
      </w:r>
      <w:r>
        <w:rPr>
          <w:spacing w:val="-2"/>
        </w:rPr>
        <w:t>座）、</w:t>
      </w:r>
      <w:r>
        <w:rPr>
          <w:spacing w:val="-44"/>
        </w:rPr>
        <w:t> </w:t>
      </w:r>
      <w:r>
        <w:rPr>
          <w:spacing w:val="-44"/>
        </w:rPr>
      </w:r>
      <w:r>
        <w:rPr/>
        <w:t>污泥脱水车间以及巴氏计量槽。其中一期</w:t>
      </w:r>
      <w:r>
        <w:rPr>
          <w:rFonts w:ascii="宋体" w:hAnsi="宋体" w:cs="宋体" w:eastAsia="宋体" w:hint="default"/>
        </w:rPr>
        <w:t>2008</w:t>
      </w:r>
      <w:r>
        <w:rPr/>
        <w:t>年</w:t>
      </w:r>
      <w:r>
        <w:rPr>
          <w:rFonts w:ascii="宋体" w:hAnsi="宋体" w:cs="宋体" w:eastAsia="宋体" w:hint="default"/>
        </w:rPr>
        <w:t>09</w:t>
      </w:r>
      <w:r>
        <w:rPr/>
        <w:t>月投建于</w:t>
      </w:r>
      <w:r>
        <w:rPr>
          <w:rFonts w:ascii="宋体" w:hAnsi="宋体" w:cs="宋体" w:eastAsia="宋体" w:hint="default"/>
        </w:rPr>
        <w:t>2009</w:t>
      </w:r>
      <w:r>
        <w:rPr/>
        <w:t>年</w:t>
      </w:r>
      <w:r>
        <w:rPr>
          <w:rFonts w:ascii="宋体" w:hAnsi="宋体" w:cs="宋体" w:eastAsia="宋体" w:hint="default"/>
        </w:rPr>
        <w:t>06</w:t>
      </w:r>
      <w:r>
        <w:rPr/>
        <w:t>建成投产，设计日处理量</w:t>
      </w:r>
      <w:r>
        <w:rPr>
          <w:rFonts w:ascii="宋体" w:hAnsi="宋体" w:cs="宋体" w:eastAsia="宋体" w:hint="default"/>
        </w:rPr>
        <w:t>1</w:t>
      </w:r>
      <w:r>
        <w:rPr/>
        <w:t>万吨；二</w:t>
      </w:r>
      <w:r>
        <w:rPr>
          <w:spacing w:val="-25"/>
        </w:rPr>
        <w:t> </w:t>
      </w:r>
      <w:r>
        <w:rPr>
          <w:spacing w:val="-25"/>
        </w:rPr>
      </w:r>
      <w:r>
        <w:rPr/>
        <w:t>期</w:t>
      </w:r>
      <w:r>
        <w:rPr>
          <w:rFonts w:ascii="宋体" w:hAnsi="宋体" w:cs="宋体" w:eastAsia="宋体" w:hint="default"/>
        </w:rPr>
        <w:t>2010</w:t>
      </w:r>
      <w:r>
        <w:rPr/>
        <w:t>年</w:t>
      </w:r>
      <w:r>
        <w:rPr>
          <w:rFonts w:ascii="宋体" w:hAnsi="宋体" w:cs="宋体" w:eastAsia="宋体" w:hint="default"/>
        </w:rPr>
        <w:t>08</w:t>
      </w:r>
      <w:r>
        <w:rPr/>
        <w:t>月投建于</w:t>
      </w:r>
      <w:r>
        <w:rPr>
          <w:rFonts w:ascii="宋体" w:hAnsi="宋体" w:cs="宋体" w:eastAsia="宋体" w:hint="default"/>
        </w:rPr>
        <w:t>2011</w:t>
      </w:r>
      <w:r>
        <w:rPr/>
        <w:t>年</w:t>
      </w:r>
      <w:r>
        <w:rPr>
          <w:rFonts w:ascii="宋体" w:hAnsi="宋体" w:cs="宋体" w:eastAsia="宋体" w:hint="default"/>
        </w:rPr>
        <w:t>03</w:t>
      </w:r>
      <w:r>
        <w:rPr/>
        <w:t>月建成投产，设计日处理量</w:t>
      </w:r>
      <w:r>
        <w:rPr>
          <w:rFonts w:ascii="宋体" w:hAnsi="宋体" w:cs="宋体" w:eastAsia="宋体" w:hint="default"/>
        </w:rPr>
        <w:t>1</w:t>
      </w:r>
      <w:r>
        <w:rPr/>
        <w:t>万吨；三期</w:t>
      </w:r>
      <w:r>
        <w:rPr>
          <w:rFonts w:ascii="宋体" w:hAnsi="宋体" w:cs="宋体" w:eastAsia="宋体" w:hint="default"/>
        </w:rPr>
        <w:t>2014</w:t>
      </w:r>
      <w:r>
        <w:rPr/>
        <w:t>年</w:t>
      </w:r>
      <w:r>
        <w:rPr>
          <w:rFonts w:ascii="宋体" w:hAnsi="宋体" w:cs="宋体" w:eastAsia="宋体" w:hint="default"/>
        </w:rPr>
        <w:t>08</w:t>
      </w:r>
      <w:r>
        <w:rPr/>
        <w:t>月投建于</w:t>
      </w:r>
      <w:r>
        <w:rPr>
          <w:rFonts w:ascii="宋体" w:hAnsi="宋体" w:cs="宋体" w:eastAsia="宋体" w:hint="default"/>
        </w:rPr>
        <w:t>2015</w:t>
      </w:r>
      <w:r>
        <w:rPr/>
        <w:t>年</w:t>
      </w:r>
      <w:r>
        <w:rPr>
          <w:rFonts w:ascii="宋体" w:hAnsi="宋体" w:cs="宋体" w:eastAsia="宋体" w:hint="default"/>
        </w:rPr>
        <w:t>05</w:t>
      </w:r>
      <w:r>
        <w:rPr/>
        <w:t>月建成</w:t>
      </w:r>
      <w:r>
        <w:rPr>
          <w:spacing w:val="-30"/>
        </w:rPr>
        <w:t> </w:t>
      </w:r>
      <w:r>
        <w:rPr>
          <w:spacing w:val="-2"/>
        </w:rPr>
        <w:t>投产，设计日处理量</w:t>
      </w:r>
      <w:r>
        <w:rPr>
          <w:rFonts w:ascii="宋体" w:hAnsi="宋体" w:cs="宋体" w:eastAsia="宋体" w:hint="default"/>
          <w:spacing w:val="-2"/>
        </w:rPr>
        <w:t>1</w:t>
      </w:r>
      <w:r>
        <w:rPr>
          <w:spacing w:val="-2"/>
        </w:rPr>
        <w:t>万吨。</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月一级</w:t>
      </w:r>
      <w:r>
        <w:rPr>
          <w:rFonts w:ascii="宋体" w:hAnsi="宋体" w:cs="宋体" w:eastAsia="宋体" w:hint="default"/>
          <w:spacing w:val="-2"/>
        </w:rPr>
        <w:t>A</w:t>
      </w:r>
      <w:r>
        <w:rPr>
          <w:spacing w:val="-2"/>
        </w:rPr>
        <w:t>提标改造工程投入正式使用。东山嘉园投入运营以来，各生</w:t>
      </w:r>
      <w:r>
        <w:rPr>
          <w:spacing w:val="-43"/>
        </w:rPr>
        <w:t> </w:t>
      </w:r>
      <w:r>
        <w:rPr>
          <w:spacing w:val="-43"/>
        </w:rPr>
      </w:r>
      <w:r>
        <w:rPr/>
        <w:t>产设施稳定正常运行，出水达标排放。</w:t>
      </w:r>
    </w:p>
    <w:p>
      <w:pPr>
        <w:pStyle w:val="BodyText"/>
        <w:spacing w:line="408" w:lineRule="auto"/>
        <w:ind w:right="0" w:firstLine="420"/>
        <w:jc w:val="left"/>
      </w:pPr>
      <w:r>
        <w:rPr>
          <w:rFonts w:ascii="宋体" w:hAnsi="宋体" w:cs="宋体" w:eastAsia="宋体" w:hint="default"/>
          <w:spacing w:val="-2"/>
        </w:rPr>
        <w:t>2</w:t>
      </w:r>
      <w:r>
        <w:rPr>
          <w:spacing w:val="-2"/>
        </w:rPr>
        <w:t>、福安垃圾填埋场渗滤液处理主要采用</w:t>
      </w:r>
      <w:r>
        <w:rPr>
          <w:rFonts w:ascii="宋体" w:hAnsi="宋体" w:cs="宋体" w:eastAsia="宋体" w:hint="default"/>
          <w:spacing w:val="-2"/>
        </w:rPr>
        <w:t>:</w:t>
      </w:r>
      <w:r>
        <w:rPr>
          <w:spacing w:val="-2"/>
        </w:rPr>
        <w:t>水质均衡池</w:t>
      </w:r>
      <w:r>
        <w:rPr>
          <w:rFonts w:ascii="宋体" w:hAnsi="宋体" w:cs="宋体" w:eastAsia="宋体" w:hint="default"/>
          <w:spacing w:val="-2"/>
        </w:rPr>
        <w:t>+MBR(</w:t>
      </w:r>
      <w:r>
        <w:rPr>
          <w:spacing w:val="-2"/>
        </w:rPr>
        <w:t>两级</w:t>
      </w:r>
      <w:r>
        <w:rPr>
          <w:rFonts w:ascii="宋体" w:hAnsi="宋体" w:cs="宋体" w:eastAsia="宋体" w:hint="default"/>
          <w:spacing w:val="-2"/>
        </w:rPr>
        <w:t>A/O)+NF/RO</w:t>
      </w:r>
      <w:r>
        <w:rPr>
          <w:spacing w:val="-2"/>
        </w:rPr>
        <w:t>。一期工程于</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月开</w:t>
      </w:r>
      <w:r>
        <w:rPr>
          <w:spacing w:val="-3"/>
          <w:w w:val="100"/>
        </w:rPr>
        <w:t> </w:t>
      </w:r>
      <w:r>
        <w:rPr>
          <w:spacing w:val="-2"/>
        </w:rPr>
        <w:t>工，工艺设计处理能力进水</w:t>
      </w:r>
      <w:r>
        <w:rPr>
          <w:rFonts w:ascii="宋体" w:hAnsi="宋体" w:cs="宋体" w:eastAsia="宋体" w:hint="default"/>
          <w:spacing w:val="-2"/>
        </w:rPr>
        <w:t>250</w:t>
      </w:r>
      <w:r>
        <w:rPr>
          <w:spacing w:val="-2"/>
        </w:rPr>
        <w:t>吨</w:t>
      </w:r>
      <w:r>
        <w:rPr>
          <w:rFonts w:ascii="宋体" w:hAnsi="宋体" w:cs="宋体" w:eastAsia="宋体" w:hint="default"/>
          <w:spacing w:val="-2"/>
        </w:rPr>
        <w:t>/</w:t>
      </w:r>
      <w:r>
        <w:rPr>
          <w:spacing w:val="-2"/>
        </w:rPr>
        <w:t>天；扩容项目于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月开始施工，两次建设总处理进水量</w:t>
      </w:r>
      <w:r>
        <w:rPr>
          <w:rFonts w:ascii="宋体" w:hAnsi="宋体" w:cs="宋体" w:eastAsia="宋体" w:hint="default"/>
          <w:spacing w:val="-2"/>
        </w:rPr>
        <w:t>670</w:t>
      </w:r>
      <w:r>
        <w:rPr>
          <w:spacing w:val="-2"/>
        </w:rPr>
        <w:t>吨</w:t>
      </w:r>
      <w:r>
        <w:rPr>
          <w:rFonts w:ascii="宋体" w:hAnsi="宋体" w:cs="宋体" w:eastAsia="宋体" w:hint="default"/>
          <w:spacing w:val="-2"/>
        </w:rPr>
        <w:t>/</w:t>
      </w:r>
      <w:r>
        <w:rPr>
          <w:spacing w:val="-2"/>
        </w:rPr>
        <w:t>天，</w:t>
      </w:r>
      <w:r>
        <w:rPr>
          <w:spacing w:val="-28"/>
        </w:rPr>
        <w:t> </w:t>
      </w:r>
      <w:r>
        <w:rPr/>
        <w:t>出水量</w:t>
      </w:r>
      <w:r>
        <w:rPr>
          <w:rFonts w:ascii="宋体" w:hAnsi="宋体" w:cs="宋体" w:eastAsia="宋体" w:hint="default"/>
        </w:rPr>
        <w:t>500</w:t>
      </w:r>
      <w:r>
        <w:rPr/>
        <w:t>吨</w:t>
      </w:r>
      <w:r>
        <w:rPr>
          <w:rFonts w:ascii="宋体" w:hAnsi="宋体" w:cs="宋体" w:eastAsia="宋体" w:hint="default"/>
        </w:rPr>
        <w:t>/</w:t>
      </w:r>
      <w:r>
        <w:rPr/>
        <w:t>天。污泥处理工艺：剩余污泥</w:t>
      </w:r>
      <w:r>
        <w:rPr>
          <w:rFonts w:ascii="宋体" w:hAnsi="宋体" w:cs="宋体" w:eastAsia="宋体" w:hint="default"/>
        </w:rPr>
        <w:t>+</w:t>
      </w:r>
      <w:r>
        <w:rPr/>
        <w:t>污泥浓缩</w:t>
      </w:r>
      <w:r>
        <w:rPr>
          <w:rFonts w:ascii="宋体" w:hAnsi="宋体" w:cs="宋体" w:eastAsia="宋体" w:hint="default"/>
        </w:rPr>
        <w:t>+</w:t>
      </w:r>
      <w:r>
        <w:rPr/>
        <w:t>离心脱水</w:t>
      </w:r>
      <w:r>
        <w:rPr>
          <w:rFonts w:ascii="宋体" w:hAnsi="宋体" w:cs="宋体" w:eastAsia="宋体" w:hint="default"/>
        </w:rPr>
        <w:t>+</w:t>
      </w:r>
      <w:r>
        <w:rPr/>
        <w:t>填埋场填埋。福安垃圾填埋场渗滤液处</w:t>
      </w:r>
      <w:r>
        <w:rPr>
          <w:spacing w:val="-25"/>
        </w:rPr>
        <w:t> </w:t>
      </w:r>
      <w:r>
        <w:rPr>
          <w:spacing w:val="-25"/>
        </w:rPr>
      </w:r>
      <w:r>
        <w:rPr/>
        <w:t>理站投入运营以来，各生产设施稳定正常运行，出水达标排放。</w:t>
      </w:r>
    </w:p>
    <w:p>
      <w:pPr>
        <w:pStyle w:val="BodyText"/>
        <w:spacing w:line="240" w:lineRule="auto"/>
        <w:ind w:left="573" w:right="0"/>
        <w:jc w:val="left"/>
      </w:pPr>
      <w:r>
        <w:rPr>
          <w:rFonts w:ascii="宋体" w:hAnsi="宋体" w:cs="宋体" w:eastAsia="宋体" w:hint="default"/>
          <w:spacing w:val="3"/>
        </w:rPr>
        <w:t>3</w:t>
      </w:r>
      <w:r>
        <w:rPr>
          <w:spacing w:val="3"/>
        </w:rPr>
        <w:t>、合肥嘉园龙泉山垃圾渗滤液处理项目位于安徽省合肥市肥东县桥头集镇龙泉山，厂区占地面积</w:t>
      </w:r>
    </w:p>
    <w:p>
      <w:pPr>
        <w:spacing w:line="240" w:lineRule="auto" w:before="10"/>
        <w:rPr>
          <w:rFonts w:ascii="宋体" w:hAnsi="宋体" w:cs="宋体" w:eastAsia="宋体" w:hint="default"/>
          <w:sz w:val="14"/>
          <w:szCs w:val="14"/>
        </w:rPr>
      </w:pPr>
    </w:p>
    <w:p>
      <w:pPr>
        <w:pStyle w:val="BodyText"/>
        <w:spacing w:line="408" w:lineRule="auto" w:before="0"/>
        <w:ind w:right="1126"/>
        <w:jc w:val="both"/>
      </w:pPr>
      <w:r>
        <w:rPr>
          <w:rFonts w:ascii="宋体" w:hAnsi="宋体" w:cs="宋体" w:eastAsia="宋体" w:hint="default"/>
        </w:rPr>
        <w:t>29.36</w:t>
      </w:r>
      <w:r>
        <w:rPr/>
        <w:t>亩，总投资</w:t>
      </w:r>
      <w:r>
        <w:rPr>
          <w:rFonts w:ascii="宋体" w:hAnsi="宋体" w:cs="宋体" w:eastAsia="宋体" w:hint="default"/>
        </w:rPr>
        <w:t>1.2</w:t>
      </w:r>
      <w:r>
        <w:rPr/>
        <w:t>亿。渗滤液处理规模为</w:t>
      </w:r>
      <w:r>
        <w:rPr>
          <w:rFonts w:ascii="宋体" w:hAnsi="宋体" w:cs="宋体" w:eastAsia="宋体" w:hint="default"/>
        </w:rPr>
        <w:t>1400</w:t>
      </w:r>
      <w:r>
        <w:rPr/>
        <w:t>吨</w:t>
      </w:r>
      <w:r>
        <w:rPr>
          <w:rFonts w:ascii="宋体" w:hAnsi="宋体" w:cs="宋体" w:eastAsia="宋体" w:hint="default"/>
        </w:rPr>
        <w:t>/</w:t>
      </w:r>
      <w:r>
        <w:rPr/>
        <w:t>天，年处理量为</w:t>
      </w:r>
      <w:r>
        <w:rPr>
          <w:rFonts w:ascii="宋体" w:hAnsi="宋体" w:cs="宋体" w:eastAsia="宋体" w:hint="default"/>
        </w:rPr>
        <w:t>51.1</w:t>
      </w:r>
      <w:r>
        <w:rPr/>
        <w:t>万吨左右，出水水质达到《生活</w:t>
      </w:r>
      <w:r>
        <w:rPr>
          <w:spacing w:val="-26"/>
        </w:rPr>
        <w:t> </w:t>
      </w:r>
      <w:r>
        <w:rPr>
          <w:spacing w:val="-26"/>
        </w:rPr>
      </w:r>
      <w:r>
        <w:rPr/>
        <w:t>垃圾填埋场污染控制标准》</w:t>
      </w:r>
      <w:r>
        <w:rPr>
          <w:rFonts w:ascii="宋体" w:hAnsi="宋体" w:cs="宋体" w:eastAsia="宋体" w:hint="default"/>
        </w:rPr>
        <w:t>(GB16889-2008)</w:t>
      </w:r>
      <w:r>
        <w:rPr/>
        <w:t>中的表</w:t>
      </w:r>
      <w:r>
        <w:rPr>
          <w:rFonts w:ascii="宋体" w:hAnsi="宋体" w:cs="宋体" w:eastAsia="宋体" w:hint="default"/>
        </w:rPr>
        <w:t>2</w:t>
      </w:r>
      <w:r>
        <w:rPr/>
        <w:t>标准及《再生水水质标准》（</w:t>
      </w:r>
      <w:r>
        <w:rPr>
          <w:rFonts w:ascii="宋体" w:hAnsi="宋体" w:cs="宋体" w:eastAsia="宋体" w:hint="default"/>
        </w:rPr>
        <w:t>SL</w:t>
      </w:r>
      <w:r>
        <w:rPr>
          <w:rFonts w:ascii="宋体" w:hAnsi="宋体" w:cs="宋体" w:eastAsia="宋体" w:hint="default"/>
          <w:spacing w:val="-31"/>
        </w:rPr>
        <w:t> </w:t>
      </w:r>
      <w:r>
        <w:rPr>
          <w:rFonts w:ascii="宋体" w:hAnsi="宋体" w:cs="宋体" w:eastAsia="宋体" w:hint="default"/>
        </w:rPr>
        <w:t>368-2006</w:t>
      </w:r>
      <w:r>
        <w:rPr/>
        <w:t>）。渗滤液</w:t>
      </w:r>
      <w:r>
        <w:rPr>
          <w:w w:val="100"/>
        </w:rPr>
        <w:t> </w:t>
      </w:r>
      <w:r>
        <w:rPr/>
        <w:t>主要处理工艺</w:t>
      </w:r>
      <w:r>
        <w:rPr>
          <w:rFonts w:ascii="宋体" w:hAnsi="宋体" w:cs="宋体" w:eastAsia="宋体" w:hint="default"/>
        </w:rPr>
        <w:t>:</w:t>
      </w:r>
      <w:r>
        <w:rPr/>
        <w:t>调节池</w:t>
      </w:r>
      <w:r>
        <w:rPr>
          <w:rFonts w:ascii="宋体" w:hAnsi="宋体" w:cs="宋体" w:eastAsia="宋体" w:hint="default"/>
        </w:rPr>
        <w:t>+</w:t>
      </w:r>
      <w:r>
        <w:rPr/>
        <w:t>配水槽</w:t>
      </w:r>
      <w:r>
        <w:rPr>
          <w:rFonts w:ascii="宋体" w:hAnsi="宋体" w:cs="宋体" w:eastAsia="宋体" w:hint="default"/>
        </w:rPr>
        <w:t>+</w:t>
      </w:r>
      <w:r>
        <w:rPr/>
        <w:t>水解酸化池</w:t>
      </w:r>
      <w:r>
        <w:rPr>
          <w:rFonts w:ascii="宋体" w:hAnsi="宋体" w:cs="宋体" w:eastAsia="宋体" w:hint="default"/>
        </w:rPr>
        <w:t>+A/O2+A/O+</w:t>
      </w:r>
      <w:r>
        <w:rPr/>
        <w:t>超滤</w:t>
      </w:r>
      <w:r>
        <w:rPr>
          <w:rFonts w:ascii="宋体" w:hAnsi="宋体" w:cs="宋体" w:eastAsia="宋体" w:hint="default"/>
        </w:rPr>
        <w:t>+</w:t>
      </w:r>
      <w:r>
        <w:rPr/>
        <w:t>纳滤</w:t>
      </w:r>
      <w:r>
        <w:rPr>
          <w:rFonts w:ascii="宋体" w:hAnsi="宋体" w:cs="宋体" w:eastAsia="宋体" w:hint="default"/>
        </w:rPr>
        <w:t>+</w:t>
      </w:r>
      <w:r>
        <w:rPr/>
        <w:t>反渗透系统，经厂区污水外排口排出排</w:t>
      </w:r>
      <w:r>
        <w:rPr>
          <w:spacing w:val="-29"/>
        </w:rPr>
        <w:t> </w:t>
      </w:r>
      <w:r>
        <w:rPr>
          <w:spacing w:val="-29"/>
        </w:rPr>
      </w:r>
      <w:r>
        <w:rPr>
          <w:spacing w:val="-4"/>
        </w:rPr>
        <w:t>至店埠河，</w:t>
      </w:r>
      <w:r>
        <w:rPr>
          <w:rFonts w:ascii="宋体" w:hAnsi="宋体" w:cs="宋体" w:eastAsia="宋体" w:hint="default"/>
          <w:spacing w:val="-4"/>
        </w:rPr>
        <w:t>2019</w:t>
      </w:r>
      <w:r>
        <w:rPr>
          <w:spacing w:val="-4"/>
        </w:rPr>
        <w:t>年</w:t>
      </w:r>
      <w:r>
        <w:rPr>
          <w:rFonts w:ascii="宋体" w:hAnsi="宋体" w:cs="宋体" w:eastAsia="宋体" w:hint="default"/>
          <w:spacing w:val="-4"/>
        </w:rPr>
        <w:t>7</w:t>
      </w:r>
      <w:r>
        <w:rPr>
          <w:spacing w:val="-4"/>
        </w:rPr>
        <w:t>月起排至合肥循环园污水处理厂进行深度处理。</w:t>
      </w:r>
      <w:r>
        <w:rPr>
          <w:rFonts w:ascii="宋体" w:hAnsi="宋体" w:cs="宋体" w:eastAsia="宋体" w:hint="default"/>
          <w:spacing w:val="-4"/>
        </w:rPr>
        <w:t>2019</w:t>
      </w:r>
      <w:r>
        <w:rPr>
          <w:spacing w:val="-4"/>
        </w:rPr>
        <w:t>年度计划运营</w:t>
      </w:r>
      <w:r>
        <w:rPr>
          <w:rFonts w:ascii="宋体" w:hAnsi="宋体" w:cs="宋体" w:eastAsia="宋体" w:hint="default"/>
          <w:spacing w:val="-4"/>
        </w:rPr>
        <w:t>365</w:t>
      </w:r>
      <w:r>
        <w:rPr>
          <w:spacing w:val="-4"/>
        </w:rPr>
        <w:t>天，实际运营</w:t>
      </w:r>
      <w:r>
        <w:rPr>
          <w:rFonts w:ascii="宋体" w:hAnsi="宋体" w:cs="宋体" w:eastAsia="宋体" w:hint="default"/>
          <w:spacing w:val="-4"/>
        </w:rPr>
        <w:t>365</w:t>
      </w:r>
      <w:r>
        <w:rPr>
          <w:rFonts w:ascii="宋体" w:hAnsi="宋体" w:cs="宋体" w:eastAsia="宋体" w:hint="default"/>
          <w:spacing w:val="-23"/>
        </w:rPr>
        <w:t> </w:t>
      </w:r>
      <w:r>
        <w:rPr/>
        <w:t>天。</w:t>
      </w:r>
    </w:p>
    <w:p>
      <w:pPr>
        <w:pStyle w:val="BodyText"/>
        <w:spacing w:line="441" w:lineRule="auto" w:before="87"/>
        <w:ind w:left="573" w:right="4634"/>
        <w:jc w:val="left"/>
      </w:pPr>
      <w:r>
        <w:rPr>
          <w:spacing w:val="-2"/>
        </w:rPr>
        <w:t>建设项目环境影响评价及其他环境保护行政许可情况：</w:t>
      </w:r>
      <w:r>
        <w:rPr>
          <w:spacing w:val="-59"/>
        </w:rPr>
        <w:t> </w:t>
      </w:r>
      <w:r>
        <w:rPr>
          <w:spacing w:val="-59"/>
        </w:rPr>
      </w:r>
      <w:r>
        <w:rPr>
          <w:rFonts w:ascii="宋体" w:hAnsi="宋体" w:cs="宋体" w:eastAsia="宋体" w:hint="default"/>
        </w:rPr>
        <w:t>1</w:t>
      </w:r>
      <w:r>
        <w:rPr/>
        <w:t>、东山嘉园</w:t>
      </w:r>
    </w:p>
    <w:p>
      <w:pPr>
        <w:pStyle w:val="BodyText"/>
        <w:spacing w:line="240" w:lineRule="auto" w:before="16"/>
        <w:ind w:left="573" w:right="0"/>
        <w:jc w:val="left"/>
      </w:pP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18</w:t>
      </w:r>
      <w:r>
        <w:rPr/>
        <w:t>日，东山双东污水处理厂及配套污水收集管网工程通过环评审批</w:t>
      </w:r>
      <w:r>
        <w:rPr>
          <w:rFonts w:ascii="宋体" w:hAnsi="宋体" w:cs="宋体" w:eastAsia="宋体" w:hint="default"/>
        </w:rPr>
        <w:t>,</w:t>
      </w:r>
      <w:r>
        <w:rPr/>
        <w:t>编号：东环审【</w:t>
      </w:r>
      <w:r>
        <w:rPr>
          <w:rFonts w:ascii="宋体" w:hAnsi="宋体" w:cs="宋体" w:eastAsia="宋体" w:hint="default"/>
        </w:rPr>
        <w:t>2013</w:t>
      </w:r>
      <w:r>
        <w:rPr/>
        <w:t>】</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rFonts w:ascii="宋体" w:hAnsi="宋体" w:cs="宋体" w:eastAsia="宋体" w:hint="default"/>
        </w:rPr>
        <w:t>68</w:t>
      </w:r>
      <w:r>
        <w:rPr/>
        <w:t>号；</w:t>
      </w:r>
    </w:p>
    <w:p>
      <w:pPr>
        <w:spacing w:after="0" w:line="24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73" w:right="0"/>
        <w:jc w:val="left"/>
      </w:pP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28</w:t>
      </w:r>
      <w:r>
        <w:rPr/>
        <w:t>日，东山双东污水处理厂第三期工程通过环评审批，编号：东环审【</w:t>
      </w:r>
      <w:r>
        <w:rPr>
          <w:rFonts w:ascii="宋体" w:hAnsi="宋体" w:cs="宋体" w:eastAsia="宋体" w:hint="default"/>
        </w:rPr>
        <w:t>2015</w:t>
      </w:r>
      <w:r>
        <w:rPr/>
        <w:t>】</w:t>
      </w:r>
      <w:r>
        <w:rPr>
          <w:rFonts w:ascii="宋体" w:hAnsi="宋体" w:cs="宋体" w:eastAsia="宋体" w:hint="default"/>
        </w:rPr>
        <w:t>05</w:t>
      </w:r>
      <w:r>
        <w:rPr/>
        <w:t>号；</w:t>
      </w:r>
    </w:p>
    <w:p>
      <w:pPr>
        <w:spacing w:line="240" w:lineRule="auto" w:before="10"/>
        <w:rPr>
          <w:rFonts w:ascii="宋体" w:hAnsi="宋体" w:cs="宋体" w:eastAsia="宋体" w:hint="default"/>
          <w:sz w:val="14"/>
          <w:szCs w:val="14"/>
        </w:rPr>
      </w:pPr>
    </w:p>
    <w:p>
      <w:pPr>
        <w:pStyle w:val="BodyText"/>
        <w:spacing w:line="408" w:lineRule="auto" w:before="0"/>
        <w:ind w:left="573" w:right="1119"/>
        <w:jc w:val="left"/>
      </w:pP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6</w:t>
      </w:r>
      <w:r>
        <w:rPr/>
        <w:t>日，东山双东污水处理厂提标改造工程通过环评审批，编号：东环审【</w:t>
      </w:r>
      <w:r>
        <w:rPr>
          <w:rFonts w:ascii="宋体" w:hAnsi="宋体" w:cs="宋体" w:eastAsia="宋体" w:hint="default"/>
        </w:rPr>
        <w:t>2017</w:t>
      </w:r>
      <w:r>
        <w:rPr/>
        <w:t>】</w:t>
      </w:r>
      <w:r>
        <w:rPr>
          <w:rFonts w:ascii="宋体" w:hAnsi="宋体" w:cs="宋体" w:eastAsia="宋体" w:hint="default"/>
        </w:rPr>
        <w:t>15</w:t>
      </w:r>
      <w:r>
        <w:rPr/>
        <w:t>号。</w:t>
      </w:r>
      <w:r>
        <w:rPr>
          <w:w w:val="100"/>
        </w:rPr>
        <w:t> </w:t>
      </w:r>
      <w:r>
        <w:rPr>
          <w:spacing w:val="-2"/>
        </w:rPr>
        <w:t>国家排污许可证编号：</w:t>
      </w:r>
      <w:r>
        <w:rPr>
          <w:rFonts w:ascii="宋体" w:hAnsi="宋体" w:cs="宋体" w:eastAsia="宋体" w:hint="default"/>
          <w:spacing w:val="-2"/>
        </w:rPr>
        <w:t>913506266808706746001Q</w:t>
      </w:r>
      <w:r>
        <w:rPr>
          <w:spacing w:val="-2"/>
        </w:rPr>
        <w:t>；有效期限：自</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28</w:t>
      </w:r>
      <w:r>
        <w:rPr>
          <w:spacing w:val="-2"/>
        </w:rPr>
        <w:t>日至</w:t>
      </w:r>
      <w:r>
        <w:rPr>
          <w:rFonts w:ascii="宋体" w:hAnsi="宋体" w:cs="宋体" w:eastAsia="宋体" w:hint="default"/>
          <w:spacing w:val="-2"/>
        </w:rPr>
        <w:t>2022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27</w:t>
      </w:r>
      <w:r>
        <w:rPr>
          <w:spacing w:val="-2"/>
        </w:rPr>
        <w:t>日止</w:t>
      </w:r>
      <w:r>
        <w:rPr>
          <w:spacing w:val="4"/>
        </w:rPr>
        <w:t> </w:t>
      </w:r>
      <w:r>
        <w:rPr>
          <w:rFonts w:ascii="宋体" w:hAnsi="宋体" w:cs="宋体" w:eastAsia="宋体" w:hint="default"/>
        </w:rPr>
        <w:t>2</w:t>
      </w:r>
      <w:r>
        <w:rPr/>
        <w:t>、福安嘉园</w:t>
      </w:r>
    </w:p>
    <w:p>
      <w:pPr>
        <w:pStyle w:val="BodyText"/>
        <w:spacing w:line="408" w:lineRule="auto"/>
        <w:ind w:left="573" w:right="2158"/>
        <w:jc w:val="left"/>
      </w:pPr>
      <w:r>
        <w:rPr/>
        <w:t>建设项目环境保护竣工验收监测报告</w:t>
      </w:r>
      <w:r>
        <w:rPr>
          <w:rFonts w:ascii="宋体" w:hAnsi="宋体" w:cs="宋体" w:eastAsia="宋体" w:hint="default"/>
        </w:rPr>
        <w:t>----</w:t>
      </w:r>
      <w:r>
        <w:rPr/>
        <w:t>安环监站验字（</w:t>
      </w:r>
      <w:r>
        <w:rPr>
          <w:rFonts w:ascii="宋体" w:hAnsi="宋体" w:cs="宋体" w:eastAsia="宋体" w:hint="default"/>
        </w:rPr>
        <w:t>2017</w:t>
      </w:r>
      <w:r>
        <w:rPr/>
        <w:t>）第</w:t>
      </w:r>
      <w:r>
        <w:rPr>
          <w:rFonts w:ascii="宋体" w:hAnsi="宋体" w:cs="宋体" w:eastAsia="宋体" w:hint="default"/>
        </w:rPr>
        <w:t>012</w:t>
      </w:r>
      <w:r>
        <w:rPr/>
        <w:t>号；</w:t>
      </w:r>
      <w:r>
        <w:rPr>
          <w:w w:val="100"/>
        </w:rPr>
        <w:t> </w:t>
      </w:r>
      <w:r>
        <w:rPr>
          <w:spacing w:val="-2"/>
        </w:rPr>
        <w:t>排污许可证编号：</w:t>
      </w:r>
      <w:r>
        <w:rPr>
          <w:rFonts w:ascii="宋体" w:hAnsi="宋体" w:cs="宋体" w:eastAsia="宋体" w:hint="default"/>
          <w:spacing w:val="-2"/>
        </w:rPr>
        <w:t>350981-2017-000052</w:t>
      </w:r>
      <w:r>
        <w:rPr>
          <w:spacing w:val="-2"/>
        </w:rPr>
        <w:t>，有效期限：</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20</w:t>
      </w:r>
      <w:r>
        <w:rPr>
          <w:spacing w:val="-2"/>
        </w:rPr>
        <w:t>日至</w:t>
      </w:r>
      <w:r>
        <w:rPr>
          <w:rFonts w:ascii="宋体" w:hAnsi="宋体" w:cs="宋体" w:eastAsia="宋体" w:hint="default"/>
          <w:spacing w:val="-2"/>
        </w:rPr>
        <w:t>2022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19</w:t>
      </w:r>
      <w:r>
        <w:rPr>
          <w:spacing w:val="-2"/>
        </w:rPr>
        <w:t>日。</w:t>
      </w:r>
      <w:r>
        <w:rPr>
          <w:spacing w:val="-5"/>
        </w:rPr>
        <w:t> </w:t>
      </w:r>
      <w:r>
        <w:rPr>
          <w:rFonts w:ascii="宋体" w:hAnsi="宋体" w:cs="宋体" w:eastAsia="宋体" w:hint="default"/>
        </w:rPr>
        <w:t>3</w:t>
      </w:r>
      <w:r>
        <w:rPr/>
        <w:t>、合肥嘉园</w:t>
      </w:r>
    </w:p>
    <w:p>
      <w:pPr>
        <w:pStyle w:val="BodyText"/>
        <w:spacing w:line="410" w:lineRule="auto"/>
        <w:ind w:right="0" w:firstLine="420"/>
        <w:jc w:val="left"/>
      </w:pP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10</w:t>
      </w:r>
      <w:r>
        <w:rPr>
          <w:spacing w:val="-2"/>
        </w:rPr>
        <w:t>日关于《合肥市龙泉山生活垃圾处理厂二期工程项目的环境影响评价报告书》通过合肥</w:t>
      </w:r>
      <w:r>
        <w:rPr>
          <w:w w:val="100"/>
        </w:rPr>
        <w:t> </w:t>
      </w:r>
      <w:r>
        <w:rPr/>
        <w:t>市环保局审批：环建审【</w:t>
      </w:r>
      <w:r>
        <w:rPr>
          <w:rFonts w:ascii="宋体" w:hAnsi="宋体" w:cs="宋体" w:eastAsia="宋体" w:hint="default"/>
        </w:rPr>
        <w:t>2010</w:t>
      </w:r>
      <w:r>
        <w:rPr/>
        <w:t>】</w:t>
      </w:r>
      <w:r>
        <w:rPr>
          <w:rFonts w:ascii="宋体" w:hAnsi="宋体" w:cs="宋体" w:eastAsia="宋体" w:hint="default"/>
        </w:rPr>
        <w:t>70</w:t>
      </w:r>
      <w:r>
        <w:rPr/>
        <w:t>号。</w:t>
      </w:r>
    </w:p>
    <w:p>
      <w:pPr>
        <w:pStyle w:val="BodyText"/>
        <w:spacing w:line="240" w:lineRule="auto" w:before="44"/>
        <w:ind w:left="573" w:right="0"/>
        <w:jc w:val="left"/>
      </w:pPr>
      <w:r>
        <w:rPr>
          <w:rFonts w:ascii="宋体" w:hAnsi="宋体" w:cs="宋体" w:eastAsia="宋体" w:hint="default"/>
        </w:rPr>
        <w:t>2013</w:t>
      </w:r>
      <w:r>
        <w:rPr/>
        <w:t>年</w:t>
      </w:r>
      <w:r>
        <w:rPr>
          <w:rFonts w:ascii="宋体" w:hAnsi="宋体" w:cs="宋体" w:eastAsia="宋体" w:hint="default"/>
        </w:rPr>
        <w:t>6</w:t>
      </w:r>
      <w:r>
        <w:rPr/>
        <w:t>月</w:t>
      </w:r>
      <w:r>
        <w:rPr>
          <w:rFonts w:ascii="宋体" w:hAnsi="宋体" w:cs="宋体" w:eastAsia="宋体" w:hint="default"/>
        </w:rPr>
        <w:t>13</w:t>
      </w:r>
      <w:r>
        <w:rPr/>
        <w:t>日通过合肥市环保局关于合肥嘉园龙泉山垃圾渗滤液处理站的环保验收《合环验（</w:t>
      </w:r>
      <w:r>
        <w:rPr>
          <w:rFonts w:ascii="宋体" w:hAnsi="宋体" w:cs="宋体" w:eastAsia="宋体" w:hint="default"/>
        </w:rPr>
        <w:t>2013</w:t>
      </w:r>
      <w:r>
        <w:rPr/>
        <w:t>）</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119</w:t>
      </w:r>
      <w:r>
        <w:rPr/>
        <w:t>号》</w:t>
      </w:r>
    </w:p>
    <w:p>
      <w:pPr>
        <w:spacing w:line="240" w:lineRule="auto" w:before="10"/>
        <w:rPr>
          <w:rFonts w:ascii="宋体" w:hAnsi="宋体" w:cs="宋体" w:eastAsia="宋体" w:hint="default"/>
          <w:sz w:val="14"/>
          <w:szCs w:val="14"/>
        </w:rPr>
      </w:pPr>
    </w:p>
    <w:p>
      <w:pPr>
        <w:pStyle w:val="BodyText"/>
        <w:spacing w:line="408" w:lineRule="auto" w:before="0"/>
        <w:ind w:right="1119" w:firstLine="420"/>
        <w:jc w:val="left"/>
      </w:pPr>
      <w:r>
        <w:rPr/>
        <w:t>安徽省主要污染物排污许可证证书编号：</w:t>
      </w:r>
      <w:r>
        <w:rPr>
          <w:rFonts w:ascii="宋体" w:hAnsi="宋体" w:cs="宋体" w:eastAsia="宋体" w:hint="default"/>
        </w:rPr>
        <w:t>34012220160006</w:t>
      </w:r>
      <w:r>
        <w:rPr/>
        <w:t>；有效期限：</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1</w:t>
      </w:r>
      <w:r>
        <w:rPr/>
        <w:t>日至</w:t>
      </w:r>
      <w:r>
        <w:rPr>
          <w:rFonts w:ascii="宋体" w:hAnsi="宋体" w:cs="宋体" w:eastAsia="宋体" w:hint="default"/>
        </w:rPr>
        <w:t>2021</w:t>
      </w:r>
      <w:r>
        <w:rPr/>
        <w:t>年</w:t>
      </w:r>
      <w:r>
        <w:rPr>
          <w:rFonts w:ascii="宋体" w:hAnsi="宋体" w:cs="宋体" w:eastAsia="宋体" w:hint="default"/>
        </w:rPr>
        <w:t>6</w:t>
      </w:r>
      <w:r>
        <w:rPr/>
        <w:t>月</w:t>
      </w:r>
      <w:r>
        <w:rPr>
          <w:rFonts w:ascii="宋体" w:hAnsi="宋体" w:cs="宋体" w:eastAsia="宋体" w:hint="default"/>
        </w:rPr>
        <w:t>30</w:t>
      </w:r>
      <w:r>
        <w:rPr>
          <w:rFonts w:ascii="宋体" w:hAnsi="宋体" w:cs="宋体" w:eastAsia="宋体" w:hint="default"/>
          <w:w w:val="100"/>
        </w:rPr>
        <w:t> </w:t>
      </w:r>
      <w:r>
        <w:rPr/>
        <w:t>日。</w:t>
      </w:r>
    </w:p>
    <w:p>
      <w:pPr>
        <w:pStyle w:val="BodyText"/>
        <w:spacing w:line="408" w:lineRule="auto"/>
        <w:ind w:right="0" w:firstLine="420"/>
        <w:jc w:val="left"/>
      </w:pPr>
      <w:r>
        <w:rPr/>
        <w:t>安徽省主要污染物排污许可证新证书编号：</w:t>
      </w:r>
      <w:r>
        <w:rPr>
          <w:rFonts w:ascii="宋体" w:hAnsi="宋体" w:cs="宋体" w:eastAsia="宋体" w:hint="default"/>
        </w:rPr>
        <w:t>913401225872035860001U</w:t>
      </w:r>
      <w:r>
        <w:rPr/>
        <w:t>；有效期限：</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w:t>
      </w:r>
      <w:r>
        <w:rPr/>
        <w:t>日至</w:t>
      </w:r>
      <w:r>
        <w:rPr>
          <w:spacing w:val="2"/>
          <w:w w:val="100"/>
        </w:rPr>
        <w:t> </w:t>
      </w:r>
      <w:r>
        <w:rPr>
          <w:rFonts w:ascii="宋体" w:hAnsi="宋体" w:cs="宋体" w:eastAsia="宋体" w:hint="default"/>
        </w:rPr>
        <w:t>2022</w:t>
      </w:r>
      <w:r>
        <w:rPr/>
        <w:t>年</w:t>
      </w:r>
      <w:r>
        <w:rPr>
          <w:rFonts w:ascii="宋体" w:hAnsi="宋体" w:cs="宋体" w:eastAsia="宋体" w:hint="default"/>
        </w:rPr>
        <w:t>12</w:t>
      </w:r>
      <w:r>
        <w:rPr/>
        <w:t>月</w:t>
      </w:r>
      <w:r>
        <w:rPr>
          <w:rFonts w:ascii="宋体" w:hAnsi="宋体" w:cs="宋体" w:eastAsia="宋体" w:hint="default"/>
        </w:rPr>
        <w:t>2</w:t>
      </w:r>
      <w:r>
        <w:rPr/>
        <w:t>日。</w:t>
      </w:r>
    </w:p>
    <w:p>
      <w:pPr>
        <w:pStyle w:val="BodyText"/>
        <w:spacing w:line="441" w:lineRule="auto" w:before="87"/>
        <w:ind w:left="573" w:right="7694"/>
        <w:jc w:val="left"/>
      </w:pPr>
      <w:r>
        <w:rPr>
          <w:spacing w:val="-2"/>
        </w:rPr>
        <w:t>突发环境事件应急预案：</w:t>
      </w:r>
      <w:r>
        <w:rPr>
          <w:spacing w:val="-82"/>
        </w:rPr>
        <w:t> </w:t>
      </w:r>
      <w:r>
        <w:rPr>
          <w:spacing w:val="-82"/>
        </w:rPr>
      </w:r>
      <w:r>
        <w:rPr>
          <w:rFonts w:ascii="宋体" w:hAnsi="宋体" w:cs="宋体" w:eastAsia="宋体" w:hint="default"/>
        </w:rPr>
        <w:t>1</w:t>
      </w:r>
      <w:r>
        <w:rPr/>
        <w:t>、东山嘉园</w:t>
      </w:r>
    </w:p>
    <w:p>
      <w:pPr>
        <w:pStyle w:val="BodyText"/>
        <w:spacing w:line="408" w:lineRule="auto" w:before="16"/>
        <w:ind w:right="1023" w:firstLine="420"/>
        <w:jc w:val="left"/>
      </w:pPr>
      <w:r>
        <w:rPr>
          <w:spacing w:val="-10"/>
          <w:w w:val="100"/>
        </w:rPr>
        <w:t>《嘉园（东山）水处理有限公司东山双东污水处理厂突发环境事件应急预案》；版本号：</w:t>
      </w:r>
      <w:r>
        <w:rPr>
          <w:rFonts w:ascii="宋体" w:hAnsi="宋体" w:cs="宋体" w:eastAsia="宋体" w:hint="default"/>
          <w:spacing w:val="-10"/>
          <w:w w:val="100"/>
        </w:rPr>
        <w:t>JYDS-2019-003</w:t>
      </w:r>
      <w:r>
        <w:rPr>
          <w:spacing w:val="-10"/>
          <w:w w:val="100"/>
        </w:rPr>
        <w:t>；</w:t>
      </w:r>
      <w:r>
        <w:rPr>
          <w:w w:val="100"/>
        </w:rPr>
        <w:t> </w:t>
      </w:r>
      <w:r>
        <w:rPr/>
        <w:t>备案编号：</w:t>
      </w:r>
      <w:r>
        <w:rPr>
          <w:rFonts w:ascii="宋体" w:hAnsi="宋体" w:cs="宋体" w:eastAsia="宋体" w:hint="default"/>
        </w:rPr>
        <w:t>350626-2019-006-L</w:t>
      </w:r>
      <w:r>
        <w:rPr/>
        <w:t>。</w:t>
      </w:r>
    </w:p>
    <w:p>
      <w:pPr>
        <w:pStyle w:val="BodyText"/>
        <w:spacing w:line="240" w:lineRule="auto"/>
        <w:ind w:left="573" w:right="0"/>
        <w:jc w:val="left"/>
      </w:pPr>
      <w:r>
        <w:rPr>
          <w:rFonts w:ascii="宋体" w:hAnsi="宋体" w:cs="宋体" w:eastAsia="宋体" w:hint="default"/>
        </w:rPr>
        <w:t>2</w:t>
      </w:r>
      <w:r>
        <w:rPr/>
        <w:t>、福安嘉园</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left"/>
      </w:pPr>
      <w:r>
        <w:rPr/>
        <w:t>《福安市城区生活垃圾卫生填埋场渗滤液处理站突发环境事件应急预案》；版本号：</w:t>
      </w:r>
      <w:r>
        <w:rPr>
          <w:rFonts w:ascii="宋体" w:hAnsi="宋体" w:cs="宋体" w:eastAsia="宋体" w:hint="default"/>
        </w:rPr>
        <w:t>FAJY--02(</w:t>
      </w:r>
      <w:r>
        <w:rPr/>
        <w:t>总第</w:t>
      </w:r>
      <w:r>
        <w:rPr>
          <w:w w:val="100"/>
        </w:rPr>
        <w:t> </w:t>
      </w:r>
      <w:r>
        <w:rPr/>
        <w:t>二版）；备案编号：</w:t>
      </w:r>
      <w:r>
        <w:rPr>
          <w:rFonts w:ascii="宋体" w:hAnsi="宋体" w:cs="宋体" w:eastAsia="宋体" w:hint="default"/>
        </w:rPr>
        <w:t>350981-2017-009-L</w:t>
      </w:r>
      <w:r>
        <w:rPr/>
        <w:t>。</w:t>
      </w:r>
    </w:p>
    <w:p>
      <w:pPr>
        <w:pStyle w:val="BodyText"/>
        <w:spacing w:line="240" w:lineRule="auto"/>
        <w:ind w:left="573" w:right="0"/>
        <w:jc w:val="left"/>
      </w:pPr>
      <w:r>
        <w:rPr>
          <w:rFonts w:ascii="宋体" w:hAnsi="宋体" w:cs="宋体" w:eastAsia="宋体" w:hint="default"/>
        </w:rPr>
        <w:t>3</w:t>
      </w:r>
      <w:r>
        <w:rPr/>
        <w:t>、合肥嘉园</w:t>
      </w:r>
    </w:p>
    <w:p>
      <w:pPr>
        <w:spacing w:line="240" w:lineRule="auto" w:before="11"/>
        <w:rPr>
          <w:rFonts w:ascii="宋体" w:hAnsi="宋体" w:cs="宋体" w:eastAsia="宋体" w:hint="default"/>
          <w:sz w:val="14"/>
          <w:szCs w:val="14"/>
        </w:rPr>
      </w:pPr>
    </w:p>
    <w:p>
      <w:pPr>
        <w:pStyle w:val="BodyText"/>
        <w:spacing w:line="408" w:lineRule="auto" w:before="0"/>
        <w:ind w:right="0" w:firstLine="420"/>
        <w:jc w:val="left"/>
      </w:pPr>
      <w:r>
        <w:rPr/>
        <w:t>《</w:t>
      </w:r>
      <w:r>
        <w:rPr>
          <w:spacing w:val="-66"/>
        </w:rPr>
        <w:t> </w:t>
      </w:r>
      <w:r>
        <w:rPr>
          <w:spacing w:val="16"/>
        </w:rPr>
        <w:t>合肥嘉园水处理投资有限公司突发环境事件应急预案》；版本号：</w:t>
      </w:r>
      <w:r>
        <w:rPr>
          <w:spacing w:val="-59"/>
        </w:rPr>
        <w:t> </w:t>
      </w:r>
      <w:r>
        <w:rPr>
          <w:rFonts w:ascii="宋体" w:hAnsi="宋体" w:cs="宋体" w:eastAsia="宋体" w:hint="default"/>
        </w:rPr>
        <w:t>JYHBYJ-01</w:t>
      </w:r>
      <w:r>
        <w:rPr>
          <w:rFonts w:ascii="宋体" w:hAnsi="宋体" w:cs="宋体" w:eastAsia="宋体" w:hint="default"/>
          <w:spacing w:val="-66"/>
        </w:rPr>
        <w:t> </w:t>
      </w:r>
      <w:r>
        <w:rPr/>
        <w:t>；</w:t>
      </w:r>
      <w:r>
        <w:rPr>
          <w:spacing w:val="-66"/>
        </w:rPr>
        <w:t> </w:t>
      </w:r>
      <w:r>
        <w:rPr>
          <w:spacing w:val="13"/>
        </w:rPr>
        <w:t>备案编号：</w:t>
      </w:r>
      <w:r>
        <w:rPr>
          <w:w w:val="100"/>
        </w:rPr>
        <w:t> </w:t>
      </w:r>
      <w:r>
        <w:rPr>
          <w:rFonts w:ascii="宋体" w:hAnsi="宋体" w:cs="宋体" w:eastAsia="宋体" w:hint="default"/>
        </w:rPr>
        <w:t>34012220130030016</w:t>
      </w:r>
      <w:r>
        <w:rPr/>
        <w:t>。</w:t>
      </w:r>
    </w:p>
    <w:p>
      <w:pPr>
        <w:pStyle w:val="BodyText"/>
        <w:spacing w:line="444" w:lineRule="auto" w:before="87"/>
        <w:ind w:left="573" w:right="8452"/>
        <w:jc w:val="left"/>
      </w:pPr>
      <w:r>
        <w:rPr>
          <w:spacing w:val="-1"/>
        </w:rPr>
        <w:t>环境自行监测方案：</w:t>
      </w:r>
      <w:r>
        <w:rPr>
          <w:spacing w:val="-95"/>
        </w:rPr>
        <w:t> </w:t>
      </w:r>
      <w:r>
        <w:rPr>
          <w:spacing w:val="-95"/>
        </w:rPr>
      </w:r>
      <w:r>
        <w:rPr>
          <w:rFonts w:ascii="宋体" w:hAnsi="宋体" w:cs="宋体" w:eastAsia="宋体" w:hint="default"/>
        </w:rPr>
        <w:t>1</w:t>
      </w:r>
      <w:r>
        <w:rPr/>
        <w:t>、东山嘉园</w:t>
      </w:r>
    </w:p>
    <w:p>
      <w:pPr>
        <w:pStyle w:val="BodyText"/>
        <w:spacing w:line="408" w:lineRule="auto" w:before="14"/>
        <w:ind w:left="573" w:right="0"/>
        <w:jc w:val="left"/>
      </w:pPr>
      <w:r>
        <w:rPr>
          <w:spacing w:val="-4"/>
        </w:rPr>
        <w:t>《嘉园（东山）水处理有限公司自行监测方案》，版本号：</w:t>
      </w:r>
      <w:r>
        <w:rPr>
          <w:rFonts w:ascii="宋体" w:hAnsi="宋体" w:cs="宋体" w:eastAsia="宋体" w:hint="default"/>
          <w:spacing w:val="-4"/>
        </w:rPr>
        <w:t>0206162843</w:t>
      </w:r>
      <w:r>
        <w:rPr>
          <w:spacing w:val="-4"/>
        </w:rPr>
        <w:t>，备案编号：</w:t>
      </w:r>
      <w:r>
        <w:rPr>
          <w:rFonts w:ascii="宋体" w:hAnsi="宋体" w:cs="宋体" w:eastAsia="宋体" w:hint="default"/>
          <w:spacing w:val="-4"/>
        </w:rPr>
        <w:t>35062620200001</w:t>
      </w:r>
      <w:r>
        <w:rPr>
          <w:spacing w:val="-4"/>
        </w:rPr>
        <w:t>。</w:t>
      </w:r>
      <w:r>
        <w:rPr>
          <w:spacing w:val="-17"/>
        </w:rPr>
        <w:t> </w:t>
      </w:r>
      <w:r>
        <w:rPr>
          <w:rFonts w:ascii="宋体" w:hAnsi="宋体" w:cs="宋体" w:eastAsia="宋体" w:hint="default"/>
        </w:rPr>
        <w:t>2</w:t>
      </w:r>
      <w:r>
        <w:rPr/>
        <w:t>、福安嘉园</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27" w:lineRule="auto" w:before="175"/>
        <w:ind w:left="573" w:right="7154"/>
        <w:jc w:val="left"/>
      </w:pPr>
      <w:r>
        <w:rPr>
          <w:spacing w:val="-2"/>
        </w:rPr>
        <w:t>委托第三方有资质的公司检测。</w:t>
      </w:r>
      <w:r>
        <w:rPr>
          <w:spacing w:val="-76"/>
        </w:rPr>
        <w:t> </w:t>
      </w:r>
      <w:r>
        <w:rPr>
          <w:spacing w:val="-76"/>
        </w:rPr>
      </w:r>
      <w:r>
        <w:rPr>
          <w:rFonts w:ascii="宋体" w:hAnsi="宋体" w:cs="宋体" w:eastAsia="宋体" w:hint="default"/>
        </w:rPr>
        <w:t>3</w:t>
      </w:r>
      <w:r>
        <w:rPr/>
        <w:t>、合肥嘉园</w:t>
      </w:r>
      <w:r>
        <w:rPr>
          <w:w w:val="100"/>
        </w:rPr>
        <w:t> </w:t>
      </w:r>
      <w:r>
        <w:rPr>
          <w:spacing w:val="-2"/>
        </w:rPr>
        <w:t>委托第三方有资质的公司检测。</w:t>
      </w:r>
      <w:r>
        <w:rPr>
          <w:spacing w:val="-76"/>
        </w:rPr>
        <w:t> </w:t>
      </w:r>
      <w:r>
        <w:rPr>
          <w:spacing w:val="-76"/>
        </w:rPr>
      </w:r>
      <w:r>
        <w:rPr/>
        <w:t>其他应当公开的环境信息：</w:t>
      </w:r>
      <w:r>
        <w:rPr>
          <w:w w:val="100"/>
        </w:rPr>
        <w:t> </w:t>
      </w:r>
      <w:r>
        <w:rPr/>
        <w:t>合肥嘉园</w:t>
      </w:r>
    </w:p>
    <w:p>
      <w:pPr>
        <w:pStyle w:val="BodyText"/>
        <w:spacing w:line="240" w:lineRule="auto" w:before="29"/>
        <w:ind w:left="573" w:right="0"/>
        <w:jc w:val="left"/>
      </w:pPr>
      <w:r>
        <w:rPr>
          <w:rFonts w:ascii="宋体" w:hAnsi="宋体" w:cs="宋体" w:eastAsia="宋体" w:hint="default"/>
        </w:rPr>
        <w:t>1</w:t>
      </w:r>
      <w:r>
        <w:rPr/>
        <w:t>、废水各监测断面、各监测项目半年监测均持续达标，半年共监测</w:t>
      </w:r>
      <w:r>
        <w:rPr>
          <w:rFonts w:ascii="宋体" w:hAnsi="宋体" w:cs="宋体" w:eastAsia="宋体" w:hint="default"/>
        </w:rPr>
        <w:t>625</w:t>
      </w:r>
      <w:r>
        <w:rPr/>
        <w:t>项次，达标</w:t>
      </w:r>
      <w:r>
        <w:rPr>
          <w:rFonts w:ascii="宋体" w:hAnsi="宋体" w:cs="宋体" w:eastAsia="宋体" w:hint="default"/>
        </w:rPr>
        <w:t>625</w:t>
      </w:r>
      <w:r>
        <w:rPr/>
        <w:t>次；</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2</w:t>
      </w:r>
      <w:r>
        <w:rPr/>
        <w:t>、噪声各监测点半年监测</w:t>
      </w:r>
      <w:r>
        <w:rPr>
          <w:rFonts w:ascii="宋体" w:hAnsi="宋体" w:cs="宋体" w:eastAsia="宋体" w:hint="default"/>
        </w:rPr>
        <w:t>2</w:t>
      </w:r>
      <w:r>
        <w:rPr/>
        <w:t>次，即每季度一次监测、经监测，半年噪声污染控制均达标，共达标</w:t>
      </w:r>
      <w:r>
        <w:rPr>
          <w:rFonts w:ascii="宋体" w:hAnsi="宋体" w:cs="宋体" w:eastAsia="宋体" w:hint="default"/>
        </w:rPr>
        <w:t>2</w:t>
      </w:r>
      <w:r>
        <w:rPr/>
        <w:t>次；</w:t>
      </w:r>
    </w:p>
    <w:p>
      <w:pPr>
        <w:spacing w:line="240" w:lineRule="auto" w:before="10"/>
        <w:rPr>
          <w:rFonts w:ascii="宋体" w:hAnsi="宋体" w:cs="宋体" w:eastAsia="宋体" w:hint="default"/>
          <w:sz w:val="14"/>
          <w:szCs w:val="14"/>
        </w:rPr>
      </w:pPr>
    </w:p>
    <w:p>
      <w:pPr>
        <w:pStyle w:val="BodyText"/>
        <w:spacing w:line="410" w:lineRule="auto" w:before="0"/>
        <w:ind w:right="0" w:firstLine="420"/>
        <w:jc w:val="left"/>
      </w:pPr>
      <w:r>
        <w:rPr>
          <w:rFonts w:ascii="宋体" w:hAnsi="宋体" w:cs="宋体" w:eastAsia="宋体" w:hint="default"/>
        </w:rPr>
        <w:t>3</w:t>
      </w:r>
      <w:r>
        <w:rPr/>
        <w:t>、固体废物主要为生化系统产生的剩余污泥，该部分剩余污泥均经过污泥脱水系统后，将脱水后的</w:t>
      </w:r>
      <w:r>
        <w:rPr>
          <w:w w:val="100"/>
        </w:rPr>
        <w:t> </w:t>
      </w:r>
      <w:r>
        <w:rPr/>
        <w:t>干污泥经车辆运送到龙泉山垃圾库区填埋；</w:t>
      </w:r>
    </w:p>
    <w:p>
      <w:pPr>
        <w:pStyle w:val="BodyText"/>
        <w:spacing w:line="408" w:lineRule="auto" w:before="44"/>
        <w:ind w:right="0" w:firstLine="420"/>
        <w:jc w:val="left"/>
      </w:pPr>
      <w:r>
        <w:rPr>
          <w:rFonts w:ascii="宋体" w:hAnsi="宋体" w:cs="宋体" w:eastAsia="宋体" w:hint="default"/>
        </w:rPr>
        <w:t>4</w:t>
      </w:r>
      <w:r>
        <w:rPr/>
        <w:t>、对外公布方式：合肥市环保局网站国控企业自行监测平台；公布时限：①手工监测数据于每次监</w:t>
      </w:r>
      <w:r>
        <w:rPr>
          <w:w w:val="100"/>
        </w:rPr>
        <w:t> </w:t>
      </w:r>
      <w:r>
        <w:rPr/>
        <w:t>测完成后的次日公布；②自动监测数据实时公布监测结果，其中废水自动监测设备为每</w:t>
      </w:r>
      <w:r>
        <w:rPr>
          <w:rFonts w:ascii="宋体" w:hAnsi="宋体" w:cs="宋体" w:eastAsia="宋体" w:hint="default"/>
        </w:rPr>
        <w:t>2</w:t>
      </w:r>
      <w:r>
        <w:rPr/>
        <w:t>小时均值。</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9"/>
        <w:ind w:left="573" w:right="0"/>
        <w:jc w:val="left"/>
      </w:pPr>
      <w:r>
        <w:rPr>
          <w:rFonts w:ascii="宋体" w:hAnsi="宋体" w:cs="宋体" w:eastAsia="宋体" w:hint="default"/>
        </w:rPr>
        <w:t>1</w:t>
      </w:r>
      <w:r>
        <w:rPr/>
        <w:t>、收购山西腾星传感技术有限公司的相关事项</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w:t>
      </w:r>
      <w:r>
        <w:rPr>
          <w:spacing w:val="-2"/>
        </w:rPr>
        <w:t>日，公司召开的第四届董事会第二十三次会议审议通过《关于使用自有资金收购山西腾星</w:t>
      </w:r>
      <w:r>
        <w:rPr>
          <w:w w:val="100"/>
        </w:rPr>
        <w:t> </w:t>
      </w:r>
      <w:r>
        <w:rPr>
          <w:spacing w:val="-2"/>
        </w:rPr>
        <w:t>传感技术有限公司</w:t>
      </w:r>
      <w:r>
        <w:rPr>
          <w:rFonts w:ascii="宋体" w:hAnsi="宋体" w:cs="宋体" w:eastAsia="宋体" w:hint="default"/>
          <w:spacing w:val="-2"/>
        </w:rPr>
        <w:t>100%</w:t>
      </w:r>
      <w:r>
        <w:rPr>
          <w:spacing w:val="-2"/>
        </w:rPr>
        <w:t>股权的议案》。</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w:t>
      </w:r>
      <w:r>
        <w:rPr>
          <w:spacing w:val="-2"/>
        </w:rPr>
        <w:t>日，公司与山西腾星原股东签署《关于山西腾星传感技</w:t>
      </w:r>
      <w:r>
        <w:rPr>
          <w:spacing w:val="-39"/>
        </w:rPr>
        <w:t> </w:t>
      </w:r>
      <w:r>
        <w:rPr>
          <w:spacing w:val="-39"/>
        </w:rPr>
      </w:r>
      <w:r>
        <w:rPr>
          <w:spacing w:val="-2"/>
        </w:rPr>
        <w:t>术有限公司之股权转让协议书》，公司以自有资金</w:t>
      </w:r>
      <w:r>
        <w:rPr>
          <w:rFonts w:ascii="宋体" w:hAnsi="宋体" w:cs="宋体" w:eastAsia="宋体" w:hint="default"/>
          <w:spacing w:val="-2"/>
        </w:rPr>
        <w:t>1,222.50</w:t>
      </w:r>
      <w:r>
        <w:rPr>
          <w:spacing w:val="-2"/>
        </w:rPr>
        <w:t>万元通过股权受让方式收购山西腾星传感技术</w:t>
      </w:r>
      <w:r>
        <w:rPr>
          <w:spacing w:val="-38"/>
        </w:rPr>
        <w:t> </w:t>
      </w:r>
      <w:r>
        <w:rPr>
          <w:spacing w:val="-38"/>
        </w:rPr>
      </w:r>
      <w:r>
        <w:rPr/>
        <w:t>有限公司</w:t>
      </w:r>
      <w:r>
        <w:rPr>
          <w:rFonts w:ascii="宋体" w:hAnsi="宋体" w:cs="宋体" w:eastAsia="宋体" w:hint="default"/>
        </w:rPr>
        <w:t>100%</w:t>
      </w:r>
      <w:r>
        <w:rPr/>
        <w:t>股权。同时，公司向山西腾星原股东王晓平、王子中支付终身竞争限制补偿</w:t>
      </w:r>
      <w:r>
        <w:rPr>
          <w:rFonts w:ascii="宋体" w:hAnsi="宋体" w:cs="宋体" w:eastAsia="宋体" w:hint="default"/>
        </w:rPr>
        <w:t>2,000</w:t>
      </w:r>
      <w:r>
        <w:rPr/>
        <w:t>万元。</w:t>
      </w:r>
    </w:p>
    <w:p>
      <w:pPr>
        <w:pStyle w:val="BodyText"/>
        <w:spacing w:line="408" w:lineRule="auto"/>
        <w:ind w:right="1126" w:firstLine="420"/>
        <w:jc w:val="both"/>
      </w:pPr>
      <w:r>
        <w:rPr>
          <w:spacing w:val="-2"/>
        </w:rPr>
        <w:t>本次投资完成后，山西腾星成为公司的全资子公司，与公司全资子公司炜盛科技同为公司旗下传感器</w:t>
      </w:r>
      <w:r>
        <w:rPr>
          <w:w w:val="100"/>
        </w:rPr>
        <w:t> </w:t>
      </w:r>
      <w:r>
        <w:rPr>
          <w:spacing w:val="-2"/>
        </w:rPr>
        <w:t>品牌，公司将借此机会着力打造全新产品线。公司旗下传感器品牌之间保持良好的协作关系，为不同需求</w:t>
      </w:r>
      <w:r>
        <w:rPr>
          <w:spacing w:val="-44"/>
        </w:rPr>
        <w:t> </w:t>
      </w:r>
      <w:r>
        <w:rPr>
          <w:spacing w:val="-44"/>
        </w:rPr>
      </w:r>
      <w:r>
        <w:rPr>
          <w:spacing w:val="-2"/>
        </w:rPr>
        <w:t>的客户提供多层次的产品与服务，从而降低客户的购置成本，因此，本次投资有利于公司销售规模的提高</w:t>
      </w:r>
      <w:r>
        <w:rPr>
          <w:spacing w:val="-43"/>
        </w:rPr>
        <w:t> </w:t>
      </w:r>
      <w:r>
        <w:rPr>
          <w:spacing w:val="-43"/>
        </w:rPr>
      </w:r>
      <w:r>
        <w:rPr/>
        <w:t>以及综合盈利能力的提升。</w:t>
      </w:r>
    </w:p>
    <w:p>
      <w:pPr>
        <w:pStyle w:val="BodyText"/>
        <w:spacing w:line="408" w:lineRule="auto"/>
        <w:ind w:right="0" w:firstLine="420"/>
        <w:jc w:val="left"/>
      </w:pPr>
      <w:r>
        <w:rPr/>
        <w:t>根据深圳证券交易所《创业板股票上市规则》和《公司章程》的有关规定，本次投资事项在董事会审</w:t>
      </w:r>
      <w:r>
        <w:rPr>
          <w:w w:val="100"/>
        </w:rPr>
        <w:t> </w:t>
      </w:r>
      <w:r>
        <w:rPr>
          <w:spacing w:val="-5"/>
        </w:rPr>
        <w:t>批权限内，无需提交股东大会审议，不构成《上市公司重大资产重组管理办法》规定的重大资产重组情况。</w:t>
      </w:r>
      <w:r>
        <w:rPr>
          <w:spacing w:val="-9"/>
        </w:rPr>
        <w:t> </w:t>
      </w:r>
      <w:r>
        <w:rPr>
          <w:spacing w:val="-9"/>
        </w:rPr>
      </w:r>
      <w:r>
        <w:rPr/>
        <w:t>具体信息请查阅公司于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w:t>
      </w:r>
      <w:r>
        <w:rPr/>
        <w:t>日在巨潮资讯网刊登的公告。</w:t>
      </w:r>
    </w:p>
    <w:p>
      <w:pPr>
        <w:pStyle w:val="BodyText"/>
        <w:spacing w:line="240" w:lineRule="auto"/>
        <w:ind w:left="573" w:right="0"/>
        <w:jc w:val="left"/>
      </w:pPr>
      <w:r>
        <w:rPr>
          <w:rFonts w:ascii="宋体" w:hAnsi="宋体" w:cs="宋体" w:eastAsia="宋体" w:hint="default"/>
        </w:rPr>
        <w:t>2</w:t>
      </w:r>
      <w:r>
        <w:rPr/>
        <w:t>、关于嘉园环保有限公司</w:t>
      </w:r>
      <w:r>
        <w:rPr>
          <w:rFonts w:ascii="宋体" w:hAnsi="宋体" w:cs="宋体" w:eastAsia="宋体" w:hint="default"/>
        </w:rPr>
        <w:t>2016</w:t>
      </w:r>
      <w:r>
        <w:rPr/>
        <w:t>年度未达成业绩承诺暨相应现金补偿完毕的相关事项</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rFonts w:ascii="宋体" w:hAnsi="宋体" w:cs="宋体" w:eastAsia="宋体" w:hint="default"/>
          <w:spacing w:val="-4"/>
        </w:rPr>
        <w:t>2014</w:t>
      </w:r>
      <w:r>
        <w:rPr>
          <w:spacing w:val="-4"/>
        </w:rPr>
        <w:t>年</w:t>
      </w:r>
      <w:r>
        <w:rPr>
          <w:rFonts w:ascii="宋体" w:hAnsi="宋体" w:cs="宋体" w:eastAsia="宋体" w:hint="default"/>
          <w:spacing w:val="-4"/>
        </w:rPr>
        <w:t>9</w:t>
      </w:r>
      <w:r>
        <w:rPr>
          <w:spacing w:val="-4"/>
        </w:rPr>
        <w:t>月，公司通过发行股份及支付现金方式收购嘉园环保有限公司</w:t>
      </w:r>
      <w:r>
        <w:rPr>
          <w:rFonts w:ascii="宋体" w:hAnsi="宋体" w:cs="宋体" w:eastAsia="宋体" w:hint="default"/>
          <w:spacing w:val="-4"/>
        </w:rPr>
        <w:t>80%</w:t>
      </w:r>
      <w:r>
        <w:rPr>
          <w:spacing w:val="-4"/>
        </w:rPr>
        <w:t>股份，并与陈泽枝、李泽清、</w:t>
      </w:r>
      <w:r>
        <w:rPr>
          <w:w w:val="100"/>
        </w:rPr>
        <w:t> </w:t>
      </w:r>
      <w:r>
        <w:rPr/>
        <w:t>高孔兴、芜湖华顺置业投资有限责任公司、许金炉、刘智良、黄开坚（以下简称“嘉园环保原股东”）</w:t>
      </w:r>
      <w:r>
        <w:rPr>
          <w:rFonts w:ascii="宋体" w:hAnsi="宋体" w:cs="宋体" w:eastAsia="宋体" w:hint="default"/>
        </w:rPr>
        <w:t>7</w:t>
      </w:r>
      <w:r>
        <w:rPr>
          <w:rFonts w:ascii="宋体" w:hAnsi="宋体" w:cs="宋体" w:eastAsia="宋体" w:hint="default"/>
          <w:spacing w:val="-21"/>
        </w:rPr>
        <w:t> </w:t>
      </w:r>
      <w:r>
        <w:rPr/>
        <w:t>名交易对方签署了《利润承诺补偿协议》。</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020" w:firstLine="420"/>
        <w:jc w:val="left"/>
      </w:pPr>
      <w:r>
        <w:rPr/>
        <w:t>根据大信会计师事务所（特殊普通合伙）出具的《业绩承诺实现情况审核报告》（大信专审字</w:t>
      </w:r>
      <w:r>
        <w:rPr>
          <w:rFonts w:ascii="宋体" w:hAnsi="宋体" w:cs="宋体" w:eastAsia="宋体" w:hint="default"/>
        </w:rPr>
        <w:t>[2017]</w:t>
      </w:r>
      <w:r>
        <w:rPr>
          <w:rFonts w:ascii="宋体" w:hAnsi="宋体" w:cs="宋体" w:eastAsia="宋体" w:hint="default"/>
          <w:w w:val="100"/>
        </w:rPr>
        <w:t> </w:t>
      </w:r>
      <w:r>
        <w:rPr>
          <w:spacing w:val="-4"/>
        </w:rPr>
        <w:t>第</w:t>
      </w:r>
      <w:r>
        <w:rPr>
          <w:rFonts w:ascii="宋体" w:hAnsi="宋体" w:cs="宋体" w:eastAsia="宋体" w:hint="default"/>
          <w:spacing w:val="-4"/>
        </w:rPr>
        <w:t>28-00002</w:t>
      </w:r>
      <w:r>
        <w:rPr>
          <w:spacing w:val="-4"/>
        </w:rPr>
        <w:t>号），</w:t>
      </w:r>
      <w:r>
        <w:rPr>
          <w:rFonts w:ascii="宋体" w:hAnsi="宋体" w:cs="宋体" w:eastAsia="宋体" w:hint="default"/>
          <w:spacing w:val="-4"/>
        </w:rPr>
        <w:t>2016</w:t>
      </w:r>
      <w:r>
        <w:rPr>
          <w:spacing w:val="-4"/>
        </w:rPr>
        <w:t>年度嘉园环保实现扣除非经常性损益后归属于母公司所有者净利润为</w:t>
      </w:r>
      <w:r>
        <w:rPr>
          <w:rFonts w:ascii="宋体" w:hAnsi="宋体" w:cs="宋体" w:eastAsia="宋体" w:hint="default"/>
          <w:spacing w:val="-4"/>
        </w:rPr>
        <w:t>4,307.12</w:t>
      </w:r>
      <w:r>
        <w:rPr>
          <w:spacing w:val="-4"/>
        </w:rPr>
        <w:t>万元，</w:t>
      </w:r>
      <w:r>
        <w:rPr>
          <w:spacing w:val="-14"/>
        </w:rPr>
        <w:t> </w:t>
      </w:r>
      <w:r>
        <w:rPr>
          <w:spacing w:val="-14"/>
        </w:rPr>
      </w:r>
      <w:r>
        <w:rPr/>
        <w:t>嘉园环保</w:t>
      </w:r>
      <w:r>
        <w:rPr>
          <w:rFonts w:ascii="宋体" w:hAnsi="宋体" w:cs="宋体" w:eastAsia="宋体" w:hint="default"/>
        </w:rPr>
        <w:t>2016</w:t>
      </w:r>
      <w:r>
        <w:rPr/>
        <w:t>年度业绩承诺完成率为</w:t>
      </w:r>
      <w:r>
        <w:rPr>
          <w:rFonts w:ascii="宋体" w:hAnsi="宋体" w:cs="宋体" w:eastAsia="宋体" w:hint="default"/>
        </w:rPr>
        <w:t>82%</w:t>
      </w:r>
      <w:r>
        <w:rPr/>
        <w:t>，未完成业绩承诺。按照协议中约定的补偿条款及计算公式，嘉</w:t>
      </w:r>
      <w:r>
        <w:rPr>
          <w:spacing w:val="-27"/>
        </w:rPr>
        <w:t> </w:t>
      </w:r>
      <w:r>
        <w:rPr>
          <w:spacing w:val="-27"/>
        </w:rPr>
      </w:r>
      <w:r>
        <w:rPr/>
        <w:t>园环保原股东应以现金形式补偿汉威科技共计</w:t>
      </w:r>
      <w:r>
        <w:rPr>
          <w:rFonts w:ascii="宋体" w:hAnsi="宋体" w:cs="宋体" w:eastAsia="宋体" w:hint="default"/>
        </w:rPr>
        <w:t>4,112.32</w:t>
      </w:r>
      <w:r>
        <w:rPr/>
        <w:t>万元。</w:t>
      </w:r>
    </w:p>
    <w:p>
      <w:pPr>
        <w:pStyle w:val="BodyText"/>
        <w:spacing w:line="408" w:lineRule="auto"/>
        <w:ind w:right="1126" w:firstLine="420"/>
        <w:jc w:val="both"/>
      </w:pPr>
      <w:r>
        <w:rPr>
          <w:spacing w:val="-2"/>
        </w:rPr>
        <w:t>截至报告期末，嘉园环保原股东已履行完毕缴纳全部现金补偿款义务，嘉园环保</w:t>
      </w:r>
      <w:r>
        <w:rPr>
          <w:rFonts w:ascii="宋体" w:hAnsi="宋体" w:cs="宋体" w:eastAsia="宋体" w:hint="default"/>
          <w:spacing w:val="-2"/>
        </w:rPr>
        <w:t>2016</w:t>
      </w:r>
      <w:r>
        <w:rPr>
          <w:spacing w:val="-2"/>
        </w:rPr>
        <w:t>年度未达成业绩</w:t>
      </w:r>
      <w:r>
        <w:rPr>
          <w:w w:val="100"/>
        </w:rPr>
        <w:t> </w:t>
      </w:r>
      <w:r>
        <w:rPr/>
        <w:t>承诺暨现金补偿事项进展完毕。具体信息请查阅公司于</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31</w:t>
      </w:r>
      <w:r>
        <w:rPr/>
        <w:t>日在巨潮资讯网刊登的相关公告。</w:t>
      </w:r>
    </w:p>
    <w:p>
      <w:pPr>
        <w:pStyle w:val="BodyText"/>
        <w:spacing w:line="240" w:lineRule="auto"/>
        <w:ind w:left="573" w:right="0"/>
        <w:jc w:val="left"/>
      </w:pPr>
      <w:r>
        <w:rPr>
          <w:rFonts w:ascii="宋体" w:hAnsi="宋体" w:cs="宋体" w:eastAsia="宋体" w:hint="default"/>
        </w:rPr>
        <w:t>3</w:t>
      </w:r>
      <w:r>
        <w:rPr/>
        <w:t>、公司非公开发行股票的相关事项</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6</w:t>
      </w:r>
      <w:r>
        <w:rPr>
          <w:spacing w:val="2"/>
        </w:rPr>
        <w:t>日，公司第四届董事会第二十六次会议审议通过了关于公司《创业板非公开发行股票预</w:t>
      </w:r>
      <w:r>
        <w:rPr>
          <w:w w:val="100"/>
        </w:rPr>
        <w:t> </w:t>
      </w:r>
      <w:r>
        <w:rPr>
          <w:spacing w:val="-2"/>
        </w:rPr>
        <w:t>案》、《非公开发行股票方案论证分析报告》、《非公开发行股票募集资金使用可行性分析报告》等非公</w:t>
      </w:r>
      <w:r>
        <w:rPr>
          <w:spacing w:val="-43"/>
        </w:rPr>
        <w:t> </w:t>
      </w:r>
      <w:r>
        <w:rPr>
          <w:spacing w:val="-43"/>
        </w:rPr>
      </w:r>
      <w:r>
        <w:rPr/>
        <w:t>开发行股票相关议案。本次非公开发行股票的对象为符合中国证监会规定条件的不超过</w:t>
      </w:r>
      <w:r>
        <w:rPr>
          <w:rFonts w:ascii="宋体" w:hAnsi="宋体" w:cs="宋体" w:eastAsia="宋体" w:hint="default"/>
        </w:rPr>
        <w:t>5</w:t>
      </w:r>
      <w:r>
        <w:rPr/>
        <w:t>名（含）特定投</w:t>
      </w:r>
      <w:r>
        <w:rPr>
          <w:spacing w:val="-20"/>
        </w:rPr>
        <w:t> </w:t>
      </w:r>
      <w:r>
        <w:rPr>
          <w:spacing w:val="-20"/>
        </w:rPr>
      </w:r>
      <w:r>
        <w:rPr>
          <w:spacing w:val="-2"/>
        </w:rPr>
        <w:t>资者，最终发行对象由股东大会授权董事会在获得中国证监会发行核准文件后，按照中国证监会相关规定</w:t>
      </w:r>
      <w:r>
        <w:rPr>
          <w:spacing w:val="-43"/>
        </w:rPr>
        <w:t> </w:t>
      </w:r>
      <w:r>
        <w:rPr>
          <w:spacing w:val="-43"/>
        </w:rPr>
      </w:r>
      <w:r>
        <w:rPr>
          <w:spacing w:val="-2"/>
        </w:rPr>
        <w:t>及本预案所规定的条件，根据询价结果与本次发行的保荐机构（主承销商）协商确定；公司本次非公开发</w:t>
      </w:r>
      <w:r>
        <w:rPr>
          <w:spacing w:val="-47"/>
        </w:rPr>
        <w:t> </w:t>
      </w:r>
      <w:r>
        <w:rPr>
          <w:spacing w:val="-47"/>
        </w:rPr>
      </w:r>
      <w:r>
        <w:rPr>
          <w:spacing w:val="-5"/>
        </w:rPr>
        <w:t>行的股票数量不超过发行前公司总股本的</w:t>
      </w:r>
      <w:r>
        <w:rPr>
          <w:rFonts w:ascii="宋体" w:hAnsi="宋体" w:cs="宋体" w:eastAsia="宋体" w:hint="default"/>
          <w:spacing w:val="-5"/>
        </w:rPr>
        <w:t>20%</w:t>
      </w:r>
      <w:r>
        <w:rPr>
          <w:spacing w:val="-5"/>
        </w:rPr>
        <w:t>，按当前股本测算，本次发行股票数量不超过 </w:t>
      </w:r>
      <w:r>
        <w:rPr>
          <w:rFonts w:ascii="宋体" w:hAnsi="宋体" w:cs="宋体" w:eastAsia="宋体" w:hint="default"/>
        </w:rPr>
        <w:t>58,604,561</w:t>
      </w:r>
      <w:r>
        <w:rPr>
          <w:rFonts w:ascii="宋体" w:hAnsi="宋体" w:cs="宋体" w:eastAsia="宋体" w:hint="default"/>
          <w:spacing w:val="73"/>
        </w:rPr>
        <w:t> </w:t>
      </w:r>
      <w:r>
        <w:rPr/>
        <w:t>股</w:t>
      </w:r>
    </w:p>
    <w:p>
      <w:pPr>
        <w:pStyle w:val="BodyText"/>
        <w:spacing w:line="408" w:lineRule="auto"/>
        <w:ind w:right="1119"/>
        <w:jc w:val="left"/>
      </w:pPr>
      <w:r>
        <w:rPr>
          <w:spacing w:val="-2"/>
        </w:rPr>
        <w:t>（含），最终发行数量根据募集资金总额和发行价格计算所得；本次非公开发行股票的募集资金总额不超</w:t>
      </w:r>
      <w:r>
        <w:rPr>
          <w:spacing w:val="-43"/>
        </w:rPr>
        <w:t> </w:t>
      </w:r>
      <w:r>
        <w:rPr>
          <w:spacing w:val="-43"/>
        </w:rPr>
      </w:r>
      <w:r>
        <w:rPr/>
        <w:t>过 </w:t>
      </w:r>
      <w:r>
        <w:rPr>
          <w:rFonts w:ascii="宋体" w:hAnsi="宋体" w:cs="宋体" w:eastAsia="宋体" w:hint="default"/>
        </w:rPr>
        <w:t>58,760.00</w:t>
      </w:r>
      <w:r>
        <w:rPr>
          <w:rFonts w:ascii="宋体" w:hAnsi="宋体" w:cs="宋体" w:eastAsia="宋体" w:hint="default"/>
          <w:spacing w:val="-4"/>
        </w:rPr>
        <w:t> </w:t>
      </w:r>
      <w:r>
        <w:rPr/>
        <w:t>万元（含）。</w:t>
      </w:r>
    </w:p>
    <w:p>
      <w:pPr>
        <w:pStyle w:val="BodyText"/>
        <w:spacing w:line="408" w:lineRule="auto"/>
        <w:ind w:right="1130" w:firstLine="420"/>
        <w:jc w:val="both"/>
      </w:pP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26</w:t>
      </w:r>
      <w:r>
        <w:rPr/>
        <w:t>日，公司召开</w:t>
      </w:r>
      <w:r>
        <w:rPr>
          <w:rFonts w:ascii="宋体" w:hAnsi="宋体" w:cs="宋体" w:eastAsia="宋体" w:hint="default"/>
        </w:rPr>
        <w:t>2019</w:t>
      </w:r>
      <w:r>
        <w:rPr/>
        <w:t>年第一次临时股东大会审议通过了公司非公开发行股票相关的议案，</w:t>
      </w:r>
      <w:r>
        <w:rPr>
          <w:w w:val="100"/>
        </w:rPr>
        <w:t> </w:t>
      </w:r>
      <w:r>
        <w:rPr/>
        <w:t>并授权董事会办理本次非公开发行股票具体事宜。具体信息请查阅公司于</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8</w:t>
      </w:r>
      <w:r>
        <w:rPr/>
        <w:t>日、</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26</w:t>
      </w:r>
      <w:r>
        <w:rPr/>
        <w:t>日</w:t>
      </w:r>
      <w:r>
        <w:rPr>
          <w:spacing w:val="-27"/>
        </w:rPr>
        <w:t> </w:t>
      </w:r>
      <w:r>
        <w:rPr/>
        <w:t>在巨潮资讯网刊登的相关公告。截至报告期末，公司非公开发行股票相关事项正在积极推进中。</w:t>
      </w:r>
    </w:p>
    <w:p>
      <w:pPr>
        <w:pStyle w:val="BodyText"/>
        <w:spacing w:line="240" w:lineRule="auto"/>
        <w:ind w:left="573" w:right="0"/>
        <w:jc w:val="left"/>
      </w:pPr>
      <w:r>
        <w:rPr>
          <w:rFonts w:ascii="宋体" w:hAnsi="宋体" w:cs="宋体" w:eastAsia="宋体" w:hint="default"/>
        </w:rPr>
        <w:t>4</w:t>
      </w:r>
      <w:r>
        <w:rPr/>
        <w:t>、关于与杭州海康威视数字技术股份有限公司签署战略合作协议的相关事项</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18</w:t>
      </w:r>
      <w:r>
        <w:rPr/>
        <w:t>日，公司与杭州海康威视数字技术股份有限公司了《合作协议书》，双方本着“优势互</w:t>
      </w:r>
      <w:r>
        <w:rPr>
          <w:w w:val="100"/>
        </w:rPr>
        <w:t> </w:t>
      </w:r>
      <w:r>
        <w:rPr>
          <w:spacing w:val="-2"/>
        </w:rPr>
        <w:t>补、互惠互利、协调促进、共谋发展”的合作原则，利用双方在物联网感知层的各自优势，以“打通数据</w:t>
      </w:r>
      <w:r>
        <w:rPr>
          <w:spacing w:val="-47"/>
        </w:rPr>
        <w:t> </w:t>
      </w:r>
      <w:r>
        <w:rPr>
          <w:spacing w:val="-47"/>
        </w:rPr>
      </w:r>
      <w:r>
        <w:rPr>
          <w:spacing w:val="-2"/>
        </w:rPr>
        <w:t>感知网和视频感知网的融合”为目的，打造双赢、可持续发展的合作伙伴关系。同时深化两网融合后的智</w:t>
      </w:r>
      <w:r>
        <w:rPr>
          <w:spacing w:val="-43"/>
        </w:rPr>
        <w:t> </w:t>
      </w:r>
      <w:r>
        <w:rPr>
          <w:spacing w:val="-43"/>
        </w:rPr>
      </w:r>
      <w:r>
        <w:rPr/>
        <w:t>能应用，打造强有力的感知应用方案，形成不同领域各自行业推广。具体信息请查阅公司于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18</w:t>
      </w:r>
      <w:r>
        <w:rPr>
          <w:rFonts w:ascii="宋体" w:hAnsi="宋体" w:cs="宋体" w:eastAsia="宋体" w:hint="default"/>
          <w:spacing w:val="-24"/>
        </w:rPr>
        <w:t> </w:t>
      </w:r>
      <w:r>
        <w:rPr/>
        <w:t>日在巨潮资讯网刊登的相关公告。</w:t>
      </w:r>
    </w:p>
    <w:p>
      <w:pPr>
        <w:pStyle w:val="BodyText"/>
        <w:spacing w:line="408" w:lineRule="auto"/>
        <w:ind w:left="573" w:right="0"/>
        <w:jc w:val="left"/>
      </w:pPr>
      <w:r>
        <w:rPr>
          <w:rFonts w:ascii="宋体" w:hAnsi="宋体" w:cs="宋体" w:eastAsia="宋体" w:hint="default"/>
        </w:rPr>
        <w:t>5</w:t>
      </w:r>
      <w:r>
        <w:rPr/>
        <w:t>、关于回购前提下股权融资的进展的相关事项</w:t>
      </w:r>
      <w:r>
        <w:rPr>
          <w:w w:val="100"/>
        </w:rPr>
        <w:t> </w:t>
      </w:r>
      <w:r>
        <w:rPr>
          <w:spacing w:val="-2"/>
        </w:rPr>
        <w:t>为优化公司财务结构，公司于</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8</w:t>
      </w:r>
      <w:r>
        <w:rPr>
          <w:spacing w:val="-2"/>
        </w:rPr>
        <w:t>日召开第四届董事会第十二次会议审议通过了《关于回购前</w:t>
      </w:r>
    </w:p>
    <w:p>
      <w:pPr>
        <w:pStyle w:val="BodyText"/>
        <w:spacing w:line="408" w:lineRule="auto"/>
        <w:ind w:right="0"/>
        <w:jc w:val="left"/>
      </w:pPr>
      <w:r>
        <w:rPr>
          <w:spacing w:val="-9"/>
        </w:rPr>
        <w:t>提下的股权融资议案》，公司在股权回购前提下通过向招商证券资产管理有限公司（以下简称“招商资管”）</w:t>
      </w:r>
      <w:r>
        <w:rPr>
          <w:spacing w:val="-19"/>
        </w:rPr>
        <w:t> </w:t>
      </w:r>
      <w:r>
        <w:rPr>
          <w:spacing w:val="-19"/>
        </w:rPr>
      </w:r>
      <w:r>
        <w:rPr/>
        <w:t>转让公司持有的控股子公司嘉园环保</w:t>
      </w:r>
      <w:r>
        <w:rPr>
          <w:rFonts w:ascii="宋体" w:hAnsi="宋体" w:cs="宋体" w:eastAsia="宋体" w:hint="default"/>
        </w:rPr>
        <w:t>29%</w:t>
      </w:r>
      <w:r>
        <w:rPr/>
        <w:t>股权的方式，向招商资管申请融资</w:t>
      </w:r>
      <w:r>
        <w:rPr>
          <w:rFonts w:ascii="宋体" w:hAnsi="宋体" w:cs="宋体" w:eastAsia="宋体" w:hint="default"/>
        </w:rPr>
        <w:t>30,000</w:t>
      </w:r>
      <w:r>
        <w:rPr/>
        <w:t>万元，期限为</w:t>
      </w:r>
      <w:r>
        <w:rPr>
          <w:rFonts w:ascii="宋体" w:hAnsi="宋体" w:cs="宋体" w:eastAsia="宋体" w:hint="default"/>
        </w:rPr>
        <w:t>36</w:t>
      </w:r>
      <w:r>
        <w:rPr/>
        <w:t>个月。</w:t>
      </w:r>
      <w:r>
        <w:rPr>
          <w:spacing w:val="-22"/>
        </w:rPr>
        <w:t> </w:t>
      </w:r>
      <w:r>
        <w:rPr>
          <w:spacing w:val="-22"/>
        </w:rPr>
      </w:r>
      <w:r>
        <w:rPr/>
        <w:t>此笔融资主要用于补充公司流动资金</w:t>
      </w:r>
      <w:r>
        <w:rPr>
          <w:rFonts w:ascii="宋体" w:hAnsi="宋体" w:cs="宋体" w:eastAsia="宋体" w:hint="default"/>
        </w:rPr>
        <w:t>,</w:t>
      </w:r>
      <w:r>
        <w:rPr/>
        <w:t>公司与招商资管于同日在郑州市签署了《股权转让与回购协议》。</w:t>
      </w:r>
    </w:p>
    <w:p>
      <w:pPr>
        <w:pStyle w:val="BodyText"/>
        <w:spacing w:line="240" w:lineRule="auto"/>
        <w:ind w:left="573" w:right="0"/>
        <w:jc w:val="left"/>
      </w:pP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27</w:t>
      </w:r>
      <w:r>
        <w:rPr/>
        <w:t>日，公司与招商资管签署《股权回购协议书》，公司以现金</w:t>
      </w:r>
      <w:r>
        <w:rPr>
          <w:rFonts w:ascii="宋体" w:hAnsi="宋体" w:cs="宋体" w:eastAsia="宋体" w:hint="default"/>
        </w:rPr>
        <w:t>10,000</w:t>
      </w:r>
      <w:r>
        <w:rPr/>
        <w:t>万元提前回购招商资</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t>管持有的嘉园环保</w:t>
      </w:r>
      <w:r>
        <w:rPr>
          <w:rFonts w:ascii="宋体" w:hAnsi="宋体" w:cs="宋体" w:eastAsia="宋体" w:hint="default"/>
        </w:rPr>
        <w:t>9.67%</w:t>
      </w:r>
      <w:r>
        <w:rPr/>
        <w:t>股权；</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16</w:t>
      </w:r>
      <w:r>
        <w:rPr/>
        <w:t>日，公司与招商资管签署《股权回购协议书》，公司以现金</w:t>
      </w:r>
      <w:r>
        <w:rPr>
          <w:spacing w:val="-27"/>
        </w:rPr>
        <w:t> </w:t>
      </w:r>
      <w:r>
        <w:rPr>
          <w:spacing w:val="-27"/>
        </w:rPr>
      </w:r>
      <w:r>
        <w:rPr>
          <w:rFonts w:ascii="宋体" w:hAnsi="宋体" w:cs="宋体" w:eastAsia="宋体" w:hint="default"/>
          <w:spacing w:val="-2"/>
        </w:rPr>
        <w:t>20,000</w:t>
      </w:r>
      <w:r>
        <w:rPr>
          <w:spacing w:val="-2"/>
        </w:rPr>
        <w:t>万元提前回购招商资管持有的嘉园环保</w:t>
      </w:r>
      <w:r>
        <w:rPr>
          <w:rFonts w:ascii="宋体" w:hAnsi="宋体" w:cs="宋体" w:eastAsia="宋体" w:hint="default"/>
          <w:spacing w:val="-2"/>
        </w:rPr>
        <w:t>19.33%</w:t>
      </w:r>
      <w:r>
        <w:rPr>
          <w:spacing w:val="-2"/>
        </w:rPr>
        <w:t>股权。截至报告期末，本次回购前提下的股权融资筹</w:t>
      </w:r>
      <w:r>
        <w:rPr>
          <w:spacing w:val="-33"/>
        </w:rPr>
        <w:t> </w:t>
      </w:r>
      <w:r>
        <w:rPr>
          <w:spacing w:val="-33"/>
        </w:rPr>
      </w:r>
      <w:r>
        <w:rPr>
          <w:spacing w:val="-2"/>
        </w:rPr>
        <w:t>资已全部清偿完毕，嘉园环保相应股权已重新变更登记在公司名下。具体信息请查阅公司于</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17</w:t>
      </w:r>
      <w:r>
        <w:rPr>
          <w:rFonts w:ascii="宋体" w:hAnsi="宋体" w:cs="宋体" w:eastAsia="宋体" w:hint="default"/>
          <w:spacing w:val="-34"/>
        </w:rPr>
        <w:t> </w:t>
      </w:r>
      <w:r>
        <w:rPr/>
        <w:t>日在巨潮资讯网刊登的相关公告。</w:t>
      </w:r>
    </w:p>
    <w:p>
      <w:pPr>
        <w:pStyle w:val="BodyText"/>
        <w:spacing w:line="240" w:lineRule="auto"/>
        <w:ind w:left="573" w:right="0"/>
        <w:jc w:val="left"/>
      </w:pPr>
      <w:r>
        <w:rPr>
          <w:rFonts w:ascii="宋体" w:hAnsi="宋体" w:cs="宋体" w:eastAsia="宋体" w:hint="default"/>
        </w:rPr>
        <w:t>6</w:t>
      </w:r>
      <w:r>
        <w:rPr/>
        <w:t>、增资徐州旭海光电科技有限公司的相关事项</w:t>
      </w:r>
    </w:p>
    <w:p>
      <w:pPr>
        <w:spacing w:line="240" w:lineRule="auto" w:before="10"/>
        <w:rPr>
          <w:rFonts w:ascii="宋体" w:hAnsi="宋体" w:cs="宋体" w:eastAsia="宋体" w:hint="default"/>
          <w:sz w:val="14"/>
          <w:szCs w:val="14"/>
        </w:rPr>
      </w:pPr>
    </w:p>
    <w:p>
      <w:pPr>
        <w:pStyle w:val="BodyText"/>
        <w:spacing w:line="408" w:lineRule="auto" w:before="0"/>
        <w:ind w:right="1023" w:firstLine="420"/>
        <w:jc w:val="left"/>
      </w:pPr>
      <w:r>
        <w:rPr>
          <w:rFonts w:ascii="宋体" w:hAnsi="宋体" w:cs="宋体" w:eastAsia="宋体" w:hint="default"/>
          <w:spacing w:val="-6"/>
        </w:rPr>
        <w:t>2019</w:t>
      </w:r>
      <w:r>
        <w:rPr>
          <w:spacing w:val="-6"/>
        </w:rPr>
        <w:t>年</w:t>
      </w:r>
      <w:r>
        <w:rPr>
          <w:rFonts w:ascii="宋体" w:hAnsi="宋体" w:cs="宋体" w:eastAsia="宋体" w:hint="default"/>
          <w:spacing w:val="-6"/>
        </w:rPr>
        <w:t>9</w:t>
      </w:r>
      <w:r>
        <w:rPr>
          <w:spacing w:val="-6"/>
        </w:rPr>
        <w:t>月</w:t>
      </w:r>
      <w:r>
        <w:rPr>
          <w:rFonts w:ascii="宋体" w:hAnsi="宋体" w:cs="宋体" w:eastAsia="宋体" w:hint="default"/>
          <w:spacing w:val="-6"/>
        </w:rPr>
        <w:t>30</w:t>
      </w:r>
      <w:r>
        <w:rPr>
          <w:spacing w:val="-6"/>
        </w:rPr>
        <w:t>日，公司与徐州旭海光电科技有限公司（以下简称“旭海光电”）签署了《增资协议书》，</w:t>
      </w:r>
      <w:r>
        <w:rPr>
          <w:w w:val="100"/>
        </w:rPr>
        <w:t> </w:t>
      </w:r>
      <w:r>
        <w:rPr/>
        <w:t>以自有资金</w:t>
      </w:r>
      <w:r>
        <w:rPr>
          <w:rFonts w:ascii="宋体" w:hAnsi="宋体" w:cs="宋体" w:eastAsia="宋体" w:hint="default"/>
        </w:rPr>
        <w:t>800</w:t>
      </w:r>
      <w:r>
        <w:rPr/>
        <w:t>万元增资旭海光电，本次投资完成后，公司持有旭海光电</w:t>
      </w:r>
      <w:r>
        <w:rPr>
          <w:rFonts w:ascii="宋体" w:hAnsi="宋体" w:cs="宋体" w:eastAsia="宋体" w:hint="default"/>
        </w:rPr>
        <w:t>8%</w:t>
      </w:r>
      <w:r>
        <w:rPr/>
        <w:t>股权，旭海光电成为公司参股</w:t>
      </w:r>
      <w:r>
        <w:rPr>
          <w:spacing w:val="-23"/>
        </w:rPr>
        <w:t> </w:t>
      </w:r>
      <w:r>
        <w:rPr>
          <w:spacing w:val="-23"/>
        </w:rPr>
      </w:r>
      <w:r>
        <w:rPr/>
        <w:t>子公司。</w:t>
      </w:r>
    </w:p>
    <w:p>
      <w:pPr>
        <w:pStyle w:val="BodyText"/>
        <w:spacing w:line="408" w:lineRule="auto"/>
        <w:ind w:right="1126" w:firstLine="420"/>
        <w:jc w:val="both"/>
      </w:pPr>
      <w:r>
        <w:rPr>
          <w:spacing w:val="-2"/>
        </w:rPr>
        <w:t>旭海光电为激光传感客户提供基于光谱分析进行检测的整套器件及模块解决方案，产品主要应用在安</w:t>
      </w:r>
      <w:r>
        <w:rPr>
          <w:w w:val="100"/>
        </w:rPr>
        <w:t> </w:t>
      </w:r>
      <w:r>
        <w:rPr>
          <w:spacing w:val="-2"/>
        </w:rPr>
        <w:t>全、环保和工业控制等领域。为客户在易燃易爆、有毒有害及污染性气体监控上提供稳定可靠的高品质光</w:t>
      </w:r>
      <w:r>
        <w:rPr>
          <w:spacing w:val="-41"/>
        </w:rPr>
        <w:t> </w:t>
      </w:r>
      <w:r>
        <w:rPr>
          <w:spacing w:val="-41"/>
        </w:rPr>
      </w:r>
      <w:r>
        <w:rPr>
          <w:spacing w:val="-2"/>
        </w:rPr>
        <w:t>电器件和模块，同时也为工业和光通讯领域的客户提供定制化的光器件和模块。投资旭海光电有利于公司</w:t>
      </w:r>
      <w:r>
        <w:rPr>
          <w:spacing w:val="-43"/>
        </w:rPr>
        <w:t> </w:t>
      </w:r>
      <w:r>
        <w:rPr>
          <w:spacing w:val="-43"/>
        </w:rPr>
      </w:r>
      <w:r>
        <w:rPr>
          <w:spacing w:val="-2"/>
        </w:rPr>
        <w:t>产品核心竞争力建设，旭海光电与公司光学事业部具备较强的技术互补性，同时旭海光电生产的光学零部</w:t>
      </w:r>
      <w:r>
        <w:rPr>
          <w:spacing w:val="-43"/>
        </w:rPr>
        <w:t> </w:t>
      </w:r>
      <w:r>
        <w:rPr>
          <w:spacing w:val="-43"/>
        </w:rPr>
      </w:r>
      <w:r>
        <w:rPr/>
        <w:t>件可以满足公司光学仪表生产所需，有利于补强公司激光传感器市场短板，加强公司的市场竞争力。</w:t>
      </w:r>
    </w:p>
    <w:p>
      <w:pPr>
        <w:pStyle w:val="BodyText"/>
        <w:spacing w:line="408" w:lineRule="auto"/>
        <w:ind w:right="1126" w:firstLine="420"/>
        <w:jc w:val="both"/>
      </w:pPr>
      <w:r>
        <w:rPr>
          <w:spacing w:val="-2"/>
        </w:rPr>
        <w:t>根据深圳证券交易所《创业板股票上市规则》和《公司章程》的有关规定，本次投资事项在董事长权</w:t>
      </w:r>
      <w:r>
        <w:rPr>
          <w:w w:val="100"/>
        </w:rPr>
        <w:t> </w:t>
      </w:r>
      <w:r>
        <w:rPr>
          <w:spacing w:val="-2"/>
        </w:rPr>
        <w:t>限内，无需提交董事会、股东大会审议，不构成《上市公司重大资产重组管理办法》规定的重大资产重组</w:t>
      </w:r>
      <w:r>
        <w:rPr>
          <w:spacing w:val="-43"/>
        </w:rPr>
        <w:t> </w:t>
      </w:r>
      <w:r>
        <w:rPr>
          <w:spacing w:val="-43"/>
        </w:rPr>
      </w:r>
      <w:r>
        <w:rPr/>
        <w:t>情况。</w:t>
      </w:r>
    </w:p>
    <w:p>
      <w:pPr>
        <w:pStyle w:val="BodyText"/>
        <w:spacing w:line="240" w:lineRule="auto"/>
        <w:ind w:left="573" w:right="0"/>
        <w:jc w:val="left"/>
      </w:pPr>
      <w:r>
        <w:rPr>
          <w:rFonts w:ascii="宋体" w:hAnsi="宋体" w:cs="宋体" w:eastAsia="宋体" w:hint="default"/>
        </w:rPr>
        <w:t>7</w:t>
      </w:r>
      <w:r>
        <w:rPr/>
        <w:t>、收购苏州能斯达电子科技有限公司部分少数股东权益的相关事项</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16</w:t>
      </w:r>
      <w:r>
        <w:rPr>
          <w:spacing w:val="-2"/>
        </w:rPr>
        <w:t>日，公司与张珽、陈立桅签署《股权转让协议书》，经双方友好协商，公司以</w:t>
      </w:r>
      <w:r>
        <w:rPr>
          <w:rFonts w:ascii="宋体" w:hAnsi="宋体" w:cs="宋体" w:eastAsia="宋体" w:hint="default"/>
          <w:spacing w:val="-2"/>
        </w:rPr>
        <w:t>222.08</w:t>
      </w:r>
      <w:r>
        <w:rPr>
          <w:spacing w:val="-2"/>
        </w:rPr>
        <w:t>万</w:t>
      </w:r>
      <w:r>
        <w:rPr>
          <w:w w:val="100"/>
        </w:rPr>
        <w:t> </w:t>
      </w:r>
      <w:r>
        <w:rPr/>
        <w:t>元受让张珽、陈立桅持有的苏州能斯达股权合计</w:t>
      </w:r>
      <w:r>
        <w:rPr>
          <w:rFonts w:ascii="宋体" w:hAnsi="宋体" w:cs="宋体" w:eastAsia="宋体" w:hint="default"/>
        </w:rPr>
        <w:t>9.04%</w:t>
      </w:r>
      <w:r>
        <w:rPr/>
        <w:t>。股权转让协议完成后，公司持有苏州能斯达电子</w:t>
      </w:r>
      <w:r>
        <w:rPr>
          <w:spacing w:val="-28"/>
        </w:rPr>
        <w:t> </w:t>
      </w:r>
      <w:r>
        <w:rPr>
          <w:spacing w:val="-28"/>
        </w:rPr>
      </w:r>
      <w:r>
        <w:rPr/>
        <w:t>科技有限公司股权</w:t>
      </w:r>
      <w:r>
        <w:rPr>
          <w:rFonts w:ascii="宋体" w:hAnsi="宋体" w:cs="宋体" w:eastAsia="宋体" w:hint="default"/>
        </w:rPr>
        <w:t>68.35%</w:t>
      </w:r>
      <w:r>
        <w:rPr/>
        <w:t>，张珽持有苏州能斯达电子科技有限公司股权</w:t>
      </w:r>
      <w:r>
        <w:rPr>
          <w:rFonts w:ascii="宋体" w:hAnsi="宋体" w:cs="宋体" w:eastAsia="宋体" w:hint="default"/>
        </w:rPr>
        <w:t>31.65%</w:t>
      </w:r>
      <w:r>
        <w:rPr/>
        <w:t>。</w:t>
      </w:r>
    </w:p>
    <w:p>
      <w:pPr>
        <w:pStyle w:val="BodyText"/>
        <w:spacing w:line="408" w:lineRule="auto"/>
        <w:ind w:right="1126" w:firstLine="420"/>
        <w:jc w:val="both"/>
      </w:pPr>
      <w:r>
        <w:rPr>
          <w:spacing w:val="-2"/>
        </w:rPr>
        <w:t>根据深圳证券交易所《创业板股票上市规则》和《公司章程》的有关规定，本次投资事项在董事长权</w:t>
      </w:r>
      <w:r>
        <w:rPr>
          <w:w w:val="100"/>
        </w:rPr>
        <w:t> </w:t>
      </w:r>
      <w:r>
        <w:rPr>
          <w:spacing w:val="-2"/>
        </w:rPr>
        <w:t>限内，无需提交董事会、股东大会审议，不构成《上市公司重大资产重组管理办法》规定的重大资产重组</w:t>
      </w:r>
      <w:r>
        <w:rPr>
          <w:spacing w:val="-43"/>
        </w:rPr>
        <w:t> </w:t>
      </w:r>
      <w:r>
        <w:rPr>
          <w:spacing w:val="-43"/>
        </w:rPr>
      </w:r>
      <w:r>
        <w:rPr/>
        <w:t>情况。</w:t>
      </w:r>
    </w:p>
    <w:p>
      <w:pPr>
        <w:pStyle w:val="BodyText"/>
        <w:spacing w:line="408" w:lineRule="auto"/>
        <w:ind w:left="573" w:right="0"/>
        <w:jc w:val="left"/>
      </w:pPr>
      <w:r>
        <w:rPr>
          <w:rFonts w:ascii="宋体" w:hAnsi="宋体" w:cs="宋体" w:eastAsia="宋体" w:hint="default"/>
        </w:rPr>
        <w:t>8</w:t>
      </w:r>
      <w:r>
        <w:rPr/>
        <w:t>、关于华夏海纳诉讼事项进展暨股权回购协议达成的相关事项</w:t>
      </w:r>
      <w:r>
        <w:rPr>
          <w:w w:val="100"/>
        </w:rPr>
        <w:t> </w:t>
      </w:r>
      <w:r>
        <w:rPr/>
        <w:t>公司于</w:t>
      </w:r>
      <w:r>
        <w:rPr>
          <w:rFonts w:ascii="宋体" w:hAnsi="宋体" w:cs="宋体" w:eastAsia="宋体" w:hint="default"/>
        </w:rPr>
        <w:t>2015</w:t>
      </w:r>
      <w:r>
        <w:rPr/>
        <w:t>年</w:t>
      </w:r>
      <w:r>
        <w:rPr>
          <w:rFonts w:ascii="宋体" w:hAnsi="宋体" w:cs="宋体" w:eastAsia="宋体" w:hint="default"/>
        </w:rPr>
        <w:t>7</w:t>
      </w:r>
      <w:r>
        <w:rPr/>
        <w:t>月以</w:t>
      </w:r>
      <w:r>
        <w:rPr>
          <w:rFonts w:ascii="宋体" w:hAnsi="宋体" w:cs="宋体" w:eastAsia="宋体" w:hint="default"/>
        </w:rPr>
        <w:t>3,000</w:t>
      </w:r>
      <w:r>
        <w:rPr/>
        <w:t>万增资河南华夏海纳创业投资集团有限公司，持有该公司</w:t>
      </w:r>
      <w:r>
        <w:rPr>
          <w:rFonts w:ascii="宋体" w:hAnsi="宋体" w:cs="宋体" w:eastAsia="宋体" w:hint="default"/>
        </w:rPr>
        <w:t>5.45%</w:t>
      </w:r>
      <w:r>
        <w:rPr/>
        <w:t>股权（具体</w:t>
      </w:r>
    </w:p>
    <w:p>
      <w:pPr>
        <w:pStyle w:val="BodyText"/>
        <w:spacing w:line="408" w:lineRule="auto"/>
        <w:ind w:right="1105"/>
        <w:jc w:val="both"/>
      </w:pPr>
      <w:r>
        <w:rPr/>
        <w:t>内容请见公司于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29</w:t>
      </w:r>
      <w:r>
        <w:rPr/>
        <w:t>日在中国证监会指定创业板信息披露网站刊登的公告）。后因华夏海纳原股</w:t>
      </w:r>
      <w:r>
        <w:rPr>
          <w:spacing w:val="-27"/>
        </w:rPr>
        <w:t> </w:t>
      </w:r>
      <w:r>
        <w:rPr>
          <w:spacing w:val="-27"/>
        </w:rPr>
      </w:r>
      <w:r>
        <w:rPr/>
        <w:t>东触发投资协议约定的股权回购和业绩承诺补偿相关条款，公司于</w:t>
      </w:r>
      <w:r>
        <w:rPr>
          <w:rFonts w:ascii="宋体" w:hAnsi="宋体" w:cs="宋体" w:eastAsia="宋体" w:hint="default"/>
        </w:rPr>
        <w:t>2019</w:t>
      </w:r>
      <w:r>
        <w:rPr/>
        <w:t>年</w:t>
      </w:r>
      <w:r>
        <w:rPr>
          <w:rFonts w:ascii="宋体" w:hAnsi="宋体" w:cs="宋体" w:eastAsia="宋体" w:hint="default"/>
        </w:rPr>
        <w:t>4</w:t>
      </w:r>
      <w:r>
        <w:rPr/>
        <w:t>月向郑州市中级人民法院提起</w:t>
      </w:r>
      <w:r>
        <w:rPr>
          <w:spacing w:val="-25"/>
        </w:rPr>
        <w:t> </w:t>
      </w:r>
      <w:r>
        <w:rPr>
          <w:spacing w:val="-25"/>
        </w:rPr>
      </w:r>
      <w:r>
        <w:rPr>
          <w:spacing w:val="-2"/>
        </w:rPr>
        <w:t>诉讼。根据判决结果，华夏海纳股东李明、李祺应回购汉威科技持有的华夏海纳全部股权，并给予补偿。</w:t>
      </w:r>
      <w:r>
        <w:rPr>
          <w:spacing w:val="-21"/>
        </w:rPr>
        <w:t> </w:t>
      </w:r>
      <w:r>
        <w:rPr>
          <w:spacing w:val="-21"/>
        </w:rPr>
      </w:r>
      <w:r>
        <w:rPr>
          <w:spacing w:val="-2"/>
        </w:rPr>
        <w:t>报告期内，经与相关当事方多次协商，公司于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16</w:t>
      </w:r>
      <w:r>
        <w:rPr>
          <w:spacing w:val="-2"/>
        </w:rPr>
        <w:t>日与李明、李祺、华夏海纳及郑州赛微云计算</w:t>
      </w:r>
      <w:r>
        <w:rPr>
          <w:spacing w:val="-41"/>
        </w:rPr>
        <w:t> </w:t>
      </w:r>
      <w:r>
        <w:rPr>
          <w:spacing w:val="-41"/>
        </w:rPr>
      </w:r>
      <w:r>
        <w:rPr>
          <w:spacing w:val="-2"/>
        </w:rPr>
        <w:t>产业园有限公司签署《抵债协议》，并于同日与郑州赛微云计算产业园有限公司签订《郑州大数据产业房</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0" w:hanging="421"/>
        <w:jc w:val="left"/>
      </w:pPr>
      <w:r>
        <w:rPr/>
        <w:t>产转让销售合同》，华夏海纳股权回购事宜最终达成一致协议。</w:t>
      </w:r>
      <w:r>
        <w:rPr>
          <w:w w:val="100"/>
        </w:rPr>
        <w:t> </w:t>
      </w:r>
      <w:r>
        <w:rPr>
          <w:spacing w:val="-2"/>
        </w:rPr>
        <w:t>根据深圳证券交易所《创业板股票上市规则》和《公司章程》的有关规定，本次抵债事项在董事长权</w:t>
      </w:r>
    </w:p>
    <w:p>
      <w:pPr>
        <w:pStyle w:val="BodyText"/>
        <w:spacing w:line="408" w:lineRule="auto"/>
        <w:ind w:right="1127"/>
        <w:jc w:val="both"/>
      </w:pPr>
      <w:r>
        <w:rPr>
          <w:spacing w:val="-2"/>
        </w:rPr>
        <w:t>限内，无需提交董事会、股东大会审议，不构成《上市公司重大资产重组管理办法》规定的重大资产重组</w:t>
      </w:r>
      <w:r>
        <w:rPr>
          <w:spacing w:val="-43"/>
        </w:rPr>
        <w:t> </w:t>
      </w:r>
      <w:r>
        <w:rPr>
          <w:spacing w:val="-43"/>
        </w:rPr>
      </w:r>
      <w:r>
        <w:rPr/>
        <w:t>情况。</w:t>
      </w:r>
    </w:p>
    <w:p>
      <w:pPr>
        <w:pStyle w:val="BodyText"/>
        <w:spacing w:line="408" w:lineRule="auto"/>
        <w:ind w:left="573" w:right="0"/>
        <w:jc w:val="left"/>
      </w:pPr>
      <w:r>
        <w:rPr>
          <w:rFonts w:ascii="宋体" w:hAnsi="宋体" w:cs="宋体" w:eastAsia="宋体" w:hint="default"/>
        </w:rPr>
        <w:t>9</w:t>
      </w:r>
      <w:r>
        <w:rPr/>
        <w:t>、关于河南汉威智慧消防科技有限公司减资暨公司持股比例增加的相关事项</w:t>
      </w:r>
      <w:r>
        <w:rPr>
          <w:w w:val="100"/>
        </w:rPr>
        <w:t> </w:t>
      </w:r>
      <w:r>
        <w:rPr>
          <w:spacing w:val="-2"/>
        </w:rPr>
        <w:t>报告期内，汉威智慧消防原股东河南华夏海纳创业投资集团有限公司因超期未履行实缴义务自愿退出</w:t>
      </w:r>
    </w:p>
    <w:p>
      <w:pPr>
        <w:pStyle w:val="BodyText"/>
        <w:spacing w:line="408" w:lineRule="auto"/>
        <w:ind w:right="1127"/>
        <w:jc w:val="both"/>
      </w:pPr>
      <w:r>
        <w:rPr/>
        <w:t>股东会，</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9</w:t>
      </w:r>
      <w:r>
        <w:rPr/>
        <w:t>日，汉威智慧消防完成工商变更，注册资本从</w:t>
      </w:r>
      <w:r>
        <w:rPr>
          <w:rFonts w:ascii="宋体" w:hAnsi="宋体" w:cs="宋体" w:eastAsia="宋体" w:hint="default"/>
        </w:rPr>
        <w:t>1,250</w:t>
      </w:r>
      <w:r>
        <w:rPr/>
        <w:t>万元减少至</w:t>
      </w:r>
      <w:r>
        <w:rPr>
          <w:rFonts w:ascii="宋体" w:hAnsi="宋体" w:cs="宋体" w:eastAsia="宋体" w:hint="default"/>
        </w:rPr>
        <w:t>850</w:t>
      </w:r>
      <w:r>
        <w:rPr/>
        <w:t>万元，本次注册</w:t>
      </w:r>
      <w:r>
        <w:rPr>
          <w:spacing w:val="-24"/>
        </w:rPr>
        <w:t> </w:t>
      </w:r>
      <w:r>
        <w:rPr>
          <w:spacing w:val="-24"/>
        </w:rPr>
      </w:r>
      <w:r>
        <w:rPr/>
        <w:t>资本减少后，公司持股比例被动增加至</w:t>
      </w:r>
      <w:r>
        <w:rPr>
          <w:rFonts w:ascii="宋体" w:hAnsi="宋体" w:cs="宋体" w:eastAsia="宋体" w:hint="default"/>
        </w:rPr>
        <w:t>70.59%</w:t>
      </w:r>
      <w:r>
        <w:rPr/>
        <w:t>，为河南汉威智慧消防第一大股东。</w:t>
      </w:r>
    </w:p>
    <w:p>
      <w:pPr>
        <w:pStyle w:val="BodyText"/>
        <w:spacing w:line="240" w:lineRule="auto"/>
        <w:ind w:left="573" w:right="0"/>
        <w:jc w:val="left"/>
      </w:pPr>
      <w:r>
        <w:rPr>
          <w:rFonts w:ascii="宋体" w:hAnsi="宋体" w:cs="宋体" w:eastAsia="宋体" w:hint="default"/>
        </w:rPr>
        <w:t>10</w:t>
      </w:r>
      <w:r>
        <w:rPr/>
        <w:t>、关于与中泰创安环境科技股份有限公司达成项目合作协议的相关事项</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5</w:t>
      </w:r>
      <w:r>
        <w:rPr/>
        <w:t>日，公司和中泰创安在河南郑州签署《项目合作协议》，中泰创安拟建设年产</w:t>
      </w:r>
      <w:r>
        <w:rPr>
          <w:rFonts w:ascii="宋体" w:hAnsi="宋体" w:cs="宋体" w:eastAsia="宋体" w:hint="default"/>
        </w:rPr>
        <w:t>5</w:t>
      </w:r>
      <w:r>
        <w:rPr/>
        <w:t>万吨聚合</w:t>
      </w:r>
      <w:r>
        <w:rPr>
          <w:w w:val="100"/>
        </w:rPr>
        <w:t> </w:t>
      </w:r>
      <w:r>
        <w:rPr/>
        <w:t>硫酸铁和年产</w:t>
      </w:r>
      <w:r>
        <w:rPr>
          <w:rFonts w:ascii="宋体" w:hAnsi="宋体" w:cs="宋体" w:eastAsia="宋体" w:hint="default"/>
        </w:rPr>
        <w:t>5</w:t>
      </w:r>
      <w:r>
        <w:rPr/>
        <w:t>万吨聚氯化铝项目，并引入汉威科技将项目打造成物联网标杆项目。项目建成后，中泰创</w:t>
      </w:r>
      <w:r>
        <w:rPr>
          <w:spacing w:val="-25"/>
        </w:rPr>
        <w:t> </w:t>
      </w:r>
      <w:r>
        <w:rPr>
          <w:spacing w:val="-25"/>
        </w:rPr>
      </w:r>
      <w:r>
        <w:rPr/>
        <w:t>安拟以项目资产投资设立项目公司。根据合作协议，公司以预付投资款</w:t>
      </w:r>
      <w:r>
        <w:rPr>
          <w:rFonts w:ascii="宋体" w:hAnsi="宋体" w:cs="宋体" w:eastAsia="宋体" w:hint="default"/>
        </w:rPr>
        <w:t>1,000</w:t>
      </w:r>
      <w:r>
        <w:rPr/>
        <w:t>万元方式支付给中泰创安，</w:t>
      </w:r>
      <w:r>
        <w:rPr>
          <w:spacing w:val="-29"/>
        </w:rPr>
        <w:t> </w:t>
      </w:r>
      <w:r>
        <w:rPr>
          <w:spacing w:val="-29"/>
        </w:rPr>
      </w:r>
      <w:r>
        <w:rPr/>
        <w:t>专项用于项目建设，待项目公司成立后，上述预付款转为项目公司的投资款。</w:t>
      </w:r>
    </w:p>
    <w:p>
      <w:pPr>
        <w:pStyle w:val="BodyText"/>
        <w:spacing w:line="408" w:lineRule="auto"/>
        <w:ind w:right="1126" w:firstLine="420"/>
        <w:jc w:val="both"/>
      </w:pPr>
      <w:r>
        <w:rPr>
          <w:spacing w:val="-2"/>
        </w:rPr>
        <w:t>根据深圳证券交易所《创业板股票上市规则》和《公司章程》的有关规定，本次投资事项在董事长权</w:t>
      </w:r>
      <w:r>
        <w:rPr>
          <w:w w:val="100"/>
        </w:rPr>
        <w:t> </w:t>
      </w:r>
      <w:r>
        <w:rPr>
          <w:spacing w:val="-2"/>
        </w:rPr>
        <w:t>限内，无需提交董事会、股东大会审议，不构成《上市公司重大资产重组管理办法》规定的重大资产重组</w:t>
      </w:r>
      <w:r>
        <w:rPr>
          <w:spacing w:val="-43"/>
        </w:rPr>
        <w:t> </w:t>
      </w:r>
      <w:r>
        <w:rPr>
          <w:spacing w:val="-43"/>
        </w:rPr>
      </w:r>
      <w:r>
        <w:rPr/>
        <w:t>情况。</w:t>
      </w:r>
    </w:p>
    <w:p>
      <w:pPr>
        <w:spacing w:line="240" w:lineRule="auto" w:before="9"/>
        <w:rPr>
          <w:rFonts w:ascii="宋体" w:hAnsi="宋体" w:cs="宋体" w:eastAsia="宋体" w:hint="default"/>
          <w:sz w:val="18"/>
          <w:szCs w:val="18"/>
        </w:rPr>
      </w:pPr>
    </w:p>
    <w:p>
      <w:pPr>
        <w:pStyle w:val="Heading2"/>
        <w:spacing w:line="240" w:lineRule="auto"/>
        <w:ind w:right="0"/>
        <w:jc w:val="both"/>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left="573" w:right="0"/>
        <w:jc w:val="left"/>
      </w:pPr>
      <w:r>
        <w:rPr>
          <w:rFonts w:ascii="宋体" w:hAnsi="宋体" w:cs="宋体" w:eastAsia="宋体" w:hint="default"/>
        </w:rPr>
        <w:t>1</w:t>
      </w:r>
      <w:r>
        <w:rPr/>
        <w:t>、北京智威宇讯科技有限公司收购中水智慧水务科技（北京）有限公司</w:t>
      </w:r>
      <w:r>
        <w:rPr>
          <w:rFonts w:ascii="宋体" w:hAnsi="宋体" w:cs="宋体" w:eastAsia="宋体" w:hint="default"/>
        </w:rPr>
        <w:t>10%</w:t>
      </w:r>
      <w:r>
        <w:rPr/>
        <w:t>股份的相关事项</w:t>
      </w:r>
      <w:r>
        <w:rPr>
          <w:w w:val="100"/>
        </w:rPr>
        <w:t> </w:t>
      </w:r>
      <w:r>
        <w:rPr/>
        <w:t>为持续增强在智慧水务领域的规划、建设、管理、运营及综合解决方案提供能力，</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27</w:t>
      </w:r>
      <w:r>
        <w:rPr/>
        <w:t>日，</w:t>
      </w:r>
    </w:p>
    <w:p>
      <w:pPr>
        <w:pStyle w:val="BodyText"/>
        <w:spacing w:line="408" w:lineRule="auto"/>
        <w:ind w:right="1132"/>
        <w:jc w:val="both"/>
      </w:pPr>
      <w:r>
        <w:rPr/>
        <w:t>公司全资子公司智威宇讯与高锦怡签署了《股权转让协议》，智威宇讯出资</w:t>
      </w:r>
      <w:r>
        <w:rPr>
          <w:rFonts w:ascii="宋体" w:hAnsi="宋体" w:cs="宋体" w:eastAsia="宋体" w:hint="default"/>
        </w:rPr>
        <w:t>200</w:t>
      </w:r>
      <w:r>
        <w:rPr/>
        <w:t>万元以实缴注册资本的方</w:t>
      </w:r>
      <w:r>
        <w:rPr>
          <w:spacing w:val="-24"/>
        </w:rPr>
        <w:t> </w:t>
      </w:r>
      <w:r>
        <w:rPr>
          <w:spacing w:val="-24"/>
        </w:rPr>
      </w:r>
      <w:r>
        <w:rPr/>
        <w:t>式受让高锦怡持有的中水智慧</w:t>
      </w:r>
      <w:r>
        <w:rPr>
          <w:rFonts w:ascii="宋体" w:hAnsi="宋体" w:cs="宋体" w:eastAsia="宋体" w:hint="default"/>
        </w:rPr>
        <w:t>10%</w:t>
      </w:r>
      <w:r>
        <w:rPr/>
        <w:t>的股权。</w:t>
      </w:r>
    </w:p>
    <w:p>
      <w:pPr>
        <w:pStyle w:val="BodyText"/>
        <w:spacing w:line="410" w:lineRule="auto"/>
        <w:ind w:left="573" w:right="0"/>
        <w:jc w:val="left"/>
      </w:pPr>
      <w:r>
        <w:rPr>
          <w:rFonts w:ascii="宋体" w:hAnsi="宋体" w:cs="宋体" w:eastAsia="宋体" w:hint="default"/>
        </w:rPr>
        <w:t>2</w:t>
      </w:r>
      <w:r>
        <w:rPr/>
        <w:t>、河南中盾云安信息科技有限公司设立子公司的相关事项</w:t>
      </w:r>
      <w:r>
        <w:rPr>
          <w:w w:val="100"/>
        </w:rPr>
        <w:t> </w:t>
      </w:r>
      <w:r>
        <w:rPr>
          <w:spacing w:val="-2"/>
        </w:rPr>
        <w:t>中盾云安为拓展在金融科技领域的市场，弥补公司在金融项目领域的短板，与中原金融资产交易中心</w:t>
      </w:r>
    </w:p>
    <w:p>
      <w:pPr>
        <w:pStyle w:val="BodyText"/>
        <w:spacing w:line="408" w:lineRule="auto" w:before="44"/>
        <w:ind w:right="1126"/>
        <w:jc w:val="both"/>
      </w:pPr>
      <w:r>
        <w:rPr>
          <w:spacing w:val="-2"/>
        </w:rPr>
        <w:t>股份有限公司、福建顶点软件股份有限公司共同出资设立了河南中原金科信息技术有限公司，新设立公司</w:t>
      </w:r>
      <w:r>
        <w:rPr>
          <w:spacing w:val="-43"/>
        </w:rPr>
        <w:t> </w:t>
      </w:r>
      <w:r>
        <w:rPr>
          <w:spacing w:val="-43"/>
        </w:rPr>
      </w:r>
      <w:r>
        <w:rPr/>
        <w:t>注册资本</w:t>
      </w:r>
      <w:r>
        <w:rPr>
          <w:rFonts w:ascii="宋体" w:hAnsi="宋体" w:cs="宋体" w:eastAsia="宋体" w:hint="default"/>
        </w:rPr>
        <w:t>1,000</w:t>
      </w:r>
      <w:r>
        <w:rPr/>
        <w:t>万元，其中，中盾云安认缴注册资本</w:t>
      </w:r>
      <w:r>
        <w:rPr>
          <w:rFonts w:ascii="宋体" w:hAnsi="宋体" w:cs="宋体" w:eastAsia="宋体" w:hint="default"/>
        </w:rPr>
        <w:t>300</w:t>
      </w:r>
      <w:r>
        <w:rPr/>
        <w:t>万元，持有河南中原金科信息技术有限公司</w:t>
      </w:r>
      <w:r>
        <w:rPr>
          <w:rFonts w:ascii="宋体" w:hAnsi="宋体" w:cs="宋体" w:eastAsia="宋体" w:hint="default"/>
        </w:rPr>
        <w:t>30%</w:t>
      </w:r>
      <w:r>
        <w:rPr/>
        <w:t>的</w:t>
      </w:r>
      <w:r>
        <w:rPr>
          <w:spacing w:val="-21"/>
        </w:rPr>
        <w:t> </w:t>
      </w:r>
      <w:r>
        <w:rPr/>
        <w:t>股份。</w:t>
      </w:r>
    </w:p>
    <w:p>
      <w:pPr>
        <w:pStyle w:val="BodyText"/>
        <w:spacing w:line="240" w:lineRule="auto"/>
        <w:ind w:left="573" w:right="0"/>
        <w:jc w:val="left"/>
      </w:pPr>
      <w:r>
        <w:rPr>
          <w:rFonts w:ascii="宋体" w:hAnsi="宋体" w:cs="宋体" w:eastAsia="宋体" w:hint="default"/>
        </w:rPr>
        <w:t>3</w:t>
      </w:r>
      <w:r>
        <w:rPr/>
        <w:t>、子公司收到政府专项资金的相关事项</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31</w:t>
      </w:r>
      <w:r>
        <w:rPr/>
        <w:t>日、</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6</w:t>
      </w:r>
      <w:r>
        <w:rPr/>
        <w:t>日，汉威智源及汉威公用下属子公司分别收到了政府专项资金，共计</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rFonts w:ascii="宋体" w:hAnsi="宋体" w:cs="宋体" w:eastAsia="宋体" w:hint="default"/>
        </w:rPr>
        <w:t>28,778.35</w:t>
      </w:r>
      <w:r>
        <w:rPr/>
        <w:t>万元。具体信息请查阅公司于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12</w:t>
      </w:r>
      <w:r>
        <w:rPr/>
        <w:t>日、</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日在巨潮资讯网刊登的公告。</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第六节 股份变动及股东情况" w:id="101"/>
      <w:bookmarkEnd w:id="101"/>
      <w:r>
        <w:rPr>
          <w:b w:val="0"/>
          <w:bCs w:val="0"/>
        </w:rPr>
      </w:r>
      <w:bookmarkStart w:name="_bookmark5" w:id="102"/>
      <w:bookmarkEnd w:id="102"/>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159"/>
        <w:gridCol w:w="969"/>
        <w:gridCol w:w="758"/>
        <w:gridCol w:w="756"/>
        <w:gridCol w:w="754"/>
        <w:gridCol w:w="754"/>
        <w:gridCol w:w="926"/>
        <w:gridCol w:w="929"/>
        <w:gridCol w:w="958"/>
        <w:gridCol w:w="727"/>
      </w:tblGrid>
      <w:tr>
        <w:trPr>
          <w:trHeight w:val="412" w:hRule="exact"/>
        </w:trPr>
        <w:tc>
          <w:tcPr>
            <w:tcW w:w="2159"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727"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1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9" w:type="dxa"/>
            <w:gridSpan w:val="5"/>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6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85"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38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59" w:type="dxa"/>
            <w:vMerge w:val="restart"/>
            <w:tcBorders>
              <w:top w:val="nil" w:sz="6" w:space="0" w:color="auto"/>
              <w:left w:val="single" w:sz="12" w:space="0" w:color="000000"/>
              <w:right w:val="single" w:sz="4" w:space="0" w:color="000000"/>
            </w:tcBorders>
            <w:shd w:val="clear" w:color="auto" w:fill="D2D2D2"/>
          </w:tcPr>
          <w:p>
            <w:pPr/>
          </w:p>
        </w:tc>
        <w:tc>
          <w:tcPr>
            <w:tcW w:w="9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 w:type="dxa"/>
            <w:tcBorders>
              <w:top w:val="single" w:sz="4" w:space="0" w:color="000000"/>
              <w:left w:val="single" w:sz="4" w:space="0" w:color="000000"/>
              <w:bottom w:val="nil" w:sz="6" w:space="0" w:color="auto"/>
              <w:right w:val="single" w:sz="4" w:space="0" w:color="000000"/>
            </w:tcBorders>
            <w:shd w:val="clear" w:color="auto" w:fill="D2D2D2"/>
          </w:tcPr>
          <w:p>
            <w:pP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3" w:right="101"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92" w:right="98"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9"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7"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192" w:hRule="exact"/>
        </w:trPr>
        <w:tc>
          <w:tcPr>
            <w:tcW w:w="2159" w:type="dxa"/>
            <w:vMerge/>
            <w:tcBorders>
              <w:left w:val="single" w:sz="12" w:space="0" w:color="000000"/>
              <w:bottom w:val="nil" w:sz="6" w:space="0" w:color="auto"/>
              <w:right w:val="single" w:sz="4" w:space="0" w:color="000000"/>
            </w:tcBorders>
            <w:shd w:val="clear" w:color="auto" w:fill="D2D2D2"/>
          </w:tcPr>
          <w:p>
            <w:pPr/>
          </w:p>
        </w:tc>
        <w:tc>
          <w:tcPr>
            <w:tcW w:w="9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6" w:type="dxa"/>
            <w:vMerge/>
            <w:tcBorders>
              <w:left w:val="single" w:sz="4" w:space="0" w:color="000000"/>
              <w:right w:val="single" w:sz="4" w:space="0" w:color="000000"/>
            </w:tcBorders>
            <w:shd w:val="clear" w:color="auto" w:fill="D2D2D2"/>
          </w:tcPr>
          <w:p>
            <w:pPr/>
          </w:p>
        </w:tc>
        <w:tc>
          <w:tcPr>
            <w:tcW w:w="7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54"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7"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159" w:type="dxa"/>
            <w:vMerge w:val="restart"/>
            <w:tcBorders>
              <w:top w:val="nil" w:sz="6" w:space="0" w:color="auto"/>
              <w:left w:val="single" w:sz="12" w:space="0" w:color="000000"/>
              <w:right w:val="single" w:sz="4" w:space="0" w:color="000000"/>
            </w:tcBorders>
            <w:shd w:val="clear" w:color="auto" w:fill="D2D2D2"/>
          </w:tcPr>
          <w:p>
            <w:pPr/>
          </w:p>
        </w:tc>
        <w:tc>
          <w:tcPr>
            <w:tcW w:w="969"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754" w:type="dxa"/>
            <w:vMerge/>
            <w:tcBorders>
              <w:left w:val="single" w:sz="4" w:space="0" w:color="000000"/>
              <w:bottom w:val="nil" w:sz="6" w:space="0" w:color="auto"/>
              <w:right w:val="single" w:sz="4" w:space="0" w:color="000000"/>
            </w:tcBorders>
            <w:shd w:val="clear" w:color="auto" w:fill="D2D2D2"/>
          </w:tcPr>
          <w:p>
            <w:pPr/>
          </w:p>
        </w:tc>
        <w:tc>
          <w:tcPr>
            <w:tcW w:w="754"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bottom w:val="nil" w:sz="6" w:space="0" w:color="auto"/>
              <w:right w:val="single" w:sz="12" w:space="0" w:color="000000"/>
            </w:tcBorders>
            <w:shd w:val="clear" w:color="auto" w:fill="D2D2D2"/>
          </w:tcPr>
          <w:p>
            <w:pPr/>
          </w:p>
        </w:tc>
      </w:tr>
      <w:tr>
        <w:trPr>
          <w:trHeight w:val="161" w:hRule="exact"/>
        </w:trPr>
        <w:tc>
          <w:tcPr>
            <w:tcW w:w="2159" w:type="dxa"/>
            <w:vMerge/>
            <w:tcBorders>
              <w:left w:val="single" w:sz="12" w:space="0" w:color="000000"/>
              <w:bottom w:val="single" w:sz="4" w:space="0" w:color="000000"/>
              <w:right w:val="single" w:sz="4" w:space="0" w:color="000000"/>
            </w:tcBorders>
            <w:shd w:val="clear" w:color="auto" w:fill="D2D2D2"/>
          </w:tcPr>
          <w:p>
            <w:pPr/>
          </w:p>
        </w:tc>
        <w:tc>
          <w:tcPr>
            <w:tcW w:w="9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7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4"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7"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3"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66,107,416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-10,705,697</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-10,705,697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55,401,719</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18.91%</w:t>
            </w:r>
          </w:p>
        </w:tc>
      </w:tr>
      <w:tr>
        <w:trPr>
          <w:trHeight w:val="401"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66,107,416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-10,705,697</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-10,705,697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55,401,719</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18.91%</w:t>
            </w:r>
          </w:p>
        </w:tc>
      </w:tr>
      <w:tr>
        <w:trPr>
          <w:trHeight w:val="403"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33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66,107,416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-10,705,697</w:t>
            </w:r>
            <w:r>
              <w:rPr>
                <w:rFonts w:ascii="Times New Roman"/>
                <w:sz w:val="18"/>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-10,705,697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55,401,719</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18.91%</w:t>
            </w:r>
          </w:p>
        </w:tc>
      </w:tr>
      <w:tr>
        <w:trPr>
          <w:trHeight w:val="403"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33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226,915,390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77.44%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10,705,697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10,705,697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237,621,087</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81.09%</w:t>
            </w:r>
          </w:p>
        </w:tc>
      </w:tr>
      <w:tr>
        <w:trPr>
          <w:trHeight w:val="403"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226,915,390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77.44%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10,705,697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10,705,697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237,621,087</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81.09%</w:t>
            </w:r>
          </w:p>
        </w:tc>
      </w:tr>
      <w:tr>
        <w:trPr>
          <w:trHeight w:val="401"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1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10" w:hRule="exact"/>
        </w:trPr>
        <w:tc>
          <w:tcPr>
            <w:tcW w:w="215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9"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293,022,806</w:t>
            </w:r>
          </w:p>
        </w:tc>
        <w:tc>
          <w:tcPr>
            <w:tcW w:w="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293,022,806</w:t>
            </w:r>
          </w:p>
        </w:tc>
        <w:tc>
          <w:tcPr>
            <w:tcW w:w="72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8"/>
        <w:ind w:right="1128" w:firstLine="420"/>
        <w:jc w:val="both"/>
      </w:pPr>
      <w:r>
        <w:rPr>
          <w:rFonts w:ascii="宋体" w:hAnsi="宋体" w:cs="宋体" w:eastAsia="宋体" w:hint="default"/>
          <w:spacing w:val="-2"/>
        </w:rPr>
        <w:t>1</w:t>
      </w:r>
      <w:r>
        <w:rPr>
          <w:spacing w:val="-2"/>
        </w:rPr>
        <w:t>、报告期内，公司董事、监事、高级管理人员所持股份按照</w:t>
      </w:r>
      <w:r>
        <w:rPr>
          <w:rFonts w:ascii="宋体" w:hAnsi="宋体" w:cs="宋体" w:eastAsia="宋体" w:hint="default"/>
          <w:spacing w:val="-2"/>
        </w:rPr>
        <w:t>25%</w:t>
      </w:r>
      <w:r>
        <w:rPr>
          <w:spacing w:val="-2"/>
        </w:rPr>
        <w:t>自动解除锁定，离任高管所持股份半</w:t>
      </w:r>
      <w:r>
        <w:rPr>
          <w:w w:val="100"/>
        </w:rPr>
        <w:t> </w:t>
      </w:r>
      <w:r>
        <w:rPr/>
        <w:t>年后自动解除锁定。</w:t>
      </w:r>
    </w:p>
    <w:p>
      <w:pPr>
        <w:pStyle w:val="BodyText"/>
        <w:spacing w:line="408" w:lineRule="auto"/>
        <w:ind w:right="1127" w:firstLine="420"/>
        <w:jc w:val="both"/>
      </w:pPr>
      <w:r>
        <w:rPr>
          <w:rFonts w:ascii="宋体" w:hAnsi="宋体" w:cs="宋体" w:eastAsia="宋体" w:hint="default"/>
        </w:rPr>
        <w:t>2</w:t>
      </w:r>
      <w:r>
        <w:rPr/>
        <w:t>、经中国证券监督管理委员会《关于核准河南汉威电子股份有限公司向陈泽枝等发行股份购买资产</w:t>
      </w:r>
      <w:r>
        <w:rPr>
          <w:w w:val="100"/>
        </w:rPr>
        <w:t> </w:t>
      </w:r>
      <w:r>
        <w:rPr/>
        <w:t>并募集配套资金的批复》（证监许可</w:t>
      </w:r>
      <w:r>
        <w:rPr>
          <w:rFonts w:ascii="宋体" w:hAnsi="宋体" w:cs="宋体" w:eastAsia="宋体" w:hint="default"/>
        </w:rPr>
        <w:t>[2014]937</w:t>
      </w:r>
      <w:r>
        <w:rPr/>
        <w:t>号）核准，公司向交易对方陈泽枝、李泽清、高孔兴、芜</w:t>
      </w:r>
      <w:r>
        <w:rPr>
          <w:spacing w:val="-25"/>
        </w:rPr>
        <w:t> </w:t>
      </w:r>
      <w:r>
        <w:rPr>
          <w:spacing w:val="-25"/>
        </w:rPr>
      </w:r>
      <w:r>
        <w:rPr>
          <w:spacing w:val="-2"/>
        </w:rPr>
        <w:t>湖华顺置业投资有限责任公司、许金炉、刘智良、黄开坚、尚剑红、缪品章、李扬、叶明、梁一红、刘光</w:t>
      </w:r>
      <w:r>
        <w:rPr>
          <w:spacing w:val="-43"/>
        </w:rPr>
        <w:t> </w:t>
      </w:r>
      <w:r>
        <w:rPr>
          <w:spacing w:val="-43"/>
        </w:rPr>
      </w:r>
      <w:r>
        <w:rPr/>
        <w:t>江、邱宇、王锐共计发行股份</w:t>
      </w:r>
      <w:r>
        <w:rPr>
          <w:rFonts w:ascii="宋体" w:hAnsi="宋体" w:cs="宋体" w:eastAsia="宋体" w:hint="default"/>
        </w:rPr>
        <w:t>22,820,347</w:t>
      </w:r>
      <w:r>
        <w:rPr/>
        <w:t>股，并向其他特定投资者发行</w:t>
      </w:r>
      <w:r>
        <w:rPr>
          <w:rFonts w:ascii="宋体" w:hAnsi="宋体" w:cs="宋体" w:eastAsia="宋体" w:hint="default"/>
        </w:rPr>
        <w:t>5,691,056</w:t>
      </w:r>
      <w:r>
        <w:rPr/>
        <w:t>股募集配套资金。报告</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期内，根据重大资产重组非公开发行股票解锁条件，上述部分股东所持有的限售股票已逐步解除锁定。具</w:t>
      </w:r>
      <w:r>
        <w:rPr>
          <w:spacing w:val="-44"/>
        </w:rPr>
        <w:t> </w:t>
      </w:r>
      <w:r>
        <w:rPr>
          <w:spacing w:val="-44"/>
        </w:rPr>
      </w:r>
      <w:r>
        <w:rPr/>
        <w:t>体信息请查阅公司于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27</w:t>
      </w:r>
      <w:r>
        <w:rPr/>
        <w:t>日、</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6</w:t>
      </w:r>
      <w:r>
        <w:rPr/>
        <w:t>日在巨潮资讯网刊登的公告。</w:t>
      </w:r>
    </w:p>
    <w:p>
      <w:pPr>
        <w:spacing w:before="31"/>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38" w:lineRule="auto" w:before="41"/>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股份回购的实施进展情况</w:t>
      </w:r>
    </w:p>
    <w:p>
      <w:pPr>
        <w:spacing w:line="340" w:lineRule="auto" w:before="43"/>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40" w:lineRule="auto" w:before="39"/>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1"/>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028"/>
        <w:gridCol w:w="1414"/>
        <w:gridCol w:w="1558"/>
        <w:gridCol w:w="1560"/>
        <w:gridCol w:w="1274"/>
        <w:gridCol w:w="1136"/>
        <w:gridCol w:w="1728"/>
      </w:tblGrid>
      <w:tr>
        <w:trPr>
          <w:trHeight w:val="398" w:hRule="exact"/>
        </w:trPr>
        <w:tc>
          <w:tcPr>
            <w:tcW w:w="102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13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6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5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51"/>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53"/>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2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89"/>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1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00"/>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72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22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10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47,767,972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46,417,972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在任期间按照每年</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5" w:hRule="exact"/>
        </w:trPr>
        <w:tc>
          <w:tcPr>
            <w:tcW w:w="10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3,007,600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3,007,600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在任期间按照每年</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3" w:hRule="exact"/>
        </w:trPr>
        <w:tc>
          <w:tcPr>
            <w:tcW w:w="10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2,345,670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2,345,670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在任期间按照每年</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5" w:hRule="exact"/>
        </w:trPr>
        <w:tc>
          <w:tcPr>
            <w:tcW w:w="10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2,061,126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2,061,126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在任期间按照每年</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3" w:hRule="exact"/>
        </w:trPr>
        <w:tc>
          <w:tcPr>
            <w:tcW w:w="10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1,395,000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在任期间按照每年</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6" w:hRule="exact"/>
        </w:trPr>
        <w:tc>
          <w:tcPr>
            <w:tcW w:w="10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174,351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174,351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在任期间按照每年</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25" w:hRule="exact"/>
        </w:trPr>
        <w:tc>
          <w:tcPr>
            <w:tcW w:w="10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5,112,906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5,112,906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7"/>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根据资产重大重组非 公开发行股票解锁条 件分三次进行解锁</w:t>
            </w:r>
          </w:p>
        </w:tc>
      </w:tr>
      <w:tr>
        <w:trPr>
          <w:trHeight w:val="1034" w:hRule="exact"/>
        </w:trPr>
        <w:tc>
          <w:tcPr>
            <w:tcW w:w="102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2,364,200</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2,364,200</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7"/>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728"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根据资产重大重组非 公开发行股票解锁条 件分三次进行解锁</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28"/>
        <w:gridCol w:w="1414"/>
        <w:gridCol w:w="1558"/>
        <w:gridCol w:w="1560"/>
        <w:gridCol w:w="1274"/>
        <w:gridCol w:w="1136"/>
        <w:gridCol w:w="1728"/>
      </w:tblGrid>
      <w:tr>
        <w:trPr>
          <w:trHeight w:val="1037" w:hRule="exact"/>
        </w:trPr>
        <w:tc>
          <w:tcPr>
            <w:tcW w:w="102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14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1,476,789</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1,476,789</w:t>
            </w:r>
          </w:p>
        </w:tc>
        <w:tc>
          <w:tcPr>
            <w:tcW w:w="12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28" w:type="dxa"/>
            <w:tcBorders>
              <w:top w:val="single" w:sz="12" w:space="0" w:color="000000"/>
              <w:left w:val="single" w:sz="4" w:space="0" w:color="000000"/>
              <w:bottom w:val="single" w:sz="4" w:space="0" w:color="000000"/>
              <w:right w:val="single" w:sz="12" w:space="0" w:color="000000"/>
            </w:tcBorders>
          </w:tcPr>
          <w:p>
            <w:pPr>
              <w:pStyle w:val="TableParagraph"/>
              <w:spacing w:line="316" w:lineRule="auto" w:before="51"/>
              <w:ind w:left="23" w:right="62"/>
              <w:jc w:val="both"/>
              <w:rPr>
                <w:rFonts w:ascii="宋体" w:hAnsi="宋体" w:cs="宋体" w:eastAsia="宋体" w:hint="default"/>
                <w:sz w:val="18"/>
                <w:szCs w:val="18"/>
              </w:rPr>
            </w:pPr>
            <w:r>
              <w:rPr>
                <w:rFonts w:ascii="宋体" w:hAnsi="宋体" w:cs="宋体" w:eastAsia="宋体" w:hint="default"/>
                <w:sz w:val="18"/>
                <w:szCs w:val="18"/>
              </w:rPr>
              <w:t>根据资产重大重组非 公开发行股票解锁条 件分三次进行解锁</w:t>
            </w:r>
          </w:p>
        </w:tc>
      </w:tr>
      <w:tr>
        <w:trPr>
          <w:trHeight w:val="1025" w:hRule="exact"/>
        </w:trPr>
        <w:tc>
          <w:tcPr>
            <w:tcW w:w="10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许金炉</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401,202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401,202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根据资产重大重组非 公开发行股票解锁条 件分三次进行解锁</w:t>
            </w:r>
          </w:p>
        </w:tc>
      </w:tr>
      <w:tr>
        <w:trPr>
          <w:trHeight w:val="410" w:hRule="exact"/>
        </w:trPr>
        <w:tc>
          <w:tcPr>
            <w:tcW w:w="102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66,106,816</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10,705,097</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55,401,719</w:t>
            </w:r>
          </w:p>
        </w:tc>
        <w:tc>
          <w:tcPr>
            <w:tcW w:w="113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331.869995pt;margin-top:71.631737pt;width:53.3pt;height:31.2pt;mso-position-horizontal-relative:page;mso-position-vertical-relative:paragraph;z-index:-1121296" coordorigin="6637,1433" coordsize="1066,624">
            <v:shape style="position:absolute;left:6637;top:1433;width:1066;height:624" coordorigin="6637,1433" coordsize="1066,624" path="m6637,2057l7703,2057,7703,1433,6637,1433,6637,2057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20"/>
        <w:gridCol w:w="1218"/>
        <w:gridCol w:w="930"/>
        <w:gridCol w:w="1089"/>
        <w:gridCol w:w="1064"/>
        <w:gridCol w:w="1087"/>
        <w:gridCol w:w="935"/>
        <w:gridCol w:w="1078"/>
        <w:gridCol w:w="1078"/>
      </w:tblGrid>
      <w:tr>
        <w:trPr>
          <w:trHeight w:val="173" w:hRule="exact"/>
        </w:trPr>
        <w:tc>
          <w:tcPr>
            <w:tcW w:w="1220" w:type="dxa"/>
            <w:vMerge w:val="restart"/>
            <w:tcBorders>
              <w:top w:val="single" w:sz="12" w:space="0" w:color="000000"/>
              <w:left w:val="single" w:sz="12" w:space="0" w:color="000000"/>
              <w:right w:val="single" w:sz="4" w:space="0" w:color="000000"/>
            </w:tcBorders>
            <w:shd w:val="clear" w:color="auto" w:fill="D2D2D2"/>
          </w:tcPr>
          <w:p>
            <w:pPr/>
          </w:p>
        </w:tc>
        <w:tc>
          <w:tcPr>
            <w:tcW w:w="1218" w:type="dxa"/>
            <w:vMerge w:val="restart"/>
            <w:tcBorders>
              <w:top w:val="single" w:sz="12"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80" w:right="0"/>
              <w:jc w:val="left"/>
              <w:rPr>
                <w:rFonts w:ascii="Times New Roman" w:hAnsi="Times New Roman" w:cs="Times New Roman" w:eastAsia="Times New Roman" w:hint="default"/>
                <w:sz w:val="18"/>
                <w:szCs w:val="18"/>
              </w:rPr>
            </w:pPr>
            <w:r>
              <w:rPr>
                <w:rFonts w:ascii="Times New Roman"/>
                <w:sz w:val="18"/>
              </w:rPr>
              <w:t>34,712</w:t>
            </w:r>
          </w:p>
        </w:tc>
        <w:tc>
          <w:tcPr>
            <w:tcW w:w="930" w:type="dxa"/>
            <w:vMerge w:val="restart"/>
            <w:tcBorders>
              <w:top w:val="single" w:sz="12" w:space="0" w:color="000000"/>
              <w:left w:val="single" w:sz="4" w:space="0" w:color="000000"/>
              <w:right w:val="single" w:sz="4" w:space="0" w:color="000000"/>
            </w:tcBorders>
            <w:shd w:val="clear" w:color="auto" w:fill="D2D2D2"/>
          </w:tcPr>
          <w:p>
            <w:pPr>
              <w:pStyle w:val="TableParagraph"/>
              <w:spacing w:line="316" w:lineRule="auto" w:before="51"/>
              <w:ind w:left="18" w:right="180"/>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89" w:type="dxa"/>
            <w:vMerge w:val="restart"/>
            <w:tcBorders>
              <w:top w:val="single" w:sz="12"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31,530</w:t>
            </w:r>
          </w:p>
        </w:tc>
        <w:tc>
          <w:tcPr>
            <w:tcW w:w="1064" w:type="dxa"/>
            <w:vMerge w:val="restart"/>
            <w:tcBorders>
              <w:top w:val="single" w:sz="12" w:space="0" w:color="000000"/>
              <w:left w:val="single" w:sz="4" w:space="0" w:color="000000"/>
              <w:right w:val="single" w:sz="4" w:space="0" w:color="000000"/>
            </w:tcBorders>
            <w:shd w:val="clear" w:color="auto" w:fill="D2D2D2"/>
          </w:tcPr>
          <w:p>
            <w:pPr>
              <w:pStyle w:val="TableParagraph"/>
              <w:spacing w:line="316" w:lineRule="auto" w:before="51"/>
              <w:ind w:left="17" w:right="-44"/>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17" w:right="-1"/>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vMerge w:val="restart"/>
            <w:tcBorders>
              <w:top w:val="single" w:sz="12"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12" w:type="dxa"/>
            <w:gridSpan w:val="2"/>
            <w:tcBorders>
              <w:top w:val="single" w:sz="12" w:space="0" w:color="000000"/>
              <w:left w:val="single" w:sz="4" w:space="0" w:color="000000"/>
              <w:bottom w:val="nil" w:sz="6" w:space="0" w:color="auto"/>
              <w:right w:val="single" w:sz="4" w:space="0" w:color="000000"/>
            </w:tcBorders>
            <w:shd w:val="clear" w:color="auto" w:fill="D2D2D2"/>
          </w:tcPr>
          <w:p>
            <w:pPr/>
          </w:p>
        </w:tc>
        <w:tc>
          <w:tcPr>
            <w:tcW w:w="1078" w:type="dxa"/>
            <w:vMerge w:val="restart"/>
            <w:tcBorders>
              <w:top w:val="single" w:sz="12" w:space="0" w:color="000000"/>
              <w:left w:val="single" w:sz="9" w:space="0" w:color="D2D2D2"/>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20" w:type="dxa"/>
            <w:vMerge/>
            <w:tcBorders>
              <w:left w:val="single" w:sz="12" w:space="0" w:color="000000"/>
              <w:bottom w:val="nil" w:sz="6" w:space="0" w:color="auto"/>
              <w:right w:val="single" w:sz="4" w:space="0" w:color="000000"/>
            </w:tcBorders>
            <w:shd w:val="clear" w:color="auto" w:fill="D2D2D2"/>
          </w:tcPr>
          <w:p>
            <w:pPr/>
          </w:p>
        </w:tc>
        <w:tc>
          <w:tcPr>
            <w:tcW w:w="1218" w:type="dxa"/>
            <w:vMerge/>
            <w:tcBorders>
              <w:left w:val="single" w:sz="9" w:space="0" w:color="D2D2D2"/>
              <w:right w:val="single" w:sz="13" w:space="0" w:color="D2D2D2"/>
            </w:tcBorders>
          </w:tcPr>
          <w:p>
            <w:pPr/>
          </w:p>
        </w:tc>
        <w:tc>
          <w:tcPr>
            <w:tcW w:w="930" w:type="dxa"/>
            <w:vMerge/>
            <w:tcBorders>
              <w:left w:val="single" w:sz="4" w:space="0" w:color="000000"/>
              <w:right w:val="single" w:sz="4" w:space="0" w:color="000000"/>
            </w:tcBorders>
            <w:shd w:val="clear" w:color="auto" w:fill="D2D2D2"/>
          </w:tcPr>
          <w:p>
            <w:pPr/>
          </w:p>
        </w:tc>
        <w:tc>
          <w:tcPr>
            <w:tcW w:w="1089" w:type="dxa"/>
            <w:vMerge/>
            <w:tcBorders>
              <w:left w:val="single" w:sz="10" w:space="0" w:color="D2D2D2"/>
              <w:right w:val="single" w:sz="10" w:space="0" w:color="D2D2D2"/>
            </w:tcBorders>
          </w:tcPr>
          <w:p>
            <w:pPr/>
          </w:p>
        </w:tc>
        <w:tc>
          <w:tcPr>
            <w:tcW w:w="1064" w:type="dxa"/>
            <w:vMerge/>
            <w:tcBorders>
              <w:left w:val="single" w:sz="4" w:space="0" w:color="000000"/>
              <w:right w:val="single" w:sz="4" w:space="0" w:color="000000"/>
            </w:tcBorders>
            <w:shd w:val="clear" w:color="auto" w:fill="D2D2D2"/>
          </w:tcPr>
          <w:p>
            <w:pPr/>
          </w:p>
        </w:tc>
        <w:tc>
          <w:tcPr>
            <w:tcW w:w="1087" w:type="dxa"/>
            <w:vMerge/>
            <w:tcBorders>
              <w:left w:val="single" w:sz="12" w:space="0" w:color="D2D2D2"/>
              <w:right w:val="single" w:sz="9" w:space="0" w:color="D2D2D2"/>
            </w:tcBorders>
          </w:tcPr>
          <w:p>
            <w:pPr/>
          </w:p>
        </w:tc>
        <w:tc>
          <w:tcPr>
            <w:tcW w:w="20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8" w:right="94"/>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8" w:type="dxa"/>
            <w:vMerge/>
            <w:tcBorders>
              <w:left w:val="single" w:sz="9" w:space="0" w:color="D2D2D2"/>
              <w:right w:val="single" w:sz="12" w:space="0" w:color="000000"/>
            </w:tcBorders>
          </w:tcPr>
          <w:p>
            <w:pPr/>
          </w:p>
        </w:tc>
      </w:tr>
      <w:tr>
        <w:trPr>
          <w:trHeight w:val="703" w:hRule="exact"/>
        </w:trPr>
        <w:tc>
          <w:tcPr>
            <w:tcW w:w="1220"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314" w:lineRule="auto" w:before="49"/>
              <w:ind w:left="14" w:right="105"/>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18" w:type="dxa"/>
            <w:vMerge/>
            <w:tcBorders>
              <w:left w:val="single" w:sz="9" w:space="0" w:color="D2D2D2"/>
              <w:right w:val="single" w:sz="13" w:space="0" w:color="D2D2D2"/>
            </w:tcBorders>
          </w:tcPr>
          <w:p>
            <w:pPr/>
          </w:p>
        </w:tc>
        <w:tc>
          <w:tcPr>
            <w:tcW w:w="930" w:type="dxa"/>
            <w:vMerge/>
            <w:tcBorders>
              <w:left w:val="single" w:sz="4" w:space="0" w:color="000000"/>
              <w:right w:val="single" w:sz="4" w:space="0" w:color="000000"/>
            </w:tcBorders>
            <w:shd w:val="clear" w:color="auto" w:fill="D2D2D2"/>
          </w:tcPr>
          <w:p>
            <w:pPr/>
          </w:p>
        </w:tc>
        <w:tc>
          <w:tcPr>
            <w:tcW w:w="1089" w:type="dxa"/>
            <w:vMerge/>
            <w:tcBorders>
              <w:left w:val="single" w:sz="10" w:space="0" w:color="D2D2D2"/>
              <w:right w:val="single" w:sz="10" w:space="0" w:color="D2D2D2"/>
            </w:tcBorders>
          </w:tcPr>
          <w:p>
            <w:pPr/>
          </w:p>
        </w:tc>
        <w:tc>
          <w:tcPr>
            <w:tcW w:w="1064" w:type="dxa"/>
            <w:vMerge/>
            <w:tcBorders>
              <w:left w:val="single" w:sz="4" w:space="0" w:color="000000"/>
              <w:right w:val="single" w:sz="4" w:space="0" w:color="000000"/>
            </w:tcBorders>
            <w:shd w:val="clear" w:color="auto" w:fill="D2D2D2"/>
          </w:tcPr>
          <w:p>
            <w:pPr/>
          </w:p>
        </w:tc>
        <w:tc>
          <w:tcPr>
            <w:tcW w:w="1087" w:type="dxa"/>
            <w:vMerge/>
            <w:tcBorders>
              <w:left w:val="single" w:sz="12" w:space="0" w:color="D2D2D2"/>
              <w:right w:val="single" w:sz="9" w:space="0" w:color="D2D2D2"/>
            </w:tcBorders>
          </w:tcPr>
          <w:p>
            <w:pPr/>
          </w:p>
        </w:tc>
        <w:tc>
          <w:tcPr>
            <w:tcW w:w="2012" w:type="dxa"/>
            <w:gridSpan w:val="2"/>
            <w:vMerge/>
            <w:tcBorders>
              <w:left w:val="single" w:sz="4" w:space="0" w:color="000000"/>
              <w:right w:val="single" w:sz="4" w:space="0" w:color="000000"/>
            </w:tcBorders>
            <w:shd w:val="clear" w:color="auto" w:fill="D2D2D2"/>
          </w:tcPr>
          <w:p>
            <w:pPr/>
          </w:p>
        </w:tc>
        <w:tc>
          <w:tcPr>
            <w:tcW w:w="1078" w:type="dxa"/>
            <w:vMerge/>
            <w:tcBorders>
              <w:left w:val="single" w:sz="9" w:space="0" w:color="D2D2D2"/>
              <w:right w:val="single" w:sz="12" w:space="0" w:color="000000"/>
            </w:tcBorders>
          </w:tcPr>
          <w:p>
            <w:pPr/>
          </w:p>
        </w:tc>
      </w:tr>
      <w:tr>
        <w:trPr>
          <w:trHeight w:val="312" w:hRule="exact"/>
        </w:trPr>
        <w:tc>
          <w:tcPr>
            <w:tcW w:w="1220" w:type="dxa"/>
            <w:vMerge w:val="restart"/>
            <w:tcBorders>
              <w:top w:val="nil" w:sz="6" w:space="0" w:color="auto"/>
              <w:left w:val="single" w:sz="12" w:space="0" w:color="000000"/>
              <w:right w:val="single" w:sz="4" w:space="0" w:color="000000"/>
            </w:tcBorders>
            <w:shd w:val="clear" w:color="auto" w:fill="D2D2D2"/>
          </w:tcPr>
          <w:p>
            <w:pPr/>
          </w:p>
        </w:tc>
        <w:tc>
          <w:tcPr>
            <w:tcW w:w="1218" w:type="dxa"/>
            <w:vMerge/>
            <w:tcBorders>
              <w:left w:val="single" w:sz="9" w:space="0" w:color="D2D2D2"/>
              <w:right w:val="single" w:sz="13" w:space="0" w:color="D2D2D2"/>
            </w:tcBorders>
          </w:tcPr>
          <w:p>
            <w:pPr/>
          </w:p>
        </w:tc>
        <w:tc>
          <w:tcPr>
            <w:tcW w:w="930" w:type="dxa"/>
            <w:vMerge/>
            <w:tcBorders>
              <w:left w:val="single" w:sz="4" w:space="0" w:color="000000"/>
              <w:right w:val="single" w:sz="4" w:space="0" w:color="000000"/>
            </w:tcBorders>
            <w:shd w:val="clear" w:color="auto" w:fill="D2D2D2"/>
          </w:tcPr>
          <w:p>
            <w:pPr/>
          </w:p>
        </w:tc>
        <w:tc>
          <w:tcPr>
            <w:tcW w:w="1089" w:type="dxa"/>
            <w:vMerge/>
            <w:tcBorders>
              <w:left w:val="single" w:sz="10" w:space="0" w:color="D2D2D2"/>
              <w:right w:val="single" w:sz="10" w:space="0" w:color="D2D2D2"/>
            </w:tcBorders>
          </w:tcPr>
          <w:p>
            <w:pPr/>
          </w:p>
        </w:tc>
        <w:tc>
          <w:tcPr>
            <w:tcW w:w="1064" w:type="dxa"/>
            <w:vMerge/>
            <w:tcBorders>
              <w:left w:val="single" w:sz="4" w:space="0" w:color="000000"/>
              <w:right w:val="single" w:sz="4" w:space="0" w:color="000000"/>
            </w:tcBorders>
            <w:shd w:val="clear" w:color="auto" w:fill="D2D2D2"/>
          </w:tcPr>
          <w:p>
            <w:pPr/>
          </w:p>
        </w:tc>
        <w:tc>
          <w:tcPr>
            <w:tcW w:w="1087" w:type="dxa"/>
            <w:vMerge/>
            <w:tcBorders>
              <w:left w:val="single" w:sz="12" w:space="0" w:color="D2D2D2"/>
              <w:right w:val="single" w:sz="9" w:space="0" w:color="D2D2D2"/>
            </w:tcBorders>
          </w:tcPr>
          <w:p>
            <w:pPr/>
          </w:p>
        </w:tc>
        <w:tc>
          <w:tcPr>
            <w:tcW w:w="2012" w:type="dxa"/>
            <w:gridSpan w:val="2"/>
            <w:vMerge/>
            <w:tcBorders>
              <w:left w:val="single" w:sz="4" w:space="0" w:color="000000"/>
              <w:bottom w:val="nil" w:sz="6" w:space="0" w:color="auto"/>
              <w:right w:val="single" w:sz="4" w:space="0" w:color="000000"/>
            </w:tcBorders>
            <w:shd w:val="clear" w:color="auto" w:fill="D2D2D2"/>
          </w:tcPr>
          <w:p>
            <w:pPr/>
          </w:p>
        </w:tc>
        <w:tc>
          <w:tcPr>
            <w:tcW w:w="1078" w:type="dxa"/>
            <w:vMerge/>
            <w:tcBorders>
              <w:left w:val="single" w:sz="9" w:space="0" w:color="D2D2D2"/>
              <w:right w:val="single" w:sz="12" w:space="0" w:color="000000"/>
            </w:tcBorders>
          </w:tcPr>
          <w:p>
            <w:pPr/>
          </w:p>
        </w:tc>
      </w:tr>
      <w:tr>
        <w:trPr>
          <w:trHeight w:val="166" w:hRule="exact"/>
        </w:trPr>
        <w:tc>
          <w:tcPr>
            <w:tcW w:w="1220" w:type="dxa"/>
            <w:vMerge/>
            <w:tcBorders>
              <w:left w:val="single" w:sz="12" w:space="0" w:color="000000"/>
              <w:bottom w:val="single" w:sz="4" w:space="0" w:color="000000"/>
              <w:right w:val="single" w:sz="4" w:space="0" w:color="000000"/>
            </w:tcBorders>
            <w:shd w:val="clear" w:color="auto" w:fill="D2D2D2"/>
          </w:tcPr>
          <w:p>
            <w:pPr/>
          </w:p>
        </w:tc>
        <w:tc>
          <w:tcPr>
            <w:tcW w:w="1218" w:type="dxa"/>
            <w:vMerge/>
            <w:tcBorders>
              <w:left w:val="single" w:sz="9" w:space="0" w:color="D2D2D2"/>
              <w:bottom w:val="single" w:sz="4" w:space="0" w:color="000000"/>
              <w:right w:val="single" w:sz="13" w:space="0" w:color="D2D2D2"/>
            </w:tcBorders>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089" w:type="dxa"/>
            <w:vMerge/>
            <w:tcBorders>
              <w:left w:val="single" w:sz="10" w:space="0" w:color="D2D2D2"/>
              <w:bottom w:val="single" w:sz="4" w:space="0" w:color="000000"/>
              <w:right w:val="single" w:sz="10" w:space="0" w:color="D2D2D2"/>
            </w:tcBorders>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12" w:space="0" w:color="D2D2D2"/>
              <w:bottom w:val="single" w:sz="4" w:space="0" w:color="000000"/>
              <w:right w:val="single" w:sz="9" w:space="0" w:color="D2D2D2"/>
            </w:tcBorders>
          </w:tcPr>
          <w:p>
            <w:pPr/>
          </w:p>
        </w:tc>
        <w:tc>
          <w:tcPr>
            <w:tcW w:w="201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78" w:type="dxa"/>
            <w:vMerge/>
            <w:tcBorders>
              <w:left w:val="single" w:sz="9" w:space="0" w:color="D2D2D2"/>
              <w:bottom w:val="single" w:sz="4" w:space="0" w:color="000000"/>
              <w:right w:val="single" w:sz="12" w:space="0" w:color="000000"/>
            </w:tcBorders>
          </w:tcPr>
          <w:p>
            <w:pPr/>
          </w:p>
        </w:tc>
      </w:tr>
      <w:tr>
        <w:trPr>
          <w:trHeight w:val="394" w:hRule="exact"/>
        </w:trPr>
        <w:tc>
          <w:tcPr>
            <w:tcW w:w="9698" w:type="dxa"/>
            <w:gridSpan w:val="9"/>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4"/>
              <w:ind w:left="3116"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20" w:type="dxa"/>
            <w:vMerge w:val="restart"/>
            <w:tcBorders>
              <w:top w:val="single" w:sz="4" w:space="0" w:color="000000"/>
              <w:left w:val="single" w:sz="12" w:space="0" w:color="000000"/>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
        </w:tc>
        <w:tc>
          <w:tcPr>
            <w:tcW w:w="930" w:type="dxa"/>
            <w:vMerge w:val="restart"/>
            <w:tcBorders>
              <w:top w:val="single" w:sz="4" w:space="0" w:color="000000"/>
              <w:left w:val="single" w:sz="4" w:space="0" w:color="000000"/>
              <w:right w:val="single" w:sz="4" w:space="0" w:color="000000"/>
            </w:tcBorders>
            <w:shd w:val="clear" w:color="auto" w:fill="D2D2D2"/>
          </w:tcPr>
          <w:p>
            <w:pPr/>
          </w:p>
        </w:tc>
        <w:tc>
          <w:tcPr>
            <w:tcW w:w="10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9" w:right="85"/>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9" w:right="10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56" w:type="dxa"/>
            <w:gridSpan w:val="2"/>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3"/>
              <w:ind w:left="44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7" w:hRule="exact"/>
        </w:trPr>
        <w:tc>
          <w:tcPr>
            <w:tcW w:w="1220" w:type="dxa"/>
            <w:vMerge/>
            <w:tcBorders>
              <w:left w:val="single" w:sz="12" w:space="0" w:color="000000"/>
              <w:bottom w:val="nil" w:sz="6" w:space="0" w:color="auto"/>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108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69" w:right="8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77" w:right="7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8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2156" w:type="dxa"/>
            <w:gridSpan w:val="2"/>
            <w:vMerge/>
            <w:tcBorders>
              <w:left w:val="single" w:sz="4" w:space="0" w:color="000000"/>
              <w:right w:val="single" w:sz="12" w:space="0" w:color="000000"/>
            </w:tcBorders>
            <w:shd w:val="clear" w:color="auto" w:fill="D2D2D2"/>
          </w:tcPr>
          <w:p>
            <w:pPr/>
          </w:p>
        </w:tc>
      </w:tr>
      <w:tr>
        <w:trPr>
          <w:trHeight w:val="139" w:hRule="exact"/>
        </w:trPr>
        <w:tc>
          <w:tcPr>
            <w:tcW w:w="1220"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89"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2156" w:type="dxa"/>
            <w:gridSpan w:val="2"/>
            <w:vMerge/>
            <w:tcBorders>
              <w:left w:val="single" w:sz="4" w:space="0" w:color="000000"/>
              <w:bottom w:val="single" w:sz="4" w:space="0" w:color="000000"/>
              <w:right w:val="single" w:sz="12" w:space="0" w:color="000000"/>
            </w:tcBorders>
            <w:shd w:val="clear" w:color="auto" w:fill="D2D2D2"/>
          </w:tcPr>
          <w:p>
            <w:pPr/>
          </w:p>
        </w:tc>
      </w:tr>
      <w:tr>
        <w:trPr>
          <w:trHeight w:val="252" w:hRule="exact"/>
        </w:trPr>
        <w:tc>
          <w:tcPr>
            <w:tcW w:w="1220" w:type="dxa"/>
            <w:vMerge/>
            <w:tcBorders>
              <w:left w:val="single" w:sz="12" w:space="0" w:color="000000"/>
              <w:bottom w:val="nil" w:sz="6" w:space="0" w:color="auto"/>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1089"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7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78"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104"/>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20" w:type="dxa"/>
            <w:vMerge w:val="restart"/>
            <w:tcBorders>
              <w:top w:val="nil" w:sz="6" w:space="0" w:color="auto"/>
              <w:left w:val="single" w:sz="12"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1089"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12" w:space="0" w:color="000000"/>
            </w:tcBorders>
            <w:shd w:val="clear" w:color="auto" w:fill="D2D2D2"/>
          </w:tcPr>
          <w:p>
            <w:pPr/>
          </w:p>
        </w:tc>
      </w:tr>
      <w:tr>
        <w:trPr>
          <w:trHeight w:val="161" w:hRule="exact"/>
        </w:trPr>
        <w:tc>
          <w:tcPr>
            <w:tcW w:w="1220" w:type="dxa"/>
            <w:vMerge/>
            <w:tcBorders>
              <w:left w:val="single" w:sz="12"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10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19.95%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58,449,629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-3,441,000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46,417,972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12,031,657</w:t>
            </w:r>
          </w:p>
        </w:tc>
        <w:tc>
          <w:tcPr>
            <w:tcW w:w="1078" w:type="dxa"/>
            <w:tcBorders>
              <w:top w:val="single" w:sz="44" w:space="0" w:color="D2D2D2"/>
              <w:left w:val="single" w:sz="4" w:space="0" w:color="000000"/>
              <w:bottom w:val="single" w:sz="4" w:space="0" w:color="000000"/>
              <w:right w:val="single" w:sz="4" w:space="0" w:color="000000"/>
            </w:tcBorders>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8" w:type="dxa"/>
            <w:tcBorders>
              <w:top w:val="single" w:sz="44" w:space="0" w:color="D2D2D2"/>
              <w:left w:val="single" w:sz="4" w:space="0" w:color="000000"/>
              <w:bottom w:val="single" w:sz="4" w:space="0" w:color="000000"/>
              <w:right w:val="single" w:sz="12" w:space="0" w:color="000000"/>
            </w:tcBorders>
          </w:tcPr>
          <w:p>
            <w:pPr>
              <w:pStyle w:val="TableParagraph"/>
              <w:spacing w:line="240" w:lineRule="auto" w:before="40"/>
              <w:ind w:right="12"/>
              <w:jc w:val="right"/>
              <w:rPr>
                <w:rFonts w:ascii="Times New Roman" w:hAnsi="Times New Roman" w:cs="Times New Roman" w:eastAsia="Times New Roman" w:hint="default"/>
                <w:sz w:val="18"/>
                <w:szCs w:val="18"/>
              </w:rPr>
            </w:pPr>
            <w:r>
              <w:rPr>
                <w:rFonts w:ascii="Times New Roman"/>
                <w:spacing w:val="-1"/>
                <w:sz w:val="18"/>
              </w:rPr>
              <w:t>39,000,000</w:t>
            </w:r>
          </w:p>
        </w:tc>
      </w:tr>
      <w:tr>
        <w:trPr>
          <w:trHeight w:val="401"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5.17%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15,154,280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15,154,280</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1.37%</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4,010,134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3,007,600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1,002,534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1.28%</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3,754,202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-7,313,504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3,754,202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3,020,000</w:t>
            </w:r>
          </w:p>
        </w:tc>
      </w:tr>
      <w:tr>
        <w:trPr>
          <w:trHeight w:val="410" w:hRule="exact"/>
        </w:trPr>
        <w:tc>
          <w:tcPr>
            <w:tcW w:w="122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钟克创</w:t>
            </w:r>
          </w:p>
        </w:tc>
        <w:tc>
          <w:tcPr>
            <w:tcW w:w="12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1.18%</w:t>
            </w:r>
          </w:p>
        </w:tc>
        <w:tc>
          <w:tcPr>
            <w:tcW w:w="10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3,467,320</w:t>
            </w:r>
          </w:p>
        </w:tc>
        <w:tc>
          <w:tcPr>
            <w:tcW w:w="10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-30,000</w:t>
            </w:r>
          </w:p>
        </w:tc>
        <w:tc>
          <w:tcPr>
            <w:tcW w:w="10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9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3,467,320</w:t>
            </w:r>
          </w:p>
        </w:tc>
        <w:tc>
          <w:tcPr>
            <w:tcW w:w="1078" w:type="dxa"/>
            <w:tcBorders>
              <w:top w:val="single" w:sz="4" w:space="0" w:color="000000"/>
              <w:left w:val="single" w:sz="4" w:space="0" w:color="000000"/>
              <w:bottom w:val="single" w:sz="12" w:space="0" w:color="000000"/>
              <w:right w:val="single" w:sz="4" w:space="0" w:color="000000"/>
            </w:tcBorders>
          </w:tcPr>
          <w:p>
            <w:pPr/>
          </w:p>
        </w:tc>
        <w:tc>
          <w:tcPr>
            <w:tcW w:w="1078"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20"/>
        <w:gridCol w:w="1212"/>
        <w:gridCol w:w="941"/>
        <w:gridCol w:w="1078"/>
        <w:gridCol w:w="1076"/>
        <w:gridCol w:w="1075"/>
        <w:gridCol w:w="941"/>
        <w:gridCol w:w="1083"/>
        <w:gridCol w:w="1073"/>
      </w:tblGrid>
      <w:tr>
        <w:trPr>
          <w:trHeight w:val="413" w:hRule="exact"/>
        </w:trPr>
        <w:tc>
          <w:tcPr>
            <w:tcW w:w="122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12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1.07%</w:t>
            </w:r>
          </w:p>
        </w:tc>
        <w:tc>
          <w:tcPr>
            <w:tcW w:w="107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3,148,726</w:t>
            </w:r>
          </w:p>
        </w:tc>
        <w:tc>
          <w:tcPr>
            <w:tcW w:w="10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-2,073,100</w:t>
            </w:r>
          </w:p>
        </w:tc>
        <w:tc>
          <w:tcPr>
            <w:tcW w:w="10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3,148,726</w:t>
            </w:r>
          </w:p>
        </w:tc>
        <w:tc>
          <w:tcPr>
            <w:tcW w:w="1083" w:type="dxa"/>
            <w:tcBorders>
              <w:top w:val="single" w:sz="12" w:space="0" w:color="000000"/>
              <w:left w:val="single" w:sz="4" w:space="0" w:color="000000"/>
              <w:bottom w:val="single" w:sz="4" w:space="0" w:color="000000"/>
              <w:right w:val="single" w:sz="4" w:space="0" w:color="000000"/>
            </w:tcBorders>
          </w:tcPr>
          <w:p>
            <w:pPr/>
          </w:p>
        </w:tc>
        <w:tc>
          <w:tcPr>
            <w:tcW w:w="1073"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2,378,468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-369,700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2,061,126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317,342</w:t>
            </w:r>
          </w:p>
        </w:tc>
        <w:tc>
          <w:tcPr>
            <w:tcW w:w="108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2,345,860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-781,700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2,345,670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c>
          <w:tcPr>
            <w:tcW w:w="108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2,283,230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-1,291,400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2,283,230</w:t>
            </w:r>
          </w:p>
        </w:tc>
        <w:tc>
          <w:tcPr>
            <w:tcW w:w="108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付帅伟</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2,193,400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2,193,400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2,193,400</w:t>
            </w:r>
          </w:p>
        </w:tc>
        <w:tc>
          <w:tcPr>
            <w:tcW w:w="108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2432"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57"/>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1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266" w:type="dxa"/>
            <w:gridSpan w:val="7"/>
            <w:tcBorders>
              <w:top w:val="single" w:sz="4" w:space="0" w:color="000000"/>
              <w:left w:val="single" w:sz="9" w:space="0" w:color="D2D2D2"/>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432"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4" w:right="57"/>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266" w:type="dxa"/>
            <w:gridSpan w:val="7"/>
            <w:tcBorders>
              <w:top w:val="single" w:sz="4" w:space="0" w:color="000000"/>
              <w:left w:val="single" w:sz="9" w:space="0" w:color="D2D2D2"/>
              <w:bottom w:val="single" w:sz="4" w:space="0" w:color="000000"/>
              <w:right w:val="single" w:sz="12" w:space="0" w:color="000000"/>
            </w:tcBorders>
          </w:tcPr>
          <w:p>
            <w:pPr>
              <w:pStyle w:val="TableParagraph"/>
              <w:spacing w:line="316" w:lineRule="auto" w:before="49"/>
              <w:ind w:left="18" w:right="21"/>
              <w:jc w:val="left"/>
              <w:rPr>
                <w:rFonts w:ascii="宋体" w:hAnsi="宋体" w:cs="宋体" w:eastAsia="宋体" w:hint="default"/>
                <w:sz w:val="18"/>
                <w:szCs w:val="18"/>
              </w:rPr>
            </w:pPr>
            <w:r>
              <w:rPr>
                <w:rFonts w:ascii="宋体" w:hAnsi="宋体" w:cs="宋体" w:eastAsia="宋体" w:hint="default"/>
                <w:sz w:val="18"/>
                <w:szCs w:val="18"/>
              </w:rPr>
              <w:t>任红军与钟超系夫妻关系，钟超与钟克创系姐弟关系，公司未知前十名其他股东之间是否存 在关联关系，也未知是否属于《上市公司收购管理办法》规定的一致行动人。</w:t>
            </w:r>
          </w:p>
        </w:tc>
      </w:tr>
      <w:tr>
        <w:trPr>
          <w:trHeight w:val="401" w:hRule="exact"/>
        </w:trPr>
        <w:tc>
          <w:tcPr>
            <w:tcW w:w="9698" w:type="dxa"/>
            <w:gridSpan w:val="9"/>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432" w:type="dxa"/>
            <w:gridSpan w:val="2"/>
            <w:tcBorders>
              <w:top w:val="single" w:sz="4" w:space="0" w:color="000000"/>
              <w:left w:val="single" w:sz="12" w:space="0" w:color="000000"/>
              <w:bottom w:val="nil" w:sz="6" w:space="0" w:color="auto"/>
              <w:right w:val="single" w:sz="4" w:space="0" w:color="000000"/>
            </w:tcBorders>
            <w:shd w:val="clear" w:color="auto" w:fill="D2D2D2"/>
          </w:tcPr>
          <w:p>
            <w:pPr/>
          </w:p>
        </w:tc>
        <w:tc>
          <w:tcPr>
            <w:tcW w:w="5111"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56" w:type="dxa"/>
            <w:gridSpan w:val="2"/>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49"/>
              <w:ind w:left="713"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432" w:type="dxa"/>
            <w:gridSpan w:val="2"/>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111"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0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56" w:type="dxa"/>
            <w:gridSpan w:val="2"/>
            <w:vMerge/>
            <w:tcBorders>
              <w:left w:val="single" w:sz="4" w:space="0" w:color="000000"/>
              <w:bottom w:val="single" w:sz="4" w:space="0" w:color="000000"/>
              <w:right w:val="single" w:sz="12" w:space="0" w:color="000000"/>
            </w:tcBorders>
            <w:shd w:val="clear" w:color="auto" w:fill="D2D2D2"/>
          </w:tcPr>
          <w:p>
            <w:pPr/>
          </w:p>
        </w:tc>
      </w:tr>
      <w:tr>
        <w:trPr>
          <w:trHeight w:val="202" w:hRule="exact"/>
        </w:trPr>
        <w:tc>
          <w:tcPr>
            <w:tcW w:w="2432" w:type="dxa"/>
            <w:gridSpan w:val="2"/>
            <w:vMerge/>
            <w:tcBorders>
              <w:left w:val="single" w:sz="12" w:space="0" w:color="000000"/>
              <w:bottom w:val="nil" w:sz="6" w:space="0" w:color="auto"/>
              <w:right w:val="single" w:sz="4" w:space="0" w:color="000000"/>
            </w:tcBorders>
            <w:shd w:val="clear" w:color="auto" w:fill="D2D2D2"/>
          </w:tcPr>
          <w:p>
            <w:pPr/>
          </w:p>
        </w:tc>
        <w:tc>
          <w:tcPr>
            <w:tcW w:w="5111" w:type="dxa"/>
            <w:gridSpan w:val="5"/>
            <w:vMerge/>
            <w:tcBorders>
              <w:left w:val="single" w:sz="4" w:space="0" w:color="000000"/>
              <w:bottom w:val="nil" w:sz="6" w:space="0" w:color="auto"/>
              <w:right w:val="single" w:sz="4" w:space="0" w:color="000000"/>
            </w:tcBorders>
            <w:shd w:val="clear" w:color="auto" w:fill="D2D2D2"/>
          </w:tcPr>
          <w:p>
            <w:pPr/>
          </w:p>
        </w:tc>
        <w:tc>
          <w:tcPr>
            <w:tcW w:w="10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73"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3"/>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432" w:type="dxa"/>
            <w:gridSpan w:val="2"/>
            <w:tcBorders>
              <w:top w:val="nil" w:sz="6" w:space="0" w:color="auto"/>
              <w:left w:val="single" w:sz="12" w:space="0" w:color="000000"/>
              <w:bottom w:val="single" w:sz="4" w:space="0" w:color="000000"/>
              <w:right w:val="single" w:sz="4" w:space="0" w:color="000000"/>
            </w:tcBorders>
            <w:shd w:val="clear" w:color="auto" w:fill="D2D2D2"/>
          </w:tcPr>
          <w:p>
            <w:pPr/>
          </w:p>
        </w:tc>
        <w:tc>
          <w:tcPr>
            <w:tcW w:w="5111"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8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12" w:space="0" w:color="000000"/>
            </w:tcBorders>
            <w:shd w:val="clear" w:color="auto" w:fill="D2D2D2"/>
          </w:tcPr>
          <w:p>
            <w:pPr/>
          </w:p>
        </w:tc>
      </w:tr>
      <w:tr>
        <w:trPr>
          <w:trHeight w:val="715" w:hRule="exact"/>
        </w:trPr>
        <w:tc>
          <w:tcPr>
            <w:tcW w:w="2432"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5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15,154,280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15,154,280</w:t>
            </w:r>
          </w:p>
        </w:tc>
      </w:tr>
      <w:tr>
        <w:trPr>
          <w:trHeight w:val="713" w:hRule="exact"/>
        </w:trPr>
        <w:tc>
          <w:tcPr>
            <w:tcW w:w="2432"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5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12,031,657</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12,031,657</w:t>
            </w:r>
          </w:p>
        </w:tc>
      </w:tr>
      <w:tr>
        <w:trPr>
          <w:trHeight w:val="715" w:hRule="exact"/>
        </w:trPr>
        <w:tc>
          <w:tcPr>
            <w:tcW w:w="2432"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陈泽枝</w:t>
            </w:r>
          </w:p>
        </w:tc>
        <w:tc>
          <w:tcPr>
            <w:tcW w:w="5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3,754,202</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3,754,202</w:t>
            </w:r>
          </w:p>
        </w:tc>
      </w:tr>
      <w:tr>
        <w:trPr>
          <w:trHeight w:val="713" w:hRule="exact"/>
        </w:trPr>
        <w:tc>
          <w:tcPr>
            <w:tcW w:w="2432"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钟克创</w:t>
            </w:r>
          </w:p>
        </w:tc>
        <w:tc>
          <w:tcPr>
            <w:tcW w:w="5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3,467,320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3,467,320</w:t>
            </w:r>
          </w:p>
        </w:tc>
      </w:tr>
      <w:tr>
        <w:trPr>
          <w:trHeight w:val="715" w:hRule="exact"/>
        </w:trPr>
        <w:tc>
          <w:tcPr>
            <w:tcW w:w="2432"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李泽清</w:t>
            </w:r>
          </w:p>
        </w:tc>
        <w:tc>
          <w:tcPr>
            <w:tcW w:w="5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3,148,726</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3,148,726</w:t>
            </w:r>
          </w:p>
        </w:tc>
      </w:tr>
      <w:tr>
        <w:trPr>
          <w:trHeight w:val="713" w:hRule="exact"/>
        </w:trPr>
        <w:tc>
          <w:tcPr>
            <w:tcW w:w="2432"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高孔兴</w:t>
            </w:r>
          </w:p>
        </w:tc>
        <w:tc>
          <w:tcPr>
            <w:tcW w:w="5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2,283,230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2,283,230</w:t>
            </w:r>
          </w:p>
        </w:tc>
      </w:tr>
      <w:tr>
        <w:trPr>
          <w:trHeight w:val="715" w:hRule="exact"/>
        </w:trPr>
        <w:tc>
          <w:tcPr>
            <w:tcW w:w="2432"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付帅伟</w:t>
            </w:r>
          </w:p>
        </w:tc>
        <w:tc>
          <w:tcPr>
            <w:tcW w:w="5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2,193,400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2,193,400</w:t>
            </w:r>
          </w:p>
        </w:tc>
      </w:tr>
      <w:tr>
        <w:trPr>
          <w:trHeight w:val="1025" w:hRule="exact"/>
        </w:trPr>
        <w:tc>
          <w:tcPr>
            <w:tcW w:w="2432" w:type="dxa"/>
            <w:gridSpan w:val="2"/>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7"/>
              <w:jc w:val="both"/>
              <w:rPr>
                <w:rFonts w:ascii="宋体" w:hAnsi="宋体" w:cs="宋体" w:eastAsia="宋体" w:hint="default"/>
                <w:sz w:val="18"/>
                <w:szCs w:val="18"/>
              </w:rPr>
            </w:pPr>
            <w:r>
              <w:rPr>
                <w:rFonts w:ascii="宋体" w:hAnsi="宋体" w:cs="宋体" w:eastAsia="宋体" w:hint="default"/>
                <w:sz w:val="18"/>
                <w:szCs w:val="18"/>
              </w:rPr>
              <w:t>中国工商银行股份有限公司－ 金鹰核心资源混合型证券投资 基金</w:t>
            </w:r>
          </w:p>
        </w:tc>
        <w:tc>
          <w:tcPr>
            <w:tcW w:w="5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1,900,019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47"/>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1,900,019</w:t>
            </w:r>
          </w:p>
        </w:tc>
      </w:tr>
      <w:tr>
        <w:trPr>
          <w:trHeight w:val="716" w:hRule="exact"/>
        </w:trPr>
        <w:tc>
          <w:tcPr>
            <w:tcW w:w="2432" w:type="dxa"/>
            <w:gridSpan w:val="2"/>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7"/>
              <w:jc w:val="left"/>
              <w:rPr>
                <w:rFonts w:ascii="宋体" w:hAnsi="宋体" w:cs="宋体" w:eastAsia="宋体" w:hint="default"/>
                <w:sz w:val="18"/>
                <w:szCs w:val="18"/>
              </w:rPr>
            </w:pPr>
            <w:r>
              <w:rPr>
                <w:rFonts w:ascii="宋体" w:hAnsi="宋体" w:cs="宋体" w:eastAsia="宋体" w:hint="default"/>
                <w:sz w:val="18"/>
                <w:szCs w:val="18"/>
              </w:rPr>
              <w:t>中信建投基金－广发银行－钟 超</w:t>
            </w:r>
          </w:p>
        </w:tc>
        <w:tc>
          <w:tcPr>
            <w:tcW w:w="5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1,647,300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1,647,300</w:t>
            </w:r>
          </w:p>
        </w:tc>
      </w:tr>
      <w:tr>
        <w:trPr>
          <w:trHeight w:val="713" w:hRule="exact"/>
        </w:trPr>
        <w:tc>
          <w:tcPr>
            <w:tcW w:w="2432"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王和方</w:t>
            </w:r>
          </w:p>
        </w:tc>
        <w:tc>
          <w:tcPr>
            <w:tcW w:w="51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1,430,800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境内上市外 资股</w:t>
            </w:r>
          </w:p>
        </w:tc>
        <w:tc>
          <w:tcPr>
            <w:tcW w:w="10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1,430,800</w:t>
            </w:r>
          </w:p>
        </w:tc>
      </w:tr>
      <w:tr>
        <w:trPr>
          <w:trHeight w:val="1349" w:hRule="exact"/>
        </w:trPr>
        <w:tc>
          <w:tcPr>
            <w:tcW w:w="2432" w:type="dxa"/>
            <w:gridSpan w:val="2"/>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pacing w:val="-12"/>
                <w:sz w:val="18"/>
                <w:szCs w:val="18"/>
              </w:rPr>
              <w:t>间，以及前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名无限售流通股</w:t>
            </w:r>
          </w:p>
          <w:p>
            <w:pPr>
              <w:pStyle w:val="TableParagraph"/>
              <w:spacing w:line="300" w:lineRule="auto" w:before="63"/>
              <w:ind w:left="14" w:right="143"/>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266" w:type="dxa"/>
            <w:gridSpan w:val="7"/>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1"/>
              <w:jc w:val="both"/>
              <w:rPr>
                <w:rFonts w:ascii="宋体" w:hAnsi="宋体" w:cs="宋体" w:eastAsia="宋体" w:hint="default"/>
                <w:sz w:val="18"/>
                <w:szCs w:val="18"/>
              </w:rPr>
            </w:pPr>
            <w:r>
              <w:rPr>
                <w:rFonts w:ascii="宋体" w:hAnsi="宋体" w:cs="宋体" w:eastAsia="宋体" w:hint="default"/>
                <w:spacing w:val="-5"/>
                <w:sz w:val="18"/>
                <w:szCs w:val="18"/>
              </w:rPr>
              <w:t>任红军与钟超系夫妻关系，钟超与钟克创系姐弟关系，“中信建投基金－广发银行－钟超”资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产管理计划的资产委托人为钟超，公司未知前十名其他股东之间是否存在关联关系，也未知 是否属于《上市公司收购管理办法》规定的一致行动人。</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430"/>
        <w:gridCol w:w="7266"/>
      </w:tblGrid>
      <w:tr>
        <w:trPr>
          <w:trHeight w:val="732" w:hRule="exact"/>
        </w:trPr>
        <w:tc>
          <w:tcPr>
            <w:tcW w:w="2430"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1"/>
              <w:ind w:left="13" w:right="57"/>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266"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公司股东付帅伟除通过普通证券账户持有</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56,200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股外，还通过海通证券股份有限公司客户信</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2,193,400 </w:t>
            </w:r>
            <w:r>
              <w:rPr>
                <w:rFonts w:ascii="宋体" w:hAnsi="宋体" w:cs="宋体" w:eastAsia="宋体" w:hint="default"/>
                <w:sz w:val="18"/>
                <w:szCs w:val="18"/>
              </w:rPr>
              <w:t>股。</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464"/>
        <w:gridCol w:w="2057"/>
        <w:gridCol w:w="4177"/>
      </w:tblGrid>
      <w:tr>
        <w:trPr>
          <w:trHeight w:val="398" w:hRule="exact"/>
        </w:trPr>
        <w:tc>
          <w:tcPr>
            <w:tcW w:w="346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7"/>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4" w:hRule="exact"/>
        </w:trPr>
        <w:tc>
          <w:tcPr>
            <w:tcW w:w="34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6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722" w:hRule="exact"/>
        </w:trPr>
        <w:tc>
          <w:tcPr>
            <w:tcW w:w="346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49"/>
              <w:ind w:left="14" w:right="188"/>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234" w:type="dxa"/>
            <w:gridSpan w:val="2"/>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2424"/>
        <w:gridCol w:w="2425"/>
        <w:gridCol w:w="2424"/>
        <w:gridCol w:w="2425"/>
      </w:tblGrid>
      <w:tr>
        <w:trPr>
          <w:trHeight w:val="725" w:hRule="exact"/>
        </w:trPr>
        <w:tc>
          <w:tcPr>
            <w:tcW w:w="242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42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4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42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49"/>
              <w:ind w:left="1118" w:right="26" w:hanging="1081"/>
              <w:jc w:val="left"/>
              <w:rPr>
                <w:rFonts w:ascii="宋体" w:hAnsi="宋体" w:cs="宋体" w:eastAsia="宋体" w:hint="default"/>
                <w:sz w:val="18"/>
                <w:szCs w:val="18"/>
              </w:rPr>
            </w:pPr>
            <w:r>
              <w:rPr>
                <w:rFonts w:ascii="宋体" w:hAnsi="宋体" w:cs="宋体" w:eastAsia="宋体" w:hint="default"/>
                <w:sz w:val="18"/>
                <w:szCs w:val="18"/>
              </w:rPr>
              <w:t>是否取得其他国家或地区居留 权</w:t>
            </w:r>
          </w:p>
        </w:tc>
      </w:tr>
      <w:tr>
        <w:trPr>
          <w:trHeight w:val="401"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钟超</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4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274" w:type="dxa"/>
            <w:gridSpan w:val="3"/>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3" w:right="28"/>
              <w:jc w:val="left"/>
              <w:rPr>
                <w:rFonts w:ascii="宋体" w:hAnsi="宋体" w:cs="宋体" w:eastAsia="宋体" w:hint="default"/>
                <w:sz w:val="18"/>
                <w:szCs w:val="18"/>
              </w:rPr>
            </w:pPr>
            <w:r>
              <w:rPr>
                <w:rFonts w:ascii="宋体" w:hAnsi="宋体" w:cs="宋体" w:eastAsia="宋体" w:hint="default"/>
                <w:sz w:val="18"/>
                <w:szCs w:val="18"/>
              </w:rPr>
              <w:t>任红军先生与钟超女士系夫妻关系。任红军先生目前任职公司董事长；钟超女士不担任公司 任何职务。</w:t>
            </w:r>
          </w:p>
        </w:tc>
      </w:tr>
      <w:tr>
        <w:trPr>
          <w:trHeight w:val="723" w:hRule="exact"/>
        </w:trPr>
        <w:tc>
          <w:tcPr>
            <w:tcW w:w="242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00" w:lineRule="auto" w:before="49"/>
              <w:ind w:left="14" w:right="13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274" w:type="dxa"/>
            <w:gridSpan w:val="3"/>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2"/>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line="3467" w:lineRule="exact"/>
        <w:ind w:left="2572"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3035088" cy="220170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3035088" cy="2201703"/>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10"/>
        <w:rPr>
          <w:rFonts w:ascii="宋体" w:hAnsi="宋体" w:cs="宋体" w:eastAsia="宋体" w:hint="default"/>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第七节 优先股相关情况" w:id="116"/>
      <w:bookmarkEnd w:id="116"/>
      <w:r>
        <w:rPr>
          <w:b w:val="0"/>
          <w:bCs w:val="0"/>
        </w:rPr>
      </w:r>
      <w:bookmarkStart w:name="_bookmark6" w:id="117"/>
      <w:bookmarkEnd w:id="11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第八节 可转换公司债券相关情况" w:id="118"/>
      <w:bookmarkEnd w:id="118"/>
      <w:r>
        <w:rPr>
          <w:b w:val="0"/>
          <w:bCs w:val="0"/>
        </w:rPr>
      </w:r>
      <w:bookmarkStart w:name="_bookmark7" w:id="119"/>
      <w:bookmarkEnd w:id="119"/>
      <w:r>
        <w:rPr>
          <w:b w:val="0"/>
          <w:bCs w:val="0"/>
        </w:rPr>
      </w:r>
      <w:r>
        <w:rPr/>
        <w:t>第八节</w:t>
      </w:r>
      <w:r>
        <w:rPr>
          <w:spacing w:val="-5"/>
        </w:rPr>
        <w:t> </w:t>
      </w:r>
      <w:r>
        <w:rPr/>
        <w:t>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第九节 董事、监事、高级管理人员和员工情况" w:id="120"/>
      <w:bookmarkEnd w:id="120"/>
      <w:r>
        <w:rPr>
          <w:b w:val="0"/>
          <w:bCs w:val="0"/>
        </w:rPr>
      </w:r>
      <w:bookmarkStart w:name="_bookmark8" w:id="121"/>
      <w:bookmarkEnd w:id="121"/>
      <w:r>
        <w:rPr>
          <w:b w:val="0"/>
          <w:bCs w:val="0"/>
        </w:rPr>
      </w:r>
      <w:r>
        <w:rPr/>
        <w:t>第九节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7"/>
        <w:gridCol w:w="794"/>
        <w:gridCol w:w="797"/>
        <w:gridCol w:w="620"/>
        <w:gridCol w:w="566"/>
        <w:gridCol w:w="991"/>
        <w:gridCol w:w="1006"/>
        <w:gridCol w:w="866"/>
        <w:gridCol w:w="797"/>
        <w:gridCol w:w="797"/>
        <w:gridCol w:w="797"/>
        <w:gridCol w:w="869"/>
      </w:tblGrid>
      <w:tr>
        <w:trPr>
          <w:trHeight w:val="1037" w:hRule="exact"/>
        </w:trPr>
        <w:tc>
          <w:tcPr>
            <w:tcW w:w="79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0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62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410" w:right="4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8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69" w:right="65"/>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31"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8"/>
                <w:sz w:val="18"/>
                <w:szCs w:val="18"/>
              </w:rPr>
              <w:t>变动（股</w:t>
            </w:r>
          </w:p>
        </w:tc>
        <w:tc>
          <w:tcPr>
            <w:tcW w:w="86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4"/>
              <w:ind w:left="-123" w:right="59"/>
              <w:jc w:val="center"/>
              <w:rPr>
                <w:rFonts w:ascii="宋体" w:hAnsi="宋体" w:cs="宋体" w:eastAsia="宋体" w:hint="default"/>
                <w:sz w:val="18"/>
                <w:szCs w:val="18"/>
              </w:rPr>
            </w:pPr>
            <w:r>
              <w:rPr>
                <w:rFonts w:ascii="宋体" w:hAnsi="宋体" w:cs="宋体" w:eastAsia="宋体" w:hint="default"/>
                <w:spacing w:val="2"/>
                <w:sz w:val="18"/>
                <w:szCs w:val="18"/>
              </w:rPr>
              <w:t>）数（股）</w:t>
            </w:r>
          </w:p>
        </w:tc>
      </w:tr>
      <w:tr>
        <w:trPr>
          <w:trHeight w:val="713"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61,890,629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58,449,629</w:t>
            </w:r>
          </w:p>
        </w:tc>
      </w:tr>
      <w:tr>
        <w:trPr>
          <w:trHeight w:val="716"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张潇君</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38"/>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董事、副 总经理、 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3,127,560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2,345,860</w:t>
            </w:r>
          </w:p>
        </w:tc>
      </w:tr>
      <w:tr>
        <w:trPr>
          <w:trHeight w:val="715"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高延明</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2,748,168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2,378,468</w:t>
            </w:r>
          </w:p>
        </w:tc>
      </w:tr>
      <w:tr>
        <w:trPr>
          <w:trHeight w:val="716"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杨昌再</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1,395,000</w:t>
            </w:r>
          </w:p>
        </w:tc>
      </w:tr>
      <w:tr>
        <w:trPr>
          <w:trHeight w:val="715"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周震</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800</w:t>
            </w:r>
          </w:p>
        </w:tc>
      </w:tr>
      <w:tr>
        <w:trPr>
          <w:trHeight w:val="713"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w:t>
            </w:r>
          </w:p>
        </w:tc>
      </w:tr>
      <w:tr>
        <w:trPr>
          <w:trHeight w:val="1028"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李山</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722" w:hRule="exact"/>
        </w:trPr>
        <w:tc>
          <w:tcPr>
            <w:tcW w:w="79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王立章</w:t>
            </w:r>
          </w:p>
        </w:tc>
        <w:tc>
          <w:tcPr>
            <w:tcW w:w="7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w:t>
            </w:r>
          </w:p>
        </w:tc>
        <w:tc>
          <w:tcPr>
            <w:tcW w:w="9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797"/>
        <w:gridCol w:w="794"/>
        <w:gridCol w:w="797"/>
        <w:gridCol w:w="620"/>
        <w:gridCol w:w="566"/>
        <w:gridCol w:w="991"/>
        <w:gridCol w:w="1006"/>
        <w:gridCol w:w="866"/>
        <w:gridCol w:w="797"/>
        <w:gridCol w:w="797"/>
        <w:gridCol w:w="797"/>
        <w:gridCol w:w="869"/>
      </w:tblGrid>
      <w:tr>
        <w:trPr>
          <w:trHeight w:val="725" w:hRule="exact"/>
        </w:trPr>
        <w:tc>
          <w:tcPr>
            <w:tcW w:w="79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794"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离任</w:t>
            </w:r>
          </w:p>
        </w:tc>
        <w:tc>
          <w:tcPr>
            <w:tcW w:w="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52</w:t>
            </w:r>
          </w:p>
        </w:tc>
        <w:tc>
          <w:tcPr>
            <w:tcW w:w="9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4,010,134</w:t>
            </w:r>
          </w:p>
        </w:tc>
        <w:tc>
          <w:tcPr>
            <w:tcW w:w="7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4,010,134</w:t>
            </w:r>
          </w:p>
        </w:tc>
      </w:tr>
      <w:tr>
        <w:trPr>
          <w:trHeight w:val="713"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总工程师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离任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232,468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
                <w:sz w:val="18"/>
              </w:rPr>
              <w:t>232,468</w:t>
            </w:r>
          </w:p>
        </w:tc>
      </w:tr>
      <w:tr>
        <w:trPr>
          <w:trHeight w:val="715"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刘威</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离任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赵向阳</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z w:val="18"/>
                <w:szCs w:val="18"/>
              </w:rPr>
              <w:t>离任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2"/>
              <w:jc w:val="right"/>
              <w:rPr>
                <w:rFonts w:ascii="Times New Roman" w:hAnsi="Times New Roman" w:cs="Times New Roman" w:eastAsia="Times New Roman" w:hint="default"/>
                <w:sz w:val="18"/>
                <w:szCs w:val="18"/>
              </w:rPr>
            </w:pPr>
            <w:r>
              <w:rPr>
                <w:rFonts w:ascii="Times New Roman"/>
                <w:sz w:val="18"/>
              </w:rPr>
              <w:t>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79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331"/>
              <w:jc w:val="right"/>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73,869,959</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5,057,400</w:t>
            </w:r>
          </w:p>
        </w:tc>
        <w:tc>
          <w:tcPr>
            <w:tcW w:w="797" w:type="dxa"/>
            <w:tcBorders>
              <w:top w:val="single" w:sz="4" w:space="0" w:color="000000"/>
              <w:left w:val="single" w:sz="4" w:space="0" w:color="000000"/>
              <w:bottom w:val="single" w:sz="12" w:space="0" w:color="000000"/>
              <w:right w:val="single" w:sz="4" w:space="0" w:color="000000"/>
            </w:tcBorders>
          </w:tcPr>
          <w:p>
            <w:pPr/>
          </w:p>
        </w:tc>
        <w:tc>
          <w:tcPr>
            <w:tcW w:w="8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68,812,559</w:t>
            </w:r>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49"/>
        <w:gridCol w:w="1349"/>
        <w:gridCol w:w="1346"/>
        <w:gridCol w:w="1515"/>
        <w:gridCol w:w="4138"/>
      </w:tblGrid>
      <w:tr>
        <w:trPr>
          <w:trHeight w:val="396" w:hRule="exact"/>
        </w:trPr>
        <w:tc>
          <w:tcPr>
            <w:tcW w:w="134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134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1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1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13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8"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张小水</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1" w:hRule="exact"/>
        </w:trPr>
        <w:tc>
          <w:tcPr>
            <w:tcW w:w="13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尚剑红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3" w:hRule="exact"/>
        </w:trPr>
        <w:tc>
          <w:tcPr>
            <w:tcW w:w="13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刘威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10" w:hRule="exact"/>
        </w:trPr>
        <w:tc>
          <w:tcPr>
            <w:tcW w:w="134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赵向阳</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5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413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4"/>
      <w:bookmarkEnd w:id="124"/>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3"/>
        <w:rPr>
          <w:rFonts w:ascii="宋体" w:hAnsi="宋体" w:cs="宋体" w:eastAsia="宋体" w:hint="default"/>
          <w:sz w:val="13"/>
          <w:szCs w:val="13"/>
        </w:rPr>
      </w:pPr>
    </w:p>
    <w:p>
      <w:pPr>
        <w:pStyle w:val="BodyText"/>
        <w:spacing w:line="408" w:lineRule="auto" w:before="0"/>
        <w:ind w:left="573" w:right="0"/>
        <w:jc w:val="left"/>
      </w:pPr>
      <w:r>
        <w:rPr>
          <w:rFonts w:ascii="宋体" w:hAnsi="宋体" w:cs="宋体" w:eastAsia="宋体" w:hint="default"/>
        </w:rPr>
        <w:t>1</w:t>
      </w:r>
      <w:r>
        <w:rPr/>
        <w:t>、第五届董事会成员</w:t>
      </w:r>
      <w:r>
        <w:rPr>
          <w:w w:val="100"/>
        </w:rPr>
        <w:t> </w:t>
      </w:r>
      <w:r>
        <w:rPr>
          <w:spacing w:val="-2"/>
        </w:rPr>
        <w:t>任红军，男，</w:t>
      </w:r>
      <w:r>
        <w:rPr>
          <w:rFonts w:ascii="宋体" w:hAnsi="宋体" w:cs="宋体" w:eastAsia="宋体" w:hint="default"/>
          <w:spacing w:val="-2"/>
        </w:rPr>
        <w:t>1967</w:t>
      </w:r>
      <w:r>
        <w:rPr>
          <w:spacing w:val="-2"/>
        </w:rPr>
        <w:t>年出生，中国国籍，</w:t>
      </w:r>
      <w:r>
        <w:rPr>
          <w:rFonts w:ascii="宋体" w:hAnsi="宋体" w:cs="宋体" w:eastAsia="宋体" w:hint="default"/>
          <w:spacing w:val="-2"/>
        </w:rPr>
        <w:t>EMBA</w:t>
      </w:r>
      <w:r>
        <w:rPr>
          <w:spacing w:val="-2"/>
        </w:rPr>
        <w:t>，高级工程师，历任郑州晶体管厂技术员、工程师，郑州</w:t>
      </w:r>
    </w:p>
    <w:p>
      <w:pPr>
        <w:pStyle w:val="BodyText"/>
        <w:spacing w:line="408" w:lineRule="auto"/>
        <w:ind w:right="0"/>
        <w:jc w:val="left"/>
      </w:pPr>
      <w:r>
        <w:rPr>
          <w:spacing w:val="-2"/>
        </w:rPr>
        <w:t>汽车客运总公司下属科达电子厂高级工程师、副厂长，自</w:t>
      </w:r>
      <w:r>
        <w:rPr>
          <w:rFonts w:ascii="宋体" w:hAnsi="宋体" w:cs="宋体" w:eastAsia="宋体" w:hint="default"/>
          <w:spacing w:val="-2"/>
        </w:rPr>
        <w:t>1998</w:t>
      </w:r>
      <w:r>
        <w:rPr>
          <w:spacing w:val="-2"/>
        </w:rPr>
        <w:t>年创立公司前身河南汉威电子有限公司以来</w:t>
      </w:r>
      <w:r>
        <w:rPr>
          <w:spacing w:val="-39"/>
        </w:rPr>
        <w:t> </w:t>
      </w:r>
      <w:r>
        <w:rPr>
          <w:spacing w:val="-39"/>
        </w:rPr>
      </w:r>
      <w:r>
        <w:rPr/>
        <w:t>一直在汉威科技任职。现为公司第五届董事会董事长。</w:t>
      </w:r>
    </w:p>
    <w:p>
      <w:pPr>
        <w:pStyle w:val="BodyText"/>
        <w:spacing w:line="408" w:lineRule="auto"/>
        <w:ind w:right="1127" w:firstLine="420"/>
        <w:jc w:val="both"/>
      </w:pPr>
      <w:r>
        <w:rPr>
          <w:spacing w:val="-2"/>
        </w:rPr>
        <w:t>张潇君，男，</w:t>
      </w:r>
      <w:r>
        <w:rPr>
          <w:rFonts w:ascii="宋体" w:hAnsi="宋体" w:cs="宋体" w:eastAsia="宋体" w:hint="default"/>
          <w:spacing w:val="-2"/>
        </w:rPr>
        <w:t>1965</w:t>
      </w:r>
      <w:r>
        <w:rPr>
          <w:spacing w:val="-2"/>
        </w:rPr>
        <w:t>年出生，硕士研究生学历，中共党员，工程师。历任河南能源化工集团有限责任公</w:t>
      </w:r>
      <w:r>
        <w:rPr>
          <w:w w:val="100"/>
        </w:rPr>
        <w:t> </w:t>
      </w:r>
      <w:r>
        <w:rPr>
          <w:spacing w:val="-2"/>
        </w:rPr>
        <w:t>司董事，河南省煤气集团有限公司董事长、党委书记，开封空分集团有限责任公司董事长、党委书记，洛</w:t>
      </w:r>
      <w:r>
        <w:rPr>
          <w:spacing w:val="-43"/>
        </w:rPr>
        <w:t> </w:t>
      </w:r>
      <w:r>
        <w:rPr>
          <w:spacing w:val="-43"/>
        </w:rPr>
      </w:r>
      <w:r>
        <w:rPr/>
        <w:t>阳</w:t>
      </w:r>
      <w:r>
        <w:rPr>
          <w:rFonts w:ascii="宋体" w:hAnsi="宋体" w:cs="宋体" w:eastAsia="宋体" w:hint="default"/>
        </w:rPr>
        <w:t>LYC</w:t>
      </w:r>
      <w:r>
        <w:rPr/>
        <w:t>轴承有限公司董事长、党委书记，</w:t>
      </w:r>
      <w:r>
        <w:rPr>
          <w:rFonts w:ascii="宋体" w:hAnsi="宋体" w:cs="宋体" w:eastAsia="宋体" w:hint="default"/>
        </w:rPr>
        <w:t>2015</w:t>
      </w:r>
      <w:r>
        <w:rPr/>
        <w:t>年</w:t>
      </w:r>
      <w:r>
        <w:rPr>
          <w:rFonts w:ascii="宋体" w:hAnsi="宋体" w:cs="宋体" w:eastAsia="宋体" w:hint="default"/>
        </w:rPr>
        <w:t>12</w:t>
      </w:r>
      <w:r>
        <w:rPr/>
        <w:t>月起就职于汉威科技。现任公司第五届董事会董事、公</w:t>
      </w:r>
      <w:r>
        <w:rPr>
          <w:spacing w:val="-29"/>
        </w:rPr>
        <w:t> </w:t>
      </w:r>
      <w:r>
        <w:rPr>
          <w:spacing w:val="-29"/>
        </w:rPr>
      </w:r>
      <w:r>
        <w:rPr/>
        <w:t>司总经理。</w:t>
      </w:r>
    </w:p>
    <w:p>
      <w:pPr>
        <w:pStyle w:val="BodyText"/>
        <w:spacing w:line="408" w:lineRule="auto"/>
        <w:ind w:right="1126" w:firstLine="420"/>
        <w:jc w:val="both"/>
      </w:pPr>
      <w:r>
        <w:rPr>
          <w:spacing w:val="-2"/>
        </w:rPr>
        <w:t>刘瑞玲，女，</w:t>
      </w:r>
      <w:r>
        <w:rPr>
          <w:rFonts w:ascii="宋体" w:hAnsi="宋体" w:cs="宋体" w:eastAsia="宋体" w:hint="default"/>
          <w:spacing w:val="-2"/>
        </w:rPr>
        <w:t>1972</w:t>
      </w:r>
      <w:r>
        <w:rPr>
          <w:spacing w:val="-2"/>
        </w:rPr>
        <w:t>年出生，中国国籍，</w:t>
      </w:r>
      <w:r>
        <w:rPr>
          <w:rFonts w:ascii="宋体" w:hAnsi="宋体" w:cs="宋体" w:eastAsia="宋体" w:hint="default"/>
          <w:spacing w:val="-2"/>
        </w:rPr>
        <w:t>EMBA</w:t>
      </w:r>
      <w:r>
        <w:rPr>
          <w:spacing w:val="-2"/>
        </w:rPr>
        <w:t>，曾任职于郑州晶体管厂核算处、郑州汽车客运总公司下</w:t>
      </w:r>
      <w:r>
        <w:rPr>
          <w:w w:val="100"/>
        </w:rPr>
        <w:t> </w:t>
      </w:r>
      <w:r>
        <w:rPr/>
        <w:t>属科达电子厂会计科，</w:t>
      </w:r>
      <w:r>
        <w:rPr>
          <w:rFonts w:ascii="宋体" w:hAnsi="宋体" w:cs="宋体" w:eastAsia="宋体" w:hint="default"/>
        </w:rPr>
        <w:t>1998</w:t>
      </w:r>
      <w:r>
        <w:rPr/>
        <w:t>年</w:t>
      </w:r>
      <w:r>
        <w:rPr>
          <w:rFonts w:ascii="宋体" w:hAnsi="宋体" w:cs="宋体" w:eastAsia="宋体" w:hint="default"/>
        </w:rPr>
        <w:t>9</w:t>
      </w:r>
      <w:r>
        <w:rPr/>
        <w:t>月起就职于汉威科技。现任公司第五届董事会董事、副总经理、财务负责</w:t>
      </w:r>
      <w:r>
        <w:rPr>
          <w:spacing w:val="-28"/>
        </w:rPr>
        <w:t> </w:t>
      </w:r>
      <w:r>
        <w:rPr>
          <w:spacing w:val="-28"/>
        </w:rPr>
      </w:r>
      <w:r>
        <w:rPr/>
        <w:t>人。</w:t>
      </w:r>
    </w:p>
    <w:p>
      <w:pPr>
        <w:pStyle w:val="BodyText"/>
        <w:spacing w:line="408" w:lineRule="auto"/>
        <w:ind w:right="1126" w:firstLine="420"/>
        <w:jc w:val="both"/>
      </w:pPr>
      <w:r>
        <w:rPr>
          <w:spacing w:val="-2"/>
        </w:rPr>
        <w:t>尚中锋，男，</w:t>
      </w:r>
      <w:r>
        <w:rPr>
          <w:rFonts w:ascii="宋体" w:hAnsi="宋体" w:cs="宋体" w:eastAsia="宋体" w:hint="default"/>
          <w:spacing w:val="-2"/>
        </w:rPr>
        <w:t>1972</w:t>
      </w:r>
      <w:r>
        <w:rPr>
          <w:spacing w:val="-2"/>
        </w:rPr>
        <w:t>年出生，中国国籍，大学本科学历，曾任职于郑州市油泵油嘴厂，</w:t>
      </w:r>
      <w:r>
        <w:rPr>
          <w:rFonts w:ascii="宋体" w:hAnsi="宋体" w:cs="宋体" w:eastAsia="宋体" w:hint="default"/>
          <w:spacing w:val="-2"/>
        </w:rPr>
        <w:t>2000</w:t>
      </w:r>
      <w:r>
        <w:rPr>
          <w:spacing w:val="-2"/>
        </w:rPr>
        <w:t>年起就职于</w:t>
      </w:r>
      <w:r>
        <w:rPr>
          <w:w w:val="100"/>
        </w:rPr>
        <w:t> </w:t>
      </w:r>
      <w:r>
        <w:rPr/>
        <w:t>公司前身河南汉威电子有限公司。现任公司第五届董事会董事、副总经理。</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7" w:firstLine="420"/>
        <w:jc w:val="both"/>
      </w:pPr>
      <w:r>
        <w:rPr>
          <w:spacing w:val="-2"/>
        </w:rPr>
        <w:t>高延明，男，</w:t>
      </w:r>
      <w:r>
        <w:rPr>
          <w:rFonts w:ascii="宋体" w:hAnsi="宋体" w:cs="宋体" w:eastAsia="宋体" w:hint="default"/>
          <w:spacing w:val="-2"/>
        </w:rPr>
        <w:t>1981</w:t>
      </w:r>
      <w:r>
        <w:rPr>
          <w:spacing w:val="-2"/>
        </w:rPr>
        <w:t>年出生，中国国籍，大学本科学历，仪器仪表行业高级工程师。历任公司市政燃气</w:t>
      </w:r>
      <w:r>
        <w:rPr>
          <w:w w:val="100"/>
        </w:rPr>
        <w:t> </w:t>
      </w:r>
      <w:r>
        <w:rPr>
          <w:spacing w:val="-2"/>
        </w:rPr>
        <w:t>事业部总经理、郑州畅威物联网科技有限公司总经理等职务，现任公司第五届董事会董事、副总经理，同</w:t>
      </w:r>
      <w:r>
        <w:rPr>
          <w:spacing w:val="-46"/>
        </w:rPr>
        <w:t> </w:t>
      </w:r>
      <w:r>
        <w:rPr>
          <w:spacing w:val="-46"/>
        </w:rPr>
      </w:r>
      <w:r>
        <w:rPr/>
        <w:t>时任职嘉园环保有限公司董事长及法定代表人。</w:t>
      </w:r>
    </w:p>
    <w:p>
      <w:pPr>
        <w:pStyle w:val="BodyText"/>
        <w:spacing w:line="408" w:lineRule="auto"/>
        <w:ind w:right="0" w:firstLine="420"/>
        <w:jc w:val="left"/>
      </w:pPr>
      <w:r>
        <w:rPr/>
        <w:t>杨昌再，男，</w:t>
      </w:r>
      <w:r>
        <w:rPr>
          <w:rFonts w:ascii="宋体" w:hAnsi="宋体" w:cs="宋体" w:eastAsia="宋体" w:hint="default"/>
        </w:rPr>
        <w:t>1976</w:t>
      </w:r>
      <w:r>
        <w:rPr/>
        <w:t>年出生，中国国籍，大学本科学历，仪器仪表行业高级工程师。</w:t>
      </w:r>
      <w:r>
        <w:rPr>
          <w:rFonts w:ascii="宋体" w:hAnsi="宋体" w:cs="宋体" w:eastAsia="宋体" w:hint="default"/>
        </w:rPr>
        <w:t>2005</w:t>
      </w:r>
      <w:r>
        <w:rPr/>
        <w:t>年</w:t>
      </w:r>
      <w:r>
        <w:rPr>
          <w:rFonts w:ascii="宋体" w:hAnsi="宋体" w:cs="宋体" w:eastAsia="宋体" w:hint="default"/>
        </w:rPr>
        <w:t>3</w:t>
      </w:r>
      <w:r>
        <w:rPr/>
        <w:t>月起就职</w:t>
      </w:r>
      <w:r>
        <w:rPr>
          <w:w w:val="100"/>
        </w:rPr>
        <w:t> </w:t>
      </w:r>
      <w:r>
        <w:rPr>
          <w:spacing w:val="-5"/>
        </w:rPr>
        <w:t>于公司前身河南汉威电子有限公司，现任公司第五届董事会董事、河南汉威智慧安全科技有限公司总经理。</w:t>
      </w:r>
    </w:p>
    <w:p>
      <w:pPr>
        <w:pStyle w:val="BodyText"/>
        <w:spacing w:line="408" w:lineRule="auto"/>
        <w:ind w:right="0" w:firstLine="420"/>
        <w:jc w:val="left"/>
      </w:pPr>
      <w:r>
        <w:rPr>
          <w:spacing w:val="-2"/>
        </w:rPr>
        <w:t>李山，男，</w:t>
      </w:r>
      <w:r>
        <w:rPr>
          <w:rFonts w:ascii="宋体" w:hAnsi="宋体" w:cs="宋体" w:eastAsia="宋体" w:hint="default"/>
          <w:spacing w:val="-2"/>
        </w:rPr>
        <w:t>1953</w:t>
      </w:r>
      <w:r>
        <w:rPr>
          <w:spacing w:val="-2"/>
        </w:rPr>
        <w:t>年出生，中国国籍，香港理工大学硕士研究生学历，曾任宝钛集团总会计师，财务总</w:t>
      </w:r>
      <w:r>
        <w:rPr>
          <w:w w:val="100"/>
        </w:rPr>
        <w:t> </w:t>
      </w:r>
      <w:r>
        <w:rPr/>
        <w:t>监，现任陕西中庆会计师事务所主任会计师。现任公司第五届董事会独立董事。</w:t>
      </w:r>
    </w:p>
    <w:p>
      <w:pPr>
        <w:pStyle w:val="BodyText"/>
        <w:spacing w:line="408" w:lineRule="auto"/>
        <w:ind w:right="0" w:firstLine="420"/>
        <w:jc w:val="left"/>
      </w:pPr>
      <w:r>
        <w:rPr>
          <w:spacing w:val="-2"/>
        </w:rPr>
        <w:t>易欢欢，男，</w:t>
      </w:r>
      <w:r>
        <w:rPr>
          <w:rFonts w:ascii="宋体" w:hAnsi="宋体" w:cs="宋体" w:eastAsia="宋体" w:hint="default"/>
          <w:spacing w:val="-2"/>
        </w:rPr>
        <w:t>1982</w:t>
      </w:r>
      <w:r>
        <w:rPr>
          <w:spacing w:val="-2"/>
        </w:rPr>
        <w:t>年生，中国国籍，硕士研究生学历，毕业于北京大学通信与信息系统专业。曾先后</w:t>
      </w:r>
      <w:r>
        <w:rPr>
          <w:w w:val="100"/>
        </w:rPr>
        <w:t> </w:t>
      </w:r>
      <w:r>
        <w:rPr>
          <w:spacing w:val="-5"/>
        </w:rPr>
        <w:t>任职甲骨文（中国）战略咨询部高级经理，国金证券研究部执行总经理、计算机与互联网行业首席分析师，</w:t>
      </w:r>
      <w:r>
        <w:rPr>
          <w:spacing w:val="-8"/>
        </w:rPr>
        <w:t> </w:t>
      </w:r>
      <w:r>
        <w:rPr>
          <w:spacing w:val="-8"/>
        </w:rPr>
      </w:r>
      <w:r>
        <w:rPr>
          <w:spacing w:val="-2"/>
        </w:rPr>
        <w:t>申万宏源证券董事总经理、研究所副所长。现任深圳亚联发展科技股份有限公司董事。现任公司第五届董</w:t>
      </w:r>
      <w:r>
        <w:rPr>
          <w:spacing w:val="-44"/>
        </w:rPr>
        <w:t> </w:t>
      </w:r>
      <w:r>
        <w:rPr>
          <w:spacing w:val="-44"/>
        </w:rPr>
      </w:r>
      <w:r>
        <w:rPr/>
        <w:t>事会独立董事。</w:t>
      </w:r>
    </w:p>
    <w:p>
      <w:pPr>
        <w:pStyle w:val="BodyText"/>
        <w:spacing w:line="408" w:lineRule="auto"/>
        <w:ind w:right="0" w:firstLine="420"/>
        <w:jc w:val="left"/>
      </w:pPr>
      <w:r>
        <w:rPr/>
        <w:t>王立章，男，</w:t>
      </w:r>
      <w:r>
        <w:rPr>
          <w:rFonts w:ascii="宋体" w:hAnsi="宋体" w:cs="宋体" w:eastAsia="宋体" w:hint="default"/>
        </w:rPr>
        <w:t>1966</w:t>
      </w:r>
      <w:r>
        <w:rPr/>
        <w:t>年出生，中国国籍，清华大学硕士研究生学历，北京大学光华管理学院</w:t>
      </w:r>
      <w:r>
        <w:rPr>
          <w:rFonts w:ascii="宋体" w:hAnsi="宋体" w:cs="宋体" w:eastAsia="宋体" w:hint="default"/>
        </w:rPr>
        <w:t>MBA,</w:t>
      </w:r>
      <w:r>
        <w:rPr/>
        <w:t>曾任北</w:t>
      </w:r>
      <w:r>
        <w:rPr>
          <w:w w:val="100"/>
        </w:rPr>
        <w:t> </w:t>
      </w:r>
      <w:r>
        <w:rPr>
          <w:spacing w:val="-2"/>
        </w:rPr>
        <w:t>京正丰易环保技术研究中心副主任，现任北京易二零环境股份有限公司高级合伙人，</w:t>
      </w:r>
      <w:r>
        <w:rPr>
          <w:rFonts w:ascii="宋体" w:hAnsi="宋体" w:cs="宋体" w:eastAsia="宋体" w:hint="default"/>
          <w:spacing w:val="-2"/>
        </w:rPr>
        <w:t>E20</w:t>
      </w:r>
      <w:r>
        <w:rPr>
          <w:spacing w:val="-2"/>
        </w:rPr>
        <w:t>环境商学院院长，</w:t>
      </w:r>
      <w:r>
        <w:rPr>
          <w:spacing w:val="-37"/>
        </w:rPr>
        <w:t> </w:t>
      </w:r>
      <w:r>
        <w:rPr>
          <w:spacing w:val="-37"/>
        </w:rPr>
      </w:r>
      <w:r>
        <w:rPr/>
        <w:t>研究院执行院长等职。现任公司第五届董事会独立董事。</w:t>
      </w:r>
    </w:p>
    <w:p>
      <w:pPr>
        <w:pStyle w:val="BodyText"/>
        <w:spacing w:line="408" w:lineRule="auto"/>
        <w:ind w:left="573" w:right="0"/>
        <w:jc w:val="left"/>
      </w:pPr>
      <w:r>
        <w:rPr>
          <w:rFonts w:ascii="宋体" w:hAnsi="宋体" w:cs="宋体" w:eastAsia="宋体" w:hint="default"/>
        </w:rPr>
        <w:t>2</w:t>
      </w:r>
      <w:r>
        <w:rPr/>
        <w:t>、第五届监事会成员</w:t>
      </w:r>
      <w:r>
        <w:rPr>
          <w:w w:val="100"/>
        </w:rPr>
        <w:t> </w:t>
      </w:r>
      <w:r>
        <w:rPr>
          <w:spacing w:val="-2"/>
        </w:rPr>
        <w:t>张艳丽，女，</w:t>
      </w:r>
      <w:r>
        <w:rPr>
          <w:rFonts w:ascii="宋体" w:hAnsi="宋体" w:cs="宋体" w:eastAsia="宋体" w:hint="default"/>
          <w:spacing w:val="-2"/>
        </w:rPr>
        <w:t>1972</w:t>
      </w:r>
      <w:r>
        <w:rPr>
          <w:spacing w:val="-2"/>
        </w:rPr>
        <w:t>年出生，中国国籍，大学专科学历。曾任职于郑州晶体管厂、郑州汽车客运总公司</w:t>
      </w:r>
    </w:p>
    <w:p>
      <w:pPr>
        <w:pStyle w:val="BodyText"/>
        <w:spacing w:line="408" w:lineRule="auto"/>
        <w:ind w:left="573" w:right="0" w:hanging="421"/>
        <w:jc w:val="left"/>
      </w:pPr>
      <w:r>
        <w:rPr/>
        <w:t>下属科达电子厂，</w:t>
      </w:r>
      <w:r>
        <w:rPr>
          <w:rFonts w:ascii="宋体" w:hAnsi="宋体" w:cs="宋体" w:eastAsia="宋体" w:hint="default"/>
        </w:rPr>
        <w:t>1998</w:t>
      </w:r>
      <w:r>
        <w:rPr/>
        <w:t>年</w:t>
      </w:r>
      <w:r>
        <w:rPr>
          <w:rFonts w:ascii="宋体" w:hAnsi="宋体" w:cs="宋体" w:eastAsia="宋体" w:hint="default"/>
        </w:rPr>
        <w:t>9</w:t>
      </w:r>
      <w:r>
        <w:rPr/>
        <w:t>月起就职于公司前身河南汉威电子有限公司。现任公司第五届监事会主席。</w:t>
      </w:r>
      <w:r>
        <w:rPr>
          <w:w w:val="100"/>
        </w:rPr>
        <w:t> </w:t>
      </w:r>
      <w:r>
        <w:rPr>
          <w:spacing w:val="-2"/>
        </w:rPr>
        <w:t>周震，男，</w:t>
      </w:r>
      <w:r>
        <w:rPr>
          <w:rFonts w:ascii="宋体" w:hAnsi="宋体" w:cs="宋体" w:eastAsia="宋体" w:hint="default"/>
          <w:spacing w:val="-2"/>
        </w:rPr>
        <w:t>1983</w:t>
      </w:r>
      <w:r>
        <w:rPr>
          <w:spacing w:val="-2"/>
        </w:rPr>
        <w:t>年出生，中国国籍，大学本科学历，经济师、审计师、国际注册内部审计师。现任公</w:t>
      </w:r>
    </w:p>
    <w:p>
      <w:pPr>
        <w:pStyle w:val="BodyText"/>
        <w:spacing w:line="408" w:lineRule="auto"/>
        <w:ind w:left="573" w:right="0" w:hanging="421"/>
        <w:jc w:val="left"/>
      </w:pPr>
      <w:r>
        <w:rPr/>
        <w:t>司第五届监事会监事，同时任职苏州能斯达电子科技有限公司董事、总经理。</w:t>
      </w:r>
      <w:r>
        <w:rPr>
          <w:w w:val="100"/>
        </w:rPr>
        <w:t> </w:t>
      </w:r>
      <w:r>
        <w:rPr/>
        <w:t>李志刚，男，</w:t>
      </w:r>
      <w:r>
        <w:rPr>
          <w:rFonts w:ascii="宋体" w:hAnsi="宋体" w:cs="宋体" w:eastAsia="宋体" w:hint="default"/>
        </w:rPr>
        <w:t>1978</w:t>
      </w:r>
      <w:r>
        <w:rPr/>
        <w:t>年出生，中国国籍，大学专科学历，</w:t>
      </w:r>
      <w:r>
        <w:rPr>
          <w:rFonts w:ascii="宋体" w:hAnsi="宋体" w:cs="宋体" w:eastAsia="宋体" w:hint="default"/>
        </w:rPr>
        <w:t>EMBA</w:t>
      </w:r>
      <w:r>
        <w:rPr/>
        <w:t>，</w:t>
      </w:r>
      <w:r>
        <w:rPr>
          <w:rFonts w:ascii="宋体" w:hAnsi="宋体" w:cs="宋体" w:eastAsia="宋体" w:hint="default"/>
        </w:rPr>
        <w:t>2005</w:t>
      </w:r>
      <w:r>
        <w:rPr/>
        <w:t>年</w:t>
      </w:r>
      <w:r>
        <w:rPr>
          <w:rFonts w:ascii="宋体" w:hAnsi="宋体" w:cs="宋体" w:eastAsia="宋体" w:hint="default"/>
        </w:rPr>
        <w:t>3</w:t>
      </w:r>
      <w:r>
        <w:rPr/>
        <w:t>月起任职于汉威科技。</w:t>
      </w:r>
      <w:r>
        <w:rPr>
          <w:rFonts w:ascii="宋体" w:hAnsi="宋体" w:cs="宋体" w:eastAsia="宋体" w:hint="default"/>
        </w:rPr>
        <w:t>2019</w:t>
      </w:r>
      <w:r>
        <w:rPr/>
        <w:t>年</w:t>
      </w:r>
    </w:p>
    <w:p>
      <w:pPr>
        <w:pStyle w:val="BodyText"/>
        <w:spacing w:line="240" w:lineRule="auto"/>
        <w:ind w:right="0"/>
        <w:jc w:val="left"/>
      </w:pPr>
      <w:r>
        <w:rPr>
          <w:rFonts w:ascii="宋体" w:hAnsi="宋体" w:cs="宋体" w:eastAsia="宋体" w:hint="default"/>
        </w:rPr>
        <w:t>12</w:t>
      </w:r>
      <w:r>
        <w:rPr/>
        <w:t>月</w:t>
      </w:r>
      <w:r>
        <w:rPr>
          <w:rFonts w:ascii="宋体" w:hAnsi="宋体" w:cs="宋体" w:eastAsia="宋体" w:hint="default"/>
        </w:rPr>
        <w:t>27</w:t>
      </w:r>
      <w:r>
        <w:rPr/>
        <w:t>日当选公司第五届监事会职工监事。</w:t>
      </w:r>
    </w:p>
    <w:p>
      <w:pPr>
        <w:spacing w:line="240" w:lineRule="auto" w:before="10"/>
        <w:rPr>
          <w:rFonts w:ascii="宋体" w:hAnsi="宋体" w:cs="宋体" w:eastAsia="宋体" w:hint="default"/>
          <w:sz w:val="14"/>
          <w:szCs w:val="14"/>
        </w:rPr>
      </w:pPr>
    </w:p>
    <w:p>
      <w:pPr>
        <w:pStyle w:val="BodyText"/>
        <w:spacing w:line="408" w:lineRule="auto" w:before="0"/>
        <w:ind w:left="573" w:right="2708"/>
        <w:jc w:val="left"/>
      </w:pPr>
      <w:r>
        <w:rPr>
          <w:rFonts w:ascii="宋体" w:hAnsi="宋体" w:cs="宋体" w:eastAsia="宋体" w:hint="default"/>
        </w:rPr>
        <w:t>3</w:t>
      </w:r>
      <w:r>
        <w:rPr/>
        <w:t>、高级管理人员</w:t>
      </w:r>
      <w:r>
        <w:rPr>
          <w:w w:val="100"/>
        </w:rPr>
        <w:t> </w:t>
      </w:r>
      <w:r>
        <w:rPr/>
        <w:t>张潇君，现任公司总经理，简历详见本节之“董事会成员”介绍。</w:t>
      </w:r>
      <w:r>
        <w:rPr>
          <w:w w:val="100"/>
        </w:rPr>
        <w:t> </w:t>
      </w:r>
      <w:r>
        <w:rPr>
          <w:spacing w:val="-2"/>
        </w:rPr>
        <w:t>刘瑞玲，现任公司副总经理、财务负责人，简历详见本节之“董事会成员”介绍。</w:t>
      </w:r>
      <w:r>
        <w:rPr>
          <w:spacing w:val="-36"/>
        </w:rPr>
        <w:t> </w:t>
      </w:r>
      <w:r>
        <w:rPr>
          <w:spacing w:val="-36"/>
        </w:rPr>
      </w:r>
      <w:r>
        <w:rPr/>
        <w:t>尚中锋，现任公司副总经理，简历详见本节之“董事会成员”介绍。</w:t>
      </w:r>
      <w:r>
        <w:rPr>
          <w:w w:val="100"/>
        </w:rPr>
        <w:t> </w:t>
      </w:r>
      <w:r>
        <w:rPr/>
        <w:t>高延明，现任公司副总经理，简历详见本节之“董事会成员”介绍。</w:t>
      </w:r>
    </w:p>
    <w:p>
      <w:pPr>
        <w:pStyle w:val="BodyText"/>
        <w:spacing w:line="408" w:lineRule="auto"/>
        <w:ind w:right="0" w:firstLine="420"/>
        <w:jc w:val="left"/>
      </w:pPr>
      <w:r>
        <w:rPr>
          <w:spacing w:val="-2"/>
        </w:rPr>
        <w:t>肖锋，男，</w:t>
      </w:r>
      <w:r>
        <w:rPr>
          <w:rFonts w:ascii="宋体" w:hAnsi="宋体" w:cs="宋体" w:eastAsia="宋体" w:hint="default"/>
          <w:spacing w:val="-2"/>
        </w:rPr>
        <w:t>1982</w:t>
      </w:r>
      <w:r>
        <w:rPr>
          <w:spacing w:val="-2"/>
        </w:rPr>
        <w:t>年出生，中国国籍，大学本科学历，毕业于郑州大学法学院，现任公司副总经理、第</w:t>
      </w:r>
      <w:r>
        <w:rPr>
          <w:w w:val="100"/>
        </w:rPr>
        <w:t> </w:t>
      </w:r>
      <w:r>
        <w:rPr>
          <w:spacing w:val="-2"/>
        </w:rPr>
        <w:t>五届董事会秘书。肖锋先生于</w:t>
      </w:r>
      <w:r>
        <w:rPr>
          <w:rFonts w:ascii="宋体" w:hAnsi="宋体" w:cs="宋体" w:eastAsia="宋体" w:hint="default"/>
          <w:spacing w:val="-2"/>
        </w:rPr>
        <w:t>2009</w:t>
      </w:r>
      <w:r>
        <w:rPr>
          <w:spacing w:val="-2"/>
        </w:rPr>
        <w:t>年</w:t>
      </w:r>
      <w:r>
        <w:rPr>
          <w:rFonts w:ascii="宋体" w:hAnsi="宋体" w:cs="宋体" w:eastAsia="宋体" w:hint="default"/>
          <w:spacing w:val="-2"/>
        </w:rPr>
        <w:t>11</w:t>
      </w:r>
      <w:r>
        <w:rPr>
          <w:spacing w:val="-2"/>
        </w:rPr>
        <w:t>月取得深圳交易所颁发的《董事会秘书资格证书》，任职资格符合</w:t>
      </w:r>
    </w:p>
    <w:p>
      <w:pPr>
        <w:pStyle w:val="BodyText"/>
        <w:spacing w:line="240" w:lineRule="auto"/>
        <w:ind w:right="0"/>
        <w:jc w:val="left"/>
      </w:pPr>
      <w:r>
        <w:rPr/>
        <w:t>《深圳交易所创业板股票上市规则》、《公司章程》的有关规定。</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20"/>
        <w:gridCol w:w="3063"/>
        <w:gridCol w:w="1419"/>
        <w:gridCol w:w="1274"/>
        <w:gridCol w:w="1277"/>
        <w:gridCol w:w="1445"/>
      </w:tblGrid>
      <w:tr>
        <w:trPr>
          <w:trHeight w:val="722" w:hRule="exact"/>
        </w:trPr>
        <w:tc>
          <w:tcPr>
            <w:tcW w:w="122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6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4" w:right="72"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2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4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49"/>
              <w:ind w:left="177" w:right="77"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全国气湿敏传感技术专业委员会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任红军</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中国仪器仪表行业协会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传感器分会副理 事长</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炜盛科技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10"/>
                <w:sz w:val="18"/>
                <w:szCs w:val="18"/>
              </w:rPr>
              <w:t>执行董事、法定代</w:t>
            </w:r>
            <w:r>
              <w:rPr>
                <w:rFonts w:ascii="宋体" w:hAnsi="宋体" w:cs="宋体" w:eastAsia="宋体" w:hint="default"/>
                <w:sz w:val="18"/>
                <w:szCs w:val="18"/>
              </w:rPr>
              <w:t> 表人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刘瑞玲</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董事长、法定代表</w:t>
            </w:r>
            <w:r>
              <w:rPr>
                <w:rFonts w:ascii="宋体" w:hAnsi="宋体" w:cs="宋体" w:eastAsia="宋体" w:hint="default"/>
                <w:sz w:val="18"/>
                <w:szCs w:val="18"/>
              </w:rPr>
              <w:t> 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肖锋</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2" w:hRule="exact"/>
        </w:trPr>
        <w:tc>
          <w:tcPr>
            <w:tcW w:w="122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30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41.709991pt;margin-top:573.309998pt;width:61pt;height:17.650pt;mso-position-horizontal-relative:page;mso-position-vertical-relative:page;z-index:-1121272" coordorigin="6834,11466" coordsize="1220,353">
            <v:shape style="position:absolute;left:6834;top:11466;width:1220;height:353" coordorigin="6834,11466" coordsize="1220,353" path="m6834,11819l8053,11819,8053,11466,6834,11466,6834,11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20"/>
        <w:gridCol w:w="3063"/>
        <w:gridCol w:w="1419"/>
        <w:gridCol w:w="1274"/>
        <w:gridCol w:w="1277"/>
        <w:gridCol w:w="1445"/>
      </w:tblGrid>
      <w:tr>
        <w:trPr>
          <w:trHeight w:val="725" w:hRule="exact"/>
        </w:trPr>
        <w:tc>
          <w:tcPr>
            <w:tcW w:w="122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30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张艳丽</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吉地艾斯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董事长、法定代表</w:t>
            </w:r>
            <w:r>
              <w:rPr>
                <w:rFonts w:ascii="宋体" w:hAnsi="宋体" w:cs="宋体" w:eastAsia="宋体" w:hint="default"/>
                <w:sz w:val="18"/>
                <w:szCs w:val="18"/>
              </w:rPr>
              <w:t> 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尚中锋</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威研融创</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中盾云安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威研融创</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执行董事、总经 理、法定代表人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李志刚</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汉威智慧消防</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董事长、法定代表</w:t>
            </w:r>
            <w:r>
              <w:rPr>
                <w:rFonts w:ascii="宋体" w:hAnsi="宋体" w:cs="宋体" w:eastAsia="宋体" w:hint="default"/>
                <w:sz w:val="18"/>
                <w:szCs w:val="18"/>
              </w:rPr>
              <w:t> 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周震</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河南威果</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周震</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周震</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周震</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419"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pacing w:val="-3"/>
                <w:sz w:val="18"/>
                <w:szCs w:val="18"/>
              </w:rPr>
              <w:t>董事长、总经理、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法定代表人</w:t>
            </w:r>
          </w:p>
        </w:tc>
        <w:tc>
          <w:tcPr>
            <w:tcW w:w="127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高延明</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董事长、法定代表</w:t>
            </w:r>
            <w:r>
              <w:rPr>
                <w:rFonts w:ascii="宋体" w:hAnsi="宋体" w:cs="宋体" w:eastAsia="宋体" w:hint="default"/>
                <w:sz w:val="18"/>
                <w:szCs w:val="18"/>
              </w:rPr>
              <w:t> 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高延明</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杨昌再</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执行董事、总经 理、法定代表人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2" w:hRule="exact"/>
        </w:trPr>
        <w:tc>
          <w:tcPr>
            <w:tcW w:w="122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0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北京千人互融信息技术有限公司</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20"/>
        <w:gridCol w:w="3063"/>
        <w:gridCol w:w="1419"/>
        <w:gridCol w:w="1274"/>
        <w:gridCol w:w="1277"/>
        <w:gridCol w:w="1445"/>
      </w:tblGrid>
      <w:tr>
        <w:trPr>
          <w:trHeight w:val="725" w:hRule="exact"/>
        </w:trPr>
        <w:tc>
          <w:tcPr>
            <w:tcW w:w="122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0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深圳亚联发展科技股份有限公司</w:t>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徐州淮海数据交换服务有限公司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李山</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陕西中庆会计师事务所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主任会计师</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王立章</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北京易二零环境股份有限公司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2" w:hRule="exact"/>
        </w:trPr>
        <w:tc>
          <w:tcPr>
            <w:tcW w:w="122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王立章</w:t>
            </w:r>
          </w:p>
        </w:tc>
        <w:tc>
          <w:tcPr>
            <w:tcW w:w="3063"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147"/>
              <w:jc w:val="left"/>
              <w:rPr>
                <w:rFonts w:ascii="宋体" w:hAnsi="宋体" w:cs="宋体" w:eastAsia="宋体" w:hint="default"/>
                <w:sz w:val="18"/>
                <w:szCs w:val="18"/>
              </w:rPr>
            </w:pPr>
            <w:r>
              <w:rPr>
                <w:rFonts w:ascii="宋体" w:hAnsi="宋体" w:cs="宋体" w:eastAsia="宋体" w:hint="default"/>
                <w:sz w:val="18"/>
                <w:szCs w:val="18"/>
              </w:rPr>
              <w:t>北京正丰易科环保科技研究中心有限 公司</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4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3"/>
        <w:rPr>
          <w:rFonts w:ascii="宋体" w:hAnsi="宋体" w:cs="宋体" w:eastAsia="宋体" w:hint="default"/>
          <w:sz w:val="13"/>
          <w:szCs w:val="13"/>
        </w:rPr>
      </w:pPr>
    </w:p>
    <w:p>
      <w:pPr>
        <w:pStyle w:val="BodyText"/>
        <w:spacing w:line="240" w:lineRule="auto" w:before="0"/>
        <w:ind w:left="573" w:right="0"/>
        <w:jc w:val="left"/>
      </w:pPr>
      <w:r>
        <w:rPr>
          <w:rFonts w:ascii="宋体" w:hAnsi="宋体" w:cs="宋体" w:eastAsia="宋体" w:hint="default"/>
        </w:rPr>
        <w:t>1</w:t>
      </w:r>
      <w:r>
        <w:rPr/>
        <w:t>、第四届董事会第二十二次会议审议通过了关于</w:t>
      </w:r>
      <w:r>
        <w:rPr>
          <w:rFonts w:ascii="宋体" w:hAnsi="宋体" w:cs="宋体" w:eastAsia="宋体" w:hint="default"/>
        </w:rPr>
        <w:t>2019</w:t>
      </w:r>
      <w:r>
        <w:rPr/>
        <w:t>年度公司董事和高级管理人员薪酬的议案。</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2</w:t>
      </w:r>
      <w:r>
        <w:rPr/>
        <w:t>、第四届监事会第十一次会议审议通过了关于</w:t>
      </w:r>
      <w:r>
        <w:rPr>
          <w:rFonts w:ascii="宋体" w:hAnsi="宋体" w:cs="宋体" w:eastAsia="宋体" w:hint="default"/>
        </w:rPr>
        <w:t>2019</w:t>
      </w:r>
      <w:r>
        <w:rPr/>
        <w:t>年度公司监事薪酬的议案。</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rFonts w:ascii="宋体" w:hAnsi="宋体" w:cs="宋体" w:eastAsia="宋体" w:hint="default"/>
        </w:rPr>
        <w:t>3</w:t>
      </w:r>
      <w:r>
        <w:rPr/>
        <w:t>、</w:t>
      </w:r>
      <w:r>
        <w:rPr>
          <w:rFonts w:ascii="宋体" w:hAnsi="宋体" w:cs="宋体" w:eastAsia="宋体" w:hint="default"/>
        </w:rPr>
        <w:t>2018</w:t>
      </w:r>
      <w:r>
        <w:rPr/>
        <w:t>年年度股东大会审议通过了关于</w:t>
      </w:r>
      <w:r>
        <w:rPr>
          <w:rFonts w:ascii="宋体" w:hAnsi="宋体" w:cs="宋体" w:eastAsia="宋体" w:hint="default"/>
        </w:rPr>
        <w:t>2019</w:t>
      </w:r>
      <w:r>
        <w:rPr/>
        <w:t>年公司董事、监事薪酬的议案。</w:t>
      </w:r>
      <w:r>
        <w:rPr>
          <w:w w:val="100"/>
        </w:rPr>
        <w:t> </w:t>
      </w:r>
      <w:r>
        <w:rPr/>
        <w:t>董事、监事、高级管理人员报酬的确定依据：</w:t>
      </w:r>
      <w:r>
        <w:rPr>
          <w:w w:val="100"/>
        </w:rPr>
        <w:t> </w:t>
      </w:r>
      <w:r>
        <w:rPr>
          <w:spacing w:val="-2"/>
        </w:rPr>
        <w:t>除董事长、独立董事外，公司不向董事、监事支付薪酬；兼任公司高级管理人员或公司其他岗位职务</w:t>
      </w:r>
    </w:p>
    <w:p>
      <w:pPr>
        <w:pStyle w:val="BodyText"/>
        <w:spacing w:line="408" w:lineRule="auto"/>
        <w:ind w:right="0"/>
        <w:jc w:val="left"/>
      </w:pPr>
      <w:r>
        <w:rPr>
          <w:spacing w:val="-2"/>
        </w:rPr>
        <w:t>的公司董事、监事，按其所任岗位职务的薪酬制度领取报酬。依据</w:t>
      </w:r>
      <w:r>
        <w:rPr>
          <w:rFonts w:ascii="宋体" w:hAnsi="宋体" w:cs="宋体" w:eastAsia="宋体" w:hint="default"/>
          <w:spacing w:val="-2"/>
        </w:rPr>
        <w:t>2019</w:t>
      </w:r>
      <w:r>
        <w:rPr>
          <w:spacing w:val="-2"/>
        </w:rPr>
        <w:t>年年度规划，高级管理人员的薪酬</w:t>
      </w:r>
      <w:r>
        <w:rPr>
          <w:spacing w:val="-44"/>
        </w:rPr>
        <w:t> </w:t>
      </w:r>
      <w:r>
        <w:rPr>
          <w:spacing w:val="-44"/>
        </w:rPr>
      </w:r>
      <w:r>
        <w:rPr/>
        <w:t>从经营指标和管理指标两个方面进行考核，按期发放。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31" w:firstLine="0"/>
        <w:jc w:val="right"/>
        <w:rPr>
          <w:rFonts w:ascii="宋体" w:hAnsi="宋体" w:cs="宋体" w:eastAsia="宋体" w:hint="default"/>
          <w:sz w:val="18"/>
          <w:szCs w:val="18"/>
        </w:rPr>
      </w:pPr>
      <w:r>
        <w:rPr/>
        <w:pict>
          <v:group style="position:absolute;margin-left:194.210007pt;margin-top:100.41172pt;width:68.8pt;height:27.9pt;mso-position-horizontal-relative:page;mso-position-vertical-relative:paragraph;z-index:-1121248" coordorigin="3884,2008" coordsize="1376,558">
            <v:group style="position:absolute;left:3884;top:2008;width:1376;height:156" coordorigin="3884,2008" coordsize="1376,156">
              <v:shape style="position:absolute;left:3884;top:2008;width:1376;height:156" coordorigin="3884,2008" coordsize="1376,156" path="m3884,2164l5259,2164,5259,2008,3884,2008,3884,2164xe" filled="true" fillcolor="#ffffff" stroked="false">
                <v:path arrowok="t"/>
                <v:fill type="solid"/>
              </v:shape>
            </v:group>
            <v:group style="position:absolute;left:3895;top:2164;width:2;height:392" coordorigin="3895,2164" coordsize="2,392">
              <v:shape style="position:absolute;left:3895;top:2164;width:2;height:392" coordorigin="3895,2164" coordsize="0,392" path="m3895,2164l3895,2555e" filled="false" stroked="true" strokeweight="1.08pt" strokecolor="#ffffff">
                <v:path arrowok="t"/>
              </v:shape>
            </v:group>
            <v:group style="position:absolute;left:3906;top:2164;width:1330;height:392" coordorigin="3906,2164" coordsize="1330,392">
              <v:shape style="position:absolute;left:3906;top:2164;width:1330;height:392" coordorigin="3906,2164" coordsize="1330,392" path="m3906,2555l5235,2555,5235,2164,3906,2164,3906,2555xe" filled="true" fillcolor="#ffffff" stroked="false">
                <v:path arrowok="t"/>
                <v:fill type="solid"/>
              </v:shape>
            </v:group>
            <w10:wrap type="none"/>
          </v:group>
        </w:pict>
      </w: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88"/>
        <w:gridCol w:w="1385"/>
        <w:gridCol w:w="1385"/>
        <w:gridCol w:w="1388"/>
        <w:gridCol w:w="1382"/>
        <w:gridCol w:w="1385"/>
        <w:gridCol w:w="1385"/>
      </w:tblGrid>
      <w:tr>
        <w:trPr>
          <w:trHeight w:val="725" w:hRule="exact"/>
        </w:trPr>
        <w:tc>
          <w:tcPr>
            <w:tcW w:w="13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姓名</w:t>
            </w:r>
          </w:p>
        </w:tc>
        <w:tc>
          <w:tcPr>
            <w:tcW w:w="13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8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8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7" w:right="5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8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49"/>
              <w:ind w:left="23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任红军</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100.44</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张潇君</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92.23</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刘瑞玲</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1"/>
              <w:jc w:val="left"/>
              <w:rPr>
                <w:rFonts w:ascii="宋体" w:hAnsi="宋体" w:cs="宋体" w:eastAsia="宋体" w:hint="default"/>
                <w:sz w:val="18"/>
                <w:szCs w:val="18"/>
              </w:rPr>
            </w:pPr>
            <w:r>
              <w:rPr>
                <w:rFonts w:ascii="宋体" w:hAnsi="宋体" w:cs="宋体" w:eastAsia="宋体" w:hint="default"/>
                <w:spacing w:val="-4"/>
                <w:sz w:val="18"/>
                <w:szCs w:val="18"/>
              </w:rPr>
              <w:t>董事、副总经理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财务负责人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69.44</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尚中锋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75.4</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高延明</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62.98</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13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杨昌再</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44</w:t>
            </w: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75.35</w:t>
            </w: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88"/>
        <w:gridCol w:w="1385"/>
        <w:gridCol w:w="1385"/>
        <w:gridCol w:w="1388"/>
        <w:gridCol w:w="1382"/>
        <w:gridCol w:w="1385"/>
        <w:gridCol w:w="1385"/>
      </w:tblGrid>
      <w:tr>
        <w:trPr>
          <w:trHeight w:val="413" w:hRule="exact"/>
        </w:trPr>
        <w:tc>
          <w:tcPr>
            <w:tcW w:w="138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李山</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599" w:right="0"/>
              <w:jc w:val="left"/>
              <w:rPr>
                <w:rFonts w:ascii="Times New Roman" w:hAnsi="Times New Roman" w:cs="Times New Roman" w:eastAsia="Times New Roman" w:hint="default"/>
                <w:sz w:val="18"/>
                <w:szCs w:val="18"/>
              </w:rPr>
            </w:pPr>
            <w:r>
              <w:rPr>
                <w:rFonts w:ascii="Times New Roman"/>
                <w:sz w:val="18"/>
              </w:rPr>
              <w:t>67</w:t>
            </w:r>
          </w:p>
        </w:tc>
        <w:tc>
          <w:tcPr>
            <w:tcW w:w="13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8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王立章</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54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易欢欢</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38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张艳丽</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57.94</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周震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37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42.61</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李志刚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42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53.23</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肖锋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38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40.44</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尚剑红</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52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32.54</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张小水</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56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40.41</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刘威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赵向阳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51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59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10" w:hRule="exact"/>
        </w:trPr>
        <w:tc>
          <w:tcPr>
            <w:tcW w:w="13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8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758.01</w:t>
            </w:r>
          </w:p>
        </w:tc>
        <w:tc>
          <w:tcPr>
            <w:tcW w:w="1385"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626"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8"/>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4835"/>
        <w:gridCol w:w="4856"/>
      </w:tblGrid>
      <w:tr>
        <w:trPr>
          <w:trHeight w:val="412" w:hRule="exact"/>
        </w:trPr>
        <w:tc>
          <w:tcPr>
            <w:tcW w:w="483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856" w:type="dxa"/>
            <w:tcBorders>
              <w:top w:val="single" w:sz="12" w:space="0" w:color="000000"/>
              <w:left w:val="single" w:sz="12" w:space="0" w:color="D2D2D2"/>
              <w:bottom w:val="single" w:sz="4" w:space="0" w:color="000000"/>
              <w:right w:val="single" w:sz="12"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z w:val="18"/>
              </w:rPr>
              <w:t>461</w:t>
            </w:r>
          </w:p>
        </w:tc>
      </w:tr>
      <w:tr>
        <w:trPr>
          <w:trHeight w:val="403" w:hRule="exact"/>
        </w:trPr>
        <w:tc>
          <w:tcPr>
            <w:tcW w:w="4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856"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1,978</w:t>
            </w:r>
          </w:p>
        </w:tc>
      </w:tr>
      <w:tr>
        <w:trPr>
          <w:trHeight w:val="401" w:hRule="exact"/>
        </w:trPr>
        <w:tc>
          <w:tcPr>
            <w:tcW w:w="4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856"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2,439</w:t>
            </w:r>
          </w:p>
        </w:tc>
      </w:tr>
      <w:tr>
        <w:trPr>
          <w:trHeight w:val="403" w:hRule="exact"/>
        </w:trPr>
        <w:tc>
          <w:tcPr>
            <w:tcW w:w="4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856"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2,439</w:t>
            </w:r>
          </w:p>
        </w:tc>
      </w:tr>
      <w:tr>
        <w:trPr>
          <w:trHeight w:val="406" w:hRule="exact"/>
        </w:trPr>
        <w:tc>
          <w:tcPr>
            <w:tcW w:w="4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856"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691"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85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61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856"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733</w:t>
            </w:r>
          </w:p>
        </w:tc>
      </w:tr>
      <w:tr>
        <w:trPr>
          <w:trHeight w:val="401" w:hRule="exact"/>
        </w:trPr>
        <w:tc>
          <w:tcPr>
            <w:tcW w:w="4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856"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346</w:t>
            </w:r>
          </w:p>
        </w:tc>
      </w:tr>
      <w:tr>
        <w:trPr>
          <w:trHeight w:val="403" w:hRule="exact"/>
        </w:trPr>
        <w:tc>
          <w:tcPr>
            <w:tcW w:w="4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856"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704</w:t>
            </w:r>
          </w:p>
        </w:tc>
      </w:tr>
      <w:tr>
        <w:trPr>
          <w:trHeight w:val="401" w:hRule="exact"/>
        </w:trPr>
        <w:tc>
          <w:tcPr>
            <w:tcW w:w="4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856"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104</w:t>
            </w:r>
          </w:p>
        </w:tc>
      </w:tr>
      <w:tr>
        <w:trPr>
          <w:trHeight w:val="403" w:hRule="exact"/>
        </w:trPr>
        <w:tc>
          <w:tcPr>
            <w:tcW w:w="4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856"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552</w:t>
            </w:r>
          </w:p>
        </w:tc>
      </w:tr>
      <w:tr>
        <w:trPr>
          <w:trHeight w:val="406" w:hRule="exact"/>
        </w:trPr>
        <w:tc>
          <w:tcPr>
            <w:tcW w:w="4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56"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2,439</w:t>
            </w:r>
          </w:p>
        </w:tc>
      </w:tr>
      <w:tr>
        <w:trPr>
          <w:trHeight w:val="394" w:hRule="exact"/>
        </w:trPr>
        <w:tc>
          <w:tcPr>
            <w:tcW w:w="9691"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83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85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10" w:hRule="exact"/>
        </w:trPr>
        <w:tc>
          <w:tcPr>
            <w:tcW w:w="483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硕士以上学历</w:t>
            </w:r>
          </w:p>
        </w:tc>
        <w:tc>
          <w:tcPr>
            <w:tcW w:w="485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4849"/>
        <w:gridCol w:w="4849"/>
      </w:tblGrid>
      <w:tr>
        <w:trPr>
          <w:trHeight w:val="413" w:hRule="exact"/>
        </w:trPr>
        <w:tc>
          <w:tcPr>
            <w:tcW w:w="484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84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989</w:t>
            </w:r>
          </w:p>
        </w:tc>
      </w:tr>
      <w:tr>
        <w:trPr>
          <w:trHeight w:val="401" w:hRule="exact"/>
        </w:trPr>
        <w:tc>
          <w:tcPr>
            <w:tcW w:w="48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8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791</w:t>
            </w:r>
          </w:p>
        </w:tc>
      </w:tr>
      <w:tr>
        <w:trPr>
          <w:trHeight w:val="403" w:hRule="exact"/>
        </w:trPr>
        <w:tc>
          <w:tcPr>
            <w:tcW w:w="48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8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529</w:t>
            </w:r>
          </w:p>
        </w:tc>
      </w:tr>
      <w:tr>
        <w:trPr>
          <w:trHeight w:val="410" w:hRule="exact"/>
        </w:trPr>
        <w:tc>
          <w:tcPr>
            <w:tcW w:w="484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12" w:space="0" w:color="D2D2D2"/>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2,439</w:t>
            </w:r>
          </w:p>
        </w:tc>
      </w:tr>
    </w:tbl>
    <w:p>
      <w:pPr>
        <w:spacing w:line="240" w:lineRule="auto" w:before="5"/>
        <w:rPr>
          <w:rFonts w:ascii="宋体" w:hAnsi="宋体" w:cs="宋体" w:eastAsia="宋体" w:hint="default"/>
          <w:b/>
          <w:bCs/>
          <w:sz w:val="19"/>
          <w:szCs w:val="19"/>
        </w:rPr>
      </w:pPr>
    </w:p>
    <w:p>
      <w:pPr>
        <w:pStyle w:val="Heading4"/>
        <w:spacing w:line="240" w:lineRule="auto" w:before="36"/>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6" w:firstLine="420"/>
        <w:jc w:val="both"/>
      </w:pPr>
      <w:r>
        <w:rPr>
          <w:rFonts w:ascii="宋体" w:hAnsi="宋体" w:cs="宋体" w:eastAsia="宋体" w:hint="default"/>
        </w:rPr>
        <w:t>1</w:t>
      </w:r>
      <w:r>
        <w:rPr/>
        <w:t>、公司追求薪酬系统的简明化和科学化，同时在设计及实施的过程中始终遵从于以下原则：公平公</w:t>
      </w:r>
      <w:r>
        <w:rPr>
          <w:w w:val="100"/>
        </w:rPr>
        <w:t> </w:t>
      </w:r>
      <w:r>
        <w:rPr/>
        <w:t>正原则、激励性原则、竞争性原则、市场化原则；</w:t>
      </w:r>
    </w:p>
    <w:p>
      <w:pPr>
        <w:pStyle w:val="BodyText"/>
        <w:spacing w:line="408" w:lineRule="auto"/>
        <w:ind w:right="1126" w:firstLine="420"/>
        <w:jc w:val="both"/>
      </w:pPr>
      <w:r>
        <w:rPr>
          <w:rFonts w:ascii="宋体" w:hAnsi="宋体" w:cs="宋体" w:eastAsia="宋体" w:hint="default"/>
        </w:rPr>
        <w:t>2</w:t>
      </w:r>
      <w:r>
        <w:rPr/>
        <w:t>、公司持续推进建立健全市场化工资决定机制和内部激励约束机制，坚持通过提高公司业绩、劳动</w:t>
      </w:r>
      <w:r>
        <w:rPr>
          <w:w w:val="100"/>
        </w:rPr>
        <w:t> </w:t>
      </w:r>
      <w:r>
        <w:rPr>
          <w:spacing w:val="-2"/>
        </w:rPr>
        <w:t>生产率以获取薪酬总额提升的原则。通过试行预算工资总额与工效挂钩，探索工资总额管理新机制，理顺</w:t>
      </w:r>
      <w:r>
        <w:rPr>
          <w:spacing w:val="-44"/>
        </w:rPr>
        <w:t> </w:t>
      </w:r>
      <w:r>
        <w:rPr>
          <w:spacing w:val="-44"/>
        </w:rPr>
      </w:r>
      <w:r>
        <w:rPr/>
        <w:t>各类人员收入分配关系。</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04" w:firstLine="420"/>
        <w:jc w:val="both"/>
      </w:pPr>
      <w:r>
        <w:rPr>
          <w:rFonts w:ascii="宋体" w:hAnsi="宋体" w:cs="宋体" w:eastAsia="宋体" w:hint="default"/>
          <w:spacing w:val="-2"/>
        </w:rPr>
        <w:t>1</w:t>
      </w:r>
      <w:r>
        <w:rPr>
          <w:spacing w:val="-2"/>
        </w:rPr>
        <w:t>、报告期内，公司人力资源部开展人力系统专业培训。安排的专业培训主要有</w:t>
      </w:r>
      <w:r>
        <w:rPr>
          <w:rFonts w:ascii="宋体" w:hAnsi="宋体" w:cs="宋体" w:eastAsia="宋体" w:hint="default"/>
          <w:spacing w:val="-2"/>
        </w:rPr>
        <w:t>smart</w:t>
      </w:r>
      <w:r>
        <w:rPr>
          <w:spacing w:val="-2"/>
        </w:rPr>
        <w:t>工作法则、培训</w:t>
      </w:r>
      <w:r>
        <w:rPr>
          <w:w w:val="100"/>
        </w:rPr>
        <w:t> </w:t>
      </w:r>
      <w:r>
        <w:rPr>
          <w:spacing w:val="-2"/>
        </w:rPr>
        <w:t>师基础培训、九型人格与管理、沙盘模拟拓展培训、绩效管理、全薪时代的薪酬管理、组织规划等课程，</w:t>
      </w:r>
      <w:r>
        <w:rPr>
          <w:spacing w:val="-21"/>
        </w:rPr>
        <w:t> </w:t>
      </w:r>
      <w:r>
        <w:rPr>
          <w:spacing w:val="-21"/>
        </w:rPr>
      </w:r>
      <w:r>
        <w:rPr/>
        <w:t>有效提升了人力资源一线人员的总体能力与素质。</w:t>
      </w:r>
    </w:p>
    <w:p>
      <w:pPr>
        <w:pStyle w:val="BodyText"/>
        <w:spacing w:line="240" w:lineRule="auto"/>
        <w:ind w:left="573" w:right="0"/>
        <w:jc w:val="left"/>
      </w:pPr>
      <w:r>
        <w:rPr>
          <w:rFonts w:ascii="宋体" w:hAnsi="宋体" w:cs="宋体" w:eastAsia="宋体" w:hint="default"/>
        </w:rPr>
        <w:t>2</w:t>
      </w:r>
      <w:r>
        <w:rPr/>
        <w:t>、报告期内，公司人力资源部系统的开展了四次集团新员工入职培训与考核工作。</w:t>
      </w:r>
    </w:p>
    <w:p>
      <w:pPr>
        <w:spacing w:line="240" w:lineRule="auto" w:before="10"/>
        <w:rPr>
          <w:rFonts w:ascii="宋体" w:hAnsi="宋体" w:cs="宋体" w:eastAsia="宋体" w:hint="default"/>
          <w:sz w:val="14"/>
          <w:szCs w:val="14"/>
        </w:rPr>
      </w:pPr>
    </w:p>
    <w:p>
      <w:pPr>
        <w:pStyle w:val="BodyText"/>
        <w:spacing w:line="408" w:lineRule="auto" w:before="0"/>
        <w:ind w:right="1128" w:firstLine="420"/>
        <w:jc w:val="both"/>
      </w:pPr>
      <w:r>
        <w:rPr>
          <w:rFonts w:ascii="宋体" w:hAnsi="宋体" w:cs="宋体" w:eastAsia="宋体" w:hint="default"/>
          <w:spacing w:val="-5"/>
        </w:rPr>
        <w:t>3</w:t>
      </w:r>
      <w:r>
        <w:rPr>
          <w:spacing w:val="-5"/>
        </w:rPr>
        <w:t>、报告期内，公司人力资源部开展了各单位的培训需求调研及中高管调研，持续推进了</w:t>
      </w:r>
      <w:r>
        <w:rPr>
          <w:rFonts w:ascii="宋体" w:hAnsi="宋体" w:cs="宋体" w:eastAsia="宋体" w:hint="default"/>
          <w:spacing w:val="-5"/>
        </w:rPr>
        <w:t>2019</w:t>
      </w:r>
      <w:r>
        <w:rPr>
          <w:spacing w:val="-5"/>
        </w:rPr>
        <w:t>年度“步</w:t>
      </w:r>
      <w:r>
        <w:rPr>
          <w:w w:val="100"/>
        </w:rPr>
        <w:t> </w:t>
      </w:r>
      <w:r>
        <w:rPr/>
        <w:t>步高”三级（高管、中层、骨干）培训计划。</w:t>
      </w:r>
    </w:p>
    <w:p>
      <w:pPr>
        <w:pStyle w:val="BodyText"/>
        <w:spacing w:line="408" w:lineRule="auto"/>
        <w:ind w:right="0" w:firstLine="420"/>
        <w:jc w:val="left"/>
      </w:pPr>
      <w:r>
        <w:rPr>
          <w:rFonts w:ascii="宋体" w:hAnsi="宋体" w:cs="宋体" w:eastAsia="宋体" w:hint="default"/>
          <w:spacing w:val="-2"/>
        </w:rPr>
        <w:t>4</w:t>
      </w:r>
      <w:r>
        <w:rPr>
          <w:spacing w:val="-2"/>
        </w:rPr>
        <w:t>、报告期内，公司人力资源部筹划，初步成立了汉威人才学院，准备建设成为公司的学习管理中心，</w:t>
      </w:r>
      <w:r>
        <w:rPr>
          <w:w w:val="100"/>
        </w:rPr>
        <w:t> </w:t>
      </w:r>
      <w:r>
        <w:rPr/>
        <w:t>人力发展中心，知识分享中心和企业文化传播中心。</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976"/>
        <w:jc w:val="center"/>
        <w:rPr>
          <w:b w:val="0"/>
          <w:bCs w:val="0"/>
        </w:rPr>
      </w:pPr>
      <w:bookmarkStart w:name="第十节 公司治理" w:id="131"/>
      <w:bookmarkEnd w:id="131"/>
      <w:r>
        <w:rPr>
          <w:b w:val="0"/>
          <w:bCs w:val="0"/>
        </w:rPr>
      </w:r>
      <w:bookmarkStart w:name="_bookmark9" w:id="132"/>
      <w:bookmarkEnd w:id="132"/>
      <w:r>
        <w:rPr>
          <w:b w:val="0"/>
          <w:bCs w:val="0"/>
        </w:rPr>
      </w:r>
      <w:r>
        <w:rPr/>
        <w:t>第十节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05" w:firstLine="420"/>
        <w:jc w:val="both"/>
      </w:pPr>
      <w:r>
        <w:rPr>
          <w:spacing w:val="-2"/>
        </w:rPr>
        <w:t>报告期内，公司严格按照《公司法》、《证券法》、《上市公司治理准则》、《深圳证券交易所创业</w:t>
      </w:r>
      <w:r>
        <w:rPr>
          <w:w w:val="100"/>
        </w:rPr>
        <w:t> </w:t>
      </w:r>
      <w:r>
        <w:rPr>
          <w:spacing w:val="-2"/>
        </w:rPr>
        <w:t>板股票上市规则》、《创业板上市公司规范运作指引》和其他有关法律法规的要求，不断完善公司法人治</w:t>
      </w:r>
      <w:r>
        <w:rPr>
          <w:spacing w:val="-43"/>
        </w:rPr>
        <w:t> </w:t>
      </w:r>
      <w:r>
        <w:rPr>
          <w:spacing w:val="-43"/>
        </w:rPr>
      </w:r>
      <w:r>
        <w:rPr>
          <w:spacing w:val="-2"/>
        </w:rPr>
        <w:t>理结构，建立健全公司内部管理和控制制度，努力做好信息披露工作及投资者关系管理。截至报告期末，</w:t>
      </w:r>
      <w:r>
        <w:rPr>
          <w:spacing w:val="-21"/>
        </w:rPr>
        <w:t> </w:t>
      </w:r>
      <w:r>
        <w:rPr>
          <w:spacing w:val="-21"/>
        </w:rPr>
      </w:r>
      <w:r>
        <w:rPr/>
        <w:t>公司治理结构的实际情况符合中国证监会发布的有关上市公司治理的规范性文件的要求。</w:t>
      </w:r>
    </w:p>
    <w:p>
      <w:pPr>
        <w:pStyle w:val="BodyText"/>
        <w:spacing w:line="408" w:lineRule="auto"/>
        <w:ind w:left="573" w:right="0"/>
        <w:jc w:val="left"/>
      </w:pPr>
      <w:r>
        <w:rPr/>
        <w:t>（一）独立性</w:t>
      </w:r>
      <w:r>
        <w:rPr>
          <w:w w:val="100"/>
        </w:rPr>
        <w:t> </w:t>
      </w:r>
      <w:r>
        <w:rPr>
          <w:spacing w:val="-2"/>
        </w:rPr>
        <w:t>公司严格按照《公司法》、《证券法》等有关法律、法规和《公司章程》的要求规范运作，在业务、</w:t>
      </w:r>
    </w:p>
    <w:p>
      <w:pPr>
        <w:pStyle w:val="BodyText"/>
        <w:spacing w:line="408" w:lineRule="auto"/>
        <w:ind w:right="1126"/>
        <w:jc w:val="both"/>
      </w:pPr>
      <w:r>
        <w:rPr>
          <w:spacing w:val="-2"/>
        </w:rPr>
        <w:t>资产、人员、机构和财务等方面与公司股东相互独立，拥有独立完整的采购、生产、销售、研发系统，具</w:t>
      </w:r>
      <w:r>
        <w:rPr>
          <w:spacing w:val="-46"/>
        </w:rPr>
        <w:t> </w:t>
      </w:r>
      <w:r>
        <w:rPr>
          <w:spacing w:val="-46"/>
        </w:rPr>
      </w:r>
      <w:r>
        <w:rPr/>
        <w:t>备面向市场自主经营的能力。</w:t>
      </w:r>
    </w:p>
    <w:p>
      <w:pPr>
        <w:pStyle w:val="BodyText"/>
        <w:spacing w:line="408" w:lineRule="auto"/>
        <w:ind w:right="1126" w:firstLine="420"/>
        <w:jc w:val="both"/>
      </w:pPr>
      <w:r>
        <w:rPr>
          <w:rFonts w:ascii="宋体" w:hAnsi="宋体" w:cs="宋体" w:eastAsia="宋体" w:hint="default"/>
        </w:rPr>
        <w:t>1</w:t>
      </w:r>
      <w:r>
        <w:rPr/>
        <w:t>、公司的人员独立。公司的董事、监事均严格按照《公司法》、《公司章程》的有关规定产生，履</w:t>
      </w:r>
      <w:r>
        <w:rPr>
          <w:w w:val="100"/>
        </w:rPr>
        <w:t> </w:t>
      </w:r>
      <w:r>
        <w:rPr>
          <w:spacing w:val="-2"/>
        </w:rPr>
        <w:t>行了合法程序；公司高级管理人员核心技术人员等人员专职在公司工作，并在公司领取薪酬。公司已建立</w:t>
      </w:r>
      <w:r>
        <w:rPr>
          <w:spacing w:val="-45"/>
        </w:rPr>
        <w:t> </w:t>
      </w:r>
      <w:r>
        <w:rPr>
          <w:spacing w:val="-45"/>
        </w:rPr>
      </w:r>
      <w:r>
        <w:rPr/>
        <w:t>独立的劳动、人事、社会保障体系及工资管理体系，与员工签订了劳动合同。</w:t>
      </w:r>
    </w:p>
    <w:p>
      <w:pPr>
        <w:pStyle w:val="BodyText"/>
        <w:spacing w:line="408" w:lineRule="auto"/>
        <w:ind w:right="1105" w:firstLine="420"/>
        <w:jc w:val="both"/>
      </w:pPr>
      <w:r>
        <w:rPr>
          <w:rFonts w:ascii="宋体" w:hAnsi="宋体" w:cs="宋体" w:eastAsia="宋体" w:hint="default"/>
        </w:rPr>
        <w:t>2</w:t>
      </w:r>
      <w:r>
        <w:rPr/>
        <w:t>、公司的资产独立完整、权属清晰。公司具备与生产经营有关的生产系统、辅助生产系统和配套设</w:t>
      </w:r>
      <w:r>
        <w:rPr>
          <w:w w:val="100"/>
        </w:rPr>
        <w:t> </w:t>
      </w:r>
      <w:r>
        <w:rPr>
          <w:spacing w:val="-2"/>
        </w:rPr>
        <w:t>施，合法拥有与生产经营有关的土地、厂房、机器设备以及商标、专利、非专利技术的所有权和使用权，</w:t>
      </w:r>
      <w:r>
        <w:rPr>
          <w:spacing w:val="-21"/>
        </w:rPr>
        <w:t> </w:t>
      </w:r>
      <w:r>
        <w:rPr>
          <w:spacing w:val="-21"/>
        </w:rPr>
      </w:r>
      <w:r>
        <w:rPr/>
        <w:t>资产具有完整性。</w:t>
      </w:r>
    </w:p>
    <w:p>
      <w:pPr>
        <w:pStyle w:val="BodyText"/>
        <w:spacing w:line="408" w:lineRule="auto"/>
        <w:ind w:right="1136" w:firstLine="420"/>
        <w:jc w:val="both"/>
      </w:pPr>
      <w:r>
        <w:rPr>
          <w:rFonts w:ascii="宋体" w:hAnsi="宋体" w:cs="宋体" w:eastAsia="宋体" w:hint="default"/>
        </w:rPr>
        <w:t>3</w:t>
      </w:r>
      <w:r>
        <w:rPr/>
        <w:t>、公司财务独立。公司有独立的财务部门，配备了专职的财务会计人员，独立进行会计核算和财务</w:t>
      </w:r>
      <w:r>
        <w:rPr>
          <w:w w:val="100"/>
        </w:rPr>
        <w:t> </w:t>
      </w:r>
      <w:r>
        <w:rPr/>
        <w:t>决策。公司开设有独立的银行帐号，并依法独立进行纳税申报和履行纳税义务。</w:t>
      </w:r>
    </w:p>
    <w:p>
      <w:pPr>
        <w:pStyle w:val="BodyText"/>
        <w:spacing w:line="408" w:lineRule="auto"/>
        <w:ind w:right="1136" w:firstLine="420"/>
        <w:jc w:val="both"/>
      </w:pPr>
      <w:r>
        <w:rPr>
          <w:rFonts w:ascii="宋体" w:hAnsi="宋体" w:cs="宋体" w:eastAsia="宋体" w:hint="default"/>
        </w:rPr>
        <w:t>4</w:t>
      </w:r>
      <w:r>
        <w:rPr/>
        <w:t>、公司建立健全了独立的股东大会、董事会、监事会、经理的法人治理结构、组织结构，制定了完</w:t>
      </w:r>
      <w:r>
        <w:rPr>
          <w:w w:val="100"/>
        </w:rPr>
        <w:t> </w:t>
      </w:r>
      <w:r>
        <w:rPr/>
        <w:t>善的岗位职责和管理制度，各部门按照规定的职责独立运作。</w:t>
      </w:r>
    </w:p>
    <w:p>
      <w:pPr>
        <w:pStyle w:val="BodyText"/>
        <w:spacing w:line="410" w:lineRule="auto"/>
        <w:ind w:right="1107" w:firstLine="420"/>
        <w:jc w:val="both"/>
      </w:pPr>
      <w:r>
        <w:rPr>
          <w:rFonts w:ascii="宋体" w:hAnsi="宋体" w:cs="宋体" w:eastAsia="宋体" w:hint="default"/>
        </w:rPr>
        <w:t>5</w:t>
      </w:r>
      <w:r>
        <w:rPr/>
        <w:t>、公司业务独立。公司具备独立、完整的产供销系统，拥有独立的决策和执行机构，并拥有独立的</w:t>
      </w:r>
      <w:r>
        <w:rPr>
          <w:w w:val="100"/>
        </w:rPr>
        <w:t> </w:t>
      </w:r>
      <w:r>
        <w:rPr>
          <w:spacing w:val="-2"/>
        </w:rPr>
        <w:t>业务，具有面向市场的自主经营能力；公司股东及其控制的其他企业没有从事与公司相同或相近的业务。</w:t>
      </w:r>
    </w:p>
    <w:p>
      <w:pPr>
        <w:pStyle w:val="BodyText"/>
        <w:spacing w:line="408" w:lineRule="auto" w:before="44"/>
        <w:ind w:left="573" w:right="0"/>
        <w:jc w:val="left"/>
      </w:pPr>
      <w:r>
        <w:rPr/>
        <w:t>（二）股东与股东大会</w:t>
      </w:r>
      <w:r>
        <w:rPr>
          <w:w w:val="100"/>
        </w:rPr>
        <w:t> </w:t>
      </w:r>
      <w:r>
        <w:rPr>
          <w:spacing w:val="-2"/>
        </w:rPr>
        <w:t>公司严格按照《创业板上市公司规范运作指引》、《上市公司股东大会规则》等规定的要求召集、召</w:t>
      </w:r>
    </w:p>
    <w:p>
      <w:pPr>
        <w:pStyle w:val="BodyText"/>
        <w:spacing w:line="408" w:lineRule="auto"/>
        <w:ind w:right="1126"/>
        <w:jc w:val="both"/>
      </w:pPr>
      <w:r>
        <w:rPr>
          <w:spacing w:val="-2"/>
        </w:rPr>
        <w:t>开股东大会，平等对待所有股东，特别是保证中小股东享有平等地位，并尽可能为股东参加股东大会提供</w:t>
      </w:r>
      <w:r>
        <w:rPr>
          <w:spacing w:val="-42"/>
        </w:rPr>
        <w:t> </w:t>
      </w:r>
      <w:r>
        <w:rPr>
          <w:spacing w:val="-42"/>
        </w:rPr>
      </w:r>
      <w:r>
        <w:rPr>
          <w:spacing w:val="-2"/>
        </w:rPr>
        <w:t>便利。在《公司章程》、《股东大会议事规则》中明确规定了股东大会的召集、召开及表决程序、股东的</w:t>
      </w:r>
      <w:r>
        <w:rPr>
          <w:spacing w:val="-45"/>
        </w:rPr>
        <w:t> </w:t>
      </w:r>
      <w:r>
        <w:rPr>
          <w:spacing w:val="-45"/>
        </w:rPr>
      </w:r>
      <w:r>
        <w:rPr/>
        <w:t>参会资格和对董事会的授权原则等，董事会在报告期内做到认真审议并安排股东大会的审议事项等。</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0"/>
        <w:jc w:val="left"/>
      </w:pPr>
      <w:r>
        <w:rPr/>
        <w:t>（三）公司与控股股东</w:t>
      </w:r>
      <w:r>
        <w:rPr>
          <w:w w:val="100"/>
        </w:rPr>
        <w:t> </w:t>
      </w:r>
      <w:r>
        <w:rPr>
          <w:spacing w:val="-2"/>
        </w:rPr>
        <w:t>公司控股股东严格按照《上市公司治理准则》、《深圳证券交易所创业板股票上市规则》、《公司章</w:t>
      </w:r>
    </w:p>
    <w:p>
      <w:pPr>
        <w:pStyle w:val="BodyText"/>
        <w:spacing w:line="408" w:lineRule="auto"/>
        <w:ind w:right="1105"/>
        <w:jc w:val="both"/>
      </w:pPr>
      <w:r>
        <w:rPr>
          <w:spacing w:val="-2"/>
        </w:rPr>
        <w:t>程》规范自己的行为，通过股东大会依法行使出资人的权利，没有采取任何其他方式直接或间接地干预公</w:t>
      </w:r>
      <w:r>
        <w:rPr>
          <w:spacing w:val="-43"/>
        </w:rPr>
        <w:t> </w:t>
      </w:r>
      <w:r>
        <w:rPr>
          <w:spacing w:val="-43"/>
        </w:rPr>
      </w:r>
      <w:r>
        <w:rPr>
          <w:spacing w:val="-2"/>
        </w:rPr>
        <w:t>司的决策及依法开展的生产经营活动，没有损害公司及其他股东的利益；公司与控股股东在业务、人员、</w:t>
      </w:r>
      <w:r>
        <w:rPr>
          <w:spacing w:val="-21"/>
        </w:rPr>
        <w:t> </w:t>
      </w:r>
      <w:r>
        <w:rPr>
          <w:spacing w:val="-21"/>
        </w:rPr>
      </w:r>
      <w:r>
        <w:rPr>
          <w:spacing w:val="-2"/>
        </w:rPr>
        <w:t>资产、机构和财务方面做到相互独立；公司的重大决策能按照规范的程序由股东大会和董事会作出。控股</w:t>
      </w:r>
      <w:r>
        <w:rPr>
          <w:spacing w:val="-43"/>
        </w:rPr>
        <w:t> </w:t>
      </w:r>
      <w:r>
        <w:rPr>
          <w:spacing w:val="-43"/>
        </w:rPr>
      </w:r>
      <w:r>
        <w:rPr/>
        <w:t>股东与公司之间无非经营性关联交易，公司没有为控股股东及其下属企业提供担保。</w:t>
      </w:r>
    </w:p>
    <w:p>
      <w:pPr>
        <w:pStyle w:val="BodyText"/>
        <w:spacing w:line="408" w:lineRule="auto"/>
        <w:ind w:left="573" w:right="0"/>
        <w:jc w:val="left"/>
      </w:pPr>
      <w:r>
        <w:rPr/>
        <w:t>（四）董事与董事会</w:t>
      </w:r>
      <w:r>
        <w:rPr>
          <w:w w:val="100"/>
        </w:rPr>
        <w:t> </w:t>
      </w:r>
      <w:r>
        <w:rPr>
          <w:spacing w:val="-2"/>
        </w:rPr>
        <w:t>公司在《公司章程》、《董事会议事规则》中规定规范、透明的董事选聘程序，并严格执行。公司董</w:t>
      </w:r>
    </w:p>
    <w:p>
      <w:pPr>
        <w:pStyle w:val="BodyText"/>
        <w:spacing w:line="408" w:lineRule="auto"/>
        <w:ind w:right="1126"/>
        <w:jc w:val="both"/>
      </w:pPr>
      <w:r>
        <w:rPr>
          <w:spacing w:val="-2"/>
        </w:rPr>
        <w:t>事会设董事</w:t>
      </w:r>
      <w:r>
        <w:rPr>
          <w:rFonts w:ascii="宋体" w:hAnsi="宋体" w:cs="宋体" w:eastAsia="宋体" w:hint="default"/>
          <w:spacing w:val="-2"/>
        </w:rPr>
        <w:t>9</w:t>
      </w:r>
      <w:r>
        <w:rPr>
          <w:spacing w:val="-2"/>
        </w:rPr>
        <w:t>名，其中独立董事</w:t>
      </w:r>
      <w:r>
        <w:rPr>
          <w:rFonts w:ascii="宋体" w:hAnsi="宋体" w:cs="宋体" w:eastAsia="宋体" w:hint="default"/>
          <w:spacing w:val="-2"/>
        </w:rPr>
        <w:t>3</w:t>
      </w:r>
      <w:r>
        <w:rPr>
          <w:spacing w:val="-2"/>
        </w:rPr>
        <w:t>名，董事会的人数及人员构成符合法律、法规和《公司章程》的要求。各</w:t>
      </w:r>
      <w:r>
        <w:rPr>
          <w:spacing w:val="-43"/>
        </w:rPr>
        <w:t> </w:t>
      </w:r>
      <w:r>
        <w:rPr>
          <w:spacing w:val="-43"/>
        </w:rPr>
      </w:r>
      <w:r>
        <w:rPr>
          <w:spacing w:val="-2"/>
        </w:rPr>
        <w:t>位董事能够依据规定开展工作，勤勉尽责地履行职责和义务，同时积极参加相关培训。独立董事能够不受</w:t>
      </w:r>
      <w:r>
        <w:rPr>
          <w:spacing w:val="-45"/>
        </w:rPr>
        <w:t> </w:t>
      </w:r>
      <w:r>
        <w:rPr>
          <w:spacing w:val="-45"/>
        </w:rPr>
      </w:r>
      <w:r>
        <w:rPr>
          <w:spacing w:val="-2"/>
        </w:rPr>
        <w:t>公司主要股东、实际控制人以及其他与公司存在利害关系的单位或个人的影响，独立履行职责，对公司的</w:t>
      </w:r>
      <w:r>
        <w:rPr>
          <w:spacing w:val="-44"/>
        </w:rPr>
        <w:t> </w:t>
      </w:r>
      <w:r>
        <w:rPr>
          <w:spacing w:val="-44"/>
        </w:rPr>
      </w:r>
      <w:r>
        <w:rPr/>
        <w:t>重大事项均能发表独立意见。</w:t>
      </w:r>
    </w:p>
    <w:p>
      <w:pPr>
        <w:pStyle w:val="BodyText"/>
        <w:spacing w:line="408" w:lineRule="auto"/>
        <w:ind w:left="573" w:right="0"/>
        <w:jc w:val="left"/>
      </w:pPr>
      <w:r>
        <w:rPr/>
        <w:t>（五）监事与监事会</w:t>
      </w:r>
      <w:r>
        <w:rPr>
          <w:w w:val="100"/>
        </w:rPr>
        <w:t> </w:t>
      </w:r>
      <w:r>
        <w:rPr>
          <w:spacing w:val="-2"/>
        </w:rPr>
        <w:t>公司监事会严格按照《公司法》、《公司章程》和《监事会议事规则》的有关规定，认真履行职责，</w:t>
      </w:r>
    </w:p>
    <w:p>
      <w:pPr>
        <w:pStyle w:val="BodyText"/>
        <w:spacing w:line="408" w:lineRule="auto"/>
        <w:ind w:right="1107"/>
        <w:jc w:val="both"/>
      </w:pPr>
      <w:r>
        <w:rPr>
          <w:spacing w:val="-2"/>
        </w:rPr>
        <w:t>对公司财务状况、重大事项以及公司董事、经理和其他高级管理人员履行职责的合法合规性进行监督。公</w:t>
      </w:r>
      <w:r>
        <w:rPr>
          <w:spacing w:val="-44"/>
        </w:rPr>
        <w:t> </w:t>
      </w:r>
      <w:r>
        <w:rPr>
          <w:spacing w:val="-44"/>
        </w:rPr>
      </w:r>
      <w:r>
        <w:rPr>
          <w:spacing w:val="-2"/>
        </w:rPr>
        <w:t>司监事会设监事</w:t>
      </w:r>
      <w:r>
        <w:rPr>
          <w:rFonts w:ascii="宋体" w:hAnsi="宋体" w:cs="宋体" w:eastAsia="宋体" w:hint="default"/>
          <w:spacing w:val="-2"/>
        </w:rPr>
        <w:t>3</w:t>
      </w:r>
      <w:r>
        <w:rPr>
          <w:spacing w:val="-2"/>
        </w:rPr>
        <w:t>名，其中职工监事</w:t>
      </w:r>
      <w:r>
        <w:rPr>
          <w:rFonts w:ascii="宋体" w:hAnsi="宋体" w:cs="宋体" w:eastAsia="宋体" w:hint="default"/>
          <w:spacing w:val="-2"/>
        </w:rPr>
        <w:t>1</w:t>
      </w:r>
      <w:r>
        <w:rPr>
          <w:spacing w:val="-2"/>
        </w:rPr>
        <w:t>名，公司监事会的人数、成员构成及监事的任职资格符合相关法律、</w:t>
      </w:r>
      <w:r>
        <w:rPr>
          <w:spacing w:val="-22"/>
        </w:rPr>
        <w:t> </w:t>
      </w:r>
      <w:r>
        <w:rPr>
          <w:spacing w:val="-22"/>
        </w:rPr>
      </w:r>
      <w:r>
        <w:rPr>
          <w:spacing w:val="-2"/>
        </w:rPr>
        <w:t>法规的要求。监事会能够严格按照《监事会议事规则》的要求召集、召开监事会，表决程序符合法律、法</w:t>
      </w:r>
      <w:r>
        <w:rPr>
          <w:spacing w:val="-45"/>
        </w:rPr>
        <w:t> </w:t>
      </w:r>
      <w:r>
        <w:rPr>
          <w:spacing w:val="-45"/>
        </w:rPr>
      </w:r>
      <w:r>
        <w:rPr/>
        <w:t>规的要求。</w:t>
      </w:r>
    </w:p>
    <w:p>
      <w:pPr>
        <w:pStyle w:val="BodyText"/>
        <w:spacing w:line="408" w:lineRule="auto"/>
        <w:ind w:left="573" w:right="0"/>
        <w:jc w:val="left"/>
      </w:pPr>
      <w:r>
        <w:rPr/>
        <w:t>（六）绩效评价与激励约束机制</w:t>
      </w:r>
      <w:r>
        <w:rPr>
          <w:w w:val="100"/>
        </w:rPr>
        <w:t> </w:t>
      </w:r>
      <w:r>
        <w:rPr>
          <w:spacing w:val="-2"/>
        </w:rPr>
        <w:t>公司已建立工作绩效评价体系，使员工的收入与工作绩效挂钩；高级管理人员的聘任能够做到公开、</w:t>
      </w:r>
    </w:p>
    <w:p>
      <w:pPr>
        <w:pStyle w:val="BodyText"/>
        <w:spacing w:line="240" w:lineRule="auto"/>
        <w:ind w:right="0"/>
        <w:jc w:val="both"/>
      </w:pPr>
      <w:r>
        <w:rPr/>
        <w:t>透明，符合法律、法规的规定；公司建立了经理人员的薪酬与公司业绩和个人业绩相挂钩的激励机制。</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（七）相关利益者</w:t>
      </w:r>
      <w:r>
        <w:rPr>
          <w:w w:val="100"/>
        </w:rPr>
        <w:t> </w:t>
      </w:r>
      <w:r>
        <w:rPr>
          <w:spacing w:val="-2"/>
        </w:rPr>
        <w:t>公司能够充分尊重银行及其他债权人、员工、消费者、供应商、经销商等利益相关者的合法权利，与</w:t>
      </w:r>
    </w:p>
    <w:p>
      <w:pPr>
        <w:pStyle w:val="BodyText"/>
        <w:spacing w:line="240" w:lineRule="auto"/>
        <w:ind w:right="0"/>
        <w:jc w:val="both"/>
      </w:pPr>
      <w:r>
        <w:rPr/>
        <w:t>利益相关者积极合作，共同推动公司持续、健康地发展。</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（八）关于信息披露与透明度</w:t>
      </w:r>
      <w:r>
        <w:rPr>
          <w:w w:val="100"/>
        </w:rPr>
        <w:t> </w:t>
      </w:r>
      <w:r>
        <w:rPr>
          <w:spacing w:val="-2"/>
        </w:rPr>
        <w:t>公司根据《深圳证券交易所创业板股票上市规则》、《上市公司信息披露管理办法》、《公司章程》</w:t>
      </w:r>
    </w:p>
    <w:p>
      <w:pPr>
        <w:pStyle w:val="BodyText"/>
        <w:spacing w:line="408" w:lineRule="auto"/>
        <w:ind w:right="1131"/>
        <w:jc w:val="both"/>
      </w:pPr>
      <w:r>
        <w:rPr>
          <w:spacing w:val="-2"/>
        </w:rPr>
        <w:t>以及公司《信息披露基本制度》等相关法规制度的规定，认真履行信息披露义务。公司指定董事会秘书负</w:t>
      </w:r>
      <w:r>
        <w:rPr>
          <w:spacing w:val="-50"/>
        </w:rPr>
        <w:t> </w:t>
      </w:r>
      <w:r>
        <w:rPr>
          <w:spacing w:val="-50"/>
        </w:rPr>
      </w:r>
      <w:r>
        <w:rPr/>
        <w:t>责信息披露工作，并负责投资者关系管理，确保公司所有股东能够以平等的机会获得信息。</w:t>
      </w:r>
    </w:p>
    <w:p>
      <w:pPr>
        <w:pStyle w:val="BodyText"/>
        <w:spacing w:line="408" w:lineRule="auto"/>
        <w:ind w:right="1119" w:firstLine="420"/>
        <w:jc w:val="left"/>
      </w:pPr>
      <w:r>
        <w:rPr>
          <w:spacing w:val="-2"/>
        </w:rPr>
        <w:t>公司指定《证券时报》和巨潮资讯网（</w:t>
      </w:r>
      <w:hyperlink r:id="rId11">
        <w:r>
          <w:rPr>
            <w:rFonts w:ascii="宋体" w:hAnsi="宋体" w:cs="宋体" w:eastAsia="宋体" w:hint="default"/>
            <w:spacing w:val="-2"/>
          </w:rPr>
          <w:t>http://www.cninfo.com.cn</w:t>
        </w:r>
      </w:hyperlink>
      <w:r>
        <w:rPr>
          <w:spacing w:val="-2"/>
        </w:rPr>
        <w:t>）为公司信息披露的指定报纸和网</w:t>
      </w:r>
      <w:r>
        <w:rPr>
          <w:w w:val="100"/>
        </w:rPr>
        <w:t> </w:t>
      </w:r>
      <w:r>
        <w:rPr/>
        <w:t>站。</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2348"/>
        <w:jc w:val="left"/>
      </w:pPr>
      <w:r>
        <w:rPr/>
        <w:t>（九）投资者关系管理情况</w:t>
      </w:r>
      <w:r>
        <w:rPr>
          <w:w w:val="100"/>
        </w:rPr>
        <w:t> </w:t>
      </w:r>
      <w:r>
        <w:rPr>
          <w:spacing w:val="-2"/>
        </w:rPr>
        <w:t>报告期内，公司严格执行《投资者关系管理制度》，认真做好投资者关系管理工作：</w:t>
      </w:r>
      <w:r>
        <w:rPr>
          <w:spacing w:val="-35"/>
        </w:rPr>
        <w:t> </w:t>
      </w:r>
      <w:r>
        <w:rPr>
          <w:spacing w:val="-35"/>
        </w:rPr>
      </w:r>
      <w:r>
        <w:rPr>
          <w:rFonts w:ascii="宋体" w:hAnsi="宋体" w:cs="宋体" w:eastAsia="宋体" w:hint="default"/>
        </w:rPr>
        <w:t>1</w:t>
      </w:r>
      <w:r>
        <w:rPr/>
        <w:t>、日常工作</w:t>
      </w:r>
    </w:p>
    <w:p>
      <w:pPr>
        <w:pStyle w:val="BodyText"/>
        <w:spacing w:line="408" w:lineRule="auto"/>
        <w:ind w:right="1021" w:firstLine="420"/>
        <w:jc w:val="both"/>
      </w:pPr>
      <w:r>
        <w:rPr>
          <w:spacing w:val="-2"/>
        </w:rPr>
        <w:t>（</w:t>
      </w:r>
      <w:r>
        <w:rPr>
          <w:rFonts w:ascii="宋体" w:hAnsi="宋体" w:cs="宋体" w:eastAsia="宋体" w:hint="default"/>
          <w:spacing w:val="-2"/>
        </w:rPr>
        <w:t>1</w:t>
      </w:r>
      <w:r>
        <w:rPr>
          <w:spacing w:val="-2"/>
        </w:rPr>
        <w:t>）积极做好投资者关系管理工作档案的建立和保管，合理、妥善地安排个人投资者、机构投资者、</w:t>
      </w:r>
      <w:r>
        <w:rPr>
          <w:w w:val="100"/>
        </w:rPr>
        <w:t> </w:t>
      </w:r>
      <w:r>
        <w:rPr/>
        <w:t>行业分析师等相关人员到公司进行调研，并切实做好相关信息的保密工作。</w:t>
      </w:r>
    </w:p>
    <w:p>
      <w:pPr>
        <w:pStyle w:val="BodyText"/>
        <w:spacing w:line="408" w:lineRule="auto"/>
        <w:ind w:right="1136" w:firstLine="420"/>
        <w:jc w:val="both"/>
      </w:pPr>
      <w:r>
        <w:rPr/>
        <w:t>（</w:t>
      </w:r>
      <w:r>
        <w:rPr>
          <w:rFonts w:ascii="宋体" w:hAnsi="宋体" w:cs="宋体" w:eastAsia="宋体" w:hint="default"/>
        </w:rPr>
        <w:t>2</w:t>
      </w:r>
      <w:r>
        <w:rPr/>
        <w:t>）通过公司网站、投资者关系管理电话、电子信箱、互动平台等多种渠道与投资者加强沟通，解</w:t>
      </w:r>
      <w:r>
        <w:rPr>
          <w:w w:val="100"/>
        </w:rPr>
        <w:t> </w:t>
      </w:r>
      <w:r>
        <w:rPr/>
        <w:t>答投资者的疑问。</w:t>
      </w:r>
    </w:p>
    <w:p>
      <w:pPr>
        <w:pStyle w:val="BodyText"/>
        <w:spacing w:line="240" w:lineRule="auto"/>
        <w:ind w:left="573" w:right="0"/>
        <w:jc w:val="left"/>
      </w:pPr>
      <w:r>
        <w:rPr>
          <w:rFonts w:ascii="宋体" w:hAnsi="宋体" w:cs="宋体" w:eastAsia="宋体" w:hint="default"/>
        </w:rPr>
        <w:t>2</w:t>
      </w:r>
      <w:r>
        <w:rPr/>
        <w:t>、互动交流</w:t>
      </w:r>
    </w:p>
    <w:p>
      <w:pPr>
        <w:spacing w:line="240" w:lineRule="auto" w:before="11"/>
        <w:rPr>
          <w:rFonts w:ascii="宋体" w:hAnsi="宋体" w:cs="宋体" w:eastAsia="宋体" w:hint="default"/>
          <w:sz w:val="14"/>
          <w:szCs w:val="14"/>
        </w:rPr>
      </w:pPr>
    </w:p>
    <w:p>
      <w:pPr>
        <w:pStyle w:val="BodyText"/>
        <w:spacing w:line="408" w:lineRule="auto" w:before="0"/>
        <w:ind w:right="1126" w:firstLine="420"/>
        <w:jc w:val="both"/>
      </w:pPr>
      <w:r>
        <w:rPr>
          <w:spacing w:val="-2"/>
        </w:rPr>
        <w:t>（</w:t>
      </w:r>
      <w:r>
        <w:rPr>
          <w:rFonts w:ascii="宋体" w:hAnsi="宋体" w:cs="宋体" w:eastAsia="宋体" w:hint="default"/>
          <w:spacing w:val="-2"/>
        </w:rPr>
        <w:t>1</w:t>
      </w:r>
      <w:r>
        <w:rPr>
          <w:spacing w:val="-2"/>
        </w:rPr>
        <w:t>）报告期内，公司于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w:t>
      </w:r>
      <w:r>
        <w:rPr>
          <w:spacing w:val="-2"/>
        </w:rPr>
        <w:t>日通过投资者互动平台（</w:t>
      </w:r>
      <w:hyperlink r:id="rId15">
        <w:r>
          <w:rPr>
            <w:rFonts w:ascii="宋体" w:hAnsi="宋体" w:cs="宋体" w:eastAsia="宋体" w:hint="default"/>
            <w:spacing w:val="-2"/>
          </w:rPr>
          <w:t>http://rs.p5w.net</w:t>
        </w:r>
      </w:hyperlink>
      <w:r>
        <w:rPr>
          <w:spacing w:val="-2"/>
        </w:rPr>
        <w:t>）举行了</w:t>
      </w:r>
      <w:r>
        <w:rPr>
          <w:rFonts w:ascii="宋体" w:hAnsi="宋体" w:cs="宋体" w:eastAsia="宋体" w:hint="default"/>
          <w:spacing w:val="-2"/>
        </w:rPr>
        <w:t>2018</w:t>
      </w:r>
      <w:r>
        <w:rPr>
          <w:spacing w:val="-2"/>
        </w:rPr>
        <w:t>年年度</w:t>
      </w:r>
      <w:r>
        <w:rPr>
          <w:w w:val="100"/>
        </w:rPr>
        <w:t> </w:t>
      </w:r>
      <w:r>
        <w:rPr>
          <w:spacing w:val="-2"/>
        </w:rPr>
        <w:t>报告网上业绩说明会，公司董事长任红军先生，总经理张潇君先生，董事会秘书肖锋先生、财务负责人刘</w:t>
      </w:r>
      <w:r>
        <w:rPr>
          <w:spacing w:val="-50"/>
        </w:rPr>
        <w:t> </w:t>
      </w:r>
      <w:r>
        <w:rPr>
          <w:spacing w:val="-50"/>
        </w:rPr>
      </w:r>
      <w:r>
        <w:rPr/>
        <w:t>瑞玲女士，独立董事赵向阳先生参加了网上说明会，与广大投资者进行坦诚的沟通和交流。</w:t>
      </w:r>
    </w:p>
    <w:p>
      <w:pPr>
        <w:pStyle w:val="BodyText"/>
        <w:spacing w:line="408" w:lineRule="auto"/>
        <w:ind w:right="1104" w:firstLine="420"/>
        <w:jc w:val="both"/>
      </w:pPr>
      <w:r>
        <w:rPr/>
        <w:t>（</w:t>
      </w:r>
      <w:r>
        <w:rPr>
          <w:rFonts w:ascii="宋体" w:hAnsi="宋体" w:cs="宋体" w:eastAsia="宋体" w:hint="default"/>
        </w:rPr>
        <w:t>2</w:t>
      </w:r>
      <w:r>
        <w:rPr/>
        <w:t>）报告期内，公司通过投资者关系互动平台（</w:t>
      </w:r>
      <w:hyperlink r:id="rId16">
        <w:r>
          <w:rPr>
            <w:rFonts w:ascii="宋体" w:hAnsi="宋体" w:cs="宋体" w:eastAsia="宋体" w:hint="default"/>
          </w:rPr>
          <w:t>http://ircs.p5w.net/ircs/ssgs/index.do</w:t>
        </w:r>
      </w:hyperlink>
      <w:r>
        <w:rPr/>
        <w:t>），就</w:t>
      </w:r>
      <w:r>
        <w:rPr>
          <w:spacing w:val="2"/>
          <w:w w:val="100"/>
        </w:rPr>
        <w:t> </w:t>
      </w:r>
      <w:r>
        <w:rPr>
          <w:spacing w:val="-2"/>
        </w:rPr>
        <w:t>投资者关心的问题进行了充分、深入、详细的分析、说明和答复，建立了投资者与公司之间规范、直接、</w:t>
      </w:r>
      <w:r>
        <w:rPr>
          <w:spacing w:val="-20"/>
        </w:rPr>
        <w:t> </w:t>
      </w:r>
      <w:r>
        <w:rPr>
          <w:spacing w:val="-20"/>
        </w:rPr>
      </w:r>
      <w:r>
        <w:rPr>
          <w:spacing w:val="-2"/>
        </w:rPr>
        <w:t>快速的交流与沟通渠道，提高了公司规范运作水平，更好的保护了投资者特别是中小投资者的合法权益。</w:t>
      </w:r>
    </w:p>
    <w:p>
      <w:pPr>
        <w:pStyle w:val="BodyText"/>
        <w:spacing w:line="408" w:lineRule="auto"/>
        <w:ind w:left="573" w:right="0"/>
        <w:jc w:val="left"/>
      </w:pPr>
      <w:r>
        <w:rPr>
          <w:rFonts w:ascii="宋体" w:hAnsi="宋体" w:cs="宋体" w:eastAsia="宋体" w:hint="default"/>
        </w:rPr>
        <w:t>(</w:t>
      </w:r>
      <w:r>
        <w:rPr/>
        <w:t>十</w:t>
      </w:r>
      <w:r>
        <w:rPr>
          <w:rFonts w:ascii="宋体" w:hAnsi="宋体" w:cs="宋体" w:eastAsia="宋体" w:hint="default"/>
        </w:rPr>
        <w:t>)</w:t>
      </w:r>
      <w:r>
        <w:rPr/>
        <w:t>公司董事长、独立董事及其他董事履行职责情况</w:t>
      </w:r>
      <w:r>
        <w:rPr>
          <w:w w:val="100"/>
        </w:rPr>
        <w:t> </w:t>
      </w:r>
      <w:r>
        <w:rPr>
          <w:rFonts w:ascii="宋体" w:hAnsi="宋体" w:cs="宋体" w:eastAsia="宋体" w:hint="default"/>
        </w:rPr>
        <w:t>1</w:t>
      </w:r>
      <w:r>
        <w:rPr/>
        <w:t>、报告期内，公司全体董事严格按照《公司法》、《证券法》、《深圳证券交易所创业板上市公司</w:t>
      </w:r>
    </w:p>
    <w:p>
      <w:pPr>
        <w:pStyle w:val="BodyText"/>
        <w:spacing w:line="408" w:lineRule="auto"/>
        <w:ind w:right="1126"/>
        <w:jc w:val="both"/>
      </w:pPr>
      <w:r>
        <w:rPr>
          <w:spacing w:val="-2"/>
        </w:rPr>
        <w:t>规范运作指引》等法律、法规及规章制度的规定和要求，履行董事职责，积极参加相关培训，提高规范运</w:t>
      </w:r>
      <w:r>
        <w:rPr>
          <w:spacing w:val="-43"/>
        </w:rPr>
        <w:t> </w:t>
      </w:r>
      <w:r>
        <w:rPr>
          <w:spacing w:val="-43"/>
        </w:rPr>
      </w:r>
      <w:r>
        <w:rPr>
          <w:spacing w:val="-2"/>
        </w:rPr>
        <w:t>作水平。董事在董事会会议投票表决重大事项或其他对公司有重大影响的事项时，严格遵循公司董事会议</w:t>
      </w:r>
      <w:r>
        <w:rPr>
          <w:spacing w:val="-43"/>
        </w:rPr>
        <w:t> </w:t>
      </w:r>
      <w:r>
        <w:rPr>
          <w:spacing w:val="-43"/>
        </w:rPr>
      </w:r>
      <w:r>
        <w:rPr/>
        <w:t>事规则的有关审议规定，审慎决策，切实保护公司和股东特别是社会公众股股东的利益。</w:t>
      </w:r>
    </w:p>
    <w:p>
      <w:pPr>
        <w:pStyle w:val="BodyText"/>
        <w:spacing w:line="408" w:lineRule="auto"/>
        <w:ind w:right="1107" w:firstLine="420"/>
        <w:jc w:val="right"/>
      </w:pPr>
      <w:r>
        <w:rPr>
          <w:rFonts w:ascii="宋体" w:hAnsi="宋体" w:cs="宋体" w:eastAsia="宋体" w:hint="default"/>
        </w:rPr>
        <w:t>2</w:t>
      </w:r>
      <w:r>
        <w:rPr/>
        <w:t>、公司董事长在履行职责时，严格按照《公司法》、《证券法》、《深圳证券交易所创业板上市公</w:t>
      </w:r>
      <w:r>
        <w:rPr>
          <w:w w:val="100"/>
        </w:rPr>
        <w:t> </w:t>
      </w:r>
      <w:r>
        <w:rPr>
          <w:spacing w:val="-2"/>
        </w:rPr>
        <w:t>司规范运作指引》和《公司章程》规定，行使董事长职权，履行职责。在召集、主持董事会会议时，积极</w:t>
      </w:r>
      <w:r>
        <w:rPr>
          <w:spacing w:val="-96"/>
        </w:rPr>
        <w:t> </w:t>
      </w:r>
      <w:r>
        <w:rPr>
          <w:spacing w:val="-96"/>
        </w:rPr>
      </w:r>
      <w:r>
        <w:rPr>
          <w:spacing w:val="-2"/>
        </w:rPr>
        <w:t>推动公司治理工作和内部控制建设、督促执行股东大会和董事会的各项决议，确保董事会依法正常运作。</w:t>
      </w:r>
      <w:r>
        <w:rPr>
          <w:spacing w:val="-46"/>
        </w:rPr>
        <w:t> </w:t>
      </w:r>
      <w:r>
        <w:rPr>
          <w:spacing w:val="-46"/>
        </w:rPr>
      </w:r>
      <w:r>
        <w:rPr>
          <w:rFonts w:ascii="宋体" w:hAnsi="宋体" w:cs="宋体" w:eastAsia="宋体" w:hint="default"/>
        </w:rPr>
        <w:t>3</w:t>
      </w:r>
      <w:r>
        <w:rPr/>
        <w:t>、公司独立董事认真履行职责，积极准时出席相关会议，认真审议各项议案，客观的发表自己的看</w:t>
      </w:r>
      <w:r>
        <w:rPr>
          <w:w w:val="100"/>
        </w:rPr>
        <w:t> </w:t>
      </w:r>
      <w:r>
        <w:rPr>
          <w:spacing w:val="-2"/>
        </w:rPr>
        <w:t>法及观点，努力维护公司整体利益及中小股东的合法权益。同时积极深入公司现场调查，了解公司生产经</w:t>
      </w:r>
      <w:r>
        <w:rPr>
          <w:spacing w:val="-84"/>
        </w:rPr>
        <w:t> </w:t>
      </w:r>
      <w:r>
        <w:rPr>
          <w:spacing w:val="-84"/>
        </w:rPr>
      </w:r>
      <w:r>
        <w:rPr>
          <w:spacing w:val="-2"/>
        </w:rPr>
        <w:t>营状况和内部控制的建设及董事会及股东会决议的执行情况，为公司经营和发展提出合理意见和建议。独</w:t>
      </w:r>
    </w:p>
    <w:p>
      <w:pPr>
        <w:pStyle w:val="BodyText"/>
        <w:spacing w:line="240" w:lineRule="auto"/>
        <w:ind w:right="0"/>
        <w:jc w:val="both"/>
      </w:pPr>
      <w:r>
        <w:rPr/>
        <w:t>立董事对</w:t>
      </w:r>
      <w:r>
        <w:rPr>
          <w:rFonts w:ascii="宋体" w:hAnsi="宋体" w:cs="宋体" w:eastAsia="宋体" w:hint="default"/>
        </w:rPr>
        <w:t>2019</w:t>
      </w:r>
      <w:r>
        <w:rPr/>
        <w:t>年度公司审议的各项事项没有提出异议。</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0"/>
        <w:jc w:val="left"/>
      </w:pPr>
      <w:r>
        <w:rPr/>
        <w:t>（一）业务独立</w:t>
      </w:r>
      <w:r>
        <w:rPr>
          <w:spacing w:val="-103"/>
        </w:rPr>
        <w:t> </w:t>
      </w:r>
      <w:r>
        <w:rPr>
          <w:spacing w:val="-103"/>
        </w:rPr>
      </w:r>
      <w:r>
        <w:rPr>
          <w:spacing w:val="-2"/>
        </w:rPr>
        <w:t>公司从事传感器及物联网系统解决方案业务，拥有独立完整的研发、采购、生产和销售业务体系，具</w:t>
      </w:r>
    </w:p>
    <w:p>
      <w:pPr>
        <w:pStyle w:val="BodyText"/>
        <w:spacing w:line="408" w:lineRule="auto"/>
        <w:ind w:right="1126"/>
        <w:jc w:val="both"/>
      </w:pPr>
      <w:r>
        <w:rPr>
          <w:spacing w:val="-2"/>
        </w:rPr>
        <w:t>有直接面向市场独立经营的能力，不存在其他需要依赖控股股东、实际控制人及其控制的其他企业进行经</w:t>
      </w:r>
      <w:r>
        <w:rPr>
          <w:spacing w:val="-43"/>
        </w:rPr>
        <w:t> </w:t>
      </w:r>
      <w:r>
        <w:rPr>
          <w:spacing w:val="-43"/>
        </w:rPr>
      </w:r>
      <w:r>
        <w:rPr>
          <w:spacing w:val="-2"/>
        </w:rPr>
        <w:t>营活动的情况。主要股东、实际控制人及其控制的其他企业均不从事同类业务。本公司与控股股东、实际</w:t>
      </w:r>
      <w:r>
        <w:rPr>
          <w:spacing w:val="-47"/>
        </w:rPr>
        <w:t> </w:t>
      </w:r>
      <w:r>
        <w:rPr>
          <w:spacing w:val="-47"/>
        </w:rPr>
      </w:r>
      <w:r>
        <w:rPr/>
        <w:t>控制人不存在同业竞争。</w:t>
      </w:r>
    </w:p>
    <w:p>
      <w:pPr>
        <w:pStyle w:val="BodyText"/>
        <w:spacing w:line="408" w:lineRule="auto"/>
        <w:ind w:left="573" w:right="0"/>
        <w:jc w:val="left"/>
      </w:pPr>
      <w:r>
        <w:rPr/>
        <w:t>（二）人员独立</w:t>
      </w:r>
      <w:r>
        <w:rPr>
          <w:spacing w:val="-103"/>
        </w:rPr>
        <w:t> </w:t>
      </w:r>
      <w:r>
        <w:rPr>
          <w:spacing w:val="-103"/>
        </w:rPr>
      </w:r>
      <w:r>
        <w:rPr>
          <w:spacing w:val="-7"/>
        </w:rPr>
        <w:t>公司设有人力资源管理部门，公司的人事及工资管理与股东完全独立。公司董事、监事均严格按照《公</w:t>
      </w:r>
    </w:p>
    <w:p>
      <w:pPr>
        <w:pStyle w:val="BodyText"/>
        <w:spacing w:line="408" w:lineRule="auto"/>
        <w:ind w:right="1126"/>
        <w:jc w:val="both"/>
      </w:pPr>
      <w:r>
        <w:rPr>
          <w:spacing w:val="-2"/>
        </w:rPr>
        <w:t>司法》和《公司章程》的有关规定选举产生，高级管理人员均由董事会聘任，不存在控股股东、实际控制</w:t>
      </w:r>
      <w:r>
        <w:rPr>
          <w:spacing w:val="-42"/>
        </w:rPr>
        <w:t> </w:t>
      </w:r>
      <w:r>
        <w:rPr>
          <w:spacing w:val="-42"/>
        </w:rPr>
      </w:r>
      <w:r>
        <w:rPr>
          <w:spacing w:val="-2"/>
        </w:rPr>
        <w:t>人及其他关联方干涉公司人事任免的情况，不存在有关法律、法规禁止的兼职情况。公司总经理、副总经</w:t>
      </w:r>
      <w:r>
        <w:rPr>
          <w:spacing w:val="-47"/>
        </w:rPr>
        <w:t> </w:t>
      </w:r>
      <w:r>
        <w:rPr>
          <w:spacing w:val="-47"/>
        </w:rPr>
      </w:r>
      <w:r>
        <w:rPr>
          <w:spacing w:val="-2"/>
        </w:rPr>
        <w:t>理、财务总监、董事会秘书等高级管理人员均专职在本公司工作并领取报酬，未在股东控制的其他关联企</w:t>
      </w:r>
      <w:r>
        <w:rPr>
          <w:spacing w:val="-44"/>
        </w:rPr>
        <w:t> </w:t>
      </w:r>
      <w:r>
        <w:rPr>
          <w:spacing w:val="-44"/>
        </w:rPr>
      </w:r>
      <w:r>
        <w:rPr/>
        <w:t>业担任职务，不存在交叉任职的情况；本公司的财务人员亦未在实际控制人控制的其他企业中兼职。</w:t>
      </w:r>
    </w:p>
    <w:p>
      <w:pPr>
        <w:pStyle w:val="BodyText"/>
        <w:spacing w:line="408" w:lineRule="auto"/>
        <w:ind w:left="573" w:right="0"/>
        <w:jc w:val="left"/>
      </w:pPr>
      <w:r>
        <w:rPr/>
        <w:t>（三）资产完整</w:t>
      </w:r>
      <w:r>
        <w:rPr>
          <w:spacing w:val="-103"/>
        </w:rPr>
        <w:t> </w:t>
      </w:r>
      <w:r>
        <w:rPr>
          <w:spacing w:val="-103"/>
        </w:rPr>
      </w:r>
      <w:r>
        <w:rPr>
          <w:spacing w:val="-2"/>
        </w:rPr>
        <w:t>公司拥有开展生产经营所必备的独立完整的资产，合法拥有与生产经营相关的房产、设备、土地以及</w:t>
      </w:r>
    </w:p>
    <w:p>
      <w:pPr>
        <w:pStyle w:val="BodyText"/>
        <w:spacing w:line="408" w:lineRule="auto"/>
        <w:ind w:right="1127"/>
        <w:jc w:val="both"/>
      </w:pPr>
      <w:r>
        <w:rPr>
          <w:spacing w:val="-2"/>
        </w:rPr>
        <w:t>商标、专利、非专利技术的所有权或使用权，相关资产不存在权属纠纷，公司资产、资金和其他资源不存</w:t>
      </w:r>
      <w:r>
        <w:rPr>
          <w:spacing w:val="-43"/>
        </w:rPr>
        <w:t> </w:t>
      </w:r>
      <w:r>
        <w:rPr>
          <w:spacing w:val="-43"/>
        </w:rPr>
      </w:r>
      <w:r>
        <w:rPr/>
        <w:t>在被控股股东、实际控制人及其他关联方控制和占用的情形。</w:t>
      </w:r>
    </w:p>
    <w:p>
      <w:pPr>
        <w:pStyle w:val="BodyText"/>
        <w:spacing w:line="408" w:lineRule="auto" w:before="43"/>
        <w:ind w:left="573" w:right="0"/>
        <w:jc w:val="left"/>
      </w:pPr>
      <w:r>
        <w:rPr/>
        <w:t>（四）机构独立</w:t>
      </w:r>
      <w:r>
        <w:rPr>
          <w:spacing w:val="-103"/>
        </w:rPr>
        <w:t> </w:t>
      </w:r>
      <w:r>
        <w:rPr>
          <w:spacing w:val="-103"/>
        </w:rPr>
      </w:r>
      <w:r>
        <w:rPr>
          <w:spacing w:val="-3"/>
        </w:rPr>
        <w:t>公司根据《公司法》、《上市公司章程指引》等有关法律、法规和规范性文件的相关规定，按照法定</w:t>
      </w:r>
    </w:p>
    <w:p>
      <w:pPr>
        <w:pStyle w:val="BodyText"/>
        <w:spacing w:line="408" w:lineRule="auto"/>
        <w:ind w:right="0"/>
        <w:jc w:val="left"/>
      </w:pPr>
      <w:r>
        <w:rPr>
          <w:spacing w:val="-5"/>
        </w:rPr>
        <w:t>程序制订了《公司章程》，建立了股东大会、董事会、监事会的法人治理结构，并设置了相应的组织机构。</w:t>
      </w:r>
      <w:r>
        <w:rPr>
          <w:spacing w:val="-6"/>
        </w:rPr>
        <w:t> </w:t>
      </w:r>
      <w:r>
        <w:rPr>
          <w:spacing w:val="-6"/>
        </w:rPr>
      </w:r>
      <w:r>
        <w:rPr>
          <w:spacing w:val="-2"/>
        </w:rPr>
        <w:t>本公司具有独立的生产经营和办公机构，完全独立于控股股东及实际控制人，不存在混合经营、合署办公</w:t>
      </w:r>
      <w:r>
        <w:rPr>
          <w:spacing w:val="-45"/>
        </w:rPr>
        <w:t> </w:t>
      </w:r>
      <w:r>
        <w:rPr>
          <w:spacing w:val="-45"/>
        </w:rPr>
      </w:r>
      <w:r>
        <w:rPr/>
        <w:t>的情况，控股股东及其他任何单位或个人均未干预本公司的机构设置和生产经营活动。</w:t>
      </w:r>
    </w:p>
    <w:p>
      <w:pPr>
        <w:pStyle w:val="BodyText"/>
        <w:spacing w:line="408" w:lineRule="auto"/>
        <w:ind w:left="573" w:right="0"/>
        <w:jc w:val="left"/>
      </w:pPr>
      <w:r>
        <w:rPr/>
        <w:t>（五）财务独立</w:t>
      </w:r>
      <w:r>
        <w:rPr>
          <w:spacing w:val="-103"/>
        </w:rPr>
        <w:t> </w:t>
      </w:r>
      <w:r>
        <w:rPr>
          <w:spacing w:val="-103"/>
        </w:rPr>
      </w:r>
      <w:r>
        <w:rPr>
          <w:spacing w:val="-2"/>
        </w:rPr>
        <w:t>公司设立独立的财务部门负责本公司的会计核算和财务管理工作。公司财务负责人及财务人员均专职</w:t>
      </w:r>
    </w:p>
    <w:p>
      <w:pPr>
        <w:pStyle w:val="BodyText"/>
        <w:spacing w:line="408" w:lineRule="auto"/>
        <w:ind w:right="1023"/>
        <w:jc w:val="both"/>
      </w:pPr>
      <w:r>
        <w:rPr>
          <w:spacing w:val="-7"/>
        </w:rPr>
        <w:t>在本公司工作并领取薪酬，未在与本公司业务相同或相似、或存在其他利益冲突的企业任职。公司按照《会</w:t>
      </w:r>
      <w:r>
        <w:rPr>
          <w:spacing w:val="-22"/>
        </w:rPr>
        <w:t> </w:t>
      </w:r>
      <w:r>
        <w:rPr>
          <w:spacing w:val="-22"/>
        </w:rPr>
      </w:r>
      <w:r>
        <w:rPr>
          <w:spacing w:val="-2"/>
        </w:rPr>
        <w:t>计法》、《企业会计准则》等法律法规的要求，建立了符合自身特点的独立的会计核算体系和财务管理制</w:t>
      </w:r>
      <w:r>
        <w:rPr>
          <w:spacing w:val="-43"/>
        </w:rPr>
        <w:t> </w:t>
      </w:r>
      <w:r>
        <w:rPr>
          <w:spacing w:val="-43"/>
        </w:rPr>
      </w:r>
      <w:r>
        <w:rPr>
          <w:spacing w:val="-2"/>
        </w:rPr>
        <w:t>度。公司开设独立的银行账户，且作为独立纳税人依法纳税。公司能够依据《公司章程》和相关财务制度</w:t>
      </w:r>
      <w:r>
        <w:rPr>
          <w:spacing w:val="-43"/>
        </w:rPr>
        <w:t> </w:t>
      </w:r>
      <w:r>
        <w:rPr>
          <w:spacing w:val="-43"/>
        </w:rPr>
      </w:r>
      <w:r>
        <w:rPr>
          <w:spacing w:val="-5"/>
        </w:rPr>
        <w:t>独立做出财务决策，不存在公司股东或其他关联方干预公司资金使用的情况；公司独立对外签订各项合同。</w:t>
      </w:r>
    </w:p>
    <w:p>
      <w:pPr>
        <w:spacing w:after="0" w:line="408"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620"/>
        <w:gridCol w:w="1618"/>
        <w:gridCol w:w="1615"/>
        <w:gridCol w:w="1616"/>
        <w:gridCol w:w="1613"/>
        <w:gridCol w:w="1615"/>
      </w:tblGrid>
      <w:tr>
        <w:trPr>
          <w:trHeight w:val="396" w:hRule="exact"/>
        </w:trPr>
        <w:tc>
          <w:tcPr>
            <w:tcW w:w="162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44"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61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72"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6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1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44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0" w:hRule="exact"/>
        </w:trPr>
        <w:tc>
          <w:tcPr>
            <w:tcW w:w="16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1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32.45%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5" w:type="dxa"/>
            <w:tcBorders>
              <w:top w:val="single" w:sz="4" w:space="0" w:color="000000"/>
              <w:left w:val="single" w:sz="4" w:space="0" w:color="000000"/>
              <w:bottom w:val="single" w:sz="4" w:space="0" w:color="000000"/>
              <w:right w:val="single" w:sz="12" w:space="0" w:color="000000"/>
            </w:tcBorders>
          </w:tcPr>
          <w:p>
            <w:pPr>
              <w:pStyle w:val="TableParagraph"/>
              <w:spacing w:line="336"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pacing w:val="-2"/>
                  <w:sz w:val="18"/>
                  <w:szCs w:val="18"/>
                </w:rPr>
                <w:t>www.cninfo.com.cn,</w:t>
              </w:r>
            </w:hyperlink>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pacing w:val="-29"/>
                <w:sz w:val="18"/>
                <w:szCs w:val="18"/>
              </w:rPr>
            </w:r>
            <w:r>
              <w:rPr>
                <w:rFonts w:ascii="宋体" w:hAnsi="宋体" w:cs="宋体" w:eastAsia="宋体" w:hint="default"/>
                <w:sz w:val="18"/>
                <w:szCs w:val="18"/>
              </w:rPr>
              <w:t>公告编号为</w:t>
            </w:r>
          </w:p>
          <w:p>
            <w:pPr>
              <w:pStyle w:val="TableParagraph"/>
              <w:spacing w:line="240" w:lineRule="auto" w:before="47"/>
              <w:ind w:left="26" w:right="0"/>
              <w:jc w:val="left"/>
              <w:rPr>
                <w:rFonts w:ascii="Times New Roman" w:hAnsi="Times New Roman" w:cs="Times New Roman" w:eastAsia="Times New Roman" w:hint="default"/>
                <w:sz w:val="18"/>
                <w:szCs w:val="18"/>
              </w:rPr>
            </w:pPr>
            <w:r>
              <w:rPr>
                <w:rFonts w:ascii="Times New Roman"/>
                <w:sz w:val="18"/>
              </w:rPr>
              <w:t>2019-026</w:t>
            </w:r>
          </w:p>
        </w:tc>
      </w:tr>
      <w:tr>
        <w:trPr>
          <w:trHeight w:val="1346" w:hRule="exact"/>
        </w:trPr>
        <w:tc>
          <w:tcPr>
            <w:tcW w:w="162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32.28%</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15" w:type="dxa"/>
            <w:tcBorders>
              <w:top w:val="single" w:sz="4" w:space="0" w:color="000000"/>
              <w:left w:val="single" w:sz="4" w:space="0" w:color="000000"/>
              <w:bottom w:val="single" w:sz="12" w:space="0" w:color="000000"/>
              <w:right w:val="single" w:sz="12" w:space="0" w:color="000000"/>
            </w:tcBorders>
          </w:tcPr>
          <w:p>
            <w:pPr>
              <w:pStyle w:val="TableParagraph"/>
              <w:spacing w:line="312" w:lineRule="exact" w:before="9"/>
              <w:ind w:left="26" w:right="71"/>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pacing w:val="-2"/>
                  <w:sz w:val="18"/>
                  <w:szCs w:val="18"/>
                </w:rPr>
                <w:t>www.cninfo.com.cn,</w:t>
              </w:r>
            </w:hyperlink>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pacing w:val="-29"/>
                <w:sz w:val="18"/>
                <w:szCs w:val="18"/>
              </w:rPr>
            </w:r>
            <w:r>
              <w:rPr>
                <w:rFonts w:ascii="宋体" w:hAnsi="宋体" w:cs="宋体" w:eastAsia="宋体" w:hint="default"/>
                <w:sz w:val="18"/>
                <w:szCs w:val="18"/>
              </w:rPr>
              <w:t>公告编号为</w:t>
            </w:r>
          </w:p>
          <w:p>
            <w:pPr>
              <w:pStyle w:val="TableParagraph"/>
              <w:spacing w:line="240" w:lineRule="auto" w:before="81"/>
              <w:ind w:left="26" w:right="0"/>
              <w:jc w:val="left"/>
              <w:rPr>
                <w:rFonts w:ascii="Times New Roman" w:hAnsi="Times New Roman" w:cs="Times New Roman" w:eastAsia="Times New Roman" w:hint="default"/>
                <w:sz w:val="18"/>
                <w:szCs w:val="18"/>
              </w:rPr>
            </w:pPr>
            <w:r>
              <w:rPr>
                <w:rFonts w:ascii="Times New Roman"/>
                <w:sz w:val="18"/>
              </w:rPr>
              <w:t>2019-049</w:t>
            </w:r>
          </w:p>
        </w:tc>
      </w:tr>
    </w:tbl>
    <w:p>
      <w:pPr>
        <w:spacing w:line="240" w:lineRule="auto" w:before="5"/>
        <w:rPr>
          <w:rFonts w:ascii="宋体" w:hAnsi="宋体" w:cs="宋体" w:eastAsia="宋体" w:hint="default"/>
          <w:b/>
          <w:bCs/>
          <w:sz w:val="19"/>
          <w:szCs w:val="19"/>
        </w:rPr>
      </w:pPr>
    </w:p>
    <w:p>
      <w:pPr>
        <w:pStyle w:val="Heading4"/>
        <w:spacing w:line="240" w:lineRule="auto" w:before="36"/>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45"/>
        <w:gridCol w:w="1178"/>
        <w:gridCol w:w="1179"/>
        <w:gridCol w:w="1178"/>
        <w:gridCol w:w="1181"/>
        <w:gridCol w:w="1178"/>
        <w:gridCol w:w="1179"/>
        <w:gridCol w:w="1178"/>
      </w:tblGrid>
      <w:tr>
        <w:trPr>
          <w:trHeight w:val="412" w:hRule="exact"/>
        </w:trPr>
        <w:tc>
          <w:tcPr>
            <w:tcW w:w="9698" w:type="dxa"/>
            <w:gridSpan w:val="8"/>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45" w:right="41"/>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14" w:right="41"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45" w:right="41"/>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14" w:right="4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494" w:right="41" w:hanging="449"/>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 w:right="41"/>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8"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403"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赵向阳</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刘威</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w:t>
            </w:r>
          </w:p>
        </w:tc>
      </w:tr>
      <w:tr>
        <w:trPr>
          <w:trHeight w:val="410" w:hRule="exact"/>
        </w:trPr>
        <w:tc>
          <w:tcPr>
            <w:tcW w:w="144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1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w:t>
            </w:r>
          </w:p>
        </w:tc>
      </w:tr>
    </w:tbl>
    <w:p>
      <w:pPr>
        <w:spacing w:line="357" w:lineRule="auto" w:before="52"/>
        <w:ind w:left="15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8"/>
        <w:ind w:right="0" w:firstLine="420"/>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27</w:t>
      </w:r>
      <w:r>
        <w:rPr>
          <w:spacing w:val="-2"/>
        </w:rPr>
        <w:t>日，公司召开第四届董事会第二十二次会议，独立董事就《</w:t>
      </w:r>
      <w:r>
        <w:rPr>
          <w:rFonts w:ascii="宋体" w:hAnsi="宋体" w:cs="宋体" w:eastAsia="宋体" w:hint="default"/>
          <w:spacing w:val="-2"/>
        </w:rPr>
        <w:t>2018</w:t>
      </w:r>
      <w:r>
        <w:rPr>
          <w:spacing w:val="-2"/>
        </w:rPr>
        <w:t>年度董事会工作报</w:t>
      </w:r>
      <w:r>
        <w:rPr>
          <w:w w:val="100"/>
        </w:rPr>
        <w:t> </w:t>
      </w:r>
      <w:r>
        <w:rPr>
          <w:spacing w:val="-8"/>
        </w:rPr>
        <w:t>告》、《</w:t>
      </w:r>
      <w:r>
        <w:rPr>
          <w:rFonts w:ascii="宋体" w:hAnsi="宋体" w:cs="宋体" w:eastAsia="宋体" w:hint="default"/>
          <w:spacing w:val="-8"/>
        </w:rPr>
        <w:t>2018</w:t>
      </w:r>
      <w:r>
        <w:rPr>
          <w:spacing w:val="-8"/>
        </w:rPr>
        <w:t>年年度报告及其摘要》、《</w:t>
      </w:r>
      <w:r>
        <w:rPr>
          <w:rFonts w:ascii="宋体" w:hAnsi="宋体" w:cs="宋体" w:eastAsia="宋体" w:hint="default"/>
          <w:spacing w:val="-8"/>
        </w:rPr>
        <w:t>2018</w:t>
      </w:r>
      <w:r>
        <w:rPr>
          <w:spacing w:val="-8"/>
        </w:rPr>
        <w:t>年度总经理工作报告》、《</w:t>
      </w:r>
      <w:r>
        <w:rPr>
          <w:rFonts w:ascii="宋体" w:hAnsi="宋体" w:cs="宋体" w:eastAsia="宋体" w:hint="default"/>
          <w:spacing w:val="-8"/>
        </w:rPr>
        <w:t>2018</w:t>
      </w:r>
      <w:r>
        <w:rPr>
          <w:spacing w:val="-8"/>
        </w:rPr>
        <w:t>年度内部控制自我评价报告》、</w:t>
      </w:r>
    </w:p>
    <w:p>
      <w:pPr>
        <w:pStyle w:val="BodyText"/>
        <w:spacing w:line="408" w:lineRule="auto"/>
        <w:ind w:right="1126"/>
        <w:jc w:val="both"/>
      </w:pPr>
      <w:r>
        <w:rPr>
          <w:spacing w:val="-2"/>
        </w:rPr>
        <w:t>《</w:t>
      </w:r>
      <w:r>
        <w:rPr>
          <w:rFonts w:ascii="宋体" w:hAnsi="宋体" w:cs="宋体" w:eastAsia="宋体" w:hint="default"/>
          <w:spacing w:val="-2"/>
        </w:rPr>
        <w:t>2018</w:t>
      </w:r>
      <w:r>
        <w:rPr>
          <w:spacing w:val="-2"/>
        </w:rPr>
        <w:t>年度财务决算报告》、</w:t>
      </w:r>
      <w:r>
        <w:rPr>
          <w:rFonts w:ascii="宋体" w:hAnsi="宋体" w:cs="宋体" w:eastAsia="宋体" w:hint="default"/>
          <w:spacing w:val="-2"/>
        </w:rPr>
        <w:t>2018</w:t>
      </w:r>
      <w:r>
        <w:rPr>
          <w:spacing w:val="-2"/>
        </w:rPr>
        <w:t>年度利润分配、</w:t>
      </w:r>
      <w:r>
        <w:rPr>
          <w:rFonts w:ascii="宋体" w:hAnsi="宋体" w:cs="宋体" w:eastAsia="宋体" w:hint="default"/>
          <w:spacing w:val="-2"/>
        </w:rPr>
        <w:t>2019</w:t>
      </w:r>
      <w:r>
        <w:rPr>
          <w:spacing w:val="-2"/>
        </w:rPr>
        <w:t>年度公司董事薪酬政策、</w:t>
      </w:r>
      <w:r>
        <w:rPr>
          <w:rFonts w:ascii="宋体" w:hAnsi="宋体" w:cs="宋体" w:eastAsia="宋体" w:hint="default"/>
          <w:spacing w:val="-2"/>
        </w:rPr>
        <w:t>2019</w:t>
      </w:r>
      <w:r>
        <w:rPr>
          <w:spacing w:val="-2"/>
        </w:rPr>
        <w:t>年度公司高级管理人</w:t>
      </w:r>
      <w:r>
        <w:rPr>
          <w:spacing w:val="-36"/>
        </w:rPr>
        <w:t> </w:t>
      </w:r>
      <w:r>
        <w:rPr>
          <w:spacing w:val="-36"/>
        </w:rPr>
      </w:r>
      <w:r>
        <w:rPr>
          <w:spacing w:val="-2"/>
        </w:rPr>
        <w:t>员薪酬政策、续聘</w:t>
      </w:r>
      <w:r>
        <w:rPr>
          <w:rFonts w:ascii="宋体" w:hAnsi="宋体" w:cs="宋体" w:eastAsia="宋体" w:hint="default"/>
          <w:spacing w:val="-2"/>
        </w:rPr>
        <w:t>2019</w:t>
      </w:r>
      <w:r>
        <w:rPr>
          <w:spacing w:val="-2"/>
        </w:rPr>
        <w:t>年度财务审计机构、《</w:t>
      </w:r>
      <w:r>
        <w:rPr>
          <w:rFonts w:ascii="宋体" w:hAnsi="宋体" w:cs="宋体" w:eastAsia="宋体" w:hint="default"/>
          <w:spacing w:val="-2"/>
        </w:rPr>
        <w:t>2018</w:t>
      </w:r>
      <w:r>
        <w:rPr>
          <w:spacing w:val="-2"/>
        </w:rPr>
        <w:t>年度社会责任报告》、公司办理</w:t>
      </w:r>
      <w:r>
        <w:rPr>
          <w:rFonts w:ascii="宋体" w:hAnsi="宋体" w:cs="宋体" w:eastAsia="宋体" w:hint="default"/>
          <w:spacing w:val="-2"/>
        </w:rPr>
        <w:t>2019</w:t>
      </w:r>
      <w:r>
        <w:rPr>
          <w:spacing w:val="-2"/>
        </w:rPr>
        <w:t>年度银行综合授信</w:t>
      </w:r>
      <w:r>
        <w:rPr>
          <w:spacing w:val="-31"/>
        </w:rPr>
        <w:t> </w:t>
      </w:r>
      <w:r>
        <w:rPr>
          <w:spacing w:val="-31"/>
        </w:rPr>
      </w:r>
      <w:r>
        <w:rPr>
          <w:spacing w:val="-2"/>
        </w:rPr>
        <w:t>业务、</w:t>
      </w:r>
      <w:r>
        <w:rPr>
          <w:rFonts w:ascii="宋体" w:hAnsi="宋体" w:cs="宋体" w:eastAsia="宋体" w:hint="default"/>
          <w:spacing w:val="-2"/>
        </w:rPr>
        <w:t>2018</w:t>
      </w:r>
      <w:r>
        <w:rPr>
          <w:spacing w:val="-2"/>
        </w:rPr>
        <w:t>年度计提资产减值准备、修订《公司章程》、召开</w:t>
      </w:r>
      <w:r>
        <w:rPr>
          <w:rFonts w:ascii="宋体" w:hAnsi="宋体" w:cs="宋体" w:eastAsia="宋体" w:hint="default"/>
          <w:spacing w:val="-2"/>
        </w:rPr>
        <w:t>2018</w:t>
      </w:r>
      <w:r>
        <w:rPr>
          <w:spacing w:val="-2"/>
        </w:rPr>
        <w:t>年年度股东大会、提名公司第四届董事</w:t>
      </w:r>
      <w:r>
        <w:rPr>
          <w:spacing w:val="-36"/>
        </w:rPr>
        <w:t> </w:t>
      </w:r>
      <w:r>
        <w:rPr>
          <w:spacing w:val="-36"/>
        </w:rPr>
      </w:r>
      <w:r>
        <w:rPr>
          <w:spacing w:val="-2"/>
        </w:rPr>
        <w:t>会非独立董事、聘任公司高级管理人员、会计政策变更、聘任证券事务代表等相关事项发表了独立意见并</w:t>
      </w:r>
      <w:r>
        <w:rPr>
          <w:spacing w:val="-45"/>
        </w:rPr>
        <w:t> </w:t>
      </w:r>
      <w:r>
        <w:rPr>
          <w:spacing w:val="-45"/>
        </w:rPr>
      </w:r>
      <w:r>
        <w:rPr/>
        <w:t>被公司采纳。</w:t>
      </w:r>
    </w:p>
    <w:p>
      <w:pPr>
        <w:pStyle w:val="BodyText"/>
        <w:spacing w:line="408" w:lineRule="auto"/>
        <w:ind w:right="1135" w:firstLine="420"/>
        <w:jc w:val="both"/>
      </w:pPr>
      <w:r>
        <w:rPr/>
        <w:t>（</w:t>
      </w: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w:t>
      </w:r>
      <w:r>
        <w:rPr/>
        <w:t>日，公司召开第四届董事会第二十三次会议，独立董事就使用自有资金收购山西腾</w:t>
      </w:r>
      <w:r>
        <w:rPr>
          <w:w w:val="100"/>
        </w:rPr>
        <w:t> </w:t>
      </w:r>
      <w:r>
        <w:rPr/>
        <w:t>星传感技术有限公司</w:t>
      </w:r>
      <w:r>
        <w:rPr>
          <w:rFonts w:ascii="宋体" w:hAnsi="宋体" w:cs="宋体" w:eastAsia="宋体" w:hint="default"/>
        </w:rPr>
        <w:t>100%</w:t>
      </w:r>
      <w:r>
        <w:rPr/>
        <w:t>股权事项发表了独立意见并被公司采纳。</w:t>
      </w:r>
    </w:p>
    <w:p>
      <w:pPr>
        <w:pStyle w:val="BodyText"/>
        <w:spacing w:line="408" w:lineRule="auto"/>
        <w:ind w:right="1104" w:firstLine="420"/>
        <w:jc w:val="both"/>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日，公司召开第四届董事会第二十四次会议，独立董事就《</w:t>
      </w:r>
      <w:r>
        <w:rPr>
          <w:rFonts w:ascii="宋体" w:hAnsi="宋体" w:cs="宋体" w:eastAsia="宋体" w:hint="default"/>
          <w:spacing w:val="-2"/>
        </w:rPr>
        <w:t>2019</w:t>
      </w:r>
      <w:r>
        <w:rPr>
          <w:spacing w:val="-2"/>
        </w:rPr>
        <w:t>年第一季度报告》</w:t>
      </w:r>
      <w:r>
        <w:rPr>
          <w:w w:val="100"/>
        </w:rPr>
        <w:t> </w:t>
      </w:r>
      <w:r>
        <w:rPr/>
        <w:t>事项发表了独立意见并被公司采纳。</w:t>
      </w:r>
    </w:p>
    <w:p>
      <w:pPr>
        <w:pStyle w:val="BodyText"/>
        <w:spacing w:line="408" w:lineRule="auto"/>
        <w:ind w:right="1126" w:firstLine="420"/>
        <w:jc w:val="both"/>
      </w:pPr>
      <w:r>
        <w:rPr>
          <w:spacing w:val="-2"/>
        </w:rPr>
        <w:t>（</w:t>
      </w:r>
      <w:r>
        <w:rPr>
          <w:rFonts w:ascii="宋体" w:hAnsi="宋体" w:cs="宋体" w:eastAsia="宋体" w:hint="default"/>
          <w:spacing w:val="-2"/>
        </w:rPr>
        <w:t>4</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日，公司召开第四届董事会第二十五次会议，独立董事就为控股子公司提供续贷担</w:t>
      </w:r>
      <w:r>
        <w:rPr>
          <w:w w:val="100"/>
        </w:rPr>
        <w:t> </w:t>
      </w:r>
      <w:r>
        <w:rPr/>
        <w:t>保事项发表了独立意见并被公司采纳。</w:t>
      </w:r>
    </w:p>
    <w:p>
      <w:pPr>
        <w:pStyle w:val="BodyText"/>
        <w:spacing w:line="408" w:lineRule="auto" w:before="43"/>
        <w:ind w:right="1105" w:firstLine="420"/>
        <w:jc w:val="both"/>
      </w:pPr>
      <w:r>
        <w:rPr/>
        <w:t>（</w:t>
      </w:r>
      <w:r>
        <w:rPr>
          <w:rFonts w:ascii="宋体" w:hAnsi="宋体" w:cs="宋体" w:eastAsia="宋体" w:hint="default"/>
        </w:rPr>
        <w:t>5</w:t>
      </w:r>
      <w:r>
        <w:rPr/>
        <w:t>）</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6</w:t>
      </w:r>
      <w:r>
        <w:rPr/>
        <w:t>日，公司召开第四届董事会第二十六次会议，独立董事就《</w:t>
      </w:r>
      <w:r>
        <w:rPr>
          <w:rFonts w:ascii="宋体" w:hAnsi="宋体" w:cs="宋体" w:eastAsia="宋体" w:hint="default"/>
        </w:rPr>
        <w:t>2019</w:t>
      </w:r>
      <w:r>
        <w:rPr/>
        <w:t>年半年度报告及其</w:t>
      </w:r>
      <w:r>
        <w:rPr>
          <w:w w:val="100"/>
        </w:rPr>
        <w:t> </w:t>
      </w:r>
      <w:r>
        <w:rPr>
          <w:spacing w:val="-2"/>
        </w:rPr>
        <w:t>摘要》、公司符合创业板非公开发行股票条件、公司创业板非公开发行股票方案、公司创业板非公开发行</w:t>
      </w:r>
      <w:r>
        <w:rPr>
          <w:spacing w:val="-47"/>
        </w:rPr>
        <w:t> </w:t>
      </w:r>
      <w:r>
        <w:rPr>
          <w:spacing w:val="-47"/>
        </w:rPr>
      </w:r>
      <w:r>
        <w:rPr>
          <w:spacing w:val="-2"/>
        </w:rPr>
        <w:t>股票预案、公司非公开发行股票方案论证分析报告、公司非公开发行股票募集资金使用可行性分析报告、</w:t>
      </w:r>
      <w:r>
        <w:rPr>
          <w:spacing w:val="-21"/>
        </w:rPr>
        <w:t> </w:t>
      </w:r>
      <w:r>
        <w:rPr>
          <w:spacing w:val="-21"/>
        </w:rPr>
      </w:r>
      <w:r>
        <w:rPr>
          <w:spacing w:val="-2"/>
        </w:rPr>
        <w:t>公司前次募集资金使用情况专项报告、非公开发行股票摊薄即期回报的风险提示及填补回报措施、公司控</w:t>
      </w:r>
      <w:r>
        <w:rPr>
          <w:spacing w:val="-44"/>
        </w:rPr>
        <w:t> </w:t>
      </w:r>
      <w:r>
        <w:rPr>
          <w:spacing w:val="-44"/>
        </w:rPr>
      </w:r>
      <w:r>
        <w:rPr>
          <w:spacing w:val="-2"/>
        </w:rPr>
        <w:t>股股东、实际控制人、董事和高级管理人员关于非公开发行股票摊薄即期回报采取填补措施承诺、公司未</w:t>
      </w:r>
      <w:r>
        <w:rPr>
          <w:spacing w:val="-43"/>
        </w:rPr>
        <w:t> </w:t>
      </w:r>
      <w:r>
        <w:rPr>
          <w:spacing w:val="-43"/>
        </w:rPr>
      </w:r>
      <w:r>
        <w:rPr/>
        <w:t>来三年（</w:t>
      </w:r>
      <w:r>
        <w:rPr>
          <w:rFonts w:ascii="宋体" w:hAnsi="宋体" w:cs="宋体" w:eastAsia="宋体" w:hint="default"/>
        </w:rPr>
        <w:t>2019-2021</w:t>
      </w:r>
      <w:r>
        <w:rPr/>
        <w:t>）股东回报规划、提请股东大会授权董事会全权办理本次非公开发行股票相关事宜、</w:t>
      </w:r>
      <w:r>
        <w:rPr>
          <w:spacing w:val="-27"/>
        </w:rPr>
        <w:t> </w:t>
      </w:r>
      <w:r>
        <w:rPr>
          <w:spacing w:val="-27"/>
        </w:rPr>
      </w:r>
      <w:r>
        <w:rPr>
          <w:spacing w:val="-2"/>
        </w:rPr>
        <w:t>会计政策变更、非经常性损益审核报告、召开</w:t>
      </w:r>
      <w:r>
        <w:rPr>
          <w:rFonts w:ascii="宋体" w:hAnsi="宋体" w:cs="宋体" w:eastAsia="宋体" w:hint="default"/>
          <w:spacing w:val="-2"/>
        </w:rPr>
        <w:t>2019</w:t>
      </w:r>
      <w:r>
        <w:rPr>
          <w:spacing w:val="-2"/>
        </w:rPr>
        <w:t>年第一次临时股东大会等相关事项发表了独立意见并被</w:t>
      </w:r>
      <w:r>
        <w:rPr>
          <w:spacing w:val="-38"/>
        </w:rPr>
        <w:t> </w:t>
      </w:r>
      <w:r>
        <w:rPr>
          <w:spacing w:val="-38"/>
        </w:rPr>
      </w:r>
      <w:r>
        <w:rPr/>
        <w:t>公司采纳。</w:t>
      </w:r>
    </w:p>
    <w:p>
      <w:pPr>
        <w:pStyle w:val="BodyText"/>
        <w:spacing w:line="408" w:lineRule="auto"/>
        <w:ind w:right="0" w:firstLine="420"/>
        <w:jc w:val="left"/>
      </w:pPr>
      <w:r>
        <w:rPr>
          <w:spacing w:val="-2"/>
        </w:rPr>
        <w:t>（</w:t>
      </w:r>
      <w:r>
        <w:rPr>
          <w:rFonts w:ascii="宋体" w:hAnsi="宋体" w:cs="宋体" w:eastAsia="宋体" w:hint="default"/>
          <w:spacing w:val="-2"/>
        </w:rPr>
        <w:t>6</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25</w:t>
      </w:r>
      <w:r>
        <w:rPr>
          <w:spacing w:val="-2"/>
        </w:rPr>
        <w:t>日，公司召开第四届董事会第二十七次会议，独立董事就《</w:t>
      </w:r>
      <w:r>
        <w:rPr>
          <w:rFonts w:ascii="宋体" w:hAnsi="宋体" w:cs="宋体" w:eastAsia="宋体" w:hint="default"/>
          <w:spacing w:val="-2"/>
        </w:rPr>
        <w:t>2019</w:t>
      </w:r>
      <w:r>
        <w:rPr>
          <w:spacing w:val="-2"/>
        </w:rPr>
        <w:t>年第三季度报告》</w:t>
      </w:r>
      <w:r>
        <w:rPr>
          <w:w w:val="100"/>
        </w:rPr>
        <w:t> </w:t>
      </w:r>
      <w:r>
        <w:rPr/>
        <w:t>事项发表了独立意见并被公司采纳。</w:t>
      </w:r>
    </w:p>
    <w:p>
      <w:pPr>
        <w:pStyle w:val="BodyText"/>
        <w:spacing w:line="408" w:lineRule="auto"/>
        <w:ind w:right="1133" w:firstLine="420"/>
        <w:jc w:val="both"/>
      </w:pPr>
      <w:r>
        <w:rPr/>
        <w:t>（</w:t>
      </w:r>
      <w:r>
        <w:rPr>
          <w:rFonts w:ascii="宋体" w:hAnsi="宋体" w:cs="宋体" w:eastAsia="宋体" w:hint="default"/>
        </w:rPr>
        <w:t>7</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27</w:t>
      </w:r>
      <w:r>
        <w:rPr/>
        <w:t>日，公司召开第四届董事会第二十八次会议，独立董事就公司董事会换届选举暨</w:t>
      </w:r>
      <w:r>
        <w:rPr>
          <w:w w:val="100"/>
        </w:rPr>
        <w:t> </w:t>
      </w:r>
      <w:r>
        <w:rPr>
          <w:spacing w:val="2"/>
        </w:rPr>
        <w:t>第五届董事会董事候选人提名、召开</w:t>
      </w:r>
      <w:r>
        <w:rPr>
          <w:rFonts w:ascii="宋体" w:hAnsi="宋体" w:cs="宋体" w:eastAsia="宋体" w:hint="default"/>
          <w:spacing w:val="2"/>
        </w:rPr>
        <w:t>2020</w:t>
      </w:r>
      <w:r>
        <w:rPr>
          <w:spacing w:val="2"/>
        </w:rPr>
        <w:t>年第一次临时股东大会等相关事项发表了独立意见并被公司采</w:t>
      </w:r>
      <w:r>
        <w:rPr>
          <w:spacing w:val="-29"/>
        </w:rPr>
        <w:t> </w:t>
      </w:r>
      <w:r>
        <w:rPr>
          <w:spacing w:val="-29"/>
        </w:rPr>
      </w:r>
      <w:r>
        <w:rPr/>
        <w:t>纳。</w:t>
      </w:r>
    </w:p>
    <w:p>
      <w:pPr>
        <w:spacing w:after="0" w:line="408"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0"/>
        <w:jc w:val="left"/>
      </w:pPr>
      <w:r>
        <w:rPr/>
        <w:t>（一）审计委员会履职情况</w:t>
      </w:r>
      <w:r>
        <w:rPr>
          <w:w w:val="100"/>
        </w:rPr>
        <w:t> </w:t>
      </w:r>
      <w:r>
        <w:rPr>
          <w:spacing w:val="-2"/>
        </w:rPr>
        <w:t>报告期内，审计委员会根据《公司法》、《证券法》、《上市公司治理准则》、《内部审计制度》及</w:t>
      </w:r>
    </w:p>
    <w:p>
      <w:pPr>
        <w:pStyle w:val="BodyText"/>
        <w:spacing w:line="408" w:lineRule="auto"/>
        <w:ind w:right="1126"/>
        <w:jc w:val="both"/>
      </w:pPr>
      <w:r>
        <w:rPr/>
        <w:t>《董事会专门委员会工作细则》等有关规定，积极履行职责。报告期内，审计委员会共召开了</w:t>
      </w:r>
      <w:r>
        <w:rPr>
          <w:rFonts w:ascii="宋体" w:hAnsi="宋体" w:cs="宋体" w:eastAsia="宋体" w:hint="default"/>
        </w:rPr>
        <w:t>4</w:t>
      </w:r>
      <w:r>
        <w:rPr/>
        <w:t>次会议，</w:t>
      </w:r>
      <w:r>
        <w:rPr>
          <w:spacing w:val="-20"/>
        </w:rPr>
        <w:t> </w:t>
      </w:r>
      <w:r>
        <w:rPr>
          <w:spacing w:val="-20"/>
        </w:rPr>
      </w:r>
      <w:r>
        <w:rPr>
          <w:rFonts w:ascii="宋体" w:hAnsi="宋体" w:cs="宋体" w:eastAsia="宋体" w:hint="default"/>
          <w:spacing w:val="-2"/>
        </w:rPr>
        <w:t>2019</w:t>
      </w:r>
      <w:r>
        <w:rPr>
          <w:spacing w:val="-2"/>
        </w:rPr>
        <w:t>年第一次会议审议了</w:t>
      </w:r>
      <w:r>
        <w:rPr>
          <w:rFonts w:ascii="宋体" w:hAnsi="宋体" w:cs="宋体" w:eastAsia="宋体" w:hint="default"/>
          <w:spacing w:val="-2"/>
        </w:rPr>
        <w:t>2018</w:t>
      </w:r>
      <w:r>
        <w:rPr>
          <w:spacing w:val="-2"/>
        </w:rPr>
        <w:t>年度报告相关事项和</w:t>
      </w:r>
      <w:r>
        <w:rPr>
          <w:rFonts w:ascii="宋体" w:hAnsi="宋体" w:cs="宋体" w:eastAsia="宋体" w:hint="default"/>
          <w:spacing w:val="-2"/>
        </w:rPr>
        <w:t>2018</w:t>
      </w:r>
      <w:r>
        <w:rPr>
          <w:spacing w:val="-2"/>
        </w:rPr>
        <w:t>年第四季度内审工作总结；</w:t>
      </w:r>
      <w:r>
        <w:rPr>
          <w:rFonts w:ascii="宋体" w:hAnsi="宋体" w:cs="宋体" w:eastAsia="宋体" w:hint="default"/>
          <w:spacing w:val="-2"/>
        </w:rPr>
        <w:t>2019</w:t>
      </w:r>
      <w:r>
        <w:rPr>
          <w:spacing w:val="-2"/>
        </w:rPr>
        <w:t>年第二次会议审议</w:t>
      </w:r>
      <w:r>
        <w:rPr>
          <w:spacing w:val="-34"/>
        </w:rPr>
        <w:t> </w:t>
      </w:r>
      <w:r>
        <w:rPr>
          <w:spacing w:val="-34"/>
        </w:rPr>
      </w:r>
      <w:r>
        <w:rPr>
          <w:spacing w:val="-2"/>
        </w:rPr>
        <w:t>了</w:t>
      </w:r>
      <w:r>
        <w:rPr>
          <w:rFonts w:ascii="宋体" w:hAnsi="宋体" w:cs="宋体" w:eastAsia="宋体" w:hint="default"/>
          <w:spacing w:val="-2"/>
        </w:rPr>
        <w:t>2019</w:t>
      </w:r>
      <w:r>
        <w:rPr>
          <w:spacing w:val="-2"/>
        </w:rPr>
        <w:t>年第一季度报告相关事项和</w:t>
      </w:r>
      <w:r>
        <w:rPr>
          <w:rFonts w:ascii="宋体" w:hAnsi="宋体" w:cs="宋体" w:eastAsia="宋体" w:hint="default"/>
          <w:spacing w:val="-2"/>
        </w:rPr>
        <w:t>2019</w:t>
      </w:r>
      <w:r>
        <w:rPr>
          <w:spacing w:val="-2"/>
        </w:rPr>
        <w:t>年第一季度内审工作总结；</w:t>
      </w:r>
      <w:r>
        <w:rPr>
          <w:rFonts w:ascii="宋体" w:hAnsi="宋体" w:cs="宋体" w:eastAsia="宋体" w:hint="default"/>
          <w:spacing w:val="-2"/>
        </w:rPr>
        <w:t>2019</w:t>
      </w:r>
      <w:r>
        <w:rPr>
          <w:spacing w:val="-2"/>
        </w:rPr>
        <w:t>年第三次会议审议了</w:t>
      </w:r>
      <w:r>
        <w:rPr>
          <w:rFonts w:ascii="宋体" w:hAnsi="宋体" w:cs="宋体" w:eastAsia="宋体" w:hint="default"/>
          <w:spacing w:val="-2"/>
        </w:rPr>
        <w:t>2019</w:t>
      </w:r>
      <w:r>
        <w:rPr>
          <w:spacing w:val="-2"/>
        </w:rPr>
        <w:t>年半年度</w:t>
      </w:r>
      <w:r>
        <w:rPr>
          <w:spacing w:val="-29"/>
        </w:rPr>
        <w:t> </w:t>
      </w:r>
      <w:r>
        <w:rPr>
          <w:spacing w:val="-29"/>
        </w:rPr>
      </w:r>
      <w:r>
        <w:rPr/>
        <w:t>报告相关事项和</w:t>
      </w:r>
      <w:r>
        <w:rPr>
          <w:rFonts w:ascii="宋体" w:hAnsi="宋体" w:cs="宋体" w:eastAsia="宋体" w:hint="default"/>
        </w:rPr>
        <w:t>2019</w:t>
      </w:r>
      <w:r>
        <w:rPr/>
        <w:t>年半年度内审工作总结；</w:t>
      </w:r>
      <w:r>
        <w:rPr>
          <w:rFonts w:ascii="宋体" w:hAnsi="宋体" w:cs="宋体" w:eastAsia="宋体" w:hint="default"/>
        </w:rPr>
        <w:t>2019</w:t>
      </w:r>
      <w:r>
        <w:rPr/>
        <w:t>年第四次会议审议了</w:t>
      </w:r>
      <w:r>
        <w:rPr>
          <w:rFonts w:ascii="宋体" w:hAnsi="宋体" w:cs="宋体" w:eastAsia="宋体" w:hint="default"/>
        </w:rPr>
        <w:t>2019</w:t>
      </w:r>
      <w:r>
        <w:rPr/>
        <w:t>年第三季度报告相关事项和</w:t>
      </w:r>
      <w:r>
        <w:rPr>
          <w:spacing w:val="66"/>
        </w:rPr>
        <w:t> </w:t>
      </w:r>
      <w:r>
        <w:rPr>
          <w:spacing w:val="66"/>
        </w:rPr>
      </w:r>
      <w:r>
        <w:rPr>
          <w:rFonts w:ascii="宋体" w:hAnsi="宋体" w:cs="宋体" w:eastAsia="宋体" w:hint="default"/>
        </w:rPr>
        <w:t>2019</w:t>
      </w:r>
      <w:r>
        <w:rPr/>
        <w:t>年第三季度内审工作总结。</w:t>
      </w:r>
    </w:p>
    <w:p>
      <w:pPr>
        <w:pStyle w:val="BodyText"/>
        <w:spacing w:line="408" w:lineRule="auto"/>
        <w:ind w:left="573" w:right="0"/>
        <w:jc w:val="left"/>
      </w:pPr>
      <w:r>
        <w:rPr/>
        <w:t>（二）薪酬与考核委员会履职情况</w:t>
      </w:r>
      <w:r>
        <w:rPr>
          <w:w w:val="100"/>
        </w:rPr>
        <w:t> </w:t>
      </w:r>
      <w:r>
        <w:rPr>
          <w:spacing w:val="-2"/>
        </w:rPr>
        <w:t>报告期内，薪酬与考核委员会对公司董事、监事和高级管理人员的薪酬情况进行了审核，认为其薪酬</w:t>
      </w:r>
    </w:p>
    <w:p>
      <w:pPr>
        <w:pStyle w:val="BodyText"/>
        <w:spacing w:line="408" w:lineRule="auto"/>
        <w:ind w:right="0"/>
        <w:jc w:val="left"/>
      </w:pPr>
      <w:r>
        <w:rPr>
          <w:spacing w:val="-2"/>
        </w:rPr>
        <w:t>标准和年度薪酬总额的确定符合公司相关薪酬管理制度的规定。同时，薪酬与考核委员会不断探讨绩效考</w:t>
      </w:r>
      <w:r>
        <w:rPr>
          <w:spacing w:val="-44"/>
        </w:rPr>
        <w:t> </w:t>
      </w:r>
      <w:r>
        <w:rPr>
          <w:spacing w:val="-44"/>
        </w:rPr>
      </w:r>
      <w:r>
        <w:rPr>
          <w:spacing w:val="-5"/>
        </w:rPr>
        <w:t>核体系的进一步完善，为充分调动公司及公司控股子公司董事、监事、高级管理人员和核心员工的积极性，</w:t>
      </w:r>
      <w:r>
        <w:rPr>
          <w:spacing w:val="-6"/>
        </w:rPr>
        <w:t> </w:t>
      </w:r>
      <w:r>
        <w:rPr>
          <w:spacing w:val="-6"/>
        </w:rPr>
      </w:r>
      <w:r>
        <w:rPr>
          <w:spacing w:val="-2"/>
        </w:rPr>
        <w:t>增强公司管理团队和核心员工对实现公司健康、持续发展的责任感、使命感，有效地将股东利益、公司利</w:t>
      </w:r>
      <w:r>
        <w:rPr>
          <w:spacing w:val="-47"/>
        </w:rPr>
        <w:t> </w:t>
      </w:r>
      <w:r>
        <w:rPr>
          <w:spacing w:val="-47"/>
        </w:rPr>
      </w:r>
      <w:r>
        <w:rPr>
          <w:spacing w:val="-2"/>
        </w:rPr>
        <w:t>益和公司员工利益结合在一起，使各方共同关注公司的长远发展，减少管理者的短期行为。报告期内，薪</w:t>
      </w:r>
      <w:r>
        <w:rPr>
          <w:spacing w:val="-47"/>
        </w:rPr>
        <w:t> </w:t>
      </w:r>
      <w:r>
        <w:rPr>
          <w:spacing w:val="-47"/>
        </w:rPr>
      </w:r>
      <w:r>
        <w:rPr>
          <w:spacing w:val="-2"/>
        </w:rPr>
        <w:t>酬与考核委员会认为，公司董事、监事和高级管理人员根据各自的分工，认真履行了相应的职责，较好的</w:t>
      </w:r>
      <w:r>
        <w:rPr>
          <w:spacing w:val="-49"/>
        </w:rPr>
        <w:t> </w:t>
      </w:r>
      <w:r>
        <w:rPr>
          <w:spacing w:val="-49"/>
        </w:rPr>
      </w:r>
      <w:r>
        <w:rPr/>
        <w:t>完成了其工作目标。报告期内，薪酬与考核委员会召开了</w:t>
      </w:r>
      <w:r>
        <w:rPr>
          <w:rFonts w:ascii="宋体" w:hAnsi="宋体" w:cs="宋体" w:eastAsia="宋体" w:hint="default"/>
        </w:rPr>
        <w:t>1</w:t>
      </w:r>
      <w:r>
        <w:rPr/>
        <w:t>次会议，对公司董事和高级管理人员绩效评价</w:t>
      </w:r>
      <w:r>
        <w:rPr>
          <w:spacing w:val="-22"/>
        </w:rPr>
        <w:t> </w:t>
      </w:r>
      <w:r>
        <w:rPr>
          <w:spacing w:val="-22"/>
        </w:rPr>
      </w:r>
      <w:r>
        <w:rPr/>
        <w:t>总结、</w:t>
      </w:r>
      <w:r>
        <w:rPr>
          <w:rFonts w:ascii="宋体" w:hAnsi="宋体" w:cs="宋体" w:eastAsia="宋体" w:hint="default"/>
        </w:rPr>
        <w:t>2019</w:t>
      </w:r>
      <w:r>
        <w:rPr/>
        <w:t>年董事、监事和高级管理人员的薪酬事项进行了审核，并提交给董事会和监事会审议。</w:t>
      </w:r>
    </w:p>
    <w:p>
      <w:pPr>
        <w:pStyle w:val="BodyText"/>
        <w:spacing w:line="408" w:lineRule="auto"/>
        <w:ind w:left="573" w:right="0"/>
        <w:jc w:val="left"/>
      </w:pPr>
      <w:r>
        <w:rPr/>
        <w:t>（三）提名委员会履职情况</w:t>
      </w:r>
      <w:r>
        <w:rPr>
          <w:w w:val="100"/>
        </w:rPr>
        <w:t> </w:t>
      </w:r>
      <w:r>
        <w:rPr>
          <w:spacing w:val="-2"/>
        </w:rPr>
        <w:t>报告期内，提名委员会按照《董事会专门委员会工作细则》履行职责，提名委员会认为公司董事会人</w:t>
      </w:r>
    </w:p>
    <w:p>
      <w:pPr>
        <w:pStyle w:val="BodyText"/>
        <w:spacing w:line="408" w:lineRule="auto"/>
        <w:ind w:right="1129"/>
        <w:jc w:val="both"/>
      </w:pPr>
      <w:r>
        <w:rPr>
          <w:spacing w:val="-2"/>
        </w:rPr>
        <w:t>员结构合理，高管团队具有丰富的行业经验和管理经验，完全胜任各自的工作。报告期内，提名委员会召</w:t>
      </w:r>
      <w:r>
        <w:rPr>
          <w:spacing w:val="-47"/>
        </w:rPr>
        <w:t> </w:t>
      </w:r>
      <w:r>
        <w:rPr>
          <w:spacing w:val="-47"/>
        </w:rPr>
      </w:r>
      <w:r>
        <w:rPr/>
        <w:t>开了</w:t>
      </w:r>
      <w:r>
        <w:rPr>
          <w:rFonts w:ascii="宋体" w:hAnsi="宋体" w:cs="宋体" w:eastAsia="宋体" w:hint="default"/>
        </w:rPr>
        <w:t>2</w:t>
      </w:r>
      <w:r>
        <w:rPr/>
        <w:t>次会议，审议了《关于提名公司第四届董事会非独立董事的议案》、《关于提名第五届董事会董事</w:t>
      </w:r>
      <w:r>
        <w:rPr>
          <w:spacing w:val="-21"/>
        </w:rPr>
        <w:t> </w:t>
      </w:r>
      <w:r>
        <w:rPr>
          <w:spacing w:val="-21"/>
        </w:rPr>
      </w:r>
      <w:r>
        <w:rPr/>
        <w:t>的议案》。</w:t>
      </w:r>
    </w:p>
    <w:p>
      <w:pPr>
        <w:pStyle w:val="BodyText"/>
        <w:spacing w:line="410" w:lineRule="auto"/>
        <w:ind w:left="573" w:right="0"/>
        <w:jc w:val="left"/>
      </w:pPr>
      <w:r>
        <w:rPr/>
        <w:t>（四）战略发展委员会履职情况</w:t>
      </w:r>
      <w:r>
        <w:rPr>
          <w:w w:val="100"/>
        </w:rPr>
        <w:t> </w:t>
      </w:r>
      <w:r>
        <w:rPr>
          <w:spacing w:val="-2"/>
        </w:rPr>
        <w:t>报告期内，公司战略发展委员会认真研究国家宏观经济政策、结构调整对公司的影响，跟踪国内外同</w:t>
      </w:r>
    </w:p>
    <w:p>
      <w:pPr>
        <w:pStyle w:val="BodyText"/>
        <w:spacing w:line="408" w:lineRule="auto" w:before="44"/>
        <w:ind w:right="1127"/>
        <w:jc w:val="both"/>
      </w:pPr>
      <w:r>
        <w:rPr>
          <w:spacing w:val="-2"/>
        </w:rPr>
        <w:t>行业发展动向，结合公司战略发展要求，向公司董事会提出有关结构调整、资本运作、长远发展等事项的</w:t>
      </w:r>
      <w:r>
        <w:rPr>
          <w:spacing w:val="-50"/>
        </w:rPr>
        <w:t> </w:t>
      </w:r>
      <w:r>
        <w:rPr>
          <w:spacing w:val="-50"/>
        </w:rPr>
      </w:r>
      <w:r>
        <w:rPr>
          <w:spacing w:val="-2"/>
        </w:rPr>
        <w:t>建议，对促进公司转方式、调结构，规避市场风险，起到积极良好的作用。报告期内，战略发展委员会召</w:t>
      </w:r>
      <w:r>
        <w:rPr>
          <w:spacing w:val="-42"/>
        </w:rPr>
        <w:t> </w:t>
      </w:r>
      <w:r>
        <w:rPr>
          <w:spacing w:val="-42"/>
        </w:rPr>
      </w:r>
      <w:r>
        <w:rPr/>
        <w:t>开了</w:t>
      </w:r>
      <w:r>
        <w:rPr>
          <w:rFonts w:ascii="宋体" w:hAnsi="宋体" w:cs="宋体" w:eastAsia="宋体" w:hint="default"/>
        </w:rPr>
        <w:t>2</w:t>
      </w:r>
      <w:r>
        <w:rPr/>
        <w:t>次会议，分别审议了《关于使用自有资金收购山西腾星传感技术有限公司</w:t>
      </w:r>
      <w:r>
        <w:rPr>
          <w:rFonts w:ascii="宋体" w:hAnsi="宋体" w:cs="宋体" w:eastAsia="宋体" w:hint="default"/>
        </w:rPr>
        <w:t>100%</w:t>
      </w:r>
      <w:r>
        <w:rPr/>
        <w:t>股权的议案》、《关</w:t>
      </w:r>
      <w:r>
        <w:rPr>
          <w:spacing w:val="-25"/>
        </w:rPr>
        <w:t> </w:t>
      </w:r>
      <w:r>
        <w:rPr>
          <w:spacing w:val="-25"/>
        </w:rPr>
      </w:r>
      <w:r>
        <w:rPr/>
        <w:t>于公司</w:t>
      </w:r>
      <w:r>
        <w:rPr>
          <w:rFonts w:ascii="宋体" w:hAnsi="宋体" w:cs="宋体" w:eastAsia="宋体" w:hint="default"/>
        </w:rPr>
        <w:t>2020</w:t>
      </w:r>
      <w:r>
        <w:rPr/>
        <w:t>年战略发展规划的议案》。</w:t>
      </w:r>
    </w:p>
    <w:p>
      <w:pPr>
        <w:spacing w:after="0" w:line="408"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报告期内，按照《汉威科技中高层管理人员绩效考核办法》和《</w:t>
      </w:r>
      <w:r>
        <w:rPr>
          <w:rFonts w:ascii="宋体" w:hAnsi="宋体" w:cs="宋体" w:eastAsia="宋体" w:hint="default"/>
          <w:spacing w:val="-2"/>
        </w:rPr>
        <w:t>2019</w:t>
      </w:r>
      <w:r>
        <w:rPr>
          <w:spacing w:val="-2"/>
        </w:rPr>
        <w:t>年度关于开展中高层管理人员综</w:t>
      </w:r>
      <w:r>
        <w:rPr>
          <w:w w:val="100"/>
        </w:rPr>
        <w:t> </w:t>
      </w:r>
      <w:r>
        <w:rPr>
          <w:spacing w:val="-2"/>
        </w:rPr>
        <w:t>合考核评价实施办法》，公司对高级管理人员进行了四个季度考核、半年度述职和年终综合考评，公司的</w:t>
      </w:r>
      <w:r>
        <w:rPr>
          <w:spacing w:val="-47"/>
        </w:rPr>
        <w:t> </w:t>
      </w:r>
      <w:r>
        <w:rPr>
          <w:spacing w:val="-47"/>
        </w:rPr>
      </w:r>
      <w:r>
        <w:rPr>
          <w:spacing w:val="-2"/>
        </w:rPr>
        <w:t>各项考核制度较为合理地把高级管理人员的工作业绩与其薪酬进行挂钩，并且特别制定超额激励的奖励标</w:t>
      </w:r>
      <w:r>
        <w:rPr>
          <w:spacing w:val="-43"/>
        </w:rPr>
        <w:t> </w:t>
      </w:r>
      <w:r>
        <w:rPr>
          <w:spacing w:val="-43"/>
        </w:rPr>
      </w:r>
      <w:r>
        <w:rPr>
          <w:spacing w:val="-2"/>
        </w:rPr>
        <w:t>准和计算方法，极大的提高了高级管理人员的积极性，同时高管薪酬的确定符合公司薪酬管理和业绩考评</w:t>
      </w:r>
      <w:r>
        <w:rPr>
          <w:spacing w:val="-43"/>
        </w:rPr>
        <w:t> </w:t>
      </w:r>
      <w:r>
        <w:rPr>
          <w:spacing w:val="-43"/>
        </w:rPr>
      </w:r>
      <w:r>
        <w:rPr/>
        <w:t>激励等制度的有关规定。</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3231"/>
        <w:gridCol w:w="3369"/>
        <w:gridCol w:w="3091"/>
      </w:tblGrid>
      <w:tr>
        <w:trPr>
          <w:trHeight w:val="413"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459" w:type="dxa"/>
            <w:gridSpan w:val="2"/>
            <w:tcBorders>
              <w:top w:val="single" w:sz="12" w:space="0" w:color="000000"/>
              <w:left w:val="single" w:sz="13" w:space="0" w:color="D2D2D2"/>
              <w:bottom w:val="single" w:sz="4" w:space="0" w:color="000000"/>
              <w:right w:val="single" w:sz="12"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61" w:hRule="exact"/>
        </w:trPr>
        <w:tc>
          <w:tcPr>
            <w:tcW w:w="3231" w:type="dxa"/>
            <w:tcBorders>
              <w:top w:val="single" w:sz="4" w:space="0" w:color="000000"/>
              <w:left w:val="single" w:sz="12" w:space="0" w:color="000000"/>
              <w:bottom w:val="nil" w:sz="6" w:space="0" w:color="auto"/>
              <w:right w:val="single" w:sz="4" w:space="0" w:color="000000"/>
            </w:tcBorders>
            <w:shd w:val="clear" w:color="auto" w:fill="D2D2D2"/>
          </w:tcPr>
          <w:p>
            <w:pPr/>
          </w:p>
        </w:tc>
        <w:tc>
          <w:tcPr>
            <w:tcW w:w="6459" w:type="dxa"/>
            <w:gridSpan w:val="2"/>
            <w:vMerge w:val="restart"/>
            <w:tcBorders>
              <w:top w:val="single" w:sz="4" w:space="0" w:color="000000"/>
              <w:left w:val="single" w:sz="10" w:space="0" w:color="D2D2D2"/>
              <w:right w:val="single" w:sz="12" w:space="0" w:color="000000"/>
            </w:tcBorders>
          </w:tcPr>
          <w:p>
            <w:pPr>
              <w:pStyle w:val="TableParagraph"/>
              <w:spacing w:line="300" w:lineRule="auto" w:before="49"/>
              <w:ind w:left="16" w:right="5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8"/>
                <w:sz w:val="18"/>
                <w:szCs w:val="18"/>
              </w:rPr>
              <w:t> </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日披露《</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年度内部控制自我 评价报告》</w:t>
            </w:r>
          </w:p>
        </w:tc>
      </w:tr>
      <w:tr>
        <w:trPr>
          <w:trHeight w:val="391" w:hRule="exact"/>
        </w:trPr>
        <w:tc>
          <w:tcPr>
            <w:tcW w:w="3231"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459" w:type="dxa"/>
            <w:gridSpan w:val="2"/>
            <w:vMerge/>
            <w:tcBorders>
              <w:left w:val="single" w:sz="10" w:space="0" w:color="D2D2D2"/>
              <w:right w:val="single" w:sz="12" w:space="0" w:color="000000"/>
            </w:tcBorders>
          </w:tcPr>
          <w:p>
            <w:pPr/>
          </w:p>
        </w:tc>
      </w:tr>
      <w:tr>
        <w:trPr>
          <w:trHeight w:val="161" w:hRule="exact"/>
        </w:trPr>
        <w:tc>
          <w:tcPr>
            <w:tcW w:w="3231" w:type="dxa"/>
            <w:tcBorders>
              <w:top w:val="nil" w:sz="6" w:space="0" w:color="auto"/>
              <w:left w:val="single" w:sz="12" w:space="0" w:color="000000"/>
              <w:bottom w:val="single" w:sz="4" w:space="0" w:color="000000"/>
              <w:right w:val="single" w:sz="4" w:space="0" w:color="000000"/>
            </w:tcBorders>
            <w:shd w:val="clear" w:color="auto" w:fill="D2D2D2"/>
          </w:tcPr>
          <w:p>
            <w:pPr/>
          </w:p>
        </w:tc>
        <w:tc>
          <w:tcPr>
            <w:tcW w:w="6459" w:type="dxa"/>
            <w:gridSpan w:val="2"/>
            <w:vMerge/>
            <w:tcBorders>
              <w:left w:val="single" w:sz="10" w:space="0" w:color="D2D2D2"/>
              <w:bottom w:val="single" w:sz="4" w:space="0" w:color="000000"/>
              <w:right w:val="single" w:sz="12" w:space="0" w:color="000000"/>
            </w:tcBorders>
          </w:tcPr>
          <w:p>
            <w:pPr/>
          </w:p>
        </w:tc>
      </w:tr>
      <w:tr>
        <w:trPr>
          <w:trHeight w:val="715" w:hRule="exact"/>
        </w:trPr>
        <w:tc>
          <w:tcPr>
            <w:tcW w:w="32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7" w:right="14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459" w:type="dxa"/>
            <w:gridSpan w:val="2"/>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95.00%</w:t>
            </w:r>
          </w:p>
        </w:tc>
      </w:tr>
      <w:tr>
        <w:trPr>
          <w:trHeight w:val="714" w:hRule="exact"/>
        </w:trPr>
        <w:tc>
          <w:tcPr>
            <w:tcW w:w="32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14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459" w:type="dxa"/>
            <w:gridSpan w:val="2"/>
            <w:tcBorders>
              <w:top w:val="single" w:sz="4" w:space="0" w:color="000000"/>
              <w:left w:val="single" w:sz="13" w:space="0" w:color="D2D2D2"/>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96.00%</w:t>
            </w:r>
          </w:p>
        </w:tc>
      </w:tr>
      <w:tr>
        <w:trPr>
          <w:trHeight w:val="397" w:hRule="exact"/>
        </w:trPr>
        <w:tc>
          <w:tcPr>
            <w:tcW w:w="9691" w:type="dxa"/>
            <w:gridSpan w:val="3"/>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18"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17"/>
              <w:jc w:val="center"/>
              <w:rPr>
                <w:rFonts w:ascii="宋体" w:hAnsi="宋体" w:cs="宋体" w:eastAsia="宋体" w:hint="default"/>
                <w:sz w:val="18"/>
                <w:szCs w:val="18"/>
              </w:rPr>
            </w:pPr>
            <w:r>
              <w:rPr>
                <w:rFonts w:ascii="宋体" w:hAnsi="宋体" w:cs="宋体" w:eastAsia="宋体" w:hint="default"/>
                <w:sz w:val="18"/>
                <w:szCs w:val="18"/>
              </w:rPr>
              <w:t>类别</w:t>
            </w:r>
          </w:p>
        </w:tc>
        <w:tc>
          <w:tcPr>
            <w:tcW w:w="3369"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91"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10" w:type="dxa"/>
        <w:tblLayout w:type="fixed"/>
        <w:tblCellMar>
          <w:top w:w="0" w:type="dxa"/>
          <w:left w:w="0" w:type="dxa"/>
          <w:bottom w:w="0" w:type="dxa"/>
          <w:right w:w="0" w:type="dxa"/>
        </w:tblCellMar>
        <w:tblLook w:val="01E0"/>
      </w:tblPr>
      <w:tblGrid>
        <w:gridCol w:w="3237"/>
        <w:gridCol w:w="3368"/>
        <w:gridCol w:w="3092"/>
      </w:tblGrid>
      <w:tr>
        <w:trPr>
          <w:trHeight w:val="4158" w:hRule="exact"/>
        </w:trPr>
        <w:tc>
          <w:tcPr>
            <w:tcW w:w="323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316" w:lineRule="auto"/>
              <w:ind w:left="23" w:right="93"/>
              <w:jc w:val="both"/>
              <w:rPr>
                <w:rFonts w:ascii="宋体" w:hAnsi="宋体" w:cs="宋体" w:eastAsia="宋体" w:hint="default"/>
                <w:sz w:val="18"/>
                <w:szCs w:val="18"/>
              </w:rPr>
            </w:pPr>
            <w:r>
              <w:rPr>
                <w:rFonts w:ascii="宋体" w:hAnsi="宋体" w:cs="宋体" w:eastAsia="宋体" w:hint="default"/>
                <w:sz w:val="18"/>
                <w:szCs w:val="18"/>
              </w:rPr>
              <w:t>第一，发现缺陷是否具备合理可能性导致 内部控制不能及时防止、发现并纠正财务 报表错报；第二，发现缺陷单独或连同其 他缺陷可能导致的潜在错报金额的大小。</w:t>
            </w:r>
          </w:p>
        </w:tc>
        <w:tc>
          <w:tcPr>
            <w:tcW w:w="3092" w:type="dxa"/>
            <w:tcBorders>
              <w:top w:val="single" w:sz="12" w:space="0" w:color="000000"/>
              <w:left w:val="single" w:sz="4" w:space="0" w:color="000000"/>
              <w:bottom w:val="single" w:sz="4" w:space="0" w:color="000000"/>
              <w:right w:val="single" w:sz="12" w:space="0" w:color="000000"/>
            </w:tcBorders>
          </w:tcPr>
          <w:p>
            <w:pPr>
              <w:pStyle w:val="TableParagraph"/>
              <w:spacing w:line="316" w:lineRule="auto" w:before="51"/>
              <w:ind w:left="23" w:right="12"/>
              <w:jc w:val="left"/>
              <w:rPr>
                <w:rFonts w:ascii="宋体" w:hAnsi="宋体" w:cs="宋体" w:eastAsia="宋体" w:hint="default"/>
                <w:sz w:val="18"/>
                <w:szCs w:val="18"/>
              </w:rPr>
            </w:pPr>
            <w:r>
              <w:rPr>
                <w:rFonts w:ascii="宋体" w:hAnsi="宋体" w:cs="宋体" w:eastAsia="宋体" w:hint="default"/>
                <w:spacing w:val="-2"/>
                <w:sz w:val="18"/>
                <w:szCs w:val="18"/>
              </w:rPr>
              <w:t>第一，企业财务报表已经或者很可能被</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注册会计师出具否定意见或者拒绝表 </w:t>
            </w:r>
            <w:r>
              <w:rPr>
                <w:rFonts w:ascii="宋体" w:hAnsi="宋体" w:cs="宋体" w:eastAsia="宋体" w:hint="default"/>
                <w:spacing w:val="-2"/>
                <w:sz w:val="18"/>
                <w:szCs w:val="18"/>
              </w:rPr>
              <w:t>示意见；第二，企业审计委员会和内部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审计机构未能有效发挥监督职能；第 </w:t>
            </w:r>
            <w:r>
              <w:rPr>
                <w:rFonts w:ascii="宋体" w:hAnsi="宋体" w:cs="宋体" w:eastAsia="宋体" w:hint="default"/>
                <w:spacing w:val="-2"/>
                <w:sz w:val="18"/>
                <w:szCs w:val="18"/>
              </w:rPr>
              <w:t>三，企业董事、监事和高级管理人员已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经或者涉嫌舞弊，或者企业员工存在串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谋舞弊情形并给企业造成重要损失和 </w:t>
            </w:r>
            <w:r>
              <w:rPr>
                <w:rFonts w:ascii="宋体" w:hAnsi="宋体" w:cs="宋体" w:eastAsia="宋体" w:hint="default"/>
                <w:spacing w:val="-2"/>
                <w:sz w:val="18"/>
                <w:szCs w:val="18"/>
              </w:rPr>
              <w:t>不利影响；第四，企业在财务会计、资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产管理、资本运营、信息披露、产品质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量、安全生产、环境保护等方面发生重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大违法违规事件和责任事故，给企业造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成重要损失和不利影响，或者遭受重大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行政监管处罚。</w:t>
            </w:r>
          </w:p>
        </w:tc>
      </w:tr>
      <w:tr>
        <w:trPr>
          <w:trHeight w:val="4769" w:hRule="exact"/>
        </w:trPr>
        <w:tc>
          <w:tcPr>
            <w:tcW w:w="32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第一，利润总额潜在错报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以及资产总额、经营收入潜在错报、所有 者权益潜在错报分别</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资产总额、经营收 </w:t>
            </w:r>
            <w:r>
              <w:rPr>
                <w:rFonts w:ascii="宋体" w:hAnsi="宋体" w:cs="宋体" w:eastAsia="宋体" w:hint="default"/>
                <w:spacing w:val="-5"/>
                <w:sz w:val="18"/>
                <w:szCs w:val="18"/>
              </w:rPr>
              <w:t>入、所有者权益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应当被认定为重大缺陷 影响；第二，利润总额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利润总额潜在 错报＜利润总额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资产 总额潜在错报＜资产总额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、经营收入 </w:t>
            </w:r>
            <w:r>
              <w:rPr>
                <w:rFonts w:ascii="Times New Roman" w:hAnsi="Times New Roman" w:cs="Times New Roman" w:eastAsia="Times New Roman" w:hint="default"/>
                <w:sz w:val="18"/>
                <w:szCs w:val="18"/>
              </w:rPr>
              <w:t>0.5%≤</w:t>
            </w:r>
            <w:r>
              <w:rPr>
                <w:rFonts w:ascii="宋体" w:hAnsi="宋体" w:cs="宋体" w:eastAsia="宋体" w:hint="default"/>
                <w:sz w:val="18"/>
                <w:szCs w:val="18"/>
              </w:rPr>
              <w:t>经营收入潜在错报＜经营收入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所有者权益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所有者权益潜在错报＜ 所有者权益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应当被认定为重要缺陷影 响；第三，利润总额潜在错报＜利润总额 </w:t>
            </w:r>
            <w:r>
              <w:rPr>
                <w:rFonts w:ascii="Times New Roman" w:hAnsi="Times New Roman" w:cs="Times New Roman" w:eastAsia="Times New Roman" w:hint="default"/>
                <w:sz w:val="18"/>
                <w:szCs w:val="18"/>
              </w:rPr>
              <w:t>3%</w:t>
            </w:r>
            <w:r>
              <w:rPr>
                <w:rFonts w:ascii="宋体" w:hAnsi="宋体" w:cs="宋体" w:eastAsia="宋体" w:hint="default"/>
                <w:sz w:val="18"/>
                <w:szCs w:val="18"/>
              </w:rPr>
              <w:t>、资产总额潜在错报＜资产总额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 经营收入潜在错报＜经营收入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、所有 者权益潜在错报＜所有者权益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应当被 认定为一般缺陷影响。</w:t>
            </w:r>
          </w:p>
        </w:tc>
        <w:tc>
          <w:tcPr>
            <w:tcW w:w="309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00" w:lineRule="auto"/>
              <w:ind w:left="23" w:right="14"/>
              <w:jc w:val="left"/>
              <w:rPr>
                <w:rFonts w:ascii="宋体" w:hAnsi="宋体" w:cs="宋体" w:eastAsia="宋体" w:hint="default"/>
                <w:sz w:val="18"/>
                <w:szCs w:val="18"/>
              </w:rPr>
            </w:pPr>
            <w:r>
              <w:rPr>
                <w:rFonts w:ascii="宋体" w:hAnsi="宋体" w:cs="宋体" w:eastAsia="宋体" w:hint="default"/>
                <w:sz w:val="18"/>
                <w:szCs w:val="18"/>
              </w:rPr>
              <w:t>第一，给公司带来直接损失金额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 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应当认定为重大缺陷；第二， 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损失金额＜资产总额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应当认定为重要缺陷；第三，损失金</w:t>
            </w:r>
            <w:r>
              <w:rPr>
                <w:rFonts w:ascii="宋体" w:hAnsi="宋体" w:cs="宋体" w:eastAsia="宋体" w:hint="default"/>
                <w:sz w:val="18"/>
                <w:szCs w:val="18"/>
              </w:rPr>
              <w:t> 额＜资产总额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应当认定为一般缺 陷。</w:t>
            </w:r>
          </w:p>
        </w:tc>
      </w:tr>
      <w:tr>
        <w:trPr>
          <w:trHeight w:val="403" w:hRule="exact"/>
        </w:trPr>
        <w:tc>
          <w:tcPr>
            <w:tcW w:w="32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45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2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45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2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459"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323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459" w:type="dxa"/>
            <w:gridSpan w:val="2"/>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4"/>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88"/>
        <w:gridCol w:w="7011"/>
      </w:tblGrid>
      <w:tr>
        <w:trPr>
          <w:trHeight w:val="412" w:hRule="exact"/>
        </w:trPr>
        <w:tc>
          <w:tcPr>
            <w:tcW w:w="9698" w:type="dxa"/>
            <w:gridSpan w:val="2"/>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698" w:type="dxa"/>
            <w:gridSpan w:val="2"/>
            <w:tcBorders>
              <w:top w:val="single" w:sz="4" w:space="0" w:color="000000"/>
              <w:left w:val="single" w:sz="12" w:space="0" w:color="000000"/>
              <w:bottom w:val="single" w:sz="4" w:space="0" w:color="000000"/>
              <w:right w:val="single" w:sz="12" w:space="0" w:color="000000"/>
            </w:tcBorders>
          </w:tcPr>
          <w:p>
            <w:pPr>
              <w:pStyle w:val="TableParagraph"/>
              <w:spacing w:line="300" w:lineRule="auto" w:before="49"/>
              <w:ind w:left="14" w:right="20"/>
              <w:jc w:val="left"/>
              <w:rPr>
                <w:rFonts w:ascii="宋体" w:hAnsi="宋体" w:cs="宋体" w:eastAsia="宋体" w:hint="default"/>
                <w:sz w:val="18"/>
                <w:szCs w:val="18"/>
              </w:rPr>
            </w:pPr>
            <w:r>
              <w:rPr>
                <w:rFonts w:ascii="宋体" w:hAnsi="宋体" w:cs="宋体" w:eastAsia="宋体" w:hint="default"/>
                <w:sz w:val="18"/>
                <w:szCs w:val="18"/>
              </w:rPr>
              <w:t>我们认为，贵公司按照《企业内部控制基本规范》和相关规定于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日在所有重大方面保持了有效的财务报告 内部控制。</w:t>
            </w:r>
          </w:p>
        </w:tc>
      </w:tr>
      <w:tr>
        <w:trPr>
          <w:trHeight w:val="403" w:hRule="exact"/>
        </w:trPr>
        <w:tc>
          <w:tcPr>
            <w:tcW w:w="26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7011"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10" w:hRule="exact"/>
        </w:trPr>
        <w:tc>
          <w:tcPr>
            <w:tcW w:w="26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7011" w:type="dxa"/>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2686"/>
        <w:gridCol w:w="7011"/>
      </w:tblGrid>
      <w:tr>
        <w:trPr>
          <w:trHeight w:val="413" w:hRule="exact"/>
        </w:trPr>
        <w:tc>
          <w:tcPr>
            <w:tcW w:w="268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7011" w:type="dxa"/>
            <w:tcBorders>
              <w:top w:val="single" w:sz="12" w:space="0" w:color="000000"/>
              <w:left w:val="single" w:sz="10" w:space="0" w:color="D2D2D2"/>
              <w:bottom w:val="single" w:sz="4" w:space="0" w:color="000000"/>
              <w:right w:val="single" w:sz="12"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www.cninfo.com.cn,2020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日披露《内部控制鉴证报告》</w:t>
            </w:r>
          </w:p>
        </w:tc>
      </w:tr>
      <w:tr>
        <w:trPr>
          <w:trHeight w:val="401" w:hRule="exact"/>
        </w:trPr>
        <w:tc>
          <w:tcPr>
            <w:tcW w:w="26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7011"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10" w:hRule="exact"/>
        </w:trPr>
        <w:tc>
          <w:tcPr>
            <w:tcW w:w="268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7011" w:type="dxa"/>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0"/>
        <w:jc w:val="left"/>
        <w:rPr>
          <w:b w:val="0"/>
          <w:bCs w:val="0"/>
        </w:rPr>
      </w:pPr>
      <w:bookmarkStart w:name="第十一节 公司债券相关情况" w:id="150"/>
      <w:bookmarkEnd w:id="150"/>
      <w:r>
        <w:rPr>
          <w:b w:val="0"/>
          <w:bCs w:val="0"/>
        </w:rPr>
      </w:r>
      <w:bookmarkStart w:name="_bookmark10" w:id="151"/>
      <w:bookmarkEnd w:id="151"/>
      <w:r>
        <w:rPr>
          <w:b w:val="0"/>
          <w:bCs w:val="0"/>
        </w:rPr>
      </w:r>
      <w:r>
        <w:rPr/>
        <w:t>第十一节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0"/>
        <w:jc w:val="left"/>
        <w:rPr>
          <w:b w:val="0"/>
          <w:bCs w:val="0"/>
        </w:rPr>
      </w:pPr>
      <w:bookmarkStart w:name="第十二节 财务报告" w:id="152"/>
      <w:bookmarkEnd w:id="152"/>
      <w:r>
        <w:rPr>
          <w:b w:val="0"/>
          <w:bCs w:val="0"/>
        </w:rPr>
      </w:r>
      <w:bookmarkStart w:name="_bookmark11" w:id="153"/>
      <w:bookmarkEnd w:id="153"/>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4845"/>
        <w:gridCol w:w="4851"/>
      </w:tblGrid>
      <w:tr>
        <w:trPr>
          <w:trHeight w:val="412" w:hRule="exact"/>
        </w:trPr>
        <w:tc>
          <w:tcPr>
            <w:tcW w:w="484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85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8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2" w:hRule="exact"/>
        </w:trPr>
        <w:tc>
          <w:tcPr>
            <w:tcW w:w="48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84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28-00009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10" w:hRule="exact"/>
        </w:trPr>
        <w:tc>
          <w:tcPr>
            <w:tcW w:w="484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85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郝东升、邓小强</w:t>
            </w:r>
          </w:p>
        </w:tc>
      </w:tr>
    </w:tbl>
    <w:p>
      <w:pPr>
        <w:spacing w:before="51"/>
        <w:ind w:left="0" w:right="97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8"/>
        <w:rPr>
          <w:rFonts w:ascii="宋体" w:hAnsi="宋体" w:cs="宋体" w:eastAsia="宋体" w:hint="default"/>
          <w:sz w:val="14"/>
          <w:szCs w:val="14"/>
        </w:rPr>
      </w:pPr>
    </w:p>
    <w:p>
      <w:pPr>
        <w:pStyle w:val="Heading2"/>
        <w:spacing w:line="240" w:lineRule="auto" w:before="26"/>
        <w:ind w:right="0"/>
        <w:jc w:val="left"/>
        <w:rPr>
          <w:b w:val="0"/>
          <w:bCs w:val="0"/>
        </w:rPr>
      </w:pPr>
      <w:r>
        <w:rPr/>
        <w:t>汉威科技集团股份有限公司全体股东：</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left="633" w:right="0"/>
        <w:jc w:val="left"/>
      </w:pPr>
      <w:r>
        <w:rPr/>
        <w:t>一、审计意见</w:t>
      </w:r>
    </w:p>
    <w:p>
      <w:pPr>
        <w:pStyle w:val="BodyText"/>
        <w:spacing w:line="400" w:lineRule="auto" w:before="191"/>
        <w:ind w:right="1128" w:firstLine="420"/>
        <w:jc w:val="both"/>
      </w:pPr>
      <w:r>
        <w:rPr/>
        <w:t>我们审计了汉威科技集团股份有限公司（以下简称“贵公司”）的财务报表，包括</w:t>
      </w:r>
      <w:r>
        <w:rPr>
          <w:spacing w:val="-27"/>
        </w:rPr>
        <w:t> </w:t>
      </w:r>
      <w:r>
        <w:rPr>
          <w:rFonts w:ascii="宋体" w:hAnsi="宋体" w:cs="宋体" w:eastAsia="宋体" w:hint="default"/>
        </w:rPr>
        <w:t>2019</w:t>
      </w:r>
      <w:r>
        <w:rPr>
          <w:rFonts w:ascii="宋体" w:hAnsi="宋体" w:cs="宋体" w:eastAsia="宋体" w:hint="default"/>
          <w:spacing w:val="-25"/>
        </w:rPr>
        <w:t> </w:t>
      </w:r>
      <w:r>
        <w:rPr/>
        <w:t>年</w:t>
      </w:r>
      <w:r>
        <w:rPr>
          <w:spacing w:val="-28"/>
        </w:rPr>
        <w:t> </w:t>
      </w:r>
      <w:r>
        <w:rPr>
          <w:rFonts w:ascii="宋体" w:hAnsi="宋体" w:cs="宋体" w:eastAsia="宋体" w:hint="default"/>
        </w:rPr>
        <w:t>12</w:t>
      </w:r>
      <w:r>
        <w:rPr>
          <w:rFonts w:ascii="宋体" w:hAnsi="宋体" w:cs="宋体" w:eastAsia="宋体" w:hint="default"/>
          <w:spacing w:val="-25"/>
        </w:rPr>
        <w:t> </w:t>
      </w:r>
      <w:r>
        <w:rPr/>
        <w:t>月</w:t>
      </w:r>
      <w:r>
        <w:rPr>
          <w:spacing w:val="-25"/>
        </w:rPr>
        <w:t> </w:t>
      </w:r>
      <w:r>
        <w:rPr>
          <w:rFonts w:ascii="宋体" w:hAnsi="宋体" w:cs="宋体" w:eastAsia="宋体" w:hint="default"/>
          <w:spacing w:val="-3"/>
        </w:rPr>
        <w:t>31</w:t>
      </w:r>
      <w:r>
        <w:rPr>
          <w:rFonts w:ascii="宋体" w:hAnsi="宋体" w:cs="宋体" w:eastAsia="宋体" w:hint="default"/>
          <w:spacing w:val="-3"/>
          <w:w w:val="100"/>
        </w:rPr>
        <w:t> </w:t>
      </w:r>
      <w:r>
        <w:rPr>
          <w:spacing w:val="-3"/>
        </w:rPr>
        <w:t>日的合并及母公司资产负债表，</w:t>
      </w:r>
      <w:r>
        <w:rPr>
          <w:rFonts w:ascii="宋体" w:hAnsi="宋体" w:cs="宋体" w:eastAsia="宋体" w:hint="default"/>
          <w:spacing w:val="-3"/>
        </w:rPr>
        <w:t>2019 </w:t>
      </w:r>
      <w:r>
        <w:rPr>
          <w:spacing w:val="-4"/>
        </w:rPr>
        <w:t>年度的合并及母公司利润表、合并及母公司现金流量表、合并及母公</w:t>
      </w:r>
      <w:r>
        <w:rPr>
          <w:spacing w:val="-69"/>
        </w:rPr>
        <w:t> </w:t>
      </w:r>
      <w:r>
        <w:rPr>
          <w:spacing w:val="-69"/>
        </w:rPr>
      </w:r>
      <w:r>
        <w:rPr/>
        <w:t>司股东权益变动表，以及财务报表附注。</w:t>
      </w:r>
    </w:p>
    <w:p>
      <w:pPr>
        <w:pStyle w:val="BodyText"/>
        <w:spacing w:line="240" w:lineRule="auto" w:before="45"/>
        <w:ind w:left="573" w:right="0"/>
        <w:jc w:val="left"/>
        <w:rPr>
          <w:rFonts w:ascii="宋体" w:hAnsi="宋体" w:cs="宋体" w:eastAsia="宋体" w:hint="default"/>
        </w:rPr>
      </w:pPr>
      <w:r>
        <w:rPr/>
        <w:t>我们认为，后附的财务报表在所有重大方面按照企业会计准则的规定编制，公允反映了贵公司</w:t>
      </w:r>
      <w:r>
        <w:rPr>
          <w:spacing w:val="87"/>
        </w:rPr>
        <w:t> </w:t>
      </w:r>
      <w:r>
        <w:rPr>
          <w:rFonts w:ascii="宋体" w:hAnsi="宋体" w:cs="宋体" w:eastAsia="宋体" w:hint="default"/>
        </w:rPr>
        <w:t>2019</w:t>
      </w:r>
    </w:p>
    <w:p>
      <w:pPr>
        <w:spacing w:line="240" w:lineRule="auto" w:before="3"/>
        <w:rPr>
          <w:rFonts w:ascii="宋体" w:hAnsi="宋体" w:cs="宋体" w:eastAsia="宋体" w:hint="default"/>
          <w:sz w:val="14"/>
          <w:szCs w:val="14"/>
        </w:rPr>
      </w:pPr>
    </w:p>
    <w:p>
      <w:pPr>
        <w:pStyle w:val="BodyText"/>
        <w:spacing w:line="240" w:lineRule="auto" w:before="0"/>
        <w:ind w:right="0"/>
        <w:jc w:val="left"/>
      </w:pP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日的合并及母公司财务状况以及</w:t>
      </w:r>
      <w:r>
        <w:rPr>
          <w:spacing w:val="-53"/>
        </w:rPr>
        <w:t> </w:t>
      </w:r>
      <w:r>
        <w:rPr>
          <w:rFonts w:ascii="宋体" w:hAnsi="宋体" w:cs="宋体" w:eastAsia="宋体" w:hint="default"/>
        </w:rPr>
        <w:t>2019</w:t>
      </w:r>
      <w:r>
        <w:rPr>
          <w:rFonts w:ascii="宋体" w:hAnsi="宋体" w:cs="宋体" w:eastAsia="宋体" w:hint="default"/>
          <w:spacing w:val="-55"/>
        </w:rPr>
        <w:t> </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3"/>
        <w:spacing w:line="240" w:lineRule="auto"/>
        <w:ind w:right="0"/>
        <w:jc w:val="left"/>
      </w:pPr>
      <w:r>
        <w:rPr/>
        <w:t>二、形成审计意见的基础</w:t>
      </w:r>
    </w:p>
    <w:p>
      <w:pPr>
        <w:pStyle w:val="BodyText"/>
        <w:spacing w:line="400" w:lineRule="auto" w:before="191"/>
        <w:ind w:right="1126" w:firstLine="420"/>
        <w:jc w:val="both"/>
      </w:pPr>
      <w:r>
        <w:rPr>
          <w:spacing w:val="-2"/>
        </w:rPr>
        <w:t>我们按照中国注册会计师审计准则的规定执行了审计工作。审计报告的“注册会计师对财务报表审计</w:t>
      </w:r>
      <w:r>
        <w:rPr>
          <w:w w:val="100"/>
        </w:rPr>
        <w:t> </w:t>
      </w:r>
      <w:r>
        <w:rPr>
          <w:spacing w:val="-2"/>
        </w:rPr>
        <w:t>的责任”部分进一步阐述了我们在这些准则下的责任。按照中国注册会计师职业道德守则，我们独立于贵</w:t>
      </w:r>
      <w:r>
        <w:rPr>
          <w:spacing w:val="-43"/>
        </w:rPr>
        <w:t> </w:t>
      </w:r>
      <w:r>
        <w:rPr>
          <w:spacing w:val="-43"/>
        </w:rPr>
      </w:r>
      <w:r>
        <w:rPr/>
        <w:t>公司，并履行了职业道德方面的其他责任。</w:t>
      </w:r>
    </w:p>
    <w:p>
      <w:pPr>
        <w:pStyle w:val="BodyText"/>
        <w:spacing w:line="240" w:lineRule="auto" w:before="45"/>
        <w:ind w:left="573"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3"/>
        <w:spacing w:line="240" w:lineRule="auto"/>
        <w:ind w:right="0"/>
        <w:jc w:val="left"/>
      </w:pPr>
      <w:r>
        <w:rPr/>
        <w:t>三、关键审计事项</w:t>
      </w:r>
    </w:p>
    <w:p>
      <w:pPr>
        <w:pStyle w:val="BodyText"/>
        <w:spacing w:line="400" w:lineRule="auto" w:before="191"/>
        <w:ind w:right="1126" w:firstLine="420"/>
        <w:jc w:val="both"/>
      </w:pPr>
      <w:r>
        <w:rPr>
          <w:spacing w:val="-2"/>
        </w:rPr>
        <w:t>关键审计事项是我们根据职业判断，认为对本期财务报表审计最为重要的事项。这些事项的应对以对</w:t>
      </w:r>
      <w:r>
        <w:rPr>
          <w:w w:val="100"/>
        </w:rPr>
        <w:t> </w:t>
      </w:r>
      <w:r>
        <w:rPr/>
        <w:t>财务报表整体进行审计并形成审计意见为背景，我们不对这些事项单独发表意见。</w:t>
      </w:r>
    </w:p>
    <w:p>
      <w:pPr>
        <w:pStyle w:val="BodyText"/>
        <w:spacing w:line="403" w:lineRule="auto" w:before="45"/>
        <w:ind w:left="573" w:right="6794"/>
        <w:jc w:val="left"/>
      </w:pPr>
      <w:r>
        <w:rPr>
          <w:spacing w:val="-2"/>
        </w:rPr>
        <w:t>（一）采用完工百分比法确认的收入</w:t>
      </w:r>
      <w:r>
        <w:rPr>
          <w:spacing w:val="-72"/>
        </w:rPr>
        <w:t> </w:t>
      </w:r>
      <w:r>
        <w:rPr>
          <w:spacing w:val="-72"/>
        </w:rPr>
      </w:r>
      <w:r>
        <w:rPr>
          <w:rFonts w:ascii="宋体" w:hAnsi="宋体" w:cs="宋体" w:eastAsia="宋体" w:hint="default"/>
        </w:rPr>
        <w:t>1</w:t>
      </w:r>
      <w:r>
        <w:rPr/>
        <w:t>、事项描述</w:t>
      </w:r>
    </w:p>
    <w:p>
      <w:pPr>
        <w:spacing w:after="0" w:line="403"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400" w:lineRule="auto" w:before="36"/>
        <w:ind w:right="0" w:firstLine="420"/>
        <w:jc w:val="left"/>
      </w:pPr>
      <w:r>
        <w:rPr>
          <w:spacing w:val="-2"/>
          <w:w w:val="100"/>
        </w:rPr>
        <w:t>贵公司本年度采用完工百分比法确认收入占实现营业收入总额的</w:t>
      </w:r>
      <w:r>
        <w:rPr>
          <w:spacing w:val="-30"/>
          <w:w w:val="100"/>
        </w:rPr>
        <w:t> </w:t>
      </w:r>
      <w:r>
        <w:rPr>
          <w:rFonts w:ascii="宋体" w:hAnsi="宋体" w:cs="宋体" w:eastAsia="宋体" w:hint="default"/>
          <w:spacing w:val="-11"/>
          <w:w w:val="100"/>
        </w:rPr>
        <w:t>39.49%</w:t>
      </w:r>
      <w:r>
        <w:rPr>
          <w:spacing w:val="-11"/>
          <w:w w:val="100"/>
        </w:rPr>
        <w:t>。如财务报表附注三（二十三）</w:t>
      </w:r>
      <w:r>
        <w:rPr>
          <w:w w:val="100"/>
        </w:rPr>
        <w:t> </w:t>
      </w:r>
      <w:r>
        <w:rPr>
          <w:spacing w:val="-2"/>
        </w:rPr>
        <w:t>所述，贵公司对于所提供的建造合同及其他工程服务，在合同结果能够可靠估计时，采用完工百分比法确</w:t>
      </w:r>
      <w:r>
        <w:rPr>
          <w:spacing w:val="-43"/>
        </w:rPr>
        <w:t> </w:t>
      </w:r>
      <w:r>
        <w:rPr>
          <w:spacing w:val="-43"/>
        </w:rPr>
      </w:r>
      <w:r>
        <w:rPr>
          <w:spacing w:val="-2"/>
        </w:rPr>
        <w:t>认收入，完工进度根据实际发生的合同成本占合同预计总成本的比例确定。管理层需要对建造合同的预计</w:t>
      </w:r>
      <w:r>
        <w:rPr>
          <w:spacing w:val="-43"/>
        </w:rPr>
        <w:t> </w:t>
      </w:r>
      <w:r>
        <w:rPr>
          <w:spacing w:val="-43"/>
        </w:rPr>
      </w:r>
      <w:r>
        <w:rPr>
          <w:spacing w:val="-2"/>
        </w:rPr>
        <w:t>总收入和预计总成本作出合理估计以确定完工程度，并于合同执行过程中持续评估和修订，涉及管理层的</w:t>
      </w:r>
      <w:r>
        <w:rPr>
          <w:spacing w:val="-43"/>
        </w:rPr>
        <w:t> </w:t>
      </w:r>
      <w:r>
        <w:rPr>
          <w:spacing w:val="-43"/>
        </w:rPr>
      </w:r>
      <w:r>
        <w:rPr/>
        <w:t>重大会计估计，我们将采用完工百分比法确认收入列为关键审计事项。</w:t>
      </w:r>
    </w:p>
    <w:p>
      <w:pPr>
        <w:pStyle w:val="BodyText"/>
        <w:spacing w:line="240" w:lineRule="auto" w:before="43"/>
        <w:ind w:left="573" w:right="0"/>
        <w:jc w:val="left"/>
      </w:pPr>
      <w:r>
        <w:rPr>
          <w:rFonts w:ascii="宋体" w:hAnsi="宋体" w:cs="宋体" w:eastAsia="宋体" w:hint="default"/>
        </w:rPr>
        <w:t>2</w:t>
      </w:r>
      <w:r>
        <w:rPr/>
        <w:t>、审计应对</w:t>
      </w:r>
    </w:p>
    <w:p>
      <w:pPr>
        <w:spacing w:line="240" w:lineRule="auto" w:before="3"/>
        <w:rPr>
          <w:rFonts w:ascii="宋体" w:hAnsi="宋体" w:cs="宋体" w:eastAsia="宋体" w:hint="default"/>
          <w:sz w:val="14"/>
          <w:szCs w:val="14"/>
        </w:rPr>
      </w:pPr>
    </w:p>
    <w:p>
      <w:pPr>
        <w:pStyle w:val="BodyText"/>
        <w:spacing w:line="403" w:lineRule="auto" w:before="0"/>
        <w:ind w:right="0" w:firstLine="420"/>
        <w:jc w:val="left"/>
      </w:pPr>
      <w:r>
        <w:rPr/>
        <w:t>（</w:t>
      </w:r>
      <w:r>
        <w:rPr>
          <w:rFonts w:ascii="宋体" w:hAnsi="宋体" w:cs="宋体" w:eastAsia="宋体" w:hint="default"/>
        </w:rPr>
        <w:t>1</w:t>
      </w:r>
      <w:r>
        <w:rPr/>
        <w:t>）了解并测试建造合同核算、预计总收入、预计总成本的确定及其变动的政策、程序、方法和相</w:t>
      </w:r>
      <w:r>
        <w:rPr>
          <w:w w:val="100"/>
        </w:rPr>
        <w:t> </w:t>
      </w:r>
      <w:r>
        <w:rPr/>
        <w:t>关的内部控制；</w:t>
      </w:r>
    </w:p>
    <w:p>
      <w:pPr>
        <w:pStyle w:val="BodyText"/>
        <w:spacing w:line="403" w:lineRule="auto" w:before="41"/>
        <w:ind w:right="0" w:firstLine="420"/>
        <w:jc w:val="left"/>
      </w:pPr>
      <w:r>
        <w:rPr/>
        <w:t>（</w:t>
      </w:r>
      <w:r>
        <w:rPr>
          <w:rFonts w:ascii="宋体" w:hAnsi="宋体" w:cs="宋体" w:eastAsia="宋体" w:hint="default"/>
        </w:rPr>
        <w:t>2</w:t>
      </w:r>
      <w:r>
        <w:rPr/>
        <w:t>）根据上年度及本年度财务报表中建造合同收入和成本的变化，识别和了解差异产生的原因，判</w:t>
      </w:r>
      <w:r>
        <w:rPr>
          <w:w w:val="100"/>
        </w:rPr>
        <w:t> </w:t>
      </w:r>
      <w:r>
        <w:rPr/>
        <w:t>断会计估计中是否存在管理层偏颇的迹象；</w:t>
      </w:r>
    </w:p>
    <w:p>
      <w:pPr>
        <w:pStyle w:val="BodyText"/>
        <w:spacing w:line="240" w:lineRule="auto" w:before="43"/>
        <w:ind w:left="573" w:right="0"/>
        <w:jc w:val="left"/>
      </w:pPr>
      <w:r>
        <w:rPr/>
        <w:t>（</w:t>
      </w:r>
      <w:r>
        <w:rPr>
          <w:rFonts w:ascii="宋体" w:hAnsi="宋体" w:cs="宋体" w:eastAsia="宋体" w:hint="default"/>
        </w:rPr>
        <w:t>3</w:t>
      </w:r>
      <w:r>
        <w:rPr/>
        <w:t>）取得在建项目合同清单，检查相应的建造合同、结算收款等具体合同执行情况；</w:t>
      </w:r>
    </w:p>
    <w:p>
      <w:pPr>
        <w:spacing w:line="240" w:lineRule="auto" w:before="0"/>
        <w:rPr>
          <w:rFonts w:ascii="宋体" w:hAnsi="宋体" w:cs="宋体" w:eastAsia="宋体" w:hint="default"/>
          <w:sz w:val="14"/>
          <w:szCs w:val="14"/>
        </w:rPr>
      </w:pPr>
    </w:p>
    <w:p>
      <w:pPr>
        <w:pStyle w:val="BodyText"/>
        <w:spacing w:line="240" w:lineRule="auto" w:before="0"/>
        <w:ind w:left="573" w:right="0"/>
        <w:jc w:val="left"/>
      </w:pPr>
      <w:r>
        <w:rPr/>
        <w:t>（</w:t>
      </w:r>
      <w:r>
        <w:rPr>
          <w:rFonts w:ascii="宋体" w:hAnsi="宋体" w:cs="宋体" w:eastAsia="宋体" w:hint="default"/>
        </w:rPr>
        <w:t>4</w:t>
      </w:r>
      <w:r>
        <w:rPr/>
        <w:t>）取得在建项目的预计总成本明细表，并复核其合理性；</w:t>
      </w:r>
    </w:p>
    <w:p>
      <w:pPr>
        <w:spacing w:line="240" w:lineRule="auto" w:before="3"/>
        <w:rPr>
          <w:rFonts w:ascii="宋体" w:hAnsi="宋体" w:cs="宋体" w:eastAsia="宋体" w:hint="default"/>
          <w:sz w:val="14"/>
          <w:szCs w:val="14"/>
        </w:rPr>
      </w:pPr>
    </w:p>
    <w:p>
      <w:pPr>
        <w:pStyle w:val="BodyText"/>
        <w:spacing w:line="240" w:lineRule="auto" w:before="0"/>
        <w:ind w:left="573" w:right="0"/>
        <w:jc w:val="left"/>
      </w:pPr>
      <w:r>
        <w:rPr/>
        <w:t>（</w:t>
      </w:r>
      <w:r>
        <w:rPr>
          <w:rFonts w:ascii="宋体" w:hAnsi="宋体" w:cs="宋体" w:eastAsia="宋体" w:hint="default"/>
        </w:rPr>
        <w:t>5</w:t>
      </w:r>
      <w:r>
        <w:rPr/>
        <w:t>）通过直接获取客户工程进度资料和函证等方式，对管理层确定的完工进度进行验证；</w:t>
      </w:r>
    </w:p>
    <w:p>
      <w:pPr>
        <w:spacing w:line="240" w:lineRule="auto" w:before="3"/>
        <w:rPr>
          <w:rFonts w:ascii="宋体" w:hAnsi="宋体" w:cs="宋体" w:eastAsia="宋体" w:hint="default"/>
          <w:sz w:val="14"/>
          <w:szCs w:val="14"/>
        </w:rPr>
      </w:pPr>
    </w:p>
    <w:p>
      <w:pPr>
        <w:pStyle w:val="BodyText"/>
        <w:spacing w:line="240" w:lineRule="auto" w:before="0"/>
        <w:ind w:left="573" w:right="0"/>
        <w:jc w:val="left"/>
      </w:pPr>
      <w:r>
        <w:rPr/>
        <w:t>（</w:t>
      </w:r>
      <w:r>
        <w:rPr>
          <w:rFonts w:ascii="宋体" w:hAnsi="宋体" w:cs="宋体" w:eastAsia="宋体" w:hint="default"/>
        </w:rPr>
        <w:t>6</w:t>
      </w:r>
      <w:r>
        <w:rPr/>
        <w:t>）选取重要客户及项目，实施了客户访谈及现场勘查程序。</w:t>
      </w:r>
    </w:p>
    <w:p>
      <w:pPr>
        <w:spacing w:line="240" w:lineRule="auto" w:before="0"/>
        <w:rPr>
          <w:rFonts w:ascii="宋体" w:hAnsi="宋体" w:cs="宋体" w:eastAsia="宋体" w:hint="default"/>
          <w:sz w:val="14"/>
          <w:szCs w:val="14"/>
        </w:rPr>
      </w:pPr>
    </w:p>
    <w:p>
      <w:pPr>
        <w:pStyle w:val="BodyText"/>
        <w:spacing w:line="403" w:lineRule="auto" w:before="0"/>
        <w:ind w:left="573" w:right="8870"/>
        <w:jc w:val="left"/>
      </w:pPr>
      <w:r>
        <w:rPr>
          <w:spacing w:val="-1"/>
        </w:rPr>
        <w:t>（二）商誉减值</w:t>
      </w:r>
      <w:r>
        <w:rPr>
          <w:spacing w:val="-96"/>
        </w:rPr>
        <w:t> </w:t>
      </w:r>
      <w:r>
        <w:rPr>
          <w:spacing w:val="-96"/>
        </w:rPr>
      </w:r>
      <w:r>
        <w:rPr>
          <w:rFonts w:ascii="宋体" w:hAnsi="宋体" w:cs="宋体" w:eastAsia="宋体" w:hint="default"/>
        </w:rPr>
        <w:t>1</w:t>
      </w:r>
      <w:r>
        <w:rPr/>
        <w:t>、事项描述</w:t>
      </w:r>
    </w:p>
    <w:p>
      <w:pPr>
        <w:pStyle w:val="BodyText"/>
        <w:spacing w:line="400" w:lineRule="auto" w:before="43"/>
        <w:ind w:right="1126" w:firstLine="420"/>
        <w:jc w:val="both"/>
      </w:pPr>
      <w:r>
        <w:rPr>
          <w:spacing w:val="-2"/>
        </w:rPr>
        <w:t>如附注三（十九）及附注五（十七）所述，贵公司管理层对因企业合并所形成的商誉，无论是否存在</w:t>
      </w:r>
      <w:r>
        <w:rPr>
          <w:w w:val="100"/>
        </w:rPr>
        <w:t> </w:t>
      </w:r>
      <w:r>
        <w:rPr>
          <w:spacing w:val="-2"/>
        </w:rPr>
        <w:t>减值迹象，需每年进行减值测试。贵公司管理层通过比较相关资产组的可收回金额与资产组及商誉的账面</w:t>
      </w:r>
      <w:r>
        <w:rPr>
          <w:spacing w:val="-43"/>
        </w:rPr>
        <w:t> </w:t>
      </w:r>
      <w:r>
        <w:rPr>
          <w:spacing w:val="-43"/>
        </w:rPr>
      </w:r>
      <w:r>
        <w:rPr>
          <w:spacing w:val="-2"/>
        </w:rPr>
        <w:t>价值，对商誉进行减值测试。在确定资产组未来现金流量现值的预测过程中，贵公司管理层采用了包括折</w:t>
      </w:r>
      <w:r>
        <w:rPr>
          <w:spacing w:val="-44"/>
        </w:rPr>
        <w:t> </w:t>
      </w:r>
      <w:r>
        <w:rPr>
          <w:spacing w:val="-44"/>
        </w:rPr>
      </w:r>
      <w:r>
        <w:rPr>
          <w:spacing w:val="-2"/>
        </w:rPr>
        <w:t>现的现金流量预测在内的估值方法，如确定预算收入、生产成本、经营费用、增长率以及采用的折现率等</w:t>
      </w:r>
      <w:r>
        <w:rPr>
          <w:spacing w:val="-47"/>
        </w:rPr>
        <w:t> </w:t>
      </w:r>
      <w:r>
        <w:rPr>
          <w:spacing w:val="-47"/>
        </w:rPr>
      </w:r>
      <w:r>
        <w:rPr/>
        <w:t>关键参数的会计估计。截至</w:t>
      </w:r>
      <w:r>
        <w:rPr>
          <w:spacing w:val="-43"/>
        </w:rPr>
        <w:t> </w:t>
      </w:r>
      <w:r>
        <w:rPr>
          <w:rFonts w:ascii="宋体" w:hAnsi="宋体" w:cs="宋体" w:eastAsia="宋体" w:hint="default"/>
        </w:rPr>
        <w:t>2019</w:t>
      </w:r>
      <w:r>
        <w:rPr>
          <w:rFonts w:ascii="宋体" w:hAnsi="宋体" w:cs="宋体" w:eastAsia="宋体" w:hint="default"/>
          <w:spacing w:val="-42"/>
        </w:rPr>
        <w:t> </w:t>
      </w:r>
      <w:r>
        <w:rPr/>
        <w:t>年</w:t>
      </w:r>
      <w:r>
        <w:rPr>
          <w:spacing w:val="-45"/>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r>
        <w:rPr>
          <w:rFonts w:ascii="宋体" w:hAnsi="宋体" w:cs="宋体" w:eastAsia="宋体" w:hint="default"/>
          <w:spacing w:val="-45"/>
        </w:rPr>
        <w:t> </w:t>
      </w:r>
      <w:r>
        <w:rPr/>
        <w:t>日，因企业合并所形成的商誉为</w:t>
      </w:r>
      <w:r>
        <w:rPr>
          <w:spacing w:val="-43"/>
        </w:rPr>
        <w:t> </w:t>
      </w:r>
      <w:r>
        <w:rPr>
          <w:rFonts w:ascii="宋体" w:hAnsi="宋体" w:cs="宋体" w:eastAsia="宋体" w:hint="default"/>
        </w:rPr>
        <w:t>44,384.57</w:t>
      </w:r>
      <w:r>
        <w:rPr>
          <w:rFonts w:ascii="宋体" w:hAnsi="宋体" w:cs="宋体" w:eastAsia="宋体" w:hint="default"/>
          <w:spacing w:val="-45"/>
        </w:rPr>
        <w:t> </w:t>
      </w:r>
      <w:r>
        <w:rPr/>
        <w:t>万元，商誉减值</w:t>
      </w:r>
    </w:p>
    <w:p>
      <w:pPr>
        <w:pStyle w:val="BodyText"/>
        <w:spacing w:line="403" w:lineRule="auto" w:before="45"/>
        <w:ind w:right="1120"/>
        <w:jc w:val="left"/>
      </w:pPr>
      <w:r>
        <w:rPr/>
        <w:t>准备为</w:t>
      </w:r>
      <w:r>
        <w:rPr>
          <w:spacing w:val="-65"/>
        </w:rPr>
        <w:t> </w:t>
      </w:r>
      <w:r>
        <w:rPr>
          <w:rFonts w:ascii="宋体" w:hAnsi="宋体" w:cs="宋体" w:eastAsia="宋体" w:hint="default"/>
        </w:rPr>
        <w:t>31,919.17</w:t>
      </w:r>
      <w:r>
        <w:rPr>
          <w:rFonts w:ascii="宋体" w:hAnsi="宋体" w:cs="宋体" w:eastAsia="宋体" w:hint="default"/>
          <w:spacing w:val="-66"/>
        </w:rPr>
        <w:t> </w:t>
      </w:r>
      <w:r>
        <w:rPr/>
        <w:t>万元。鉴于商誉对财务报表整体具有重要性，且商誉减值测试涉及到管理层重大判断和</w:t>
      </w:r>
      <w:r>
        <w:rPr>
          <w:w w:val="100"/>
        </w:rPr>
        <w:t> </w:t>
      </w:r>
      <w:r>
        <w:rPr/>
        <w:t>估计，因此，我们将商誉减值识别为关键审计事项。</w:t>
      </w:r>
    </w:p>
    <w:p>
      <w:pPr>
        <w:pStyle w:val="BodyText"/>
        <w:spacing w:line="403" w:lineRule="auto" w:before="40"/>
        <w:ind w:left="573" w:right="4634"/>
        <w:jc w:val="left"/>
      </w:pPr>
      <w:r>
        <w:rPr>
          <w:rFonts w:ascii="宋体" w:hAnsi="宋体" w:cs="宋体" w:eastAsia="宋体" w:hint="default"/>
        </w:rPr>
        <w:t>2</w:t>
      </w:r>
      <w:r>
        <w:rPr/>
        <w:t>、审计应对</w:t>
      </w:r>
      <w:r>
        <w:rPr>
          <w:w w:val="100"/>
        </w:rPr>
        <w:t> </w:t>
      </w:r>
      <w:r>
        <w:rPr>
          <w:spacing w:val="-2"/>
        </w:rPr>
        <w:t>我们对商誉的减值测试与计量执行的审计程序包括：</w:t>
      </w:r>
    </w:p>
    <w:p>
      <w:pPr>
        <w:pStyle w:val="BodyText"/>
        <w:spacing w:line="400" w:lineRule="auto" w:before="43"/>
        <w:ind w:right="1119" w:firstLine="420"/>
        <w:jc w:val="left"/>
      </w:pPr>
      <w:r>
        <w:rPr/>
        <w:t>（</w:t>
      </w:r>
      <w:r>
        <w:rPr>
          <w:rFonts w:ascii="宋体" w:hAnsi="宋体" w:cs="宋体" w:eastAsia="宋体" w:hint="default"/>
        </w:rPr>
        <w:t>1</w:t>
      </w:r>
      <w:r>
        <w:rPr/>
        <w:t>）了解贵公司商誉减值测试的控制程序，包括了解贵公司划分的资产组及贵公司对资产组价值的</w:t>
      </w:r>
      <w:r>
        <w:rPr>
          <w:w w:val="100"/>
        </w:rPr>
        <w:t> </w:t>
      </w:r>
      <w:r>
        <w:rPr/>
        <w:t>判定；</w:t>
      </w:r>
    </w:p>
    <w:p>
      <w:pPr>
        <w:pStyle w:val="BodyText"/>
        <w:spacing w:line="240" w:lineRule="auto" w:before="45"/>
        <w:ind w:left="573" w:right="0"/>
        <w:jc w:val="left"/>
      </w:pPr>
      <w:r>
        <w:rPr/>
        <w:t>（</w:t>
      </w:r>
      <w:r>
        <w:rPr>
          <w:rFonts w:ascii="宋体" w:hAnsi="宋体" w:cs="宋体" w:eastAsia="宋体" w:hint="default"/>
        </w:rPr>
        <w:t>2</w:t>
      </w:r>
      <w:r>
        <w:rPr/>
        <w:t>）了解宏观经济及各资产组或资产组组合行业发展趋势、历史业绩情况和发展规划；</w:t>
      </w:r>
    </w:p>
    <w:p>
      <w:pPr>
        <w:spacing w:line="240" w:lineRule="auto" w:before="3"/>
        <w:rPr>
          <w:rFonts w:ascii="宋体" w:hAnsi="宋体" w:cs="宋体" w:eastAsia="宋体" w:hint="default"/>
          <w:sz w:val="14"/>
          <w:szCs w:val="14"/>
        </w:rPr>
      </w:pPr>
    </w:p>
    <w:p>
      <w:pPr>
        <w:pStyle w:val="BodyText"/>
        <w:spacing w:line="240" w:lineRule="auto" w:before="0"/>
        <w:ind w:left="573" w:right="0"/>
        <w:jc w:val="left"/>
      </w:pPr>
      <w:r>
        <w:rPr/>
        <w:t>（</w:t>
      </w:r>
      <w:r>
        <w:rPr>
          <w:rFonts w:ascii="宋体" w:hAnsi="宋体" w:cs="宋体" w:eastAsia="宋体" w:hint="default"/>
        </w:rPr>
        <w:t>3</w:t>
      </w:r>
      <w:r>
        <w:rPr/>
        <w:t>）评价管理层对商誉所在资产组或资产组组合的认定；</w:t>
      </w:r>
    </w:p>
    <w:p>
      <w:pPr>
        <w:spacing w:line="240" w:lineRule="auto" w:before="0"/>
        <w:rPr>
          <w:rFonts w:ascii="宋体" w:hAnsi="宋体" w:cs="宋体" w:eastAsia="宋体" w:hint="default"/>
          <w:sz w:val="14"/>
          <w:szCs w:val="14"/>
        </w:rPr>
      </w:pPr>
    </w:p>
    <w:p>
      <w:pPr>
        <w:pStyle w:val="BodyText"/>
        <w:spacing w:line="240" w:lineRule="auto" w:before="0"/>
        <w:ind w:left="573" w:right="0"/>
        <w:jc w:val="left"/>
      </w:pPr>
      <w:r>
        <w:rPr/>
        <w:t>（</w:t>
      </w:r>
      <w:r>
        <w:rPr>
          <w:rFonts w:ascii="宋体" w:hAnsi="宋体" w:cs="宋体" w:eastAsia="宋体" w:hint="default"/>
        </w:rPr>
        <w:t>4</w:t>
      </w:r>
      <w:r>
        <w:rPr/>
        <w:t>）评估商誉减值测试的估值方法、模型、关键假设的恰当性；</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403" w:lineRule="auto" w:before="36"/>
        <w:ind w:right="0" w:firstLine="420"/>
        <w:jc w:val="left"/>
      </w:pPr>
      <w:r>
        <w:rPr/>
        <w:t>（</w:t>
      </w:r>
      <w:r>
        <w:rPr>
          <w:rFonts w:ascii="宋体" w:hAnsi="宋体" w:cs="宋体" w:eastAsia="宋体" w:hint="default"/>
        </w:rPr>
        <w:t>5</w:t>
      </w:r>
      <w:r>
        <w:rPr/>
        <w:t>）评估商誉减值测试引用参数的合理性，包括预计未来现金流量现值时的预测期、稳定期、预测</w:t>
      </w:r>
      <w:r>
        <w:rPr>
          <w:w w:val="100"/>
        </w:rPr>
        <w:t> </w:t>
      </w:r>
      <w:r>
        <w:rPr/>
        <w:t>期增长率、稳定期增长率、利润率、折现率等及其确定依据；</w:t>
      </w:r>
    </w:p>
    <w:p>
      <w:pPr>
        <w:pStyle w:val="BodyText"/>
        <w:spacing w:line="240" w:lineRule="auto" w:before="40"/>
        <w:ind w:left="573" w:right="0"/>
        <w:jc w:val="left"/>
      </w:pPr>
      <w:r>
        <w:rPr/>
        <w:t>（</w:t>
      </w:r>
      <w:r>
        <w:rPr>
          <w:rFonts w:ascii="宋体" w:hAnsi="宋体" w:cs="宋体" w:eastAsia="宋体" w:hint="default"/>
        </w:rPr>
        <w:t>6</w:t>
      </w:r>
      <w:r>
        <w:rPr/>
        <w:t>）复核商誉减值测试计算过程；</w:t>
      </w:r>
    </w:p>
    <w:p>
      <w:pPr>
        <w:spacing w:line="240" w:lineRule="auto" w:before="3"/>
        <w:rPr>
          <w:rFonts w:ascii="宋体" w:hAnsi="宋体" w:cs="宋体" w:eastAsia="宋体" w:hint="default"/>
          <w:sz w:val="14"/>
          <w:szCs w:val="14"/>
        </w:rPr>
      </w:pPr>
    </w:p>
    <w:p>
      <w:pPr>
        <w:pStyle w:val="BodyText"/>
        <w:spacing w:line="240" w:lineRule="auto" w:before="0"/>
        <w:ind w:left="573" w:right="0"/>
        <w:jc w:val="left"/>
      </w:pPr>
      <w:r>
        <w:rPr/>
        <w:t>（</w:t>
      </w:r>
      <w:r>
        <w:rPr>
          <w:rFonts w:ascii="宋体" w:hAnsi="宋体" w:cs="宋体" w:eastAsia="宋体" w:hint="default"/>
        </w:rPr>
        <w:t>7</w:t>
      </w:r>
      <w:r>
        <w:rPr/>
        <w:t>）评价商誉减值测试的过程和方法相关披露是否充分。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3"/>
        <w:spacing w:line="240" w:lineRule="auto"/>
        <w:ind w:right="0"/>
        <w:jc w:val="left"/>
      </w:pPr>
      <w:r>
        <w:rPr/>
        <w:t>四、其他信息</w:t>
      </w:r>
    </w:p>
    <w:p>
      <w:pPr>
        <w:pStyle w:val="BodyText"/>
        <w:spacing w:line="403" w:lineRule="auto" w:before="191"/>
        <w:ind w:right="1123" w:firstLine="420"/>
        <w:jc w:val="left"/>
      </w:pPr>
      <w:r>
        <w:rPr/>
        <w:t>贵公司管理层（以下简称管理层）对其他信息负责。其他信息包括贵公司 </w:t>
      </w:r>
      <w:r>
        <w:rPr>
          <w:rFonts w:ascii="宋体" w:hAnsi="宋体" w:cs="宋体" w:eastAsia="宋体" w:hint="default"/>
        </w:rPr>
        <w:t>2019</w:t>
      </w:r>
      <w:r>
        <w:rPr>
          <w:rFonts w:ascii="宋体" w:hAnsi="宋体" w:cs="宋体" w:eastAsia="宋体" w:hint="default"/>
          <w:spacing w:val="-29"/>
        </w:rPr>
        <w:t> </w:t>
      </w:r>
      <w:r>
        <w:rPr/>
        <w:t>年年度报告中涵盖的</w:t>
      </w:r>
      <w:r>
        <w:rPr>
          <w:w w:val="100"/>
        </w:rPr>
        <w:t> </w:t>
      </w:r>
      <w:r>
        <w:rPr/>
        <w:t>信息，但不包括财务报表和我们的审计报告。</w:t>
      </w:r>
    </w:p>
    <w:p>
      <w:pPr>
        <w:pStyle w:val="BodyText"/>
        <w:spacing w:line="403" w:lineRule="auto" w:before="41"/>
        <w:ind w:left="573" w:right="0"/>
        <w:jc w:val="left"/>
      </w:pPr>
      <w:r>
        <w:rPr>
          <w:spacing w:val="-2"/>
        </w:rPr>
        <w:t>我们对财务报表发表的审计意见并不涵盖其他信息，我们也不对其他信息发表任何形式的鉴证结论。</w:t>
      </w:r>
      <w:r>
        <w:rPr>
          <w:spacing w:val="-27"/>
        </w:rPr>
        <w:t> </w:t>
      </w:r>
      <w:r>
        <w:rPr>
          <w:spacing w:val="-27"/>
        </w:rPr>
      </w:r>
      <w:r>
        <w:rPr>
          <w:spacing w:val="-2"/>
        </w:rPr>
        <w:t>结合我们对财务报表的审计，我们的责任是阅读其他信息，在此过程中，考虑其他信息是否与财务报</w:t>
      </w:r>
    </w:p>
    <w:p>
      <w:pPr>
        <w:pStyle w:val="BodyText"/>
        <w:spacing w:line="400" w:lineRule="auto" w:before="43"/>
        <w:ind w:left="573" w:right="0" w:hanging="421"/>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pStyle w:val="BodyText"/>
        <w:spacing w:line="240" w:lineRule="auto" w:before="45"/>
        <w:ind w:right="0"/>
        <w:jc w:val="left"/>
      </w:pPr>
      <w:r>
        <w:rPr/>
        <w:t>们无任何事项需要报告。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3"/>
        <w:spacing w:line="240" w:lineRule="auto"/>
        <w:ind w:right="0"/>
        <w:jc w:val="left"/>
      </w:pPr>
      <w:r>
        <w:rPr/>
        <w:t>五、管理层和治理层对财务报表的责任</w:t>
      </w:r>
    </w:p>
    <w:p>
      <w:pPr>
        <w:pStyle w:val="BodyText"/>
        <w:spacing w:line="403" w:lineRule="auto" w:before="191"/>
        <w:ind w:right="0" w:firstLine="420"/>
        <w:jc w:val="left"/>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BodyText"/>
        <w:spacing w:line="403" w:lineRule="auto" w:before="40"/>
        <w:ind w:right="0" w:firstLine="420"/>
        <w:jc w:val="left"/>
      </w:pPr>
      <w:r>
        <w:rPr>
          <w:spacing w:val="-2"/>
        </w:rPr>
        <w:t>在编制财务报表时，管理层负责评估贵公司的持续经营能力，披露与持续经营相关的事项，并运用持</w:t>
      </w:r>
      <w:r>
        <w:rPr>
          <w:w w:val="100"/>
        </w:rPr>
        <w:t> </w:t>
      </w:r>
      <w:r>
        <w:rPr/>
        <w:t>续经营假设，除非管理层计划清算贵公司、终止运营或别无其他现实的选择。</w:t>
      </w:r>
    </w:p>
    <w:p>
      <w:pPr>
        <w:pStyle w:val="BodyText"/>
        <w:spacing w:line="240" w:lineRule="auto" w:before="43"/>
        <w:ind w:left="573" w:right="0"/>
        <w:jc w:val="left"/>
      </w:pPr>
      <w:r>
        <w:rPr/>
        <w:t>治理层负责监督贵公司的财务报告过程。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3"/>
        <w:spacing w:line="240" w:lineRule="auto"/>
        <w:ind w:left="633" w:right="0"/>
        <w:jc w:val="left"/>
      </w:pPr>
      <w:r>
        <w:rPr/>
        <w:t>六、注册会计师对财务报表审计的责任</w:t>
      </w:r>
    </w:p>
    <w:p>
      <w:pPr>
        <w:pStyle w:val="BodyText"/>
        <w:spacing w:line="400" w:lineRule="auto" w:before="191"/>
        <w:ind w:right="1126" w:firstLine="420"/>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BodyText"/>
        <w:spacing w:line="403" w:lineRule="auto" w:before="43"/>
        <w:ind w:right="1119" w:firstLine="420"/>
        <w:jc w:val="left"/>
      </w:pPr>
      <w:r>
        <w:rPr>
          <w:spacing w:val="-2"/>
        </w:rPr>
        <w:t>在按照审计准则执行审计工作的过程中，我们运用职业判断，并保持职业怀疑。同时，我们也执行以</w:t>
      </w:r>
      <w:r>
        <w:rPr>
          <w:w w:val="100"/>
        </w:rPr>
        <w:t> </w:t>
      </w:r>
      <w:r>
        <w:rPr/>
        <w:t>下工作：</w:t>
      </w:r>
    </w:p>
    <w:p>
      <w:pPr>
        <w:pStyle w:val="BodyText"/>
        <w:spacing w:line="400" w:lineRule="auto" w:before="43"/>
        <w:ind w:right="0" w:firstLine="420"/>
        <w:jc w:val="left"/>
      </w:pPr>
      <w:r>
        <w:rPr/>
        <w:t>（一）识别和评估由于舞弊或错误导致的财务报表重大错报风险，设计和实施审计程序以应对这些风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p>
    <w:p>
      <w:pPr>
        <w:spacing w:after="0" w:line="4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403" w:lineRule="auto" w:before="36"/>
        <w:ind w:right="0"/>
        <w:jc w:val="left"/>
      </w:pP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BodyText"/>
        <w:spacing w:line="240" w:lineRule="auto" w:before="40"/>
        <w:ind w:left="573" w:right="0"/>
        <w:jc w:val="left"/>
      </w:pPr>
      <w:r>
        <w:rPr/>
        <w:t>（二）了解与审计相关的内部控制，以设计恰当的审计程序。</w:t>
      </w:r>
    </w:p>
    <w:p>
      <w:pPr>
        <w:spacing w:line="240" w:lineRule="auto" w:before="3"/>
        <w:rPr>
          <w:rFonts w:ascii="宋体" w:hAnsi="宋体" w:cs="宋体" w:eastAsia="宋体" w:hint="default"/>
          <w:sz w:val="14"/>
          <w:szCs w:val="14"/>
        </w:rPr>
      </w:pPr>
    </w:p>
    <w:p>
      <w:pPr>
        <w:pStyle w:val="BodyText"/>
        <w:spacing w:line="240" w:lineRule="auto" w:before="0"/>
        <w:ind w:left="573" w:right="0"/>
        <w:jc w:val="left"/>
      </w:pPr>
      <w:r>
        <w:rPr/>
        <w:t>（三）评价管理层选用会计政策的恰当性和作出会计估计及相关披露的合理性。</w:t>
      </w:r>
    </w:p>
    <w:p>
      <w:pPr>
        <w:spacing w:line="240" w:lineRule="auto" w:before="3"/>
        <w:rPr>
          <w:rFonts w:ascii="宋体" w:hAnsi="宋体" w:cs="宋体" w:eastAsia="宋体" w:hint="default"/>
          <w:sz w:val="14"/>
          <w:szCs w:val="14"/>
        </w:rPr>
      </w:pPr>
    </w:p>
    <w:p>
      <w:pPr>
        <w:pStyle w:val="BodyText"/>
        <w:spacing w:line="400" w:lineRule="auto" w:before="0"/>
        <w:ind w:right="1126" w:firstLine="420"/>
        <w:jc w:val="both"/>
      </w:pPr>
      <w:r>
        <w:rPr>
          <w:spacing w:val="-2"/>
        </w:rPr>
        <w:t>（四）对管理层使用持续经营假设的恰当性得出结论。同时，根据获取的审计证据，就可能导致对贵</w:t>
      </w:r>
      <w:r>
        <w:rPr>
          <w:w w:val="100"/>
        </w:rPr>
        <w:t> </w:t>
      </w:r>
      <w:r>
        <w:rPr>
          <w:spacing w:val="-2"/>
        </w:rPr>
        <w:t>公司持续经营能力产生重大疑虑的事项或情况是否存在重大不确定性得出结论。如果我们得出结论认为存</w:t>
      </w:r>
      <w:r>
        <w:rPr>
          <w:spacing w:val="-43"/>
        </w:rPr>
        <w:t> </w:t>
      </w:r>
      <w:r>
        <w:rPr>
          <w:spacing w:val="-43"/>
        </w:rPr>
      </w:r>
      <w:r>
        <w:rPr>
          <w:spacing w:val="-2"/>
        </w:rPr>
        <w:t>在重大不确定性，审计准则要求我们在审计报告中提请报表使用者注意财务报表中的相关披露；如果披露</w:t>
      </w:r>
      <w:r>
        <w:rPr>
          <w:spacing w:val="-43"/>
        </w:rPr>
        <w:t> </w:t>
      </w:r>
      <w:r>
        <w:rPr>
          <w:spacing w:val="-43"/>
        </w:rPr>
      </w:r>
      <w:r>
        <w:rPr>
          <w:spacing w:val="-2"/>
        </w:rPr>
        <w:t>不充分，我们应当发表非无保留意见。我们的结论基于截至审计报告日可获得的信息。然而，未来的事项</w:t>
      </w:r>
      <w:r>
        <w:rPr>
          <w:spacing w:val="-47"/>
        </w:rPr>
        <w:t> </w:t>
      </w:r>
      <w:r>
        <w:rPr>
          <w:spacing w:val="-47"/>
        </w:rPr>
      </w:r>
      <w:r>
        <w:rPr/>
        <w:t>或情况可能导致贵公司不能持续经营。</w:t>
      </w:r>
    </w:p>
    <w:p>
      <w:pPr>
        <w:pStyle w:val="BodyText"/>
        <w:spacing w:line="240" w:lineRule="auto" w:before="45"/>
        <w:ind w:left="573" w:right="0"/>
        <w:jc w:val="left"/>
      </w:pPr>
      <w:r>
        <w:rPr/>
        <w:t>（五）评价财务报表的总体列报、结构和内容，并评价财务报表是否公允反映相关交易和事项。</w:t>
      </w:r>
    </w:p>
    <w:p>
      <w:pPr>
        <w:spacing w:line="240" w:lineRule="auto" w:before="3"/>
        <w:rPr>
          <w:rFonts w:ascii="宋体" w:hAnsi="宋体" w:cs="宋体" w:eastAsia="宋体" w:hint="default"/>
          <w:sz w:val="14"/>
          <w:szCs w:val="14"/>
        </w:rPr>
      </w:pPr>
    </w:p>
    <w:p>
      <w:pPr>
        <w:pStyle w:val="BodyText"/>
        <w:spacing w:line="400" w:lineRule="auto" w:before="0"/>
        <w:ind w:right="1126" w:firstLine="420"/>
        <w:jc w:val="both"/>
      </w:pPr>
      <w:r>
        <w:rPr>
          <w:spacing w:val="-2"/>
        </w:rPr>
        <w:t>（六）就贵公司中实体或业务活动的财务信息获取充分、恰当的审计证据，以对财务报表发表审计意</w:t>
      </w:r>
      <w:r>
        <w:rPr>
          <w:w w:val="100"/>
        </w:rPr>
        <w:t> </w:t>
      </w:r>
      <w:r>
        <w:rPr/>
        <w:t>见。我们负责指导、监督和执行集团审计，并对审计意见承担全部责任。</w:t>
      </w:r>
    </w:p>
    <w:p>
      <w:pPr>
        <w:pStyle w:val="BodyText"/>
        <w:spacing w:line="403" w:lineRule="auto" w:before="45"/>
        <w:ind w:right="1126"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403" w:lineRule="auto" w:before="40"/>
        <w:ind w:right="1126" w:firstLine="420"/>
        <w:jc w:val="both"/>
      </w:pPr>
      <w:r>
        <w:rPr>
          <w:spacing w:val="-2"/>
        </w:rPr>
        <w:t>我们还就遵守与独立性相关的职业道德要求向治理层提供声明，并与治理层沟通可能被合理认为影响</w:t>
      </w:r>
      <w:r>
        <w:rPr>
          <w:w w:val="100"/>
        </w:rPr>
        <w:t> </w:t>
      </w:r>
      <w:r>
        <w:rPr/>
        <w:t>我们独立性的所有关系和其他事项，以及相关的防范措施。</w:t>
      </w:r>
    </w:p>
    <w:p>
      <w:pPr>
        <w:pStyle w:val="BodyText"/>
        <w:spacing w:line="400" w:lineRule="auto" w:before="43"/>
        <w:ind w:right="112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886" w:val="left" w:leader="none"/>
        </w:tabs>
        <w:spacing w:line="240" w:lineRule="auto" w:before="179"/>
        <w:ind w:left="578" w:right="0"/>
        <w:jc w:val="left"/>
      </w:pPr>
      <w:r>
        <w:rPr>
          <w:spacing w:val="-2"/>
        </w:rPr>
        <w:t>大信会计师事务所（特殊普通合伙）</w:t>
        <w:tab/>
        <w:t>中国注册会计师：邓小强</w:t>
      </w:r>
    </w:p>
    <w:p>
      <w:pPr>
        <w:spacing w:line="240" w:lineRule="auto" w:before="0"/>
        <w:rPr>
          <w:rFonts w:ascii="宋体" w:hAnsi="宋体" w:cs="宋体" w:eastAsia="宋体" w:hint="default"/>
          <w:sz w:val="14"/>
          <w:szCs w:val="14"/>
        </w:rPr>
      </w:pPr>
    </w:p>
    <w:p>
      <w:pPr>
        <w:pStyle w:val="BodyText"/>
        <w:spacing w:line="240" w:lineRule="auto" w:before="0"/>
        <w:ind w:left="2623" w:right="2317"/>
        <w:jc w:val="center"/>
      </w:pPr>
      <w:r>
        <w:rPr/>
        <w:t>（项目合伙人）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tabs>
          <w:tab w:pos="3466" w:val="left" w:leader="none"/>
        </w:tabs>
        <w:spacing w:line="240" w:lineRule="auto" w:before="0"/>
        <w:ind w:left="0" w:right="2317"/>
        <w:jc w:val="center"/>
      </w:pPr>
      <w:r>
        <w:rPr>
          <w:spacing w:val="-1"/>
        </w:rPr>
        <w:t>中国·北京</w:t>
        <w:tab/>
      </w:r>
      <w:r>
        <w:rPr>
          <w:spacing w:val="-2"/>
        </w:rPr>
        <w:t>中国注册会计师：郝东升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0"/>
        <w:ind w:left="0" w:right="1129"/>
        <w:jc w:val="right"/>
      </w:pPr>
      <w:r>
        <w:rPr>
          <w:spacing w:val="-2"/>
        </w:rPr>
        <w:t>二○二○年三月三十日</w:t>
      </w:r>
    </w:p>
    <w:p>
      <w:pPr>
        <w:spacing w:after="0" w:line="240" w:lineRule="auto"/>
        <w:jc w:val="righ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5"/>
      <w:bookmarkEnd w:id="15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编制单位：汉威科技集团股份有限公司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213" w:space="863"/>
            <w:col w:w="1642" w:space="3202"/>
            <w:col w:w="2010"/>
          </w:cols>
        </w:sectPr>
      </w:pP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990"/>
        <w:gridCol w:w="3354"/>
        <w:gridCol w:w="3346"/>
      </w:tblGrid>
      <w:tr>
        <w:trPr>
          <w:trHeight w:val="412" w:hRule="exact"/>
        </w:trPr>
        <w:tc>
          <w:tcPr>
            <w:tcW w:w="299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3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4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4"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1,210,744,890.60</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1,452,520,751.04</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7" w:right="8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8,484,043.12</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23,550,664.69</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585,121,873.08</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470,143,769.08</w:t>
            </w:r>
          </w:p>
        </w:tc>
      </w:tr>
      <w:tr>
        <w:trPr>
          <w:trHeight w:val="404"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16,908,920.00</w:t>
            </w: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49,772,284.76</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150,642,792.74</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38,346,254.61</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60,781,183.38</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7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416,303,231.90</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407,907,845.25</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45,912,986.62</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84,513,721.65</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2,371,594,484.69</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2,650,060,727.83</w:t>
            </w:r>
          </w:p>
        </w:tc>
      </w:tr>
      <w:tr>
        <w:trPr>
          <w:trHeight w:val="410" w:hRule="exact"/>
        </w:trPr>
        <w:tc>
          <w:tcPr>
            <w:tcW w:w="299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54" w:type="dxa"/>
            <w:tcBorders>
              <w:top w:val="single" w:sz="4" w:space="0" w:color="000000"/>
              <w:left w:val="single" w:sz="4" w:space="0" w:color="000000"/>
              <w:bottom w:val="single" w:sz="12" w:space="0" w:color="000000"/>
              <w:right w:val="single" w:sz="4" w:space="0" w:color="000000"/>
            </w:tcBorders>
            <w:shd w:val="clear" w:color="auto" w:fill="D2D2D2"/>
          </w:tcPr>
          <w:p>
            <w:pPr/>
          </w:p>
        </w:tc>
        <w:tc>
          <w:tcPr>
            <w:tcW w:w="3346" w:type="dxa"/>
            <w:tcBorders>
              <w:top w:val="single" w:sz="4" w:space="0" w:color="000000"/>
              <w:left w:val="single" w:sz="4" w:space="0" w:color="000000"/>
              <w:bottom w:val="single" w:sz="12" w:space="0" w:color="000000"/>
              <w:right w:val="single" w:sz="12"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990"/>
        <w:gridCol w:w="3354"/>
        <w:gridCol w:w="3346"/>
      </w:tblGrid>
      <w:tr>
        <w:trPr>
          <w:trHeight w:val="413" w:hRule="exact"/>
        </w:trPr>
        <w:tc>
          <w:tcPr>
            <w:tcW w:w="299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54" w:type="dxa"/>
            <w:tcBorders>
              <w:top w:val="single" w:sz="12" w:space="0" w:color="000000"/>
              <w:left w:val="single" w:sz="12" w:space="0" w:color="D2D2D2"/>
              <w:bottom w:val="single" w:sz="4" w:space="0" w:color="000000"/>
              <w:right w:val="single" w:sz="4" w:space="0" w:color="000000"/>
            </w:tcBorders>
          </w:tcPr>
          <w:p>
            <w:pPr/>
          </w:p>
        </w:tc>
        <w:tc>
          <w:tcPr>
            <w:tcW w:w="3346"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38,100,001.00</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107,938,054.11</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95,841,901.94</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48,100,001.00</w:t>
            </w: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275,569,339.49</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184,700,496.44</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888,345,459.02</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857,714,936.00</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368,089,906.23</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225,049,799.70</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509,102,205.30</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545,089,314.58</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124,654,012.10</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316,902,401.39</w:t>
            </w:r>
          </w:p>
        </w:tc>
      </w:tr>
      <w:tr>
        <w:trPr>
          <w:trHeight w:val="404"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17,804,158.72</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40,597,482.27</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76,874,205.57</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107,545,600.52</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15,507,078.40</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6,829,708.52</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2,431,984,419.94</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2,418,371,642.36</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4,803,578,904.63</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5,068,432,370.19</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368,000,000.00</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195,650,000.00</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8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4,518,160.00</w:t>
            </w: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439,406,892.74</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384,124,466.00</w:t>
            </w:r>
          </w:p>
        </w:tc>
      </w:tr>
      <w:tr>
        <w:trPr>
          <w:trHeight w:val="410" w:hRule="exact"/>
        </w:trPr>
        <w:tc>
          <w:tcPr>
            <w:tcW w:w="299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54" w:type="dxa"/>
            <w:tcBorders>
              <w:top w:val="single" w:sz="4" w:space="0" w:color="000000"/>
              <w:left w:val="single" w:sz="12"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284,266,066.50</w:t>
            </w:r>
          </w:p>
        </w:tc>
        <w:tc>
          <w:tcPr>
            <w:tcW w:w="33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439,946,607.99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990"/>
        <w:gridCol w:w="3354"/>
        <w:gridCol w:w="3346"/>
      </w:tblGrid>
      <w:tr>
        <w:trPr>
          <w:trHeight w:val="413" w:hRule="exact"/>
        </w:trPr>
        <w:tc>
          <w:tcPr>
            <w:tcW w:w="299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54" w:type="dxa"/>
            <w:tcBorders>
              <w:top w:val="single" w:sz="12" w:space="0" w:color="000000"/>
              <w:left w:val="single" w:sz="12" w:space="0" w:color="D2D2D2"/>
              <w:bottom w:val="single" w:sz="4" w:space="0" w:color="000000"/>
              <w:right w:val="single" w:sz="4" w:space="0" w:color="000000"/>
            </w:tcBorders>
          </w:tcPr>
          <w:p>
            <w:pPr/>
          </w:p>
        </w:tc>
        <w:tc>
          <w:tcPr>
            <w:tcW w:w="3346"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57,864,482.41</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45,944,231.97</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24,149,305.40</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21,325,658.88</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148,149,380.86</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244,099,422.73</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400,277.78</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7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202,635,665.82</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296,433,293.33</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1,528,989,953.73</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1,627,523,680.90</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446,048,595.04</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670,350,927.63</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25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49,119,554.46</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10,295,318.20</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11,686,073.93</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27,255,834.97</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41,594,093.36</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900,242,219.93</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628,108,506.40</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19,861,622.45</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21,059,059.52</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54" w:type="dxa"/>
            <w:tcBorders>
              <w:top w:val="single" w:sz="4" w:space="0" w:color="000000"/>
              <w:left w:val="single" w:sz="12" w:space="0" w:color="D2D2D2"/>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1,403,703,590.59</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1,421,918,215.30</w:t>
            </w: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2,932,693,544.32</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3,049,441,896.20</w:t>
            </w:r>
          </w:p>
        </w:tc>
      </w:tr>
      <w:tr>
        <w:trPr>
          <w:trHeight w:val="401"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4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9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293,022,806.00</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293,022,806.00</w:t>
            </w:r>
          </w:p>
        </w:tc>
      </w:tr>
      <w:tr>
        <w:trPr>
          <w:trHeight w:val="410" w:hRule="exact"/>
        </w:trPr>
        <w:tc>
          <w:tcPr>
            <w:tcW w:w="299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54" w:type="dxa"/>
            <w:tcBorders>
              <w:top w:val="single" w:sz="4" w:space="0" w:color="000000"/>
              <w:left w:val="single" w:sz="12" w:space="0" w:color="D2D2D2"/>
              <w:bottom w:val="single" w:sz="12" w:space="0" w:color="000000"/>
              <w:right w:val="single" w:sz="4" w:space="0" w:color="000000"/>
            </w:tcBorders>
          </w:tcPr>
          <w:p>
            <w:pPr/>
          </w:p>
        </w:tc>
        <w:tc>
          <w:tcPr>
            <w:tcW w:w="3346"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007"/>
        <w:gridCol w:w="3344"/>
        <w:gridCol w:w="3346"/>
      </w:tblGrid>
      <w:tr>
        <w:trPr>
          <w:trHeight w:val="413" w:hRule="exact"/>
        </w:trPr>
        <w:tc>
          <w:tcPr>
            <w:tcW w:w="300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44" w:type="dxa"/>
            <w:tcBorders>
              <w:top w:val="single" w:sz="12" w:space="0" w:color="000000"/>
              <w:left w:val="single" w:sz="4" w:space="0" w:color="000000"/>
              <w:bottom w:val="single" w:sz="4" w:space="0" w:color="000000"/>
              <w:right w:val="single" w:sz="4" w:space="0" w:color="000000"/>
            </w:tcBorders>
          </w:tcPr>
          <w:p>
            <w:pPr/>
          </w:p>
        </w:tc>
        <w:tc>
          <w:tcPr>
            <w:tcW w:w="3346"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30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25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44"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0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600,002,738.18</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598,828,546.34</w:t>
            </w:r>
          </w:p>
        </w:tc>
      </w:tr>
      <w:tr>
        <w:trPr>
          <w:trHeight w:val="401" w:hRule="exact"/>
        </w:trPr>
        <w:tc>
          <w:tcPr>
            <w:tcW w:w="30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44"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0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14,974.36</w:t>
            </w: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0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44"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0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43,027,252.70</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36,845,041.05</w:t>
            </w:r>
          </w:p>
        </w:tc>
      </w:tr>
      <w:tr>
        <w:trPr>
          <w:trHeight w:val="401" w:hRule="exact"/>
        </w:trPr>
        <w:tc>
          <w:tcPr>
            <w:tcW w:w="30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44" w:type="dxa"/>
            <w:tcBorders>
              <w:top w:val="single" w:sz="4" w:space="0" w:color="000000"/>
              <w:left w:val="single" w:sz="4" w:space="0" w:color="000000"/>
              <w:bottom w:val="single" w:sz="4" w:space="0" w:color="000000"/>
              <w:right w:val="single" w:sz="4" w:space="0" w:color="000000"/>
            </w:tcBorders>
          </w:tcPr>
          <w:p>
            <w:pPr/>
          </w:p>
        </w:tc>
        <w:tc>
          <w:tcPr>
            <w:tcW w:w="334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0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409,973,966.81</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526,909,816.62</w:t>
            </w:r>
          </w:p>
        </w:tc>
      </w:tr>
      <w:tr>
        <w:trPr>
          <w:trHeight w:val="401" w:hRule="exact"/>
        </w:trPr>
        <w:tc>
          <w:tcPr>
            <w:tcW w:w="30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1,346,041,738.05</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1,455,606,210.01</w:t>
            </w:r>
          </w:p>
        </w:tc>
      </w:tr>
      <w:tr>
        <w:trPr>
          <w:trHeight w:val="403" w:hRule="exact"/>
        </w:trPr>
        <w:tc>
          <w:tcPr>
            <w:tcW w:w="30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524,843,622.26</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563,384,263.98</w:t>
            </w:r>
          </w:p>
        </w:tc>
      </w:tr>
      <w:tr>
        <w:trPr>
          <w:trHeight w:val="401" w:hRule="exact"/>
        </w:trPr>
        <w:tc>
          <w:tcPr>
            <w:tcW w:w="30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1,870,885,360.31</w:t>
            </w:r>
          </w:p>
        </w:tc>
        <w:tc>
          <w:tcPr>
            <w:tcW w:w="334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2,018,990,473.99</w:t>
            </w:r>
          </w:p>
        </w:tc>
      </w:tr>
      <w:tr>
        <w:trPr>
          <w:trHeight w:val="410" w:hRule="exact"/>
        </w:trPr>
        <w:tc>
          <w:tcPr>
            <w:tcW w:w="300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4,803,578,904.63</w:t>
            </w:r>
          </w:p>
        </w:tc>
        <w:tc>
          <w:tcPr>
            <w:tcW w:w="33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5,068,432,370.19</w:t>
            </w:r>
          </w:p>
        </w:tc>
      </w:tr>
    </w:tbl>
    <w:p>
      <w:pPr>
        <w:spacing w:line="240" w:lineRule="auto" w:before="2"/>
        <w:rPr>
          <w:rFonts w:ascii="Times New Roman" w:hAnsi="Times New Roman" w:cs="Times New Roman" w:eastAsia="Times New Roman" w:hint="default"/>
          <w:sz w:val="23"/>
          <w:szCs w:val="23"/>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法定代表人：任红军</w:t>
        <w:tab/>
      </w:r>
      <w:r>
        <w:rPr>
          <w:rFonts w:ascii="宋体" w:hAnsi="宋体" w:cs="宋体" w:eastAsia="宋体" w:hint="default"/>
          <w:spacing w:val="-1"/>
          <w:sz w:val="18"/>
          <w:szCs w:val="18"/>
        </w:rPr>
        <w:t>主管会计工作负责人：刘瑞玲</w:t>
        <w:tab/>
      </w:r>
      <w:r>
        <w:rPr>
          <w:rFonts w:ascii="宋体" w:hAnsi="宋体" w:cs="宋体" w:eastAsia="宋体" w:hint="default"/>
          <w:sz w:val="18"/>
          <w:szCs w:val="18"/>
        </w:rPr>
        <w:t>会计机构负责人：肖桂华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974"/>
        <w:gridCol w:w="2420"/>
        <w:gridCol w:w="2297"/>
      </w:tblGrid>
      <w:tr>
        <w:trPr>
          <w:trHeight w:val="411" w:hRule="exact"/>
        </w:trPr>
        <w:tc>
          <w:tcPr>
            <w:tcW w:w="497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29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4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492,313,581.19</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871,567,259.65</w:t>
            </w: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94,760.00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15,474,752.24</w:t>
            </w: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209,715,099.69</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171,485,062.44</w:t>
            </w: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7,790,390.01</w:t>
            </w: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9,007,857.24</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11,336,006.50</w:t>
            </w: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194,784,316.76</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192,288,697.27</w:t>
            </w: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53,039,556.88</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37,308,701.57</w:t>
            </w: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9" w:hRule="exact"/>
        </w:trPr>
        <w:tc>
          <w:tcPr>
            <w:tcW w:w="497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20" w:type="dxa"/>
            <w:tcBorders>
              <w:top w:val="single" w:sz="4" w:space="0" w:color="000000"/>
              <w:left w:val="single" w:sz="13" w:space="0" w:color="D2D2D2"/>
              <w:bottom w:val="single" w:sz="12" w:space="0" w:color="000000"/>
              <w:right w:val="single" w:sz="4" w:space="0" w:color="000000"/>
            </w:tcBorders>
          </w:tcPr>
          <w:p>
            <w:pPr/>
          </w:p>
        </w:tc>
        <w:tc>
          <w:tcPr>
            <w:tcW w:w="2297"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974"/>
        <w:gridCol w:w="2420"/>
        <w:gridCol w:w="2297"/>
      </w:tblGrid>
      <w:tr>
        <w:trPr>
          <w:trHeight w:val="412" w:hRule="exact"/>
        </w:trPr>
        <w:tc>
          <w:tcPr>
            <w:tcW w:w="497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20" w:type="dxa"/>
            <w:tcBorders>
              <w:top w:val="single" w:sz="12" w:space="0" w:color="000000"/>
              <w:left w:val="single" w:sz="13" w:space="0" w:color="D2D2D2"/>
              <w:bottom w:val="single" w:sz="4" w:space="0" w:color="000000"/>
              <w:right w:val="single" w:sz="4" w:space="0" w:color="000000"/>
            </w:tcBorders>
          </w:tcPr>
          <w:p>
            <w:pPr/>
          </w:p>
        </w:tc>
        <w:tc>
          <w:tcPr>
            <w:tcW w:w="2297"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4,048,175.84</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852,742.99</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970,793,737.61</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1,300,313,222.66</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36,900,001.00</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1,665,242,183.88</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1,705,465,127.06</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44,900,001.00</w:t>
            </w: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231,058,882.93</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162,262,562.16</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126,047,527.05</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155,154,608.24</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46,558,354.57</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42,541,714.91</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58,480,970.09</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61,344,992.17</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11,772,314.16</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32,096,898.29</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3,861,704.61</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5,820,325.97</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2,197,921,938.29</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2,201,586,229.80</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3,168,715,675.90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3,501,899,452.46</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290,000,000.00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128,000,000.00</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100,492,254.70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84,189,089.65</w:t>
            </w:r>
          </w:p>
        </w:tc>
      </w:tr>
      <w:tr>
        <w:trPr>
          <w:trHeight w:val="410" w:hRule="exact"/>
        </w:trPr>
        <w:tc>
          <w:tcPr>
            <w:tcW w:w="497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0"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10,444,056.77</w:t>
            </w:r>
          </w:p>
        </w:tc>
        <w:tc>
          <w:tcPr>
            <w:tcW w:w="22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9,342,766.45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974"/>
        <w:gridCol w:w="2420"/>
        <w:gridCol w:w="2297"/>
      </w:tblGrid>
      <w:tr>
        <w:trPr>
          <w:trHeight w:val="412" w:hRule="exact"/>
        </w:trPr>
        <w:tc>
          <w:tcPr>
            <w:tcW w:w="497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20" w:type="dxa"/>
            <w:tcBorders>
              <w:top w:val="single" w:sz="12" w:space="0" w:color="000000"/>
              <w:left w:val="single" w:sz="13" w:space="0" w:color="D2D2D2"/>
              <w:bottom w:val="single" w:sz="4" w:space="0" w:color="000000"/>
              <w:right w:val="single" w:sz="4" w:space="0" w:color="000000"/>
            </w:tcBorders>
          </w:tcPr>
          <w:p>
            <w:pPr/>
          </w:p>
        </w:tc>
        <w:tc>
          <w:tcPr>
            <w:tcW w:w="2297"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12,764,269.77</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11,393,708.25</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4,220,104.73</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5,006,850.15</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1,199,211,765.35</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1,545,538,949.71</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400,277.78</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226,772,215.49</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1,807,132,451.32</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2,010,243,579.70</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85,000,000.00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275,000,000.00</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1,161,671.22</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96,671.22</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86,161,671.22</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275,096,671.22</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1,893,294,122.54</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2,285,340,250.92</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293,022,806.00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293,022,806.00</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657,296,601.72</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654,493,834.56</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497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0"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43,027,252.70</w:t>
            </w:r>
          </w:p>
        </w:tc>
        <w:tc>
          <w:tcPr>
            <w:tcW w:w="22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36,845,041.05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809998pt;margin-top:677.619995pt;width:159.9pt;height:19.6pt;mso-position-horizontal-relative:page;mso-position-vertical-relative:page;z-index:-1121224" coordorigin="4256,13552" coordsize="3198,392">
            <v:shape style="position:absolute;left:4256;top:13552;width:3198;height:392" coordorigin="4256,13552" coordsize="3198,392" path="m4256,13944l7453,13944,7453,13552,4256,13552,4256,13944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992"/>
        <w:gridCol w:w="2408"/>
        <w:gridCol w:w="2297"/>
      </w:tblGrid>
      <w:tr>
        <w:trPr>
          <w:trHeight w:val="412" w:hRule="exact"/>
        </w:trPr>
        <w:tc>
          <w:tcPr>
            <w:tcW w:w="499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282,074,892.94</w:t>
            </w:r>
          </w:p>
        </w:tc>
        <w:tc>
          <w:tcPr>
            <w:tcW w:w="229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232,197,519.93</w:t>
            </w:r>
          </w:p>
        </w:tc>
      </w:tr>
      <w:tr>
        <w:trPr>
          <w:trHeight w:val="401" w:hRule="exact"/>
        </w:trPr>
        <w:tc>
          <w:tcPr>
            <w:tcW w:w="49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1,275,421,553.36</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1,216,559,201.54</w:t>
            </w:r>
          </w:p>
        </w:tc>
      </w:tr>
      <w:tr>
        <w:trPr>
          <w:trHeight w:val="410" w:hRule="exact"/>
        </w:trPr>
        <w:tc>
          <w:tcPr>
            <w:tcW w:w="499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3,168,715,675.90</w:t>
            </w:r>
          </w:p>
        </w:tc>
        <w:tc>
          <w:tcPr>
            <w:tcW w:w="22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3,501,899,452.46</w:t>
            </w: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105"/>
        <w:gridCol w:w="1138"/>
        <w:gridCol w:w="2128"/>
        <w:gridCol w:w="3320"/>
      </w:tblGrid>
      <w:tr>
        <w:trPr>
          <w:trHeight w:val="409" w:hRule="exact"/>
        </w:trPr>
        <w:tc>
          <w:tcPr>
            <w:tcW w:w="310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66"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2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64" w:right="0"/>
              <w:jc w:val="left"/>
              <w:rPr>
                <w:rFonts w:ascii="Times New Roman" w:hAnsi="Times New Roman" w:cs="Times New Roman" w:eastAsia="Times New Roman" w:hint="default"/>
                <w:sz w:val="18"/>
                <w:szCs w:val="18"/>
              </w:rPr>
            </w:pPr>
            <w:r>
              <w:rPr>
                <w:rFonts w:ascii="Times New Roman"/>
                <w:sz w:val="18"/>
              </w:rPr>
              <w:t>1,819,480,487.05</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1,512,330,588.86</w:t>
            </w: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64" w:right="0"/>
              <w:jc w:val="left"/>
              <w:rPr>
                <w:rFonts w:ascii="Times New Roman" w:hAnsi="Times New Roman" w:cs="Times New Roman" w:eastAsia="Times New Roman" w:hint="default"/>
                <w:sz w:val="18"/>
                <w:szCs w:val="18"/>
              </w:rPr>
            </w:pPr>
            <w:r>
              <w:rPr>
                <w:rFonts w:ascii="Times New Roman"/>
                <w:sz w:val="18"/>
              </w:rPr>
              <w:t>1,819,480,487.05</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1,512,330,588.86</w:t>
            </w:r>
          </w:p>
        </w:tc>
      </w:tr>
      <w:tr>
        <w:trPr>
          <w:trHeight w:val="404"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90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64" w:right="0"/>
              <w:jc w:val="left"/>
              <w:rPr>
                <w:rFonts w:ascii="Times New Roman" w:hAnsi="Times New Roman" w:cs="Times New Roman" w:eastAsia="Times New Roman" w:hint="default"/>
                <w:sz w:val="18"/>
                <w:szCs w:val="18"/>
              </w:rPr>
            </w:pPr>
            <w:r>
              <w:rPr>
                <w:rFonts w:ascii="Times New Roman"/>
                <w:sz w:val="18"/>
              </w:rPr>
              <w:t>1,750,408,028.32</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1,435,783,345.85</w:t>
            </w: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64" w:right="0"/>
              <w:jc w:val="left"/>
              <w:rPr>
                <w:rFonts w:ascii="Times New Roman" w:hAnsi="Times New Roman" w:cs="Times New Roman" w:eastAsia="Times New Roman" w:hint="default"/>
                <w:sz w:val="18"/>
                <w:szCs w:val="18"/>
              </w:rPr>
            </w:pPr>
            <w:r>
              <w:rPr>
                <w:rFonts w:ascii="Times New Roman"/>
                <w:sz w:val="18"/>
              </w:rPr>
              <w:t>1,247,935,555.28</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979,609,451.19</w:t>
            </w: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17,444,606.75</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17,860,815.72</w:t>
            </w: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99" w:right="0"/>
              <w:jc w:val="left"/>
              <w:rPr>
                <w:rFonts w:ascii="Times New Roman" w:hAnsi="Times New Roman" w:cs="Times New Roman" w:eastAsia="Times New Roman" w:hint="default"/>
                <w:sz w:val="18"/>
                <w:szCs w:val="18"/>
              </w:rPr>
            </w:pPr>
            <w:r>
              <w:rPr>
                <w:rFonts w:ascii="Times New Roman"/>
                <w:sz w:val="18"/>
              </w:rPr>
              <w:t>127,540,709.72</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112,852,768.14</w:t>
            </w: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99" w:right="0"/>
              <w:jc w:val="left"/>
              <w:rPr>
                <w:rFonts w:ascii="Times New Roman" w:hAnsi="Times New Roman" w:cs="Times New Roman" w:eastAsia="Times New Roman" w:hint="default"/>
                <w:sz w:val="18"/>
                <w:szCs w:val="18"/>
              </w:rPr>
            </w:pPr>
            <w:r>
              <w:rPr>
                <w:rFonts w:ascii="Times New Roman"/>
                <w:sz w:val="18"/>
              </w:rPr>
              <w:t>176,663,088.46</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164,677,451.44</w:t>
            </w: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99" w:right="0"/>
              <w:jc w:val="left"/>
              <w:rPr>
                <w:rFonts w:ascii="Times New Roman" w:hAnsi="Times New Roman" w:cs="Times New Roman" w:eastAsia="Times New Roman" w:hint="default"/>
                <w:sz w:val="18"/>
                <w:szCs w:val="18"/>
              </w:rPr>
            </w:pPr>
            <w:r>
              <w:rPr>
                <w:rFonts w:ascii="Times New Roman"/>
                <w:sz w:val="18"/>
              </w:rPr>
              <w:t>134,348,539.08</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106,686,836.36</w:t>
            </w: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46,475,529.03</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54,096,023.00</w:t>
            </w: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55,176,428.81</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55,321,936.72</w:t>
            </w: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62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9,475,070.62</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1,652,974.40</w:t>
            </w: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99" w:right="0"/>
              <w:jc w:val="left"/>
              <w:rPr>
                <w:rFonts w:ascii="Times New Roman" w:hAnsi="Times New Roman" w:cs="Times New Roman" w:eastAsia="Times New Roman" w:hint="default"/>
                <w:sz w:val="18"/>
                <w:szCs w:val="18"/>
              </w:rPr>
            </w:pPr>
            <w:r>
              <w:rPr>
                <w:rFonts w:ascii="Times New Roman"/>
                <w:sz w:val="18"/>
              </w:rPr>
              <w:t>137,272,006.63</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82,034,073.40</w:t>
            </w:r>
          </w:p>
        </w:tc>
      </w:tr>
      <w:tr>
        <w:trPr>
          <w:trHeight w:val="403" w:hRule="exact"/>
        </w:trPr>
        <w:tc>
          <w:tcPr>
            <w:tcW w:w="3105" w:type="dxa"/>
            <w:tcBorders>
              <w:top w:val="single" w:sz="4" w:space="0" w:color="000000"/>
              <w:left w:val="single" w:sz="12" w:space="0" w:color="000000"/>
              <w:bottom w:val="single" w:sz="4" w:space="0" w:color="000000"/>
              <w:right w:val="single" w:sz="13" w:space="0" w:color="FFFFFF"/>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宋体" w:hAnsi="宋体" w:cs="宋体" w:eastAsia="宋体" w:hint="default"/>
                <w:spacing w:val="-5"/>
                <w:sz w:val="18"/>
                <w:szCs w:val="18"/>
              </w:rPr>
              <w:t>投资收益（损失以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138" w:type="dxa"/>
            <w:tcBorders>
              <w:top w:val="single" w:sz="4" w:space="0" w:color="000000"/>
              <w:left w:val="single" w:sz="22" w:space="0" w:color="D2D2D2"/>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64" w:right="0"/>
              <w:jc w:val="left"/>
              <w:rPr>
                <w:rFonts w:ascii="Times New Roman" w:hAnsi="Times New Roman" w:cs="Times New Roman" w:eastAsia="Times New Roman" w:hint="default"/>
                <w:sz w:val="18"/>
                <w:szCs w:val="18"/>
              </w:rPr>
            </w:pPr>
            <w:r>
              <w:rPr>
                <w:rFonts w:ascii="Times New Roman"/>
                <w:sz w:val="18"/>
              </w:rPr>
              <w:t>34,096,965.92</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47,783,051.26</w:t>
            </w:r>
          </w:p>
        </w:tc>
      </w:tr>
      <w:tr>
        <w:trPr>
          <w:trHeight w:val="722" w:hRule="exact"/>
        </w:trPr>
        <w:tc>
          <w:tcPr>
            <w:tcW w:w="310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49"/>
              <w:ind w:left="7" w:right="16"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其中：对联营企业和合营企业 的投资收益</w:t>
            </w:r>
          </w:p>
        </w:tc>
        <w:tc>
          <w:tcPr>
            <w:tcW w:w="3266" w:type="dxa"/>
            <w:gridSpan w:val="2"/>
            <w:tcBorders>
              <w:top w:val="single" w:sz="4" w:space="0" w:color="000000"/>
              <w:left w:val="single" w:sz="10" w:space="0" w:color="D2D2D2"/>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9,293,385.01</w:t>
            </w:r>
          </w:p>
        </w:tc>
        <w:tc>
          <w:tcPr>
            <w:tcW w:w="33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4,449,846.75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809998pt;margin-top:368.089996pt;width:159.9pt;height:19.7pt;mso-position-horizontal-relative:page;mso-position-vertical-relative:page;z-index:-1121200" coordorigin="4256,7362" coordsize="3198,394">
            <v:shape style="position:absolute;left:4256;top:7362;width:3198;height:394" coordorigin="4256,7362" coordsize="3198,394" path="m4256,7755l7453,7755,7453,7362,4256,7362,4256,775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3105"/>
        <w:gridCol w:w="1152"/>
        <w:gridCol w:w="2114"/>
        <w:gridCol w:w="3320"/>
      </w:tblGrid>
      <w:tr>
        <w:trPr>
          <w:trHeight w:val="725" w:hRule="exact"/>
        </w:trPr>
        <w:tc>
          <w:tcPr>
            <w:tcW w:w="310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7" w:right="16"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以摊余成本计量的金融资 产终止确认收益</w:t>
            </w:r>
          </w:p>
        </w:tc>
        <w:tc>
          <w:tcPr>
            <w:tcW w:w="3266" w:type="dxa"/>
            <w:gridSpan w:val="2"/>
            <w:tcBorders>
              <w:top w:val="single" w:sz="12" w:space="0" w:color="000000"/>
              <w:left w:val="single" w:sz="10" w:space="0" w:color="D2D2D2"/>
              <w:bottom w:val="single" w:sz="4" w:space="0" w:color="000000"/>
              <w:right w:val="single" w:sz="4" w:space="0" w:color="000000"/>
            </w:tcBorders>
          </w:tcPr>
          <w:p>
            <w:pPr/>
          </w:p>
        </w:tc>
        <w:tc>
          <w:tcPr>
            <w:tcW w:w="3320"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23"/>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30" w:right="0"/>
              <w:jc w:val="left"/>
              <w:rPr>
                <w:rFonts w:ascii="Times New Roman" w:hAnsi="Times New Roman" w:cs="Times New Roman" w:eastAsia="Times New Roman" w:hint="default"/>
                <w:sz w:val="18"/>
                <w:szCs w:val="18"/>
              </w:rPr>
            </w:pPr>
            <w:r>
              <w:rPr>
                <w:rFonts w:ascii="Times New Roman"/>
                <w:sz w:val="18"/>
              </w:rPr>
              <w:t>-13,643,031.74</w:t>
            </w: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38" w:right="0"/>
              <w:jc w:val="left"/>
              <w:rPr>
                <w:rFonts w:ascii="Times New Roman" w:hAnsi="Times New Roman" w:cs="Times New Roman" w:eastAsia="Times New Roman" w:hint="default"/>
                <w:sz w:val="18"/>
                <w:szCs w:val="18"/>
              </w:rPr>
            </w:pPr>
            <w:r>
              <w:rPr>
                <w:rFonts w:ascii="Times New Roman"/>
                <w:sz w:val="18"/>
              </w:rPr>
              <w:t>-227,977,634.17</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-77,229,595.51</w:t>
            </w:r>
          </w:p>
        </w:tc>
      </w:tr>
      <w:tr>
        <w:trPr>
          <w:trHeight w:val="715"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-100,872.84</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-895,232.20</w:t>
            </w: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-1,280,107.47</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128,239,539.96</w:t>
            </w: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983,130.02</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26,440,274.73</w:t>
            </w: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1,237,085.15</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2,356,774.56</w:t>
            </w:r>
          </w:p>
        </w:tc>
      </w:tr>
      <w:tr>
        <w:trPr>
          <w:trHeight w:val="403" w:hRule="exact"/>
        </w:trPr>
        <w:tc>
          <w:tcPr>
            <w:tcW w:w="3105" w:type="dxa"/>
            <w:tcBorders>
              <w:top w:val="single" w:sz="4" w:space="0" w:color="000000"/>
              <w:left w:val="single" w:sz="12" w:space="0" w:color="000000"/>
              <w:bottom w:val="single" w:sz="4" w:space="0" w:color="000000"/>
              <w:right w:val="single" w:sz="13" w:space="0" w:color="FFFFFF"/>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pacing w:val="-4"/>
                <w:sz w:val="18"/>
                <w:szCs w:val="18"/>
              </w:rPr>
              <w:t>四、利润总额（亏损总额以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p>
        </w:tc>
        <w:tc>
          <w:tcPr>
            <w:tcW w:w="1152" w:type="dxa"/>
            <w:tcBorders>
              <w:top w:val="single" w:sz="4" w:space="0" w:color="000000"/>
              <w:left w:val="single" w:sz="22" w:space="0" w:color="D2D2D2"/>
              <w:bottom w:val="single" w:sz="4" w:space="0" w:color="000000"/>
              <w:right w:val="nil" w:sz="6" w:space="0" w:color="auto"/>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79" w:right="0"/>
              <w:jc w:val="left"/>
              <w:rPr>
                <w:rFonts w:ascii="Times New Roman" w:hAnsi="Times New Roman" w:cs="Times New Roman" w:eastAsia="Times New Roman" w:hint="default"/>
                <w:sz w:val="18"/>
                <w:szCs w:val="18"/>
              </w:rPr>
            </w:pPr>
            <w:r>
              <w:rPr>
                <w:rFonts w:ascii="Times New Roman"/>
                <w:sz w:val="18"/>
              </w:rPr>
              <w:t>-1,534,062.60</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152,323,040.13</w:t>
            </w: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62,015,339.41</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44,273,248.31</w:t>
            </w: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0" w:right="0"/>
              <w:jc w:val="left"/>
              <w:rPr>
                <w:rFonts w:ascii="Times New Roman" w:hAnsi="Times New Roman" w:cs="Times New Roman" w:eastAsia="Times New Roman" w:hint="default"/>
                <w:sz w:val="18"/>
                <w:szCs w:val="18"/>
              </w:rPr>
            </w:pPr>
            <w:r>
              <w:rPr>
                <w:rFonts w:ascii="Times New Roman"/>
                <w:sz w:val="18"/>
              </w:rPr>
              <w:t>-63,549,402.01</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108,049,791.82</w:t>
            </w: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66"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32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715"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30" w:right="0"/>
              <w:jc w:val="left"/>
              <w:rPr>
                <w:rFonts w:ascii="Times New Roman" w:hAnsi="Times New Roman" w:cs="Times New Roman" w:eastAsia="Times New Roman" w:hint="default"/>
                <w:sz w:val="18"/>
                <w:szCs w:val="18"/>
              </w:rPr>
            </w:pPr>
            <w:r>
              <w:rPr>
                <w:rFonts w:ascii="Times New Roman"/>
                <w:sz w:val="18"/>
              </w:rPr>
              <w:t>-63,549,402.01</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108,049,791.82</w:t>
            </w:r>
          </w:p>
        </w:tc>
      </w:tr>
      <w:tr>
        <w:trPr>
          <w:trHeight w:val="71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66"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32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38" w:right="0"/>
              <w:jc w:val="left"/>
              <w:rPr>
                <w:rFonts w:ascii="Times New Roman" w:hAnsi="Times New Roman" w:cs="Times New Roman" w:eastAsia="Times New Roman" w:hint="default"/>
                <w:sz w:val="18"/>
                <w:szCs w:val="18"/>
              </w:rPr>
            </w:pPr>
            <w:r>
              <w:rPr>
                <w:rFonts w:ascii="Times New Roman"/>
                <w:sz w:val="18"/>
              </w:rPr>
              <w:t>-103,778,838.98</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61,657,351.15</w:t>
            </w: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40,229,436.97</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46,392,440.67</w:t>
            </w: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17,870.98</w:t>
            </w: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49"/>
              <w:ind w:left="7" w:right="1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 税后净额</w:t>
            </w:r>
          </w:p>
        </w:tc>
        <w:tc>
          <w:tcPr>
            <w:tcW w:w="326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14,974.36</w:t>
            </w: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16"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（一）不能重分类进损益的其他综 合收益</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66" w:type="dxa"/>
            <w:gridSpan w:val="2"/>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22" w:hRule="exact"/>
        </w:trPr>
        <w:tc>
          <w:tcPr>
            <w:tcW w:w="310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66" w:type="dxa"/>
            <w:gridSpan w:val="2"/>
            <w:tcBorders>
              <w:top w:val="single" w:sz="4" w:space="0" w:color="000000"/>
              <w:left w:val="single" w:sz="10" w:space="0" w:color="D2D2D2"/>
              <w:bottom w:val="single" w:sz="12" w:space="0" w:color="000000"/>
              <w:right w:val="single" w:sz="4" w:space="0" w:color="000000"/>
            </w:tcBorders>
          </w:tcPr>
          <w:p>
            <w:pPr/>
          </w:p>
        </w:tc>
        <w:tc>
          <w:tcPr>
            <w:tcW w:w="3320"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3105"/>
        <w:gridCol w:w="3266"/>
        <w:gridCol w:w="3320"/>
      </w:tblGrid>
      <w:tr>
        <w:trPr>
          <w:trHeight w:val="725" w:hRule="exact"/>
        </w:trPr>
        <w:tc>
          <w:tcPr>
            <w:tcW w:w="310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66" w:type="dxa"/>
            <w:tcBorders>
              <w:top w:val="single" w:sz="12" w:space="0" w:color="000000"/>
              <w:left w:val="single" w:sz="10" w:space="0" w:color="D2D2D2"/>
              <w:bottom w:val="single" w:sz="4" w:space="0" w:color="000000"/>
              <w:right w:val="single" w:sz="4" w:space="0" w:color="000000"/>
            </w:tcBorders>
          </w:tcPr>
          <w:p>
            <w:pPr/>
          </w:p>
        </w:tc>
        <w:tc>
          <w:tcPr>
            <w:tcW w:w="3320" w:type="dxa"/>
            <w:tcBorders>
              <w:top w:val="single" w:sz="12" w:space="0" w:color="000000"/>
              <w:left w:val="single" w:sz="4" w:space="0" w:color="000000"/>
              <w:bottom w:val="single" w:sz="4" w:space="0" w:color="000000"/>
              <w:right w:val="single" w:sz="12" w:space="0" w:color="000000"/>
            </w:tcBorders>
          </w:tcPr>
          <w:p>
            <w:pPr/>
          </w:p>
        </w:tc>
      </w:tr>
      <w:tr>
        <w:trPr>
          <w:trHeight w:val="71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66" w:type="dxa"/>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66" w:type="dxa"/>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32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14,974.36</w:t>
            </w: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66" w:type="dxa"/>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66" w:type="dxa"/>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66" w:type="dxa"/>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7" w:right="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66" w:type="dxa"/>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7" w:right="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66" w:type="dxa"/>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66" w:type="dxa"/>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66" w:type="dxa"/>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2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14,974.36</w:t>
            </w: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66" w:type="dxa"/>
            <w:tcBorders>
              <w:top w:val="single" w:sz="4" w:space="0" w:color="000000"/>
              <w:left w:val="single" w:sz="10" w:space="0" w:color="D2D2D2"/>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1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 后净额</w:t>
            </w:r>
          </w:p>
        </w:tc>
        <w:tc>
          <w:tcPr>
            <w:tcW w:w="32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2,896.62</w:t>
            </w:r>
          </w:p>
        </w:tc>
        <w:tc>
          <w:tcPr>
            <w:tcW w:w="33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-63,531,531.03</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108,049,791.82</w:t>
            </w:r>
          </w:p>
        </w:tc>
      </w:tr>
      <w:tr>
        <w:trPr>
          <w:trHeight w:val="71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-103,763,864.62</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61,657,351.15</w:t>
            </w:r>
          </w:p>
        </w:tc>
      </w:tr>
      <w:tr>
        <w:trPr>
          <w:trHeight w:val="403"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19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40,232,333.59</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46,392,440.67</w:t>
            </w:r>
          </w:p>
        </w:tc>
      </w:tr>
      <w:tr>
        <w:trPr>
          <w:trHeight w:val="401"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4" w:hRule="exact"/>
        </w:trPr>
        <w:tc>
          <w:tcPr>
            <w:tcW w:w="31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-0.35</w:t>
            </w:r>
          </w:p>
        </w:tc>
        <w:tc>
          <w:tcPr>
            <w:tcW w:w="3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0.21</w:t>
            </w:r>
          </w:p>
        </w:tc>
      </w:tr>
      <w:tr>
        <w:trPr>
          <w:trHeight w:val="410" w:hRule="exact"/>
        </w:trPr>
        <w:tc>
          <w:tcPr>
            <w:tcW w:w="310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66"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-0.35</w:t>
            </w:r>
          </w:p>
        </w:tc>
        <w:tc>
          <w:tcPr>
            <w:tcW w:w="33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0.21</w:t>
            </w:r>
          </w:p>
        </w:tc>
      </w:tr>
    </w:tbl>
    <w:p>
      <w:pPr>
        <w:tabs>
          <w:tab w:pos="3578" w:val="left" w:leader="none"/>
          <w:tab w:pos="7721" w:val="left" w:leader="none"/>
        </w:tabs>
        <w:spacing w:line="595" w:lineRule="auto" w:before="51"/>
        <w:ind w:left="152" w:right="1223"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法定代表人：任红军</w:t>
        <w:tab/>
      </w:r>
      <w:r>
        <w:rPr>
          <w:rFonts w:ascii="宋体" w:hAnsi="宋体" w:cs="宋体" w:eastAsia="宋体" w:hint="default"/>
          <w:spacing w:val="-1"/>
          <w:sz w:val="18"/>
          <w:szCs w:val="18"/>
        </w:rPr>
        <w:t>主管会计工作负责人：刘瑞玲</w:t>
        <w:tab/>
      </w:r>
      <w:r>
        <w:rPr>
          <w:rFonts w:ascii="宋体" w:hAnsi="宋体" w:cs="宋体" w:eastAsia="宋体" w:hint="default"/>
          <w:sz w:val="18"/>
          <w:szCs w:val="18"/>
        </w:rPr>
        <w:t>会计机构负责人：肖桂华</w:t>
      </w:r>
      <w:r>
        <w:rPr>
          <w:rFonts w:ascii="宋体" w:hAnsi="宋体" w:cs="宋体" w:eastAsia="宋体" w:hint="default"/>
          <w:sz w:val="18"/>
          <w:szCs w:val="18"/>
        </w:rPr>
        <w:t> </w:t>
      </w:r>
      <w:bookmarkStart w:name="4、母公司利润表" w:id="159"/>
      <w:bookmarkEnd w:id="159"/>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974"/>
        <w:gridCol w:w="2420"/>
        <w:gridCol w:w="2297"/>
      </w:tblGrid>
      <w:tr>
        <w:trPr>
          <w:trHeight w:val="412" w:hRule="exact"/>
        </w:trPr>
        <w:tc>
          <w:tcPr>
            <w:tcW w:w="497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9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7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366,635,705.25</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324,038,771.29</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213,717,354.51</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190,963,750.74</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8,018,062.65</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8,253,753.46</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30,273,809.28</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21,313,300.99</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52,330,579.44</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47,677,787.93</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26,485,260.29</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18,094,614.98</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37,015,994.17</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58,101,925.15</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38,135,781.14</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58,198,267.99</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4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1,101,287.82</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354,441.24</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38,970,268.66</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15,686,856.96</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150,049,597.48</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52,696,690.38</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6,733,939.96</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3,415,496.81</w:t>
            </w:r>
          </w:p>
        </w:tc>
      </w:tr>
      <w:tr>
        <w:trPr>
          <w:trHeight w:val="71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86"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以摊余成本计量的金融资产终止确认收益（损失 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1,535,924.15</w:t>
            </w: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-124,090,559.30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-34,213,873.36</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-41,875.31</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-450,375.88</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65,218,000.59</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13,352,936.14</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531,617.06</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502,175.59</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65,569,617.65</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2"/>
                <w:sz w:val="18"/>
              </w:rPr>
              <w:t>13,695,111.73</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3,747,501.15</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-1,226,098.80</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61,822,116.50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14,921,210.53</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827"/>
              <w:jc w:val="right"/>
              <w:rPr>
                <w:rFonts w:ascii="宋体" w:hAnsi="宋体" w:cs="宋体" w:eastAsia="宋体" w:hint="default"/>
                <w:sz w:val="18"/>
                <w:szCs w:val="18"/>
              </w:rPr>
            </w:pPr>
            <w:r>
              <w:rPr>
                <w:rFonts w:ascii="宋体" w:hAnsi="宋体" w:cs="宋体" w:eastAsia="宋体" w:hint="default"/>
                <w:spacing w:val="-1"/>
                <w:sz w:val="18"/>
                <w:szCs w:val="18"/>
              </w:rPr>
              <w:t>（一）持续经营净利润（净亏损以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61,822,116.50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14,921,210.53</w:t>
            </w:r>
          </w:p>
        </w:tc>
      </w:tr>
      <w:tr>
        <w:trPr>
          <w:trHeight w:val="404"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827"/>
              <w:jc w:val="right"/>
              <w:rPr>
                <w:rFonts w:ascii="宋体" w:hAnsi="宋体" w:cs="宋体" w:eastAsia="宋体" w:hint="default"/>
                <w:sz w:val="18"/>
                <w:szCs w:val="18"/>
              </w:rPr>
            </w:pPr>
            <w:r>
              <w:rPr>
                <w:rFonts w:ascii="宋体" w:hAnsi="宋体" w:cs="宋体" w:eastAsia="宋体" w:hint="default"/>
                <w:spacing w:val="-1"/>
                <w:sz w:val="18"/>
                <w:szCs w:val="18"/>
              </w:rPr>
              <w:t>（二）终止经营净利润（净亏损以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497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420" w:type="dxa"/>
            <w:tcBorders>
              <w:top w:val="single" w:sz="4" w:space="0" w:color="000000"/>
              <w:left w:val="single" w:sz="13" w:space="0" w:color="D2D2D2"/>
              <w:bottom w:val="single" w:sz="12" w:space="0" w:color="000000"/>
              <w:right w:val="single" w:sz="4" w:space="0" w:color="000000"/>
            </w:tcBorders>
          </w:tcPr>
          <w:p>
            <w:pPr/>
          </w:p>
        </w:tc>
        <w:tc>
          <w:tcPr>
            <w:tcW w:w="2297"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974"/>
        <w:gridCol w:w="2420"/>
        <w:gridCol w:w="2297"/>
      </w:tblGrid>
      <w:tr>
        <w:trPr>
          <w:trHeight w:val="412" w:hRule="exact"/>
        </w:trPr>
        <w:tc>
          <w:tcPr>
            <w:tcW w:w="497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420" w:type="dxa"/>
            <w:tcBorders>
              <w:top w:val="single" w:sz="12" w:space="0" w:color="000000"/>
              <w:left w:val="single" w:sz="13" w:space="0" w:color="D2D2D2"/>
              <w:bottom w:val="single" w:sz="4" w:space="0" w:color="000000"/>
              <w:right w:val="single" w:sz="4" w:space="0" w:color="000000"/>
            </w:tcBorders>
          </w:tcPr>
          <w:p>
            <w:pPr/>
          </w:p>
        </w:tc>
        <w:tc>
          <w:tcPr>
            <w:tcW w:w="2297"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46" w:right="0"/>
              <w:jc w:val="left"/>
              <w:rPr>
                <w:rFonts w:ascii="Times New Roman" w:hAnsi="Times New Roman" w:cs="Times New Roman" w:eastAsia="Times New Roman" w:hint="default"/>
                <w:sz w:val="18"/>
                <w:szCs w:val="18"/>
              </w:rPr>
            </w:pPr>
            <w:r>
              <w:rPr>
                <w:rFonts w:ascii="Times New Roman"/>
                <w:sz w:val="18"/>
              </w:rPr>
              <w:t>61,822,116.50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1229" w:right="0"/>
              <w:jc w:val="left"/>
              <w:rPr>
                <w:rFonts w:ascii="Times New Roman" w:hAnsi="Times New Roman" w:cs="Times New Roman" w:eastAsia="Times New Roman" w:hint="default"/>
                <w:sz w:val="18"/>
                <w:szCs w:val="18"/>
              </w:rPr>
            </w:pPr>
            <w:r>
              <w:rPr>
                <w:rFonts w:ascii="Times New Roman"/>
                <w:sz w:val="18"/>
              </w:rPr>
              <w:t>14,921,210.53</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497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0" w:type="dxa"/>
            <w:tcBorders>
              <w:top w:val="single" w:sz="4" w:space="0" w:color="000000"/>
              <w:left w:val="single" w:sz="13" w:space="0" w:color="D2D2D2"/>
              <w:bottom w:val="single" w:sz="12" w:space="0" w:color="000000"/>
              <w:right w:val="single" w:sz="4" w:space="0" w:color="000000"/>
            </w:tcBorders>
          </w:tcPr>
          <w:p>
            <w:pPr/>
          </w:p>
        </w:tc>
        <w:tc>
          <w:tcPr>
            <w:tcW w:w="2297"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974"/>
        <w:gridCol w:w="2420"/>
        <w:gridCol w:w="2297"/>
      </w:tblGrid>
      <w:tr>
        <w:trPr>
          <w:trHeight w:val="411" w:hRule="exact"/>
        </w:trPr>
        <w:tc>
          <w:tcPr>
            <w:tcW w:w="497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8"/>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9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8"/>
              <w:ind w:left="7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1,596,748,504.29</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1,679,415,701.20</w:t>
            </w: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1884"/>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1884"/>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12,989,676.24</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10,810,261.81</w:t>
            </w:r>
          </w:p>
        </w:tc>
      </w:tr>
      <w:tr>
        <w:trPr>
          <w:trHeight w:val="402"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375,890,073.66</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482,766,478.65</w:t>
            </w:r>
          </w:p>
        </w:tc>
      </w:tr>
      <w:tr>
        <w:trPr>
          <w:trHeight w:val="409" w:hRule="exact"/>
        </w:trPr>
        <w:tc>
          <w:tcPr>
            <w:tcW w:w="497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0"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1,985,628,254.19</w:t>
            </w:r>
          </w:p>
        </w:tc>
        <w:tc>
          <w:tcPr>
            <w:tcW w:w="22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2,172,992,441.66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974"/>
        <w:gridCol w:w="2420"/>
        <w:gridCol w:w="2297"/>
      </w:tblGrid>
      <w:tr>
        <w:trPr>
          <w:trHeight w:val="412" w:hRule="exact"/>
        </w:trPr>
        <w:tc>
          <w:tcPr>
            <w:tcW w:w="497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0" w:type="dxa"/>
            <w:tcBorders>
              <w:top w:val="single" w:sz="12"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905,704,303.71</w:t>
            </w:r>
          </w:p>
        </w:tc>
        <w:tc>
          <w:tcPr>
            <w:tcW w:w="229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1,030,923,814.55</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329,094,263.66</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289,178,172.98</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101,046,256.09</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183,272,287.92</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324,188,797.41</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140,954,455.45</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1,660,033,620.87</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1,644,328,730.90</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325,594,633.32</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528,663,710.76</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1,024,960,000.00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1,202,520,000.00</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48,997,535.63</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45,016,074.14</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82,046.12</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404,518.88</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497,909.28</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2,697,387.87</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1,074,537,491.03</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1,250,637,980.89</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354,578,987.62</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169,124,880.12</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998,710,000.00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1,096,792,630.12</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31,091,295.94</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1,384,380,283.56</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1,286,917,510.24</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-309,842,792.53</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-36,279,529.35</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11,471.97</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9,467,044.00</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11,471.97</w:t>
            </w: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377,558,000.00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674,948,900.00</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377,569,471.97</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684,415,944.00</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503,889,554.23</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412,483,207.62</w:t>
            </w:r>
          </w:p>
        </w:tc>
      </w:tr>
      <w:tr>
        <w:trPr>
          <w:trHeight w:val="410" w:hRule="exact"/>
        </w:trPr>
        <w:tc>
          <w:tcPr>
            <w:tcW w:w="497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0"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138,288,018.27</w:t>
            </w:r>
          </w:p>
        </w:tc>
        <w:tc>
          <w:tcPr>
            <w:tcW w:w="22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72,161,452.77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992"/>
        <w:gridCol w:w="2408"/>
        <w:gridCol w:w="2297"/>
      </w:tblGrid>
      <w:tr>
        <w:trPr>
          <w:trHeight w:val="412" w:hRule="exact"/>
        </w:trPr>
        <w:tc>
          <w:tcPr>
            <w:tcW w:w="499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7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77,980,000.00</w:t>
            </w:r>
          </w:p>
        </w:tc>
        <w:tc>
          <w:tcPr>
            <w:tcW w:w="229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2,744,000.00</w:t>
            </w:r>
          </w:p>
        </w:tc>
      </w:tr>
      <w:tr>
        <w:trPr>
          <w:trHeight w:val="401" w:hRule="exact"/>
        </w:trPr>
        <w:tc>
          <w:tcPr>
            <w:tcW w:w="49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08" w:type="dxa"/>
            <w:tcBorders>
              <w:top w:val="single" w:sz="4" w:space="0" w:color="000000"/>
              <w:left w:val="single" w:sz="4" w:space="0" w:color="000000"/>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15,519,900.00</w:t>
            </w:r>
          </w:p>
        </w:tc>
      </w:tr>
      <w:tr>
        <w:trPr>
          <w:trHeight w:val="403" w:hRule="exact"/>
        </w:trPr>
        <w:tc>
          <w:tcPr>
            <w:tcW w:w="49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642,177,572.50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500,164,560.39</w:t>
            </w:r>
          </w:p>
        </w:tc>
      </w:tr>
      <w:tr>
        <w:trPr>
          <w:trHeight w:val="401" w:hRule="exact"/>
        </w:trPr>
        <w:tc>
          <w:tcPr>
            <w:tcW w:w="49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-264,608,100.53</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184,251,383.61</w:t>
            </w:r>
          </w:p>
        </w:tc>
      </w:tr>
      <w:tr>
        <w:trPr>
          <w:trHeight w:val="403" w:hRule="exact"/>
        </w:trPr>
        <w:tc>
          <w:tcPr>
            <w:tcW w:w="49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444,493.42</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484,152.28</w:t>
            </w:r>
          </w:p>
        </w:tc>
      </w:tr>
      <w:tr>
        <w:trPr>
          <w:trHeight w:val="401" w:hRule="exact"/>
        </w:trPr>
        <w:tc>
          <w:tcPr>
            <w:tcW w:w="49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-248,411,766.32</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677,119,717.30</w:t>
            </w:r>
          </w:p>
        </w:tc>
      </w:tr>
      <w:tr>
        <w:trPr>
          <w:trHeight w:val="403" w:hRule="exact"/>
        </w:trPr>
        <w:tc>
          <w:tcPr>
            <w:tcW w:w="49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1,448,127,233.04</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771,007,515.74</w:t>
            </w:r>
          </w:p>
        </w:tc>
      </w:tr>
      <w:tr>
        <w:trPr>
          <w:trHeight w:val="410" w:hRule="exact"/>
        </w:trPr>
        <w:tc>
          <w:tcPr>
            <w:tcW w:w="499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1,199,715,466.72</w:t>
            </w:r>
          </w:p>
        </w:tc>
        <w:tc>
          <w:tcPr>
            <w:tcW w:w="22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1,448,127,233.04</w:t>
            </w: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969"/>
        <w:gridCol w:w="2424"/>
        <w:gridCol w:w="2297"/>
      </w:tblGrid>
      <w:tr>
        <w:trPr>
          <w:trHeight w:val="412" w:hRule="exact"/>
        </w:trPr>
        <w:tc>
          <w:tcPr>
            <w:tcW w:w="496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9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7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262,268,024.58</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237,853,902.30</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9,253,355.60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4,467,550.46</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890,747,847.40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537,561,231.28</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1,162,269,227.58</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779,882,684.04</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136,732,801.30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148,962,775.61</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63,505,950.18</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58,205,554.66</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20,718,505.62</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23,363,844.71</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264,130,237.94</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302,766,085.20</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485,087,495.04</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533,298,260.18</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677,181,732.54</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246,584,423.86</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492,926,638.12</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925,100,000.00</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47,029,331.90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29,599,398.46</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12,600.00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451,839.03</w:t>
            </w:r>
          </w:p>
        </w:tc>
      </w:tr>
      <w:tr>
        <w:trPr>
          <w:trHeight w:val="403"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24"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540,468,570.02</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955,651,237.49</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67,185,656.05</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28,921,351.59</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695,975,009.00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912,454,400.00</w:t>
            </w:r>
          </w:p>
        </w:tc>
      </w:tr>
      <w:tr>
        <w:trPr>
          <w:trHeight w:val="402" w:hRule="exact"/>
        </w:trPr>
        <w:tc>
          <w:tcPr>
            <w:tcW w:w="49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31,225,077.50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9" w:hRule="exact"/>
        </w:trPr>
        <w:tc>
          <w:tcPr>
            <w:tcW w:w="49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24" w:type="dxa"/>
            <w:tcBorders>
              <w:top w:val="single" w:sz="4" w:space="0" w:color="000000"/>
              <w:left w:val="single" w:sz="13" w:space="0" w:color="D2D2D2"/>
              <w:bottom w:val="single" w:sz="12" w:space="0" w:color="000000"/>
              <w:right w:val="single" w:sz="4" w:space="0" w:color="000000"/>
            </w:tcBorders>
          </w:tcPr>
          <w:p>
            <w:pPr/>
          </w:p>
        </w:tc>
        <w:tc>
          <w:tcPr>
            <w:tcW w:w="2297"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8"/>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4974"/>
        <w:gridCol w:w="2420"/>
        <w:gridCol w:w="2297"/>
      </w:tblGrid>
      <w:tr>
        <w:trPr>
          <w:trHeight w:val="412" w:hRule="exact"/>
        </w:trPr>
        <w:tc>
          <w:tcPr>
            <w:tcW w:w="497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0" w:type="dxa"/>
            <w:tcBorders>
              <w:top w:val="single" w:sz="12"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794,385,742.55</w:t>
            </w:r>
          </w:p>
        </w:tc>
        <w:tc>
          <w:tcPr>
            <w:tcW w:w="229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962,375,751.59</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-253,917,172.53</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-6,724,514.10</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290,000,000.00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528,000,000.00</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290,000,000.00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528,000,000.00</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1,049,750,000.00</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270,750,000.00</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42,921,820.88</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63,356,792.36</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20" w:type="dxa"/>
            <w:tcBorders>
              <w:top w:val="single" w:sz="4" w:space="0" w:color="000000"/>
              <w:left w:val="single" w:sz="13" w:space="0" w:color="D2D2D2"/>
              <w:bottom w:val="single" w:sz="4" w:space="0" w:color="000000"/>
              <w:right w:val="single" w:sz="4" w:space="0" w:color="000000"/>
            </w:tcBorders>
          </w:tcPr>
          <w:p>
            <w:pPr/>
          </w:p>
        </w:tc>
        <w:tc>
          <w:tcPr>
            <w:tcW w:w="229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1,092,671,820.88</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334,106,792.36</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-802,671,820.88</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193,893,207.64</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153,582.41</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-195,046.31</w:t>
            </w:r>
          </w:p>
        </w:tc>
      </w:tr>
      <w:tr>
        <w:trPr>
          <w:trHeight w:val="401"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-379,253,678.46</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433,558,071.09</w:t>
            </w:r>
          </w:p>
        </w:tc>
      </w:tr>
      <w:tr>
        <w:trPr>
          <w:trHeight w:val="403" w:hRule="exact"/>
        </w:trPr>
        <w:tc>
          <w:tcPr>
            <w:tcW w:w="497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871,567,259.65</w:t>
            </w:r>
          </w:p>
        </w:tc>
        <w:tc>
          <w:tcPr>
            <w:tcW w:w="229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438,009,188.56</w:t>
            </w:r>
          </w:p>
        </w:tc>
      </w:tr>
      <w:tr>
        <w:trPr>
          <w:trHeight w:val="410" w:hRule="exact"/>
        </w:trPr>
        <w:tc>
          <w:tcPr>
            <w:tcW w:w="497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20"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492,313,581.19</w:t>
            </w:r>
          </w:p>
        </w:tc>
        <w:tc>
          <w:tcPr>
            <w:tcW w:w="229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871,567,259.65</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246"/>
        <w:gridCol w:w="494"/>
        <w:gridCol w:w="466"/>
        <w:gridCol w:w="466"/>
        <w:gridCol w:w="468"/>
        <w:gridCol w:w="583"/>
        <w:gridCol w:w="586"/>
        <w:gridCol w:w="583"/>
        <w:gridCol w:w="584"/>
        <w:gridCol w:w="583"/>
        <w:gridCol w:w="583"/>
        <w:gridCol w:w="586"/>
        <w:gridCol w:w="584"/>
        <w:gridCol w:w="583"/>
        <w:gridCol w:w="586"/>
        <w:gridCol w:w="578"/>
      </w:tblGrid>
      <w:tr>
        <w:trPr>
          <w:trHeight w:val="412" w:hRule="exact"/>
        </w:trPr>
        <w:tc>
          <w:tcPr>
            <w:tcW w:w="1246" w:type="dxa"/>
            <w:vMerge w:val="restart"/>
            <w:tcBorders>
              <w:top w:val="single" w:sz="12" w:space="0" w:color="000000"/>
              <w:left w:val="single" w:sz="12" w:space="0" w:color="000000"/>
              <w:right w:val="single" w:sz="4" w:space="0" w:color="000000"/>
            </w:tcBorders>
            <w:shd w:val="clear" w:color="auto" w:fill="D2D2D2"/>
          </w:tcPr>
          <w:p>
            <w:pPr/>
          </w:p>
        </w:tc>
        <w:tc>
          <w:tcPr>
            <w:tcW w:w="8313" w:type="dxa"/>
            <w:gridSpan w:val="15"/>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4" w:hRule="exact"/>
        </w:trPr>
        <w:tc>
          <w:tcPr>
            <w:tcW w:w="1246" w:type="dxa"/>
            <w:vMerge/>
            <w:tcBorders>
              <w:left w:val="single" w:sz="12" w:space="0" w:color="000000"/>
              <w:right w:val="single" w:sz="4" w:space="0" w:color="000000"/>
            </w:tcBorders>
            <w:shd w:val="clear" w:color="auto" w:fill="D2D2D2"/>
          </w:tcPr>
          <w:p>
            <w:pPr/>
          </w:p>
        </w:tc>
        <w:tc>
          <w:tcPr>
            <w:tcW w:w="7149"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156" w:hRule="exact"/>
        </w:trPr>
        <w:tc>
          <w:tcPr>
            <w:tcW w:w="1246" w:type="dxa"/>
            <w:vMerge/>
            <w:tcBorders>
              <w:left w:val="single" w:sz="12" w:space="0" w:color="000000"/>
              <w:right w:val="single" w:sz="4" w:space="0" w:color="000000"/>
            </w:tcBorders>
            <w:shd w:val="clear" w:color="auto" w:fill="D2D2D2"/>
          </w:tcPr>
          <w:p>
            <w:pPr/>
          </w:p>
        </w:tc>
        <w:tc>
          <w:tcPr>
            <w:tcW w:w="7149"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val="restart"/>
            <w:tcBorders>
              <w:top w:val="nil" w:sz="6" w:space="0" w:color="auto"/>
              <w:left w:val="single" w:sz="4" w:space="0" w:color="000000"/>
              <w:right w:val="single" w:sz="12" w:space="0" w:color="000000"/>
            </w:tcBorders>
            <w:shd w:val="clear" w:color="auto" w:fill="D2D2D2"/>
          </w:tcPr>
          <w:p>
            <w:pPr>
              <w:pStyle w:val="TableParagraph"/>
              <w:spacing w:line="316" w:lineRule="auto" w:before="49"/>
              <w:ind w:left="105" w:right="9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6" w:type="dxa"/>
            <w:vMerge/>
            <w:tcBorders>
              <w:left w:val="single" w:sz="12" w:space="0" w:color="000000"/>
              <w:bottom w:val="nil" w:sz="6" w:space="0" w:color="auto"/>
              <w:right w:val="single" w:sz="4" w:space="0" w:color="000000"/>
            </w:tcBorders>
            <w:shd w:val="clear" w:color="auto" w:fill="D2D2D2"/>
          </w:tcPr>
          <w:p>
            <w:pPr/>
          </w:p>
        </w:tc>
        <w:tc>
          <w:tcPr>
            <w:tcW w:w="7149"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12" w:space="0" w:color="000000"/>
            </w:tcBorders>
            <w:shd w:val="clear" w:color="auto" w:fill="D2D2D2"/>
          </w:tcPr>
          <w:p>
            <w:pPr/>
          </w:p>
        </w:tc>
      </w:tr>
      <w:tr>
        <w:trPr>
          <w:trHeight w:val="206" w:hRule="exact"/>
        </w:trPr>
        <w:tc>
          <w:tcPr>
            <w:tcW w:w="1246"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8"/>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12" w:space="0" w:color="000000"/>
            </w:tcBorders>
            <w:shd w:val="clear" w:color="auto" w:fill="D2D2D2"/>
          </w:tcPr>
          <w:p>
            <w:pPr/>
          </w:p>
        </w:tc>
      </w:tr>
      <w:tr>
        <w:trPr>
          <w:trHeight w:val="165" w:hRule="exact"/>
        </w:trPr>
        <w:tc>
          <w:tcPr>
            <w:tcW w:w="1246" w:type="dxa"/>
            <w:vMerge/>
            <w:tcBorders>
              <w:left w:val="single" w:sz="12"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12" w:space="0" w:color="000000"/>
            </w:tcBorders>
            <w:shd w:val="clear" w:color="auto" w:fill="D2D2D2"/>
          </w:tcPr>
          <w:p>
            <w:pPr/>
          </w:p>
        </w:tc>
      </w:tr>
      <w:tr>
        <w:trPr>
          <w:trHeight w:val="193" w:hRule="exact"/>
        </w:trPr>
        <w:tc>
          <w:tcPr>
            <w:tcW w:w="1246" w:type="dxa"/>
            <w:vMerge w:val="restart"/>
            <w:tcBorders>
              <w:top w:val="nil" w:sz="6" w:space="0" w:color="auto"/>
              <w:left w:val="single" w:sz="12"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12" w:space="0" w:color="000000"/>
            </w:tcBorders>
            <w:shd w:val="clear" w:color="auto" w:fill="D2D2D2"/>
          </w:tcPr>
          <w:p>
            <w:pPr/>
          </w:p>
        </w:tc>
      </w:tr>
      <w:tr>
        <w:trPr>
          <w:trHeight w:val="190" w:hRule="exact"/>
        </w:trPr>
        <w:tc>
          <w:tcPr>
            <w:tcW w:w="1246" w:type="dxa"/>
            <w:vMerge/>
            <w:tcBorders>
              <w:left w:val="single" w:sz="12"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12" w:space="0" w:color="000000"/>
            </w:tcBorders>
            <w:shd w:val="clear" w:color="auto" w:fill="D2D2D2"/>
          </w:tcPr>
          <w:p>
            <w:pPr/>
          </w:p>
        </w:tc>
      </w:tr>
      <w:tr>
        <w:trPr>
          <w:trHeight w:val="134" w:hRule="exact"/>
        </w:trPr>
        <w:tc>
          <w:tcPr>
            <w:tcW w:w="1246" w:type="dxa"/>
            <w:vMerge/>
            <w:tcBorders>
              <w:left w:val="single" w:sz="12"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12" w:space="0" w:color="000000"/>
            </w:tcBorders>
            <w:shd w:val="clear" w:color="auto" w:fill="D2D2D2"/>
          </w:tcPr>
          <w:p>
            <w:pPr/>
          </w:p>
        </w:tc>
      </w:tr>
      <w:tr>
        <w:trPr>
          <w:trHeight w:val="124" w:hRule="exact"/>
        </w:trPr>
        <w:tc>
          <w:tcPr>
            <w:tcW w:w="1246" w:type="dxa"/>
            <w:vMerge/>
            <w:tcBorders>
              <w:left w:val="single" w:sz="12"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8" w:type="dxa"/>
            <w:vMerge/>
            <w:tcBorders>
              <w:left w:val="single" w:sz="4" w:space="0" w:color="000000"/>
              <w:bottom w:val="nil" w:sz="6" w:space="0" w:color="auto"/>
              <w:right w:val="single" w:sz="12" w:space="0" w:color="000000"/>
            </w:tcBorders>
            <w:shd w:val="clear" w:color="auto" w:fill="D2D2D2"/>
          </w:tcPr>
          <w:p>
            <w:pPr/>
          </w:p>
        </w:tc>
      </w:tr>
      <w:tr>
        <w:trPr>
          <w:trHeight w:val="94" w:hRule="exact"/>
        </w:trPr>
        <w:tc>
          <w:tcPr>
            <w:tcW w:w="1246" w:type="dxa"/>
            <w:vMerge/>
            <w:tcBorders>
              <w:left w:val="single" w:sz="12"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161" w:hRule="exact"/>
        </w:trPr>
        <w:tc>
          <w:tcPr>
            <w:tcW w:w="1246" w:type="dxa"/>
            <w:tcBorders>
              <w:top w:val="single" w:sz="4" w:space="0" w:color="000000"/>
              <w:left w:val="single" w:sz="12"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293,0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22,80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6.00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598,82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8,546.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34</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18" w:space="0" w:color="D2D2D2"/>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vMerge w:val="restart"/>
            <w:tcBorders>
              <w:top w:val="single" w:sz="18" w:space="0" w:color="D2D2D2"/>
              <w:left w:val="single" w:sz="4" w:space="0" w:color="000000"/>
              <w:right w:val="single" w:sz="4" w:space="0" w:color="000000"/>
            </w:tcBorders>
          </w:tcPr>
          <w:p>
            <w:pPr/>
          </w:p>
        </w:tc>
        <w:tc>
          <w:tcPr>
            <w:tcW w:w="586" w:type="dxa"/>
            <w:vMerge w:val="restart"/>
            <w:tcBorders>
              <w:top w:val="single" w:sz="18" w:space="0" w:color="D2D2D2"/>
              <w:left w:val="single" w:sz="4" w:space="0" w:color="000000"/>
              <w:right w:val="single" w:sz="4" w:space="0" w:color="000000"/>
            </w:tcBorders>
          </w:tcPr>
          <w:p>
            <w:pPr>
              <w:pStyle w:val="TableParagraph"/>
              <w:spacing w:line="240" w:lineRule="auto" w:before="73"/>
              <w:ind w:left="60" w:right="0"/>
              <w:jc w:val="left"/>
              <w:rPr>
                <w:rFonts w:ascii="Times New Roman" w:hAnsi="Times New Roman" w:cs="Times New Roman" w:eastAsia="Times New Roman" w:hint="default"/>
                <w:sz w:val="18"/>
                <w:szCs w:val="18"/>
              </w:rPr>
            </w:pPr>
            <w:r>
              <w:rPr>
                <w:rFonts w:ascii="Times New Roman"/>
                <w:sz w:val="18"/>
              </w:rPr>
              <w:t>526,90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9,816.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62</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1,455,</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606,21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0.01</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563,38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4,263.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98</w:t>
            </w:r>
          </w:p>
        </w:tc>
        <w:tc>
          <w:tcPr>
            <w:tcW w:w="578" w:type="dxa"/>
            <w:vMerge w:val="restart"/>
            <w:tcBorders>
              <w:top w:val="single" w:sz="36" w:space="0" w:color="D2D2D2"/>
              <w:left w:val="single" w:sz="4" w:space="0" w:color="000000"/>
              <w:right w:val="single" w:sz="12" w:space="0" w:color="000000"/>
            </w:tcBorders>
          </w:tcPr>
          <w:p>
            <w:pPr>
              <w:pStyle w:val="TableParagraph"/>
              <w:spacing w:line="240" w:lineRule="auto" w:before="51"/>
              <w:ind w:left="85" w:right="0"/>
              <w:jc w:val="center"/>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990,47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3.99</w:t>
            </w:r>
          </w:p>
        </w:tc>
      </w:tr>
      <w:tr>
        <w:trPr>
          <w:trHeight w:val="706" w:hRule="exact"/>
        </w:trPr>
        <w:tc>
          <w:tcPr>
            <w:tcW w:w="1246"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316" w:lineRule="auto" w:before="49"/>
              <w:ind w:left="7"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12" w:space="0" w:color="000000"/>
            </w:tcBorders>
          </w:tcPr>
          <w:p>
            <w:pPr/>
          </w:p>
        </w:tc>
      </w:tr>
      <w:tr>
        <w:trPr>
          <w:trHeight w:val="161" w:hRule="exact"/>
        </w:trPr>
        <w:tc>
          <w:tcPr>
            <w:tcW w:w="1246" w:type="dxa"/>
            <w:tcBorders>
              <w:top w:val="nil" w:sz="6" w:space="0" w:color="auto"/>
              <w:left w:val="single" w:sz="12"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12" w:space="0" w:color="000000"/>
            </w:tcBorders>
          </w:tcPr>
          <w:p>
            <w:pPr/>
          </w:p>
        </w:tc>
      </w:tr>
      <w:tr>
        <w:trPr>
          <w:trHeight w:val="713" w:hRule="exact"/>
        </w:trPr>
        <w:tc>
          <w:tcPr>
            <w:tcW w:w="124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49"/>
              <w:ind w:left="7"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-2,579,</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457.56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-2,579,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457.56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-291,8</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09.81</w:t>
            </w:r>
          </w:p>
        </w:tc>
        <w:tc>
          <w:tcPr>
            <w:tcW w:w="5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-2,871,</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267.37</w:t>
            </w:r>
          </w:p>
        </w:tc>
      </w:tr>
      <w:tr>
        <w:trPr>
          <w:trHeight w:val="715" w:hRule="exact"/>
        </w:trPr>
        <w:tc>
          <w:tcPr>
            <w:tcW w:w="124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4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124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12" w:space="0" w:color="000000"/>
              <w:right w:val="single" w:sz="4" w:space="0" w:color="000000"/>
            </w:tcBorders>
          </w:tcPr>
          <w:p>
            <w:pPr/>
          </w:p>
        </w:tc>
        <w:tc>
          <w:tcPr>
            <w:tcW w:w="466" w:type="dxa"/>
            <w:tcBorders>
              <w:top w:val="single" w:sz="4" w:space="0" w:color="000000"/>
              <w:left w:val="single" w:sz="4" w:space="0" w:color="000000"/>
              <w:bottom w:val="single" w:sz="12" w:space="0" w:color="000000"/>
              <w:right w:val="single" w:sz="4" w:space="0" w:color="000000"/>
            </w:tcBorders>
          </w:tcPr>
          <w:p>
            <w:pPr/>
          </w:p>
        </w:tc>
        <w:tc>
          <w:tcPr>
            <w:tcW w:w="466" w:type="dxa"/>
            <w:tcBorders>
              <w:top w:val="single" w:sz="4" w:space="0" w:color="000000"/>
              <w:left w:val="single" w:sz="4" w:space="0" w:color="000000"/>
              <w:bottom w:val="single" w:sz="12" w:space="0" w:color="000000"/>
              <w:right w:val="single" w:sz="4" w:space="0" w:color="000000"/>
            </w:tcBorders>
          </w:tcPr>
          <w:p>
            <w:pPr/>
          </w:p>
        </w:tc>
        <w:tc>
          <w:tcPr>
            <w:tcW w:w="468"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
        </w:tc>
        <w:tc>
          <w:tcPr>
            <w:tcW w:w="586"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
        </w:tc>
        <w:tc>
          <w:tcPr>
            <w:tcW w:w="584"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
        </w:tc>
        <w:tc>
          <w:tcPr>
            <w:tcW w:w="586" w:type="dxa"/>
            <w:tcBorders>
              <w:top w:val="single" w:sz="4" w:space="0" w:color="000000"/>
              <w:left w:val="single" w:sz="4" w:space="0" w:color="000000"/>
              <w:bottom w:val="single" w:sz="12" w:space="0" w:color="000000"/>
              <w:right w:val="single" w:sz="4" w:space="0" w:color="000000"/>
            </w:tcBorders>
          </w:tcPr>
          <w:p>
            <w:pPr/>
          </w:p>
        </w:tc>
        <w:tc>
          <w:tcPr>
            <w:tcW w:w="584"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
        </w:tc>
        <w:tc>
          <w:tcPr>
            <w:tcW w:w="586" w:type="dxa"/>
            <w:tcBorders>
              <w:top w:val="single" w:sz="4" w:space="0" w:color="000000"/>
              <w:left w:val="single" w:sz="4" w:space="0" w:color="000000"/>
              <w:bottom w:val="single" w:sz="12" w:space="0" w:color="000000"/>
              <w:right w:val="single" w:sz="4" w:space="0" w:color="000000"/>
            </w:tcBorders>
          </w:tcPr>
          <w:p>
            <w:pPr/>
          </w:p>
        </w:tc>
        <w:tc>
          <w:tcPr>
            <w:tcW w:w="578" w:type="dxa"/>
            <w:tcBorders>
              <w:top w:val="single" w:sz="4" w:space="0" w:color="000000"/>
              <w:left w:val="single" w:sz="4" w:space="0" w:color="000000"/>
              <w:bottom w:val="single" w:sz="12" w:space="0" w:color="000000"/>
              <w:right w:val="single" w:sz="12" w:space="0" w:color="000000"/>
            </w:tcBorders>
          </w:tcPr>
          <w:p>
            <w:pPr/>
          </w:p>
        </w:tc>
      </w:tr>
    </w:tbl>
    <w:p>
      <w:pPr>
        <w:spacing w:after="0"/>
        <w:sectPr>
          <w:footerReference w:type="default" r:id="rId17"/>
          <w:pgSz w:w="11910" w:h="16840"/>
          <w:pgMar w:footer="980" w:header="74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37" w:hRule="exact"/>
        </w:trPr>
        <w:tc>
          <w:tcPr>
            <w:tcW w:w="125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3"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293,0</w:t>
            </w:r>
          </w:p>
          <w:p>
            <w:pPr>
              <w:pStyle w:val="TableParagraph"/>
              <w:spacing w:line="240" w:lineRule="auto" w:before="103"/>
              <w:ind w:left="55" w:right="0"/>
              <w:jc w:val="left"/>
              <w:rPr>
                <w:rFonts w:ascii="Times New Roman" w:hAnsi="Times New Roman" w:cs="Times New Roman" w:eastAsia="Times New Roman" w:hint="default"/>
                <w:sz w:val="18"/>
                <w:szCs w:val="18"/>
              </w:rPr>
            </w:pPr>
            <w:r>
              <w:rPr>
                <w:rFonts w:ascii="Times New Roman"/>
                <w:sz w:val="18"/>
              </w:rPr>
              <w:t>22,80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12" w:space="0" w:color="000000"/>
              <w:left w:val="single" w:sz="4" w:space="0" w:color="000000"/>
              <w:bottom w:val="single" w:sz="4" w:space="0" w:color="000000"/>
              <w:right w:val="single" w:sz="4" w:space="0" w:color="000000"/>
            </w:tcBorders>
          </w:tcPr>
          <w:p>
            <w:pPr/>
          </w:p>
        </w:tc>
        <w:tc>
          <w:tcPr>
            <w:tcW w:w="466" w:type="dxa"/>
            <w:tcBorders>
              <w:top w:val="single" w:sz="12" w:space="0" w:color="000000"/>
              <w:left w:val="single" w:sz="4" w:space="0" w:color="000000"/>
              <w:bottom w:val="single" w:sz="4" w:space="0" w:color="000000"/>
              <w:right w:val="single" w:sz="4" w:space="0" w:color="000000"/>
            </w:tcBorders>
          </w:tcPr>
          <w:p>
            <w:pPr/>
          </w:p>
        </w:tc>
        <w:tc>
          <w:tcPr>
            <w:tcW w:w="468" w:type="dxa"/>
            <w:tcBorders>
              <w:top w:val="single" w:sz="12" w:space="0" w:color="000000"/>
              <w:left w:val="single" w:sz="4" w:space="0" w:color="000000"/>
              <w:bottom w:val="single" w:sz="4" w:space="0" w:color="000000"/>
              <w:right w:val="single" w:sz="4" w:space="0" w:color="000000"/>
            </w:tcBorders>
          </w:tcPr>
          <w:p>
            <w:pPr/>
          </w:p>
        </w:tc>
        <w:tc>
          <w:tcPr>
            <w:tcW w:w="5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598,82</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8,546.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34</w:t>
            </w:r>
          </w:p>
        </w:tc>
        <w:tc>
          <w:tcPr>
            <w:tcW w:w="586" w:type="dxa"/>
            <w:tcBorders>
              <w:top w:val="single" w:sz="12" w:space="0" w:color="000000"/>
              <w:left w:val="single" w:sz="4" w:space="0" w:color="000000"/>
              <w:bottom w:val="single" w:sz="4" w:space="0" w:color="000000"/>
              <w:right w:val="single" w:sz="4" w:space="0" w:color="000000"/>
            </w:tcBorders>
          </w:tcPr>
          <w:p>
            <w:pPr/>
          </w:p>
        </w:tc>
        <w:tc>
          <w:tcPr>
            <w:tcW w:w="583" w:type="dxa"/>
            <w:tcBorders>
              <w:top w:val="single" w:sz="12" w:space="0" w:color="000000"/>
              <w:left w:val="single" w:sz="4" w:space="0" w:color="000000"/>
              <w:bottom w:val="single" w:sz="4" w:space="0" w:color="000000"/>
              <w:right w:val="single" w:sz="4" w:space="0" w:color="000000"/>
            </w:tcBorders>
          </w:tcPr>
          <w:p>
            <w:pPr/>
          </w:p>
        </w:tc>
        <w:tc>
          <w:tcPr>
            <w:tcW w:w="584" w:type="dxa"/>
            <w:tcBorders>
              <w:top w:val="single" w:sz="12" w:space="0" w:color="000000"/>
              <w:left w:val="single" w:sz="4" w:space="0" w:color="000000"/>
              <w:bottom w:val="single" w:sz="4" w:space="0" w:color="000000"/>
              <w:right w:val="single" w:sz="4" w:space="0" w:color="000000"/>
            </w:tcBorders>
          </w:tcPr>
          <w:p>
            <w:pPr/>
          </w:p>
        </w:tc>
        <w:tc>
          <w:tcPr>
            <w:tcW w:w="5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36,845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12" w:space="0" w:color="000000"/>
              <w:left w:val="single" w:sz="4" w:space="0" w:color="000000"/>
              <w:bottom w:val="single" w:sz="4" w:space="0" w:color="000000"/>
              <w:right w:val="single" w:sz="4" w:space="0" w:color="000000"/>
            </w:tcBorders>
          </w:tcPr>
          <w:p>
            <w:pPr/>
          </w:p>
        </w:tc>
        <w:tc>
          <w:tcPr>
            <w:tcW w:w="5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524,33</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0,359.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06</w:t>
            </w:r>
          </w:p>
        </w:tc>
        <w:tc>
          <w:tcPr>
            <w:tcW w:w="584" w:type="dxa"/>
            <w:tcBorders>
              <w:top w:val="single" w:sz="12" w:space="0" w:color="000000"/>
              <w:left w:val="single" w:sz="4" w:space="0" w:color="000000"/>
              <w:bottom w:val="single" w:sz="4" w:space="0" w:color="000000"/>
              <w:right w:val="single" w:sz="4" w:space="0" w:color="000000"/>
            </w:tcBorders>
          </w:tcPr>
          <w:p>
            <w:pPr/>
          </w:p>
        </w:tc>
        <w:tc>
          <w:tcPr>
            <w:tcW w:w="5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1,453,</w:t>
            </w:r>
          </w:p>
          <w:p>
            <w:pPr>
              <w:pStyle w:val="TableParagraph"/>
              <w:spacing w:line="240" w:lineRule="auto" w:before="103"/>
              <w:ind w:left="36" w:right="0"/>
              <w:jc w:val="center"/>
              <w:rPr>
                <w:rFonts w:ascii="Times New Roman" w:hAnsi="Times New Roman" w:cs="Times New Roman" w:eastAsia="Times New Roman" w:hint="default"/>
                <w:sz w:val="18"/>
                <w:szCs w:val="18"/>
              </w:rPr>
            </w:pPr>
            <w:r>
              <w:rPr>
                <w:rFonts w:ascii="Times New Roman"/>
                <w:sz w:val="18"/>
              </w:rPr>
              <w:t>026,75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2.45</w:t>
            </w:r>
          </w:p>
        </w:tc>
        <w:tc>
          <w:tcPr>
            <w:tcW w:w="5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563,09</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2,454.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17</w:t>
            </w:r>
          </w:p>
        </w:tc>
        <w:tc>
          <w:tcPr>
            <w:tcW w:w="57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left="85" w:right="0"/>
              <w:jc w:val="center"/>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103"/>
              <w:ind w:left="48" w:right="0"/>
              <w:jc w:val="center"/>
              <w:rPr>
                <w:rFonts w:ascii="Times New Roman" w:hAnsi="Times New Roman" w:cs="Times New Roman" w:eastAsia="Times New Roman" w:hint="default"/>
                <w:sz w:val="18"/>
                <w:szCs w:val="18"/>
              </w:rPr>
            </w:pPr>
            <w:r>
              <w:rPr>
                <w:rFonts w:ascii="Times New Roman"/>
                <w:sz w:val="18"/>
              </w:rPr>
              <w:t>119,20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6.62</w:t>
            </w:r>
          </w:p>
        </w:tc>
      </w:tr>
      <w:tr>
        <w:trPr>
          <w:trHeight w:val="1025"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1,174,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191.84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14,974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6,182,</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211.65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-114,3</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56,392</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.25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-106,9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85,014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-38,24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8,831.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91</w:t>
            </w:r>
          </w:p>
        </w:tc>
        <w:tc>
          <w:tcPr>
            <w:tcW w:w="5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-145,2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33,846</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.31</w:t>
            </w:r>
          </w:p>
        </w:tc>
      </w:tr>
      <w:tr>
        <w:trPr>
          <w:trHeight w:val="1027"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3"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14,974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-103,7</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78,838</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.98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-103,7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63,864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40,232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-63,53</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1,531.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03</w:t>
            </w:r>
          </w:p>
        </w:tc>
      </w:tr>
      <w:tr>
        <w:trPr>
          <w:trHeight w:val="713"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-1,628,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575.32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-1,628,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575.32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1,692,</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121.67</w:t>
            </w:r>
          </w:p>
        </w:tc>
        <w:tc>
          <w:tcPr>
            <w:tcW w:w="5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63,546</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.35</w:t>
            </w:r>
          </w:p>
        </w:tc>
      </w:tr>
      <w:tr>
        <w:trPr>
          <w:trHeight w:val="716"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63,546</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.35</w:t>
            </w:r>
          </w:p>
        </w:tc>
        <w:tc>
          <w:tcPr>
            <w:tcW w:w="5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63,546</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.35</w:t>
            </w:r>
          </w:p>
        </w:tc>
      </w:tr>
      <w:tr>
        <w:trPr>
          <w:trHeight w:val="1025"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49"/>
              <w:ind w:left="1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49"/>
              <w:ind w:left="1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-1,628,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575.32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-1,628,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575.32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1,628,</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575.32</w:t>
            </w: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6,182,</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211.65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-10,57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7,553.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-4,395,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341.62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-77,98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-82,37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5,341.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62</w:t>
            </w:r>
          </w:p>
        </w:tc>
      </w:tr>
      <w:tr>
        <w:trPr>
          <w:trHeight w:val="713"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6,182,</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211.65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-6,182,</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211.65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3"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-4,395,</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341.62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-4,395,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341.62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-77,98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-82,37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5,341.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62</w:t>
            </w:r>
          </w:p>
        </w:tc>
      </w:tr>
      <w:tr>
        <w:trPr>
          <w:trHeight w:val="404"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1034" w:hRule="exact"/>
        </w:trPr>
        <w:tc>
          <w:tcPr>
            <w:tcW w:w="125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09" w:lineRule="auto" w:before="49"/>
              <w:ind w:left="1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12" w:space="0" w:color="000000"/>
              <w:right w:val="single" w:sz="4" w:space="0" w:color="000000"/>
            </w:tcBorders>
          </w:tcPr>
          <w:p>
            <w:pPr/>
          </w:p>
        </w:tc>
        <w:tc>
          <w:tcPr>
            <w:tcW w:w="466" w:type="dxa"/>
            <w:tcBorders>
              <w:top w:val="single" w:sz="4" w:space="0" w:color="000000"/>
              <w:left w:val="single" w:sz="4" w:space="0" w:color="000000"/>
              <w:bottom w:val="single" w:sz="12" w:space="0" w:color="000000"/>
              <w:right w:val="single" w:sz="4" w:space="0" w:color="000000"/>
            </w:tcBorders>
          </w:tcPr>
          <w:p>
            <w:pPr/>
          </w:p>
        </w:tc>
        <w:tc>
          <w:tcPr>
            <w:tcW w:w="466" w:type="dxa"/>
            <w:tcBorders>
              <w:top w:val="single" w:sz="4" w:space="0" w:color="000000"/>
              <w:left w:val="single" w:sz="4" w:space="0" w:color="000000"/>
              <w:bottom w:val="single" w:sz="12" w:space="0" w:color="000000"/>
              <w:right w:val="single" w:sz="4" w:space="0" w:color="000000"/>
            </w:tcBorders>
          </w:tcPr>
          <w:p>
            <w:pPr/>
          </w:p>
        </w:tc>
        <w:tc>
          <w:tcPr>
            <w:tcW w:w="468"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
        </w:tc>
        <w:tc>
          <w:tcPr>
            <w:tcW w:w="586"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
        </w:tc>
        <w:tc>
          <w:tcPr>
            <w:tcW w:w="584"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
        </w:tc>
        <w:tc>
          <w:tcPr>
            <w:tcW w:w="586" w:type="dxa"/>
            <w:tcBorders>
              <w:top w:val="single" w:sz="4" w:space="0" w:color="000000"/>
              <w:left w:val="single" w:sz="4" w:space="0" w:color="000000"/>
              <w:bottom w:val="single" w:sz="12" w:space="0" w:color="000000"/>
              <w:right w:val="single" w:sz="4" w:space="0" w:color="000000"/>
            </w:tcBorders>
          </w:tcPr>
          <w:p>
            <w:pPr/>
          </w:p>
        </w:tc>
        <w:tc>
          <w:tcPr>
            <w:tcW w:w="584"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
        </w:tc>
        <w:tc>
          <w:tcPr>
            <w:tcW w:w="586" w:type="dxa"/>
            <w:tcBorders>
              <w:top w:val="single" w:sz="4" w:space="0" w:color="000000"/>
              <w:left w:val="single" w:sz="4" w:space="0" w:color="000000"/>
              <w:bottom w:val="single" w:sz="12" w:space="0" w:color="000000"/>
              <w:right w:val="single" w:sz="4" w:space="0" w:color="000000"/>
            </w:tcBorders>
          </w:tcPr>
          <w:p>
            <w:pPr/>
          </w:p>
        </w:tc>
        <w:tc>
          <w:tcPr>
            <w:tcW w:w="578" w:type="dxa"/>
            <w:tcBorders>
              <w:top w:val="single" w:sz="4" w:space="0" w:color="000000"/>
              <w:left w:val="single" w:sz="4" w:space="0" w:color="000000"/>
              <w:bottom w:val="single" w:sz="12" w:space="0" w:color="000000"/>
              <w:right w:val="single" w:sz="12" w:space="0" w:color="000000"/>
            </w:tcBorders>
          </w:tcPr>
          <w:p>
            <w:pPr/>
          </w:p>
        </w:tc>
      </w:tr>
    </w:tbl>
    <w:p>
      <w:pPr>
        <w:spacing w:after="0"/>
        <w:sectPr>
          <w:footerReference w:type="default" r:id="rId18"/>
          <w:pgSz w:w="11910" w:h="16840"/>
          <w:pgMar w:footer="980" w:header="745"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37" w:hRule="exact"/>
        </w:trPr>
        <w:tc>
          <w:tcPr>
            <w:tcW w:w="125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07" w:lineRule="auto" w:before="51"/>
              <w:ind w:left="1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12" w:space="0" w:color="000000"/>
              <w:left w:val="single" w:sz="4" w:space="0" w:color="000000"/>
              <w:bottom w:val="single" w:sz="4" w:space="0" w:color="000000"/>
              <w:right w:val="single" w:sz="4" w:space="0" w:color="000000"/>
            </w:tcBorders>
          </w:tcPr>
          <w:p>
            <w:pPr/>
          </w:p>
        </w:tc>
        <w:tc>
          <w:tcPr>
            <w:tcW w:w="466" w:type="dxa"/>
            <w:tcBorders>
              <w:top w:val="single" w:sz="12" w:space="0" w:color="000000"/>
              <w:left w:val="single" w:sz="4" w:space="0" w:color="000000"/>
              <w:bottom w:val="single" w:sz="4" w:space="0" w:color="000000"/>
              <w:right w:val="single" w:sz="4" w:space="0" w:color="000000"/>
            </w:tcBorders>
          </w:tcPr>
          <w:p>
            <w:pPr/>
          </w:p>
        </w:tc>
        <w:tc>
          <w:tcPr>
            <w:tcW w:w="466" w:type="dxa"/>
            <w:tcBorders>
              <w:top w:val="single" w:sz="12" w:space="0" w:color="000000"/>
              <w:left w:val="single" w:sz="4" w:space="0" w:color="000000"/>
              <w:bottom w:val="single" w:sz="4" w:space="0" w:color="000000"/>
              <w:right w:val="single" w:sz="4" w:space="0" w:color="000000"/>
            </w:tcBorders>
          </w:tcPr>
          <w:p>
            <w:pPr/>
          </w:p>
        </w:tc>
        <w:tc>
          <w:tcPr>
            <w:tcW w:w="468" w:type="dxa"/>
            <w:tcBorders>
              <w:top w:val="single" w:sz="12" w:space="0" w:color="000000"/>
              <w:left w:val="single" w:sz="4" w:space="0" w:color="000000"/>
              <w:bottom w:val="single" w:sz="4" w:space="0" w:color="000000"/>
              <w:right w:val="single" w:sz="4" w:space="0" w:color="000000"/>
            </w:tcBorders>
          </w:tcPr>
          <w:p>
            <w:pPr/>
          </w:p>
        </w:tc>
        <w:tc>
          <w:tcPr>
            <w:tcW w:w="583" w:type="dxa"/>
            <w:tcBorders>
              <w:top w:val="single" w:sz="12" w:space="0" w:color="000000"/>
              <w:left w:val="single" w:sz="4" w:space="0" w:color="000000"/>
              <w:bottom w:val="single" w:sz="4" w:space="0" w:color="000000"/>
              <w:right w:val="single" w:sz="4" w:space="0" w:color="000000"/>
            </w:tcBorders>
          </w:tcPr>
          <w:p>
            <w:pPr/>
          </w:p>
        </w:tc>
        <w:tc>
          <w:tcPr>
            <w:tcW w:w="586" w:type="dxa"/>
            <w:tcBorders>
              <w:top w:val="single" w:sz="12" w:space="0" w:color="000000"/>
              <w:left w:val="single" w:sz="4" w:space="0" w:color="000000"/>
              <w:bottom w:val="single" w:sz="4" w:space="0" w:color="000000"/>
              <w:right w:val="single" w:sz="4" w:space="0" w:color="000000"/>
            </w:tcBorders>
          </w:tcPr>
          <w:p>
            <w:pPr/>
          </w:p>
        </w:tc>
        <w:tc>
          <w:tcPr>
            <w:tcW w:w="583" w:type="dxa"/>
            <w:tcBorders>
              <w:top w:val="single" w:sz="12" w:space="0" w:color="000000"/>
              <w:left w:val="single" w:sz="4" w:space="0" w:color="000000"/>
              <w:bottom w:val="single" w:sz="4" w:space="0" w:color="000000"/>
              <w:right w:val="single" w:sz="4" w:space="0" w:color="000000"/>
            </w:tcBorders>
          </w:tcPr>
          <w:p>
            <w:pPr/>
          </w:p>
        </w:tc>
        <w:tc>
          <w:tcPr>
            <w:tcW w:w="584" w:type="dxa"/>
            <w:tcBorders>
              <w:top w:val="single" w:sz="12" w:space="0" w:color="000000"/>
              <w:left w:val="single" w:sz="4" w:space="0" w:color="000000"/>
              <w:bottom w:val="single" w:sz="4" w:space="0" w:color="000000"/>
              <w:right w:val="single" w:sz="4" w:space="0" w:color="000000"/>
            </w:tcBorders>
          </w:tcPr>
          <w:p>
            <w:pPr/>
          </w:p>
        </w:tc>
        <w:tc>
          <w:tcPr>
            <w:tcW w:w="583" w:type="dxa"/>
            <w:tcBorders>
              <w:top w:val="single" w:sz="12" w:space="0" w:color="000000"/>
              <w:left w:val="single" w:sz="4" w:space="0" w:color="000000"/>
              <w:bottom w:val="single" w:sz="4" w:space="0" w:color="000000"/>
              <w:right w:val="single" w:sz="4" w:space="0" w:color="000000"/>
            </w:tcBorders>
          </w:tcPr>
          <w:p>
            <w:pPr/>
          </w:p>
        </w:tc>
        <w:tc>
          <w:tcPr>
            <w:tcW w:w="583" w:type="dxa"/>
            <w:tcBorders>
              <w:top w:val="single" w:sz="12" w:space="0" w:color="000000"/>
              <w:left w:val="single" w:sz="4" w:space="0" w:color="000000"/>
              <w:bottom w:val="single" w:sz="4" w:space="0" w:color="000000"/>
              <w:right w:val="single" w:sz="4" w:space="0" w:color="000000"/>
            </w:tcBorders>
          </w:tcPr>
          <w:p>
            <w:pPr/>
          </w:p>
        </w:tc>
        <w:tc>
          <w:tcPr>
            <w:tcW w:w="586" w:type="dxa"/>
            <w:tcBorders>
              <w:top w:val="single" w:sz="12" w:space="0" w:color="000000"/>
              <w:left w:val="single" w:sz="4" w:space="0" w:color="000000"/>
              <w:bottom w:val="single" w:sz="4" w:space="0" w:color="000000"/>
              <w:right w:val="single" w:sz="4" w:space="0" w:color="000000"/>
            </w:tcBorders>
          </w:tcPr>
          <w:p>
            <w:pPr/>
          </w:p>
        </w:tc>
        <w:tc>
          <w:tcPr>
            <w:tcW w:w="584" w:type="dxa"/>
            <w:tcBorders>
              <w:top w:val="single" w:sz="12" w:space="0" w:color="000000"/>
              <w:left w:val="single" w:sz="4" w:space="0" w:color="000000"/>
              <w:bottom w:val="single" w:sz="4" w:space="0" w:color="000000"/>
              <w:right w:val="single" w:sz="4" w:space="0" w:color="000000"/>
            </w:tcBorders>
          </w:tcPr>
          <w:p>
            <w:pPr/>
          </w:p>
        </w:tc>
        <w:tc>
          <w:tcPr>
            <w:tcW w:w="583" w:type="dxa"/>
            <w:tcBorders>
              <w:top w:val="single" w:sz="12" w:space="0" w:color="000000"/>
              <w:left w:val="single" w:sz="4" w:space="0" w:color="000000"/>
              <w:bottom w:val="single" w:sz="4" w:space="0" w:color="000000"/>
              <w:right w:val="single" w:sz="4" w:space="0" w:color="000000"/>
            </w:tcBorders>
          </w:tcPr>
          <w:p>
            <w:pPr/>
          </w:p>
        </w:tc>
        <w:tc>
          <w:tcPr>
            <w:tcW w:w="586" w:type="dxa"/>
            <w:tcBorders>
              <w:top w:val="single" w:sz="12" w:space="0" w:color="000000"/>
              <w:left w:val="single" w:sz="4" w:space="0" w:color="000000"/>
              <w:bottom w:val="single" w:sz="4" w:space="0" w:color="000000"/>
              <w:right w:val="single" w:sz="4" w:space="0" w:color="000000"/>
            </w:tcBorders>
          </w:tcPr>
          <w:p>
            <w:pPr/>
          </w:p>
        </w:tc>
        <w:tc>
          <w:tcPr>
            <w:tcW w:w="578" w:type="dxa"/>
            <w:tcBorders>
              <w:top w:val="single" w:sz="12" w:space="0" w:color="000000"/>
              <w:left w:val="single" w:sz="4" w:space="0" w:color="000000"/>
              <w:bottom w:val="single" w:sz="4" w:space="0" w:color="000000"/>
              <w:right w:val="single" w:sz="12" w:space="0" w:color="000000"/>
            </w:tcBorders>
          </w:tcPr>
          <w:p>
            <w:pPr/>
          </w:p>
        </w:tc>
      </w:tr>
      <w:tr>
        <w:trPr>
          <w:trHeight w:val="713"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49"/>
              <w:ind w:left="1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49"/>
              <w:ind w:left="13"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5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2,802,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767.16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2,802,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767.16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-2,193,</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287.17</w:t>
            </w:r>
          </w:p>
        </w:tc>
        <w:tc>
          <w:tcPr>
            <w:tcW w:w="5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609,47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9.99</w:t>
            </w:r>
          </w:p>
        </w:tc>
      </w:tr>
      <w:tr>
        <w:trPr>
          <w:trHeight w:val="1034" w:hRule="exact"/>
        </w:trPr>
        <w:tc>
          <w:tcPr>
            <w:tcW w:w="125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3"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293,0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22,80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12" w:space="0" w:color="000000"/>
              <w:right w:val="single" w:sz="4" w:space="0" w:color="000000"/>
            </w:tcBorders>
          </w:tcPr>
          <w:p>
            <w:pPr/>
          </w:p>
        </w:tc>
        <w:tc>
          <w:tcPr>
            <w:tcW w:w="466" w:type="dxa"/>
            <w:tcBorders>
              <w:top w:val="single" w:sz="4" w:space="0" w:color="000000"/>
              <w:left w:val="single" w:sz="4" w:space="0" w:color="000000"/>
              <w:bottom w:val="single" w:sz="12" w:space="0" w:color="000000"/>
              <w:right w:val="single" w:sz="4" w:space="0" w:color="000000"/>
            </w:tcBorders>
          </w:tcPr>
          <w:p>
            <w:pPr/>
          </w:p>
        </w:tc>
        <w:tc>
          <w:tcPr>
            <w:tcW w:w="468"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2,738.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18</w:t>
            </w:r>
          </w:p>
        </w:tc>
        <w:tc>
          <w:tcPr>
            <w:tcW w:w="586"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14,974</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.36</w:t>
            </w:r>
          </w:p>
        </w:tc>
        <w:tc>
          <w:tcPr>
            <w:tcW w:w="584"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12" w:space="0" w:color="000000"/>
              <w:right w:val="single" w:sz="4" w:space="0" w:color="000000"/>
            </w:tcBorders>
          </w:tcPr>
          <w:p>
            <w:pPr/>
          </w:p>
        </w:tc>
        <w:tc>
          <w:tcPr>
            <w:tcW w:w="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409,97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3,966.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81</w:t>
            </w:r>
          </w:p>
        </w:tc>
        <w:tc>
          <w:tcPr>
            <w:tcW w:w="584" w:type="dxa"/>
            <w:tcBorders>
              <w:top w:val="single" w:sz="4" w:space="0" w:color="000000"/>
              <w:left w:val="single" w:sz="4" w:space="0" w:color="000000"/>
              <w:bottom w:val="single" w:sz="12" w:space="0" w:color="000000"/>
              <w:right w:val="single" w:sz="4" w:space="0" w:color="000000"/>
            </w:tcBorders>
          </w:tcPr>
          <w:p>
            <w:pPr/>
          </w:p>
        </w:tc>
        <w:tc>
          <w:tcPr>
            <w:tcW w:w="5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1,346,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041,73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8.05</w:t>
            </w:r>
          </w:p>
        </w:tc>
        <w:tc>
          <w:tcPr>
            <w:tcW w:w="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524,84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3,622.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26</w:t>
            </w:r>
          </w:p>
        </w:tc>
        <w:tc>
          <w:tcPr>
            <w:tcW w:w="5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1,870,</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885,36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0.31</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205"/>
        <w:gridCol w:w="490"/>
        <w:gridCol w:w="449"/>
        <w:gridCol w:w="449"/>
        <w:gridCol w:w="493"/>
        <w:gridCol w:w="576"/>
        <w:gridCol w:w="576"/>
        <w:gridCol w:w="578"/>
        <w:gridCol w:w="576"/>
        <w:gridCol w:w="576"/>
        <w:gridCol w:w="578"/>
        <w:gridCol w:w="588"/>
        <w:gridCol w:w="567"/>
        <w:gridCol w:w="569"/>
        <w:gridCol w:w="641"/>
        <w:gridCol w:w="653"/>
      </w:tblGrid>
      <w:tr>
        <w:trPr>
          <w:trHeight w:val="412" w:hRule="exact"/>
        </w:trPr>
        <w:tc>
          <w:tcPr>
            <w:tcW w:w="1205" w:type="dxa"/>
            <w:vMerge w:val="restart"/>
            <w:tcBorders>
              <w:top w:val="single" w:sz="12" w:space="0" w:color="000000"/>
              <w:left w:val="single" w:sz="12" w:space="0" w:color="000000"/>
              <w:right w:val="single" w:sz="4" w:space="0" w:color="000000"/>
            </w:tcBorders>
            <w:shd w:val="clear" w:color="auto" w:fill="D2D2D2"/>
          </w:tcPr>
          <w:p>
            <w:pPr/>
          </w:p>
        </w:tc>
        <w:tc>
          <w:tcPr>
            <w:tcW w:w="8358" w:type="dxa"/>
            <w:gridSpan w:val="15"/>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250" w:hRule="exact"/>
        </w:trPr>
        <w:tc>
          <w:tcPr>
            <w:tcW w:w="1205" w:type="dxa"/>
            <w:vMerge/>
            <w:tcBorders>
              <w:left w:val="single" w:sz="12"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151" w:hRule="exact"/>
        </w:trPr>
        <w:tc>
          <w:tcPr>
            <w:tcW w:w="1205" w:type="dxa"/>
            <w:vMerge/>
            <w:tcBorders>
              <w:left w:val="single" w:sz="12" w:space="0" w:color="000000"/>
              <w:bottom w:val="nil" w:sz="6" w:space="0" w:color="auto"/>
              <w:right w:val="single" w:sz="4" w:space="0" w:color="000000"/>
            </w:tcBorders>
            <w:shd w:val="clear" w:color="auto" w:fill="D2D2D2"/>
          </w:tcPr>
          <w:p>
            <w:pPr/>
          </w:p>
        </w:tc>
        <w:tc>
          <w:tcPr>
            <w:tcW w:w="7065"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12" w:space="0" w:color="000000"/>
            </w:tcBorders>
            <w:shd w:val="clear" w:color="auto" w:fill="D2D2D2"/>
          </w:tcPr>
          <w:p>
            <w:pPr>
              <w:pStyle w:val="TableParagraph"/>
              <w:spacing w:line="316" w:lineRule="auto" w:before="49"/>
              <w:ind w:left="52" w:right="3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5"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12" w:space="0" w:color="000000"/>
            </w:tcBorders>
            <w:shd w:val="clear" w:color="auto" w:fill="D2D2D2"/>
          </w:tcPr>
          <w:p>
            <w:pPr/>
          </w:p>
        </w:tc>
      </w:tr>
      <w:tr>
        <w:trPr>
          <w:trHeight w:val="165" w:hRule="exact"/>
        </w:trPr>
        <w:tc>
          <w:tcPr>
            <w:tcW w:w="1205" w:type="dxa"/>
            <w:vMerge/>
            <w:tcBorders>
              <w:left w:val="single" w:sz="12"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12" w:space="0" w:color="000000"/>
            </w:tcBorders>
            <w:shd w:val="clear" w:color="auto" w:fill="D2D2D2"/>
          </w:tcPr>
          <w:p>
            <w:pPr/>
          </w:p>
        </w:tc>
      </w:tr>
      <w:tr>
        <w:trPr>
          <w:trHeight w:val="193" w:hRule="exact"/>
        </w:trPr>
        <w:tc>
          <w:tcPr>
            <w:tcW w:w="1205" w:type="dxa"/>
            <w:vMerge w:val="restart"/>
            <w:tcBorders>
              <w:top w:val="nil" w:sz="6" w:space="0" w:color="auto"/>
              <w:left w:val="single" w:sz="12"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0"/>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12" w:space="0" w:color="000000"/>
            </w:tcBorders>
            <w:shd w:val="clear" w:color="auto" w:fill="D2D2D2"/>
          </w:tcPr>
          <w:p>
            <w:pPr/>
          </w:p>
        </w:tc>
      </w:tr>
      <w:tr>
        <w:trPr>
          <w:trHeight w:val="190" w:hRule="exact"/>
        </w:trPr>
        <w:tc>
          <w:tcPr>
            <w:tcW w:w="1205" w:type="dxa"/>
            <w:vMerge/>
            <w:tcBorders>
              <w:left w:val="single" w:sz="12"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12" w:space="0" w:color="000000"/>
            </w:tcBorders>
            <w:shd w:val="clear" w:color="auto" w:fill="D2D2D2"/>
          </w:tcPr>
          <w:p>
            <w:pPr/>
          </w:p>
        </w:tc>
      </w:tr>
      <w:tr>
        <w:trPr>
          <w:trHeight w:val="134" w:hRule="exact"/>
        </w:trPr>
        <w:tc>
          <w:tcPr>
            <w:tcW w:w="1205" w:type="dxa"/>
            <w:vMerge/>
            <w:tcBorders>
              <w:left w:val="single" w:sz="12"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12" w:space="0" w:color="000000"/>
            </w:tcBorders>
            <w:shd w:val="clear" w:color="auto" w:fill="D2D2D2"/>
          </w:tcPr>
          <w:p>
            <w:pPr/>
          </w:p>
        </w:tc>
      </w:tr>
      <w:tr>
        <w:trPr>
          <w:trHeight w:val="217" w:hRule="exact"/>
        </w:trPr>
        <w:tc>
          <w:tcPr>
            <w:tcW w:w="1205" w:type="dxa"/>
            <w:vMerge/>
            <w:tcBorders>
              <w:left w:val="single" w:sz="12"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161" w:hRule="exact"/>
        </w:trPr>
        <w:tc>
          <w:tcPr>
            <w:tcW w:w="1205" w:type="dxa"/>
            <w:tcBorders>
              <w:top w:val="single" w:sz="4" w:space="0" w:color="000000"/>
              <w:left w:val="single" w:sz="12"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293,0</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22,80</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6.00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587,67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1,629.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72</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22" w:space="0" w:color="D2D2D2"/>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35,352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22" w:space="0" w:color="D2D2D2"/>
              <w:left w:val="single" w:sz="4" w:space="0" w:color="000000"/>
              <w:right w:val="single" w:sz="4" w:space="0" w:color="000000"/>
            </w:tcBorders>
          </w:tcPr>
          <w:p>
            <w:pPr/>
          </w:p>
        </w:tc>
        <w:tc>
          <w:tcPr>
            <w:tcW w:w="588" w:type="dxa"/>
            <w:vMerge w:val="restart"/>
            <w:tcBorders>
              <w:top w:val="single" w:sz="22" w:space="0" w:color="D2D2D2"/>
              <w:left w:val="single" w:sz="4" w:space="0" w:color="000000"/>
              <w:right w:val="single" w:sz="4" w:space="0" w:color="000000"/>
            </w:tcBorders>
          </w:tcPr>
          <w:p>
            <w:pPr>
              <w:pStyle w:val="TableParagraph"/>
              <w:spacing w:line="240" w:lineRule="auto" w:before="68"/>
              <w:ind w:left="62" w:right="0"/>
              <w:jc w:val="left"/>
              <w:rPr>
                <w:rFonts w:ascii="Times New Roman" w:hAnsi="Times New Roman" w:cs="Times New Roman" w:eastAsia="Times New Roman" w:hint="default"/>
                <w:sz w:val="18"/>
                <w:szCs w:val="18"/>
              </w:rPr>
            </w:pPr>
            <w:r>
              <w:rPr>
                <w:rFonts w:ascii="Times New Roman"/>
                <w:sz w:val="18"/>
              </w:rPr>
              <w:t>479,93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0,612.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23</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1,395,</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977,96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7.95</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511,151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,870.30</w:t>
            </w:r>
          </w:p>
        </w:tc>
        <w:tc>
          <w:tcPr>
            <w:tcW w:w="653" w:type="dxa"/>
            <w:vMerge w:val="restart"/>
            <w:tcBorders>
              <w:top w:val="single" w:sz="4" w:space="0" w:color="000000"/>
              <w:left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1,907,1</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29,838.</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25</w:t>
            </w:r>
          </w:p>
        </w:tc>
      </w:tr>
      <w:tr>
        <w:trPr>
          <w:trHeight w:val="706" w:hRule="exact"/>
        </w:trPr>
        <w:tc>
          <w:tcPr>
            <w:tcW w:w="1205"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316" w:lineRule="auto" w:before="49"/>
              <w:ind w:left="7"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12" w:space="0" w:color="000000"/>
            </w:tcBorders>
          </w:tcPr>
          <w:p>
            <w:pPr/>
          </w:p>
        </w:tc>
      </w:tr>
      <w:tr>
        <w:trPr>
          <w:trHeight w:val="161" w:hRule="exact"/>
        </w:trPr>
        <w:tc>
          <w:tcPr>
            <w:tcW w:w="1205" w:type="dxa"/>
            <w:tcBorders>
              <w:top w:val="nil" w:sz="6" w:space="0" w:color="auto"/>
              <w:left w:val="single" w:sz="12"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12" w:space="0" w:color="000000"/>
            </w:tcBorders>
          </w:tcPr>
          <w:p>
            <w:pPr/>
          </w:p>
        </w:tc>
      </w:tr>
      <w:tr>
        <w:trPr>
          <w:trHeight w:val="713" w:hRule="exact"/>
        </w:trPr>
        <w:tc>
          <w:tcPr>
            <w:tcW w:w="12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49"/>
              <w:ind w:left="7"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120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12" w:space="0" w:color="000000"/>
              <w:right w:val="single" w:sz="4" w:space="0" w:color="000000"/>
            </w:tcBorders>
          </w:tcPr>
          <w:p>
            <w:pPr/>
          </w:p>
        </w:tc>
        <w:tc>
          <w:tcPr>
            <w:tcW w:w="449" w:type="dxa"/>
            <w:tcBorders>
              <w:top w:val="single" w:sz="4" w:space="0" w:color="000000"/>
              <w:left w:val="single" w:sz="4" w:space="0" w:color="000000"/>
              <w:bottom w:val="single" w:sz="12" w:space="0" w:color="000000"/>
              <w:right w:val="single" w:sz="4" w:space="0" w:color="000000"/>
            </w:tcBorders>
          </w:tcPr>
          <w:p>
            <w:pPr/>
          </w:p>
        </w:tc>
        <w:tc>
          <w:tcPr>
            <w:tcW w:w="449" w:type="dxa"/>
            <w:tcBorders>
              <w:top w:val="single" w:sz="4" w:space="0" w:color="000000"/>
              <w:left w:val="single" w:sz="4" w:space="0" w:color="000000"/>
              <w:bottom w:val="single" w:sz="12" w:space="0" w:color="000000"/>
              <w:right w:val="single" w:sz="4" w:space="0" w:color="000000"/>
            </w:tcBorders>
          </w:tcPr>
          <w:p>
            <w:pPr/>
          </w:p>
        </w:tc>
        <w:tc>
          <w:tcPr>
            <w:tcW w:w="493" w:type="dxa"/>
            <w:tcBorders>
              <w:top w:val="single" w:sz="4" w:space="0" w:color="000000"/>
              <w:left w:val="single" w:sz="4" w:space="0" w:color="000000"/>
              <w:bottom w:val="single" w:sz="12" w:space="0" w:color="000000"/>
              <w:right w:val="single" w:sz="4" w:space="0" w:color="000000"/>
            </w:tcBorders>
          </w:tcPr>
          <w:p>
            <w:pPr/>
          </w:p>
        </w:tc>
        <w:tc>
          <w:tcPr>
            <w:tcW w:w="576" w:type="dxa"/>
            <w:tcBorders>
              <w:top w:val="single" w:sz="4" w:space="0" w:color="000000"/>
              <w:left w:val="single" w:sz="4" w:space="0" w:color="000000"/>
              <w:bottom w:val="single" w:sz="12" w:space="0" w:color="000000"/>
              <w:right w:val="single" w:sz="4" w:space="0" w:color="000000"/>
            </w:tcBorders>
          </w:tcPr>
          <w:p>
            <w:pPr/>
          </w:p>
        </w:tc>
        <w:tc>
          <w:tcPr>
            <w:tcW w:w="576" w:type="dxa"/>
            <w:tcBorders>
              <w:top w:val="single" w:sz="4" w:space="0" w:color="000000"/>
              <w:left w:val="single" w:sz="4" w:space="0" w:color="000000"/>
              <w:bottom w:val="single" w:sz="12" w:space="0" w:color="000000"/>
              <w:right w:val="single" w:sz="4" w:space="0" w:color="000000"/>
            </w:tcBorders>
          </w:tcPr>
          <w:p>
            <w:pPr/>
          </w:p>
        </w:tc>
        <w:tc>
          <w:tcPr>
            <w:tcW w:w="578" w:type="dxa"/>
            <w:tcBorders>
              <w:top w:val="single" w:sz="4" w:space="0" w:color="000000"/>
              <w:left w:val="single" w:sz="4" w:space="0" w:color="000000"/>
              <w:bottom w:val="single" w:sz="12" w:space="0" w:color="000000"/>
              <w:right w:val="single" w:sz="4" w:space="0" w:color="000000"/>
            </w:tcBorders>
          </w:tcPr>
          <w:p>
            <w:pPr/>
          </w:p>
        </w:tc>
        <w:tc>
          <w:tcPr>
            <w:tcW w:w="576" w:type="dxa"/>
            <w:tcBorders>
              <w:top w:val="single" w:sz="4" w:space="0" w:color="000000"/>
              <w:left w:val="single" w:sz="4" w:space="0" w:color="000000"/>
              <w:bottom w:val="single" w:sz="12" w:space="0" w:color="000000"/>
              <w:right w:val="single" w:sz="4" w:space="0" w:color="000000"/>
            </w:tcBorders>
          </w:tcPr>
          <w:p>
            <w:pPr/>
          </w:p>
        </w:tc>
        <w:tc>
          <w:tcPr>
            <w:tcW w:w="576" w:type="dxa"/>
            <w:tcBorders>
              <w:top w:val="single" w:sz="4" w:space="0" w:color="000000"/>
              <w:left w:val="single" w:sz="4" w:space="0" w:color="000000"/>
              <w:bottom w:val="single" w:sz="12" w:space="0" w:color="000000"/>
              <w:right w:val="single" w:sz="4" w:space="0" w:color="000000"/>
            </w:tcBorders>
          </w:tcPr>
          <w:p>
            <w:pPr/>
          </w:p>
        </w:tc>
        <w:tc>
          <w:tcPr>
            <w:tcW w:w="578" w:type="dxa"/>
            <w:tcBorders>
              <w:top w:val="single" w:sz="4" w:space="0" w:color="000000"/>
              <w:left w:val="single" w:sz="4" w:space="0" w:color="000000"/>
              <w:bottom w:val="single" w:sz="12" w:space="0" w:color="000000"/>
              <w:right w:val="single" w:sz="4" w:space="0" w:color="000000"/>
            </w:tcBorders>
          </w:tcPr>
          <w:p>
            <w:pPr/>
          </w:p>
        </w:tc>
        <w:tc>
          <w:tcPr>
            <w:tcW w:w="588" w:type="dxa"/>
            <w:tcBorders>
              <w:top w:val="single" w:sz="4" w:space="0" w:color="000000"/>
              <w:left w:val="single" w:sz="4" w:space="0" w:color="000000"/>
              <w:bottom w:val="single" w:sz="12" w:space="0" w:color="000000"/>
              <w:right w:val="single" w:sz="4" w:space="0" w:color="000000"/>
            </w:tcBorders>
          </w:tcPr>
          <w:p>
            <w:pPr/>
          </w:p>
        </w:tc>
        <w:tc>
          <w:tcPr>
            <w:tcW w:w="567" w:type="dxa"/>
            <w:tcBorders>
              <w:top w:val="single" w:sz="4" w:space="0" w:color="000000"/>
              <w:left w:val="single" w:sz="4" w:space="0" w:color="000000"/>
              <w:bottom w:val="single" w:sz="12" w:space="0" w:color="000000"/>
              <w:right w:val="single" w:sz="4" w:space="0" w:color="000000"/>
            </w:tcBorders>
          </w:tcPr>
          <w:p>
            <w:pPr/>
          </w:p>
        </w:tc>
        <w:tc>
          <w:tcPr>
            <w:tcW w:w="569" w:type="dxa"/>
            <w:tcBorders>
              <w:top w:val="single" w:sz="4" w:space="0" w:color="000000"/>
              <w:left w:val="single" w:sz="4" w:space="0" w:color="000000"/>
              <w:bottom w:val="single" w:sz="12" w:space="0" w:color="000000"/>
              <w:right w:val="single" w:sz="4" w:space="0" w:color="000000"/>
            </w:tcBorders>
          </w:tcPr>
          <w:p>
            <w:pPr/>
          </w:p>
        </w:tc>
        <w:tc>
          <w:tcPr>
            <w:tcW w:w="641" w:type="dxa"/>
            <w:tcBorders>
              <w:top w:val="single" w:sz="4" w:space="0" w:color="000000"/>
              <w:left w:val="single" w:sz="4" w:space="0" w:color="000000"/>
              <w:bottom w:val="single" w:sz="12" w:space="0" w:color="000000"/>
              <w:right w:val="single" w:sz="4" w:space="0" w:color="000000"/>
            </w:tcBorders>
          </w:tcPr>
          <w:p>
            <w:pPr/>
          </w:p>
        </w:tc>
        <w:tc>
          <w:tcPr>
            <w:tcW w:w="653"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37" w:hRule="exact"/>
        </w:trPr>
        <w:tc>
          <w:tcPr>
            <w:tcW w:w="12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3"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293,0</w:t>
            </w:r>
          </w:p>
          <w:p>
            <w:pPr>
              <w:pStyle w:val="TableParagraph"/>
              <w:spacing w:line="240" w:lineRule="auto" w:before="103"/>
              <w:ind w:left="52" w:right="0"/>
              <w:jc w:val="left"/>
              <w:rPr>
                <w:rFonts w:ascii="Times New Roman" w:hAnsi="Times New Roman" w:cs="Times New Roman" w:eastAsia="Times New Roman" w:hint="default"/>
                <w:sz w:val="18"/>
                <w:szCs w:val="18"/>
              </w:rPr>
            </w:pPr>
            <w:r>
              <w:rPr>
                <w:rFonts w:ascii="Times New Roman"/>
                <w:sz w:val="18"/>
              </w:rPr>
              <w:t>22,80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12" w:space="0" w:color="000000"/>
              <w:left w:val="single" w:sz="4" w:space="0" w:color="000000"/>
              <w:bottom w:val="single" w:sz="4" w:space="0" w:color="000000"/>
              <w:right w:val="single" w:sz="4" w:space="0" w:color="000000"/>
            </w:tcBorders>
          </w:tcPr>
          <w:p>
            <w:pPr/>
          </w:p>
        </w:tc>
        <w:tc>
          <w:tcPr>
            <w:tcW w:w="449" w:type="dxa"/>
            <w:tcBorders>
              <w:top w:val="single" w:sz="12" w:space="0" w:color="000000"/>
              <w:left w:val="single" w:sz="4" w:space="0" w:color="000000"/>
              <w:bottom w:val="single" w:sz="4" w:space="0" w:color="000000"/>
              <w:right w:val="single" w:sz="4" w:space="0" w:color="000000"/>
            </w:tcBorders>
          </w:tcPr>
          <w:p>
            <w:pPr/>
          </w:p>
        </w:tc>
        <w:tc>
          <w:tcPr>
            <w:tcW w:w="493" w:type="dxa"/>
            <w:tcBorders>
              <w:top w:val="single" w:sz="12" w:space="0" w:color="000000"/>
              <w:left w:val="single" w:sz="4" w:space="0" w:color="000000"/>
              <w:bottom w:val="single" w:sz="4" w:space="0" w:color="000000"/>
              <w:right w:val="single" w:sz="4" w:space="0" w:color="000000"/>
            </w:tcBorders>
          </w:tcPr>
          <w:p>
            <w:pPr/>
          </w:p>
        </w:tc>
        <w:tc>
          <w:tcPr>
            <w:tcW w:w="5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587,67</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Times New Roman"/>
                <w:sz w:val="18"/>
              </w:rPr>
              <w:t>1,629.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72</w:t>
            </w:r>
          </w:p>
        </w:tc>
        <w:tc>
          <w:tcPr>
            <w:tcW w:w="576" w:type="dxa"/>
            <w:tcBorders>
              <w:top w:val="single" w:sz="12" w:space="0" w:color="000000"/>
              <w:left w:val="single" w:sz="4" w:space="0" w:color="000000"/>
              <w:bottom w:val="single" w:sz="4" w:space="0" w:color="000000"/>
              <w:right w:val="single" w:sz="4" w:space="0" w:color="000000"/>
            </w:tcBorders>
          </w:tcPr>
          <w:p>
            <w:pPr/>
          </w:p>
        </w:tc>
        <w:tc>
          <w:tcPr>
            <w:tcW w:w="578" w:type="dxa"/>
            <w:tcBorders>
              <w:top w:val="single" w:sz="12" w:space="0" w:color="000000"/>
              <w:left w:val="single" w:sz="4" w:space="0" w:color="000000"/>
              <w:bottom w:val="single" w:sz="4" w:space="0" w:color="000000"/>
              <w:right w:val="single" w:sz="4" w:space="0" w:color="000000"/>
            </w:tcBorders>
          </w:tcPr>
          <w:p>
            <w:pPr/>
          </w:p>
        </w:tc>
        <w:tc>
          <w:tcPr>
            <w:tcW w:w="576" w:type="dxa"/>
            <w:tcBorders>
              <w:top w:val="single" w:sz="12" w:space="0" w:color="000000"/>
              <w:left w:val="single" w:sz="4" w:space="0" w:color="000000"/>
              <w:bottom w:val="single" w:sz="4" w:space="0" w:color="000000"/>
              <w:right w:val="single" w:sz="4" w:space="0" w:color="000000"/>
            </w:tcBorders>
          </w:tcPr>
          <w:p>
            <w:pPr/>
          </w:p>
        </w:tc>
        <w:tc>
          <w:tcPr>
            <w:tcW w:w="5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35,352</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,920.0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12" w:space="0" w:color="000000"/>
              <w:left w:val="single" w:sz="4" w:space="0" w:color="000000"/>
              <w:bottom w:val="single" w:sz="4" w:space="0" w:color="000000"/>
              <w:right w:val="single" w:sz="4" w:space="0" w:color="000000"/>
            </w:tcBorders>
          </w:tcPr>
          <w:p>
            <w:pPr/>
          </w:p>
        </w:tc>
        <w:tc>
          <w:tcPr>
            <w:tcW w:w="5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479,93</w:t>
            </w:r>
          </w:p>
          <w:p>
            <w:pPr>
              <w:pStyle w:val="TableParagraph"/>
              <w:spacing w:line="240" w:lineRule="auto" w:before="103"/>
              <w:ind w:left="105" w:right="0"/>
              <w:jc w:val="left"/>
              <w:rPr>
                <w:rFonts w:ascii="Times New Roman" w:hAnsi="Times New Roman" w:cs="Times New Roman" w:eastAsia="Times New Roman" w:hint="default"/>
                <w:sz w:val="18"/>
                <w:szCs w:val="18"/>
              </w:rPr>
            </w:pPr>
            <w:r>
              <w:rPr>
                <w:rFonts w:ascii="Times New Roman"/>
                <w:sz w:val="18"/>
              </w:rPr>
              <w:t>0,612.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23</w:t>
            </w:r>
          </w:p>
        </w:tc>
        <w:tc>
          <w:tcPr>
            <w:tcW w:w="567" w:type="dxa"/>
            <w:tcBorders>
              <w:top w:val="single" w:sz="12" w:space="0" w:color="000000"/>
              <w:left w:val="single" w:sz="4" w:space="0" w:color="000000"/>
              <w:bottom w:val="single" w:sz="4" w:space="0" w:color="000000"/>
              <w:right w:val="single" w:sz="4" w:space="0" w:color="000000"/>
            </w:tcBorders>
          </w:tcPr>
          <w:p>
            <w:pPr/>
          </w:p>
        </w:tc>
        <w:tc>
          <w:tcPr>
            <w:tcW w:w="5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61" w:right="0"/>
              <w:jc w:val="center"/>
              <w:rPr>
                <w:rFonts w:ascii="Times New Roman" w:hAnsi="Times New Roman" w:cs="Times New Roman" w:eastAsia="Times New Roman" w:hint="default"/>
                <w:sz w:val="18"/>
                <w:szCs w:val="18"/>
              </w:rPr>
            </w:pPr>
            <w:r>
              <w:rPr>
                <w:rFonts w:ascii="Times New Roman"/>
                <w:sz w:val="18"/>
              </w:rPr>
              <w:t>1,395,</w:t>
            </w:r>
          </w:p>
          <w:p>
            <w:pPr>
              <w:pStyle w:val="TableParagraph"/>
              <w:spacing w:line="240" w:lineRule="auto" w:before="103"/>
              <w:ind w:left="17" w:right="0"/>
              <w:jc w:val="center"/>
              <w:rPr>
                <w:rFonts w:ascii="Times New Roman" w:hAnsi="Times New Roman" w:cs="Times New Roman" w:eastAsia="Times New Roman" w:hint="default"/>
                <w:sz w:val="18"/>
                <w:szCs w:val="18"/>
              </w:rPr>
            </w:pPr>
            <w:r>
              <w:rPr>
                <w:rFonts w:ascii="Times New Roman"/>
                <w:sz w:val="18"/>
              </w:rPr>
              <w:t>977,96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7.95</w:t>
            </w:r>
          </w:p>
        </w:tc>
        <w:tc>
          <w:tcPr>
            <w:tcW w:w="6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511,151</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,870.30</w:t>
            </w:r>
          </w:p>
        </w:tc>
        <w:tc>
          <w:tcPr>
            <w:tcW w:w="65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1,907,1</w:t>
            </w:r>
          </w:p>
          <w:p>
            <w:pPr>
              <w:pStyle w:val="TableParagraph"/>
              <w:spacing w:line="240" w:lineRule="auto" w:before="103"/>
              <w:ind w:right="8"/>
              <w:jc w:val="right"/>
              <w:rPr>
                <w:rFonts w:ascii="Times New Roman" w:hAnsi="Times New Roman" w:cs="Times New Roman" w:eastAsia="Times New Roman" w:hint="default"/>
                <w:sz w:val="18"/>
                <w:szCs w:val="18"/>
              </w:rPr>
            </w:pPr>
            <w:r>
              <w:rPr>
                <w:rFonts w:ascii="Times New Roman"/>
                <w:sz w:val="18"/>
              </w:rPr>
              <w:t>29,838.</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25</w:t>
            </w:r>
          </w:p>
        </w:tc>
      </w:tr>
      <w:tr>
        <w:trPr>
          <w:trHeight w:val="1337"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2" w:lineRule="auto" w:before="49"/>
              <w:ind w:left="13"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1,492,</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121.05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46,979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52,232,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393.68</w:t>
            </w:r>
          </w:p>
        </w:tc>
        <w:tc>
          <w:tcPr>
            <w:tcW w:w="6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111,860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,635.74</w:t>
            </w:r>
          </w:p>
        </w:tc>
      </w:tr>
      <w:tr>
        <w:trPr>
          <w:trHeight w:val="1027"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3"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61,657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46,392,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440.67</w:t>
            </w:r>
          </w:p>
        </w:tc>
        <w:tc>
          <w:tcPr>
            <w:tcW w:w="6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108,049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,791.82</w:t>
            </w:r>
          </w:p>
        </w:tc>
      </w:tr>
      <w:tr>
        <w:trPr>
          <w:trHeight w:val="1025"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49"/>
              <w:ind w:left="13"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4,593,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674.52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4,593,</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674.52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8,583,9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53.01</w:t>
            </w:r>
          </w:p>
        </w:tc>
        <w:tc>
          <w:tcPr>
            <w:tcW w:w="6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13,177,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627.53</w:t>
            </w:r>
          </w:p>
        </w:tc>
      </w:tr>
      <w:tr>
        <w:trPr>
          <w:trHeight w:val="715"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9,467,0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44.00</w:t>
            </w:r>
          </w:p>
        </w:tc>
        <w:tc>
          <w:tcPr>
            <w:tcW w:w="6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9,467,0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44.00</w:t>
            </w:r>
          </w:p>
        </w:tc>
      </w:tr>
      <w:tr>
        <w:trPr>
          <w:trHeight w:val="1025"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49"/>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49"/>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4,593,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674.52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4,593,</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674.52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-883,09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0.99</w:t>
            </w:r>
          </w:p>
        </w:tc>
        <w:tc>
          <w:tcPr>
            <w:tcW w:w="6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3,710,5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83.53</w:t>
            </w:r>
          </w:p>
        </w:tc>
      </w:tr>
      <w:tr>
        <w:trPr>
          <w:trHeight w:val="1027"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3"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1,492,</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121.05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-14,67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8,146.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-13,18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6,025.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-2,744,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-15,930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,025.71</w:t>
            </w:r>
          </w:p>
        </w:tc>
      </w:tr>
      <w:tr>
        <w:trPr>
          <w:trHeight w:val="713"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1,492,</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121.05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-1,492,</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121.05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9" w:lineRule="auto" w:before="63"/>
              <w:ind w:left="13"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-13,18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6,025.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-13,18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6,025.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-2,744,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-15,930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,025.71</w:t>
            </w:r>
          </w:p>
        </w:tc>
      </w:tr>
      <w:tr>
        <w:trPr>
          <w:trHeight w:val="403"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1034" w:hRule="exact"/>
        </w:trPr>
        <w:tc>
          <w:tcPr>
            <w:tcW w:w="12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09" w:lineRule="auto" w:before="49"/>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0" w:type="dxa"/>
            <w:tcBorders>
              <w:top w:val="single" w:sz="4" w:space="0" w:color="000000"/>
              <w:left w:val="single" w:sz="4" w:space="0" w:color="000000"/>
              <w:bottom w:val="single" w:sz="12" w:space="0" w:color="000000"/>
              <w:right w:val="single" w:sz="4" w:space="0" w:color="000000"/>
            </w:tcBorders>
          </w:tcPr>
          <w:p>
            <w:pPr/>
          </w:p>
        </w:tc>
        <w:tc>
          <w:tcPr>
            <w:tcW w:w="449" w:type="dxa"/>
            <w:tcBorders>
              <w:top w:val="single" w:sz="4" w:space="0" w:color="000000"/>
              <w:left w:val="single" w:sz="4" w:space="0" w:color="000000"/>
              <w:bottom w:val="single" w:sz="12" w:space="0" w:color="000000"/>
              <w:right w:val="single" w:sz="4" w:space="0" w:color="000000"/>
            </w:tcBorders>
          </w:tcPr>
          <w:p>
            <w:pPr/>
          </w:p>
        </w:tc>
        <w:tc>
          <w:tcPr>
            <w:tcW w:w="449" w:type="dxa"/>
            <w:tcBorders>
              <w:top w:val="single" w:sz="4" w:space="0" w:color="000000"/>
              <w:left w:val="single" w:sz="4" w:space="0" w:color="000000"/>
              <w:bottom w:val="single" w:sz="12" w:space="0" w:color="000000"/>
              <w:right w:val="single" w:sz="4" w:space="0" w:color="000000"/>
            </w:tcBorders>
          </w:tcPr>
          <w:p>
            <w:pPr/>
          </w:p>
        </w:tc>
        <w:tc>
          <w:tcPr>
            <w:tcW w:w="493" w:type="dxa"/>
            <w:tcBorders>
              <w:top w:val="single" w:sz="4" w:space="0" w:color="000000"/>
              <w:left w:val="single" w:sz="4" w:space="0" w:color="000000"/>
              <w:bottom w:val="single" w:sz="12" w:space="0" w:color="000000"/>
              <w:right w:val="single" w:sz="4" w:space="0" w:color="000000"/>
            </w:tcBorders>
          </w:tcPr>
          <w:p>
            <w:pPr/>
          </w:p>
        </w:tc>
        <w:tc>
          <w:tcPr>
            <w:tcW w:w="576" w:type="dxa"/>
            <w:tcBorders>
              <w:top w:val="single" w:sz="4" w:space="0" w:color="000000"/>
              <w:left w:val="single" w:sz="4" w:space="0" w:color="000000"/>
              <w:bottom w:val="single" w:sz="12" w:space="0" w:color="000000"/>
              <w:right w:val="single" w:sz="4" w:space="0" w:color="000000"/>
            </w:tcBorders>
          </w:tcPr>
          <w:p>
            <w:pPr/>
          </w:p>
        </w:tc>
        <w:tc>
          <w:tcPr>
            <w:tcW w:w="576" w:type="dxa"/>
            <w:tcBorders>
              <w:top w:val="single" w:sz="4" w:space="0" w:color="000000"/>
              <w:left w:val="single" w:sz="4" w:space="0" w:color="000000"/>
              <w:bottom w:val="single" w:sz="12" w:space="0" w:color="000000"/>
              <w:right w:val="single" w:sz="4" w:space="0" w:color="000000"/>
            </w:tcBorders>
          </w:tcPr>
          <w:p>
            <w:pPr/>
          </w:p>
        </w:tc>
        <w:tc>
          <w:tcPr>
            <w:tcW w:w="578" w:type="dxa"/>
            <w:tcBorders>
              <w:top w:val="single" w:sz="4" w:space="0" w:color="000000"/>
              <w:left w:val="single" w:sz="4" w:space="0" w:color="000000"/>
              <w:bottom w:val="single" w:sz="12" w:space="0" w:color="000000"/>
              <w:right w:val="single" w:sz="4" w:space="0" w:color="000000"/>
            </w:tcBorders>
          </w:tcPr>
          <w:p>
            <w:pPr/>
          </w:p>
        </w:tc>
        <w:tc>
          <w:tcPr>
            <w:tcW w:w="576" w:type="dxa"/>
            <w:tcBorders>
              <w:top w:val="single" w:sz="4" w:space="0" w:color="000000"/>
              <w:left w:val="single" w:sz="4" w:space="0" w:color="000000"/>
              <w:bottom w:val="single" w:sz="12" w:space="0" w:color="000000"/>
              <w:right w:val="single" w:sz="4" w:space="0" w:color="000000"/>
            </w:tcBorders>
          </w:tcPr>
          <w:p>
            <w:pPr/>
          </w:p>
        </w:tc>
        <w:tc>
          <w:tcPr>
            <w:tcW w:w="576" w:type="dxa"/>
            <w:tcBorders>
              <w:top w:val="single" w:sz="4" w:space="0" w:color="000000"/>
              <w:left w:val="single" w:sz="4" w:space="0" w:color="000000"/>
              <w:bottom w:val="single" w:sz="12" w:space="0" w:color="000000"/>
              <w:right w:val="single" w:sz="4" w:space="0" w:color="000000"/>
            </w:tcBorders>
          </w:tcPr>
          <w:p>
            <w:pPr/>
          </w:p>
        </w:tc>
        <w:tc>
          <w:tcPr>
            <w:tcW w:w="578" w:type="dxa"/>
            <w:tcBorders>
              <w:top w:val="single" w:sz="4" w:space="0" w:color="000000"/>
              <w:left w:val="single" w:sz="4" w:space="0" w:color="000000"/>
              <w:bottom w:val="single" w:sz="12" w:space="0" w:color="000000"/>
              <w:right w:val="single" w:sz="4" w:space="0" w:color="000000"/>
            </w:tcBorders>
          </w:tcPr>
          <w:p>
            <w:pPr/>
          </w:p>
        </w:tc>
        <w:tc>
          <w:tcPr>
            <w:tcW w:w="588" w:type="dxa"/>
            <w:tcBorders>
              <w:top w:val="single" w:sz="4" w:space="0" w:color="000000"/>
              <w:left w:val="single" w:sz="4" w:space="0" w:color="000000"/>
              <w:bottom w:val="single" w:sz="12" w:space="0" w:color="000000"/>
              <w:right w:val="single" w:sz="4" w:space="0" w:color="000000"/>
            </w:tcBorders>
          </w:tcPr>
          <w:p>
            <w:pPr/>
          </w:p>
        </w:tc>
        <w:tc>
          <w:tcPr>
            <w:tcW w:w="567" w:type="dxa"/>
            <w:tcBorders>
              <w:top w:val="single" w:sz="4" w:space="0" w:color="000000"/>
              <w:left w:val="single" w:sz="4" w:space="0" w:color="000000"/>
              <w:bottom w:val="single" w:sz="12" w:space="0" w:color="000000"/>
              <w:right w:val="single" w:sz="4" w:space="0" w:color="000000"/>
            </w:tcBorders>
          </w:tcPr>
          <w:p>
            <w:pPr/>
          </w:p>
        </w:tc>
        <w:tc>
          <w:tcPr>
            <w:tcW w:w="569" w:type="dxa"/>
            <w:tcBorders>
              <w:top w:val="single" w:sz="4" w:space="0" w:color="000000"/>
              <w:left w:val="single" w:sz="4" w:space="0" w:color="000000"/>
              <w:bottom w:val="single" w:sz="12" w:space="0" w:color="000000"/>
              <w:right w:val="single" w:sz="4" w:space="0" w:color="000000"/>
            </w:tcBorders>
          </w:tcPr>
          <w:p>
            <w:pPr/>
          </w:p>
        </w:tc>
        <w:tc>
          <w:tcPr>
            <w:tcW w:w="641" w:type="dxa"/>
            <w:tcBorders>
              <w:top w:val="single" w:sz="4" w:space="0" w:color="000000"/>
              <w:left w:val="single" w:sz="4" w:space="0" w:color="000000"/>
              <w:bottom w:val="single" w:sz="12" w:space="0" w:color="000000"/>
              <w:right w:val="single" w:sz="4" w:space="0" w:color="000000"/>
            </w:tcBorders>
          </w:tcPr>
          <w:p>
            <w:pPr/>
          </w:p>
        </w:tc>
        <w:tc>
          <w:tcPr>
            <w:tcW w:w="653"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037" w:hRule="exact"/>
        </w:trPr>
        <w:tc>
          <w:tcPr>
            <w:tcW w:w="12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07" w:lineRule="auto" w:before="51"/>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0" w:type="dxa"/>
            <w:tcBorders>
              <w:top w:val="single" w:sz="12" w:space="0" w:color="000000"/>
              <w:left w:val="single" w:sz="4" w:space="0" w:color="000000"/>
              <w:bottom w:val="single" w:sz="4" w:space="0" w:color="000000"/>
              <w:right w:val="single" w:sz="4" w:space="0" w:color="000000"/>
            </w:tcBorders>
          </w:tcPr>
          <w:p>
            <w:pPr/>
          </w:p>
        </w:tc>
        <w:tc>
          <w:tcPr>
            <w:tcW w:w="449" w:type="dxa"/>
            <w:tcBorders>
              <w:top w:val="single" w:sz="12" w:space="0" w:color="000000"/>
              <w:left w:val="single" w:sz="4" w:space="0" w:color="000000"/>
              <w:bottom w:val="single" w:sz="4" w:space="0" w:color="000000"/>
              <w:right w:val="single" w:sz="4" w:space="0" w:color="000000"/>
            </w:tcBorders>
          </w:tcPr>
          <w:p>
            <w:pPr/>
          </w:p>
        </w:tc>
        <w:tc>
          <w:tcPr>
            <w:tcW w:w="449" w:type="dxa"/>
            <w:tcBorders>
              <w:top w:val="single" w:sz="12" w:space="0" w:color="000000"/>
              <w:left w:val="single" w:sz="4" w:space="0" w:color="000000"/>
              <w:bottom w:val="single" w:sz="4" w:space="0" w:color="000000"/>
              <w:right w:val="single" w:sz="4" w:space="0" w:color="000000"/>
            </w:tcBorders>
          </w:tcPr>
          <w:p>
            <w:pPr/>
          </w:p>
        </w:tc>
        <w:tc>
          <w:tcPr>
            <w:tcW w:w="493" w:type="dxa"/>
            <w:tcBorders>
              <w:top w:val="single" w:sz="12" w:space="0" w:color="000000"/>
              <w:left w:val="single" w:sz="4" w:space="0" w:color="000000"/>
              <w:bottom w:val="single" w:sz="4" w:space="0" w:color="000000"/>
              <w:right w:val="single" w:sz="4" w:space="0" w:color="000000"/>
            </w:tcBorders>
          </w:tcPr>
          <w:p>
            <w:pPr/>
          </w:p>
        </w:tc>
        <w:tc>
          <w:tcPr>
            <w:tcW w:w="576" w:type="dxa"/>
            <w:tcBorders>
              <w:top w:val="single" w:sz="12" w:space="0" w:color="000000"/>
              <w:left w:val="single" w:sz="4" w:space="0" w:color="000000"/>
              <w:bottom w:val="single" w:sz="4" w:space="0" w:color="000000"/>
              <w:right w:val="single" w:sz="4" w:space="0" w:color="000000"/>
            </w:tcBorders>
          </w:tcPr>
          <w:p>
            <w:pPr/>
          </w:p>
        </w:tc>
        <w:tc>
          <w:tcPr>
            <w:tcW w:w="576" w:type="dxa"/>
            <w:tcBorders>
              <w:top w:val="single" w:sz="12" w:space="0" w:color="000000"/>
              <w:left w:val="single" w:sz="4" w:space="0" w:color="000000"/>
              <w:bottom w:val="single" w:sz="4" w:space="0" w:color="000000"/>
              <w:right w:val="single" w:sz="4" w:space="0" w:color="000000"/>
            </w:tcBorders>
          </w:tcPr>
          <w:p>
            <w:pPr/>
          </w:p>
        </w:tc>
        <w:tc>
          <w:tcPr>
            <w:tcW w:w="578" w:type="dxa"/>
            <w:tcBorders>
              <w:top w:val="single" w:sz="12" w:space="0" w:color="000000"/>
              <w:left w:val="single" w:sz="4" w:space="0" w:color="000000"/>
              <w:bottom w:val="single" w:sz="4" w:space="0" w:color="000000"/>
              <w:right w:val="single" w:sz="4" w:space="0" w:color="000000"/>
            </w:tcBorders>
          </w:tcPr>
          <w:p>
            <w:pPr/>
          </w:p>
        </w:tc>
        <w:tc>
          <w:tcPr>
            <w:tcW w:w="576" w:type="dxa"/>
            <w:tcBorders>
              <w:top w:val="single" w:sz="12" w:space="0" w:color="000000"/>
              <w:left w:val="single" w:sz="4" w:space="0" w:color="000000"/>
              <w:bottom w:val="single" w:sz="4" w:space="0" w:color="000000"/>
              <w:right w:val="single" w:sz="4" w:space="0" w:color="000000"/>
            </w:tcBorders>
          </w:tcPr>
          <w:p>
            <w:pPr/>
          </w:p>
        </w:tc>
        <w:tc>
          <w:tcPr>
            <w:tcW w:w="576" w:type="dxa"/>
            <w:tcBorders>
              <w:top w:val="single" w:sz="12" w:space="0" w:color="000000"/>
              <w:left w:val="single" w:sz="4" w:space="0" w:color="000000"/>
              <w:bottom w:val="single" w:sz="4" w:space="0" w:color="000000"/>
              <w:right w:val="single" w:sz="4" w:space="0" w:color="000000"/>
            </w:tcBorders>
          </w:tcPr>
          <w:p>
            <w:pPr/>
          </w:p>
        </w:tc>
        <w:tc>
          <w:tcPr>
            <w:tcW w:w="578" w:type="dxa"/>
            <w:tcBorders>
              <w:top w:val="single" w:sz="12" w:space="0" w:color="000000"/>
              <w:left w:val="single" w:sz="4" w:space="0" w:color="000000"/>
              <w:bottom w:val="single" w:sz="4" w:space="0" w:color="000000"/>
              <w:right w:val="single" w:sz="4" w:space="0" w:color="000000"/>
            </w:tcBorders>
          </w:tcPr>
          <w:p>
            <w:pPr/>
          </w:p>
        </w:tc>
        <w:tc>
          <w:tcPr>
            <w:tcW w:w="588" w:type="dxa"/>
            <w:tcBorders>
              <w:top w:val="single" w:sz="12" w:space="0" w:color="000000"/>
              <w:left w:val="single" w:sz="4" w:space="0" w:color="000000"/>
              <w:bottom w:val="single" w:sz="4" w:space="0" w:color="000000"/>
              <w:right w:val="single" w:sz="4" w:space="0" w:color="000000"/>
            </w:tcBorders>
          </w:tcPr>
          <w:p>
            <w:pPr/>
          </w:p>
        </w:tc>
        <w:tc>
          <w:tcPr>
            <w:tcW w:w="567" w:type="dxa"/>
            <w:tcBorders>
              <w:top w:val="single" w:sz="12" w:space="0" w:color="000000"/>
              <w:left w:val="single" w:sz="4" w:space="0" w:color="000000"/>
              <w:bottom w:val="single" w:sz="4" w:space="0" w:color="000000"/>
              <w:right w:val="single" w:sz="4" w:space="0" w:color="000000"/>
            </w:tcBorders>
          </w:tcPr>
          <w:p>
            <w:pPr/>
          </w:p>
        </w:tc>
        <w:tc>
          <w:tcPr>
            <w:tcW w:w="569" w:type="dxa"/>
            <w:tcBorders>
              <w:top w:val="single" w:sz="12" w:space="0" w:color="000000"/>
              <w:left w:val="single" w:sz="4" w:space="0" w:color="000000"/>
              <w:bottom w:val="single" w:sz="4" w:space="0" w:color="000000"/>
              <w:right w:val="single" w:sz="4" w:space="0" w:color="000000"/>
            </w:tcBorders>
          </w:tcPr>
          <w:p>
            <w:pPr/>
          </w:p>
        </w:tc>
        <w:tc>
          <w:tcPr>
            <w:tcW w:w="641" w:type="dxa"/>
            <w:tcBorders>
              <w:top w:val="single" w:sz="12" w:space="0" w:color="000000"/>
              <w:left w:val="single" w:sz="4" w:space="0" w:color="000000"/>
              <w:bottom w:val="single" w:sz="4" w:space="0" w:color="000000"/>
              <w:right w:val="single" w:sz="4" w:space="0" w:color="000000"/>
            </w:tcBorders>
          </w:tcPr>
          <w:p>
            <w:pPr/>
          </w:p>
        </w:tc>
        <w:tc>
          <w:tcPr>
            <w:tcW w:w="653" w:type="dxa"/>
            <w:tcBorders>
              <w:top w:val="single" w:sz="12" w:space="0" w:color="000000"/>
              <w:left w:val="single" w:sz="4" w:space="0" w:color="000000"/>
              <w:bottom w:val="single" w:sz="4" w:space="0" w:color="000000"/>
              <w:right w:val="single" w:sz="12" w:space="0" w:color="000000"/>
            </w:tcBorders>
          </w:tcPr>
          <w:p>
            <w:pPr/>
          </w:p>
        </w:tc>
      </w:tr>
      <w:tr>
        <w:trPr>
          <w:trHeight w:val="713"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49"/>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49"/>
              <w:ind w:left="1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6,563,</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242.10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6,563,</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242.10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6,563,2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42.10</w:t>
            </w:r>
          </w:p>
        </w:tc>
      </w:tr>
      <w:tr>
        <w:trPr>
          <w:trHeight w:val="1035" w:hRule="exact"/>
        </w:trPr>
        <w:tc>
          <w:tcPr>
            <w:tcW w:w="12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3"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293,0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22,80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6.00</w:t>
            </w:r>
          </w:p>
        </w:tc>
        <w:tc>
          <w:tcPr>
            <w:tcW w:w="449" w:type="dxa"/>
            <w:tcBorders>
              <w:top w:val="single" w:sz="4" w:space="0" w:color="000000"/>
              <w:left w:val="single" w:sz="4" w:space="0" w:color="000000"/>
              <w:bottom w:val="single" w:sz="12" w:space="0" w:color="000000"/>
              <w:right w:val="single" w:sz="4" w:space="0" w:color="000000"/>
            </w:tcBorders>
          </w:tcPr>
          <w:p>
            <w:pPr/>
          </w:p>
        </w:tc>
        <w:tc>
          <w:tcPr>
            <w:tcW w:w="449" w:type="dxa"/>
            <w:tcBorders>
              <w:top w:val="single" w:sz="4" w:space="0" w:color="000000"/>
              <w:left w:val="single" w:sz="4" w:space="0" w:color="000000"/>
              <w:bottom w:val="single" w:sz="12" w:space="0" w:color="000000"/>
              <w:right w:val="single" w:sz="4" w:space="0" w:color="000000"/>
            </w:tcBorders>
          </w:tcPr>
          <w:p>
            <w:pPr/>
          </w:p>
        </w:tc>
        <w:tc>
          <w:tcPr>
            <w:tcW w:w="493" w:type="dxa"/>
            <w:tcBorders>
              <w:top w:val="single" w:sz="4" w:space="0" w:color="000000"/>
              <w:left w:val="single" w:sz="4" w:space="0" w:color="000000"/>
              <w:bottom w:val="single" w:sz="12" w:space="0" w:color="000000"/>
              <w:right w:val="single" w:sz="4" w:space="0" w:color="000000"/>
            </w:tcBorders>
          </w:tcPr>
          <w:p>
            <w:pPr/>
          </w:p>
        </w:tc>
        <w:tc>
          <w:tcPr>
            <w:tcW w:w="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598,82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8,546.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34</w:t>
            </w:r>
          </w:p>
        </w:tc>
        <w:tc>
          <w:tcPr>
            <w:tcW w:w="576" w:type="dxa"/>
            <w:tcBorders>
              <w:top w:val="single" w:sz="4" w:space="0" w:color="000000"/>
              <w:left w:val="single" w:sz="4" w:space="0" w:color="000000"/>
              <w:bottom w:val="single" w:sz="12" w:space="0" w:color="000000"/>
              <w:right w:val="single" w:sz="4" w:space="0" w:color="000000"/>
            </w:tcBorders>
          </w:tcPr>
          <w:p>
            <w:pPr/>
          </w:p>
        </w:tc>
        <w:tc>
          <w:tcPr>
            <w:tcW w:w="578" w:type="dxa"/>
            <w:tcBorders>
              <w:top w:val="single" w:sz="4" w:space="0" w:color="000000"/>
              <w:left w:val="single" w:sz="4" w:space="0" w:color="000000"/>
              <w:bottom w:val="single" w:sz="12" w:space="0" w:color="000000"/>
              <w:right w:val="single" w:sz="4" w:space="0" w:color="000000"/>
            </w:tcBorders>
          </w:tcPr>
          <w:p>
            <w:pPr/>
          </w:p>
        </w:tc>
        <w:tc>
          <w:tcPr>
            <w:tcW w:w="576" w:type="dxa"/>
            <w:tcBorders>
              <w:top w:val="single" w:sz="4" w:space="0" w:color="000000"/>
              <w:left w:val="single" w:sz="4" w:space="0" w:color="000000"/>
              <w:bottom w:val="single" w:sz="12" w:space="0" w:color="000000"/>
              <w:right w:val="single" w:sz="4" w:space="0" w:color="000000"/>
            </w:tcBorders>
          </w:tcPr>
          <w:p>
            <w:pPr/>
          </w:p>
        </w:tc>
        <w:tc>
          <w:tcPr>
            <w:tcW w:w="5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36,845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12" w:space="0" w:color="000000"/>
              <w:right w:val="single" w:sz="4" w:space="0" w:color="000000"/>
            </w:tcBorders>
          </w:tcPr>
          <w:p>
            <w:pPr/>
          </w:p>
        </w:tc>
        <w:tc>
          <w:tcPr>
            <w:tcW w:w="5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526,90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9,816.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62</w:t>
            </w:r>
          </w:p>
        </w:tc>
        <w:tc>
          <w:tcPr>
            <w:tcW w:w="567" w:type="dxa"/>
            <w:tcBorders>
              <w:top w:val="single" w:sz="4" w:space="0" w:color="000000"/>
              <w:left w:val="single" w:sz="4" w:space="0" w:color="000000"/>
              <w:bottom w:val="single" w:sz="12" w:space="0" w:color="000000"/>
              <w:right w:val="single" w:sz="4" w:space="0" w:color="000000"/>
            </w:tcBorders>
          </w:tcPr>
          <w:p>
            <w:pPr/>
          </w:p>
        </w:tc>
        <w:tc>
          <w:tcPr>
            <w:tcW w:w="5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1,455,</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606,21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0.01</w:t>
            </w:r>
          </w:p>
        </w:tc>
        <w:tc>
          <w:tcPr>
            <w:tcW w:w="6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563,384</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,263.98</w:t>
            </w:r>
          </w:p>
        </w:tc>
        <w:tc>
          <w:tcPr>
            <w:tcW w:w="65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2,018,9</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90,473.</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99</w:t>
            </w: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299"/>
        <w:gridCol w:w="629"/>
        <w:gridCol w:w="605"/>
        <w:gridCol w:w="603"/>
        <w:gridCol w:w="605"/>
        <w:gridCol w:w="727"/>
        <w:gridCol w:w="728"/>
        <w:gridCol w:w="725"/>
        <w:gridCol w:w="727"/>
        <w:gridCol w:w="727"/>
        <w:gridCol w:w="615"/>
        <w:gridCol w:w="710"/>
        <w:gridCol w:w="862"/>
      </w:tblGrid>
      <w:tr>
        <w:trPr>
          <w:trHeight w:val="412" w:hRule="exact"/>
        </w:trPr>
        <w:tc>
          <w:tcPr>
            <w:tcW w:w="1299" w:type="dxa"/>
            <w:tcBorders>
              <w:top w:val="single" w:sz="12" w:space="0" w:color="000000"/>
              <w:left w:val="single" w:sz="12" w:space="0" w:color="000000"/>
              <w:bottom w:val="nil" w:sz="6" w:space="0" w:color="auto"/>
              <w:right w:val="single" w:sz="4" w:space="0" w:color="000000"/>
            </w:tcBorders>
            <w:shd w:val="clear" w:color="auto" w:fill="D2D2D2"/>
          </w:tcPr>
          <w:p>
            <w:pPr/>
          </w:p>
        </w:tc>
        <w:tc>
          <w:tcPr>
            <w:tcW w:w="8262" w:type="dxa"/>
            <w:gridSpan w:val="1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4" w:hRule="exact"/>
        </w:trPr>
        <w:tc>
          <w:tcPr>
            <w:tcW w:w="1299"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53"/>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12" w:space="0" w:color="000000"/>
            </w:tcBorders>
            <w:shd w:val="clear" w:color="auto" w:fill="D2D2D2"/>
          </w:tcPr>
          <w:p>
            <w:pPr>
              <w:pStyle w:val="TableParagraph"/>
              <w:spacing w:line="316" w:lineRule="auto" w:before="92"/>
              <w:ind w:left="155" w:right="5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9" w:type="dxa"/>
            <w:vMerge/>
            <w:tcBorders>
              <w:left w:val="single" w:sz="12"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12" w:space="0" w:color="000000"/>
            </w:tcBorders>
            <w:shd w:val="clear" w:color="auto" w:fill="D2D2D2"/>
          </w:tcPr>
          <w:p>
            <w:pPr/>
          </w:p>
        </w:tc>
      </w:tr>
      <w:tr>
        <w:trPr>
          <w:trHeight w:val="202" w:hRule="exact"/>
        </w:trPr>
        <w:tc>
          <w:tcPr>
            <w:tcW w:w="1299" w:type="dxa"/>
            <w:vMerge w:val="restart"/>
            <w:tcBorders>
              <w:top w:val="nil" w:sz="6" w:space="0" w:color="auto"/>
              <w:left w:val="single" w:sz="12"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12" w:space="0" w:color="000000"/>
            </w:tcBorders>
            <w:shd w:val="clear" w:color="auto" w:fill="D2D2D2"/>
          </w:tcPr>
          <w:p>
            <w:pPr/>
          </w:p>
        </w:tc>
      </w:tr>
      <w:tr>
        <w:trPr>
          <w:trHeight w:val="184" w:hRule="exact"/>
        </w:trPr>
        <w:tc>
          <w:tcPr>
            <w:tcW w:w="1299" w:type="dxa"/>
            <w:vMerge/>
            <w:tcBorders>
              <w:left w:val="single" w:sz="12"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12" w:space="0" w:color="000000"/>
            </w:tcBorders>
            <w:shd w:val="clear" w:color="auto" w:fill="D2D2D2"/>
          </w:tcPr>
          <w:p>
            <w:pPr/>
          </w:p>
        </w:tc>
      </w:tr>
      <w:tr>
        <w:trPr>
          <w:trHeight w:val="184" w:hRule="exact"/>
        </w:trPr>
        <w:tc>
          <w:tcPr>
            <w:tcW w:w="1299" w:type="dxa"/>
            <w:tcBorders>
              <w:top w:val="single" w:sz="4" w:space="0" w:color="000000"/>
              <w:left w:val="single" w:sz="12"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293,02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2,806.0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654,493,</w:t>
            </w:r>
          </w:p>
          <w:p>
            <w:pPr>
              <w:pStyle w:val="TableParagraph"/>
              <w:spacing w:line="240" w:lineRule="auto" w:before="103"/>
              <w:ind w:left="175" w:right="0"/>
              <w:jc w:val="center"/>
              <w:rPr>
                <w:rFonts w:ascii="Times New Roman" w:hAnsi="Times New Roman" w:cs="Times New Roman" w:eastAsia="Times New Roman" w:hint="default"/>
                <w:sz w:val="18"/>
                <w:szCs w:val="18"/>
              </w:rPr>
            </w:pPr>
            <w:r>
              <w:rPr>
                <w:rFonts w:ascii="Times New Roman"/>
                <w:sz w:val="18"/>
              </w:rPr>
              <w:t>834.56</w:t>
            </w:r>
          </w:p>
        </w:tc>
        <w:tc>
          <w:tcPr>
            <w:tcW w:w="728" w:type="dxa"/>
            <w:vMerge w:val="restart"/>
            <w:tcBorders>
              <w:top w:val="single" w:sz="22" w:space="0" w:color="D2D2D2"/>
              <w:left w:val="single" w:sz="4" w:space="0" w:color="000000"/>
              <w:right w:val="single" w:sz="4" w:space="0" w:color="000000"/>
            </w:tcBorders>
          </w:tcPr>
          <w:p>
            <w:pPr/>
          </w:p>
        </w:tc>
        <w:tc>
          <w:tcPr>
            <w:tcW w:w="725" w:type="dxa"/>
            <w:vMerge w:val="restart"/>
            <w:tcBorders>
              <w:top w:val="single" w:sz="22" w:space="0" w:color="D2D2D2"/>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
        </w:tc>
        <w:tc>
          <w:tcPr>
            <w:tcW w:w="727" w:type="dxa"/>
            <w:vMerge w:val="restart"/>
            <w:tcBorders>
              <w:top w:val="single" w:sz="22" w:space="0" w:color="D2D2D2"/>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36,845,0</w:t>
            </w:r>
          </w:p>
          <w:p>
            <w:pPr>
              <w:pStyle w:val="TableParagraph"/>
              <w:spacing w:line="240" w:lineRule="auto" w:before="103"/>
              <w:ind w:left="287" w:right="0"/>
              <w:jc w:val="left"/>
              <w:rPr>
                <w:rFonts w:ascii="Times New Roman" w:hAnsi="Times New Roman" w:cs="Times New Roman" w:eastAsia="Times New Roman" w:hint="default"/>
                <w:sz w:val="18"/>
                <w:szCs w:val="18"/>
              </w:rPr>
            </w:pPr>
            <w:r>
              <w:rPr>
                <w:rFonts w:ascii="Times New Roman"/>
                <w:sz w:val="18"/>
              </w:rPr>
              <w:t>41.05</w:t>
            </w:r>
          </w:p>
        </w:tc>
        <w:tc>
          <w:tcPr>
            <w:tcW w:w="615" w:type="dxa"/>
            <w:vMerge w:val="restart"/>
            <w:tcBorders>
              <w:top w:val="single" w:sz="22" w:space="0" w:color="D2D2D2"/>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7,519.9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22" w:space="0" w:color="D2D2D2"/>
              <w:left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1,216,559,</w:t>
            </w:r>
          </w:p>
          <w:p>
            <w:pPr>
              <w:pStyle w:val="TableParagraph"/>
              <w:spacing w:line="240" w:lineRule="auto" w:before="103"/>
              <w:ind w:left="335" w:right="0"/>
              <w:jc w:val="left"/>
              <w:rPr>
                <w:rFonts w:ascii="Times New Roman" w:hAnsi="Times New Roman" w:cs="Times New Roman" w:eastAsia="Times New Roman" w:hint="default"/>
                <w:sz w:val="18"/>
                <w:szCs w:val="18"/>
              </w:rPr>
            </w:pPr>
            <w:r>
              <w:rPr>
                <w:rFonts w:ascii="Times New Roman"/>
                <w:sz w:val="18"/>
              </w:rPr>
              <w:t>201.54</w:t>
            </w:r>
          </w:p>
        </w:tc>
      </w:tr>
      <w:tr>
        <w:trPr>
          <w:trHeight w:val="704" w:hRule="exact"/>
        </w:trPr>
        <w:tc>
          <w:tcPr>
            <w:tcW w:w="1299"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316" w:lineRule="auto" w:before="49"/>
              <w:ind w:left="7" w:right="19"/>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12" w:space="0" w:color="000000"/>
            </w:tcBorders>
          </w:tcPr>
          <w:p>
            <w:pPr/>
          </w:p>
        </w:tc>
      </w:tr>
      <w:tr>
        <w:trPr>
          <w:trHeight w:val="161" w:hRule="exact"/>
        </w:trPr>
        <w:tc>
          <w:tcPr>
            <w:tcW w:w="1299" w:type="dxa"/>
            <w:tcBorders>
              <w:top w:val="nil" w:sz="6" w:space="0" w:color="auto"/>
              <w:left w:val="single" w:sz="12"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12" w:space="0" w:color="000000"/>
            </w:tcBorders>
          </w:tcPr>
          <w:p>
            <w:pPr/>
          </w:p>
        </w:tc>
      </w:tr>
      <w:tr>
        <w:trPr>
          <w:trHeight w:val="715" w:hRule="exact"/>
        </w:trPr>
        <w:tc>
          <w:tcPr>
            <w:tcW w:w="129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19" w:firstLine="360"/>
              <w:jc w:val="left"/>
              <w:rPr>
                <w:rFonts w:ascii="宋体" w:hAnsi="宋体" w:cs="宋体" w:eastAsia="宋体" w:hint="default"/>
                <w:sz w:val="18"/>
                <w:szCs w:val="18"/>
              </w:rPr>
            </w:pPr>
            <w:r>
              <w:rPr>
                <w:rFonts w:ascii="宋体" w:hAnsi="宋体" w:cs="宋体" w:eastAsia="宋体" w:hint="default"/>
                <w:sz w:val="18"/>
                <w:szCs w:val="18"/>
              </w:rPr>
              <w:t>加：会计政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-1,367,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190.22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-1,367,190</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.22</w:t>
            </w:r>
          </w:p>
        </w:tc>
      </w:tr>
      <w:tr>
        <w:trPr>
          <w:trHeight w:val="713" w:hRule="exact"/>
        </w:trPr>
        <w:tc>
          <w:tcPr>
            <w:tcW w:w="129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9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3" w:right="19"/>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2,806.0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654,493,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834.56</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36,845,0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41.05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0,329.7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1,215,192,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011.32</w:t>
            </w:r>
          </w:p>
        </w:tc>
      </w:tr>
      <w:tr>
        <w:trPr>
          <w:trHeight w:val="1027"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19"/>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2,802,76</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7.16</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6,182,21</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1.65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51,244,</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563.23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60,229,54</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2.04</w:t>
            </w:r>
          </w:p>
        </w:tc>
      </w:tr>
      <w:tr>
        <w:trPr>
          <w:trHeight w:val="713"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19"/>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61,822,</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116.50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61,822,116</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.50</w:t>
            </w:r>
          </w:p>
        </w:tc>
      </w:tr>
      <w:tr>
        <w:trPr>
          <w:trHeight w:val="715"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13" w:right="19"/>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7" w:lineRule="auto" w:before="51"/>
              <w:ind w:left="1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49"/>
              <w:ind w:left="1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6,182,21</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1.65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-10,577</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,553.27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-4,395,341</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.62</w:t>
            </w:r>
          </w:p>
        </w:tc>
      </w:tr>
      <w:tr>
        <w:trPr>
          <w:trHeight w:val="716"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97" w:lineRule="auto" w:before="51"/>
              <w:ind w:left="1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9" w:right="0"/>
              <w:jc w:val="left"/>
              <w:rPr>
                <w:rFonts w:ascii="Times New Roman" w:hAnsi="Times New Roman" w:cs="Times New Roman" w:eastAsia="Times New Roman" w:hint="default"/>
                <w:sz w:val="18"/>
                <w:szCs w:val="18"/>
              </w:rPr>
            </w:pPr>
            <w:r>
              <w:rPr>
                <w:rFonts w:ascii="Times New Roman"/>
                <w:sz w:val="18"/>
              </w:rPr>
              <w:t>6,182,21</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1.65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4" w:right="0"/>
              <w:jc w:val="left"/>
              <w:rPr>
                <w:rFonts w:ascii="Times New Roman" w:hAnsi="Times New Roman" w:cs="Times New Roman" w:eastAsia="Times New Roman" w:hint="default"/>
                <w:sz w:val="18"/>
                <w:szCs w:val="18"/>
              </w:rPr>
            </w:pPr>
            <w:r>
              <w:rPr>
                <w:rFonts w:ascii="Times New Roman"/>
                <w:sz w:val="18"/>
              </w:rPr>
              <w:t>-6,182,</w:t>
            </w:r>
          </w:p>
          <w:p>
            <w:pPr>
              <w:pStyle w:val="TableParagraph"/>
              <w:spacing w:line="240" w:lineRule="auto" w:before="102"/>
              <w:ind w:left="96" w:right="0"/>
              <w:jc w:val="left"/>
              <w:rPr>
                <w:rFonts w:ascii="Times New Roman" w:hAnsi="Times New Roman" w:cs="Times New Roman" w:eastAsia="Times New Roman" w:hint="default"/>
                <w:sz w:val="18"/>
                <w:szCs w:val="18"/>
              </w:rPr>
            </w:pPr>
            <w:r>
              <w:rPr>
                <w:rFonts w:ascii="Times New Roman"/>
                <w:sz w:val="18"/>
              </w:rPr>
              <w:t>211.65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-4,395,</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341.62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-4,395,341</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.62</w:t>
            </w:r>
          </w:p>
        </w:tc>
      </w:tr>
      <w:tr>
        <w:trPr>
          <w:trHeight w:val="403"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19"/>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7" w:lineRule="auto" w:before="51"/>
              <w:ind w:left="1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49"/>
              <w:ind w:left="1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97" w:lineRule="auto" w:before="51"/>
              <w:ind w:left="1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49"/>
              <w:ind w:left="1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49"/>
              <w:ind w:left="1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30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2,802,76</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7.16</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2,802,767.</w:t>
            </w:r>
          </w:p>
          <w:p>
            <w:pPr>
              <w:pStyle w:val="TableParagraph"/>
              <w:spacing w:line="240" w:lineRule="auto" w:before="102"/>
              <w:ind w:right="7"/>
              <w:jc w:val="right"/>
              <w:rPr>
                <w:rFonts w:ascii="Times New Roman" w:hAnsi="Times New Roman" w:cs="Times New Roman" w:eastAsia="Times New Roman" w:hint="default"/>
                <w:sz w:val="18"/>
                <w:szCs w:val="18"/>
              </w:rPr>
            </w:pPr>
            <w:r>
              <w:rPr>
                <w:rFonts w:ascii="Times New Roman"/>
                <w:sz w:val="18"/>
              </w:rPr>
              <w:t>16</w:t>
            </w:r>
          </w:p>
        </w:tc>
      </w:tr>
      <w:tr>
        <w:trPr>
          <w:trHeight w:val="1035" w:hRule="exact"/>
        </w:trPr>
        <w:tc>
          <w:tcPr>
            <w:tcW w:w="130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3" w:right="19"/>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6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2,806.0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12" w:space="0" w:color="000000"/>
              <w:right w:val="single" w:sz="4" w:space="0" w:color="000000"/>
            </w:tcBorders>
          </w:tcPr>
          <w:p>
            <w:pPr/>
          </w:p>
        </w:tc>
        <w:tc>
          <w:tcPr>
            <w:tcW w:w="603" w:type="dxa"/>
            <w:tcBorders>
              <w:top w:val="single" w:sz="4" w:space="0" w:color="000000"/>
              <w:left w:val="single" w:sz="4" w:space="0" w:color="000000"/>
              <w:bottom w:val="single" w:sz="12" w:space="0" w:color="000000"/>
              <w:right w:val="single" w:sz="4" w:space="0" w:color="000000"/>
            </w:tcBorders>
          </w:tcPr>
          <w:p>
            <w:pPr/>
          </w:p>
        </w:tc>
        <w:tc>
          <w:tcPr>
            <w:tcW w:w="605" w:type="dxa"/>
            <w:tcBorders>
              <w:top w:val="single" w:sz="4" w:space="0" w:color="000000"/>
              <w:left w:val="single" w:sz="4" w:space="0" w:color="000000"/>
              <w:bottom w:val="single" w:sz="12" w:space="0" w:color="000000"/>
              <w:right w:val="single" w:sz="4" w:space="0" w:color="000000"/>
            </w:tcBorders>
          </w:tcPr>
          <w:p>
            <w:pPr/>
          </w:p>
        </w:tc>
        <w:tc>
          <w:tcPr>
            <w:tcW w:w="7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657,296,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601.72</w:t>
            </w:r>
          </w:p>
        </w:tc>
        <w:tc>
          <w:tcPr>
            <w:tcW w:w="728" w:type="dxa"/>
            <w:tcBorders>
              <w:top w:val="single" w:sz="4" w:space="0" w:color="000000"/>
              <w:left w:val="single" w:sz="4" w:space="0" w:color="000000"/>
              <w:bottom w:val="single" w:sz="12" w:space="0" w:color="000000"/>
              <w:right w:val="single" w:sz="4" w:space="0" w:color="000000"/>
            </w:tcBorders>
          </w:tcPr>
          <w:p>
            <w:pPr/>
          </w:p>
        </w:tc>
        <w:tc>
          <w:tcPr>
            <w:tcW w:w="725" w:type="dxa"/>
            <w:tcBorders>
              <w:top w:val="single" w:sz="4" w:space="0" w:color="000000"/>
              <w:left w:val="single" w:sz="4" w:space="0" w:color="000000"/>
              <w:bottom w:val="single" w:sz="12" w:space="0" w:color="000000"/>
              <w:right w:val="single" w:sz="4" w:space="0" w:color="000000"/>
            </w:tcBorders>
          </w:tcPr>
          <w:p>
            <w:pPr/>
          </w:p>
        </w:tc>
        <w:tc>
          <w:tcPr>
            <w:tcW w:w="727" w:type="dxa"/>
            <w:tcBorders>
              <w:top w:val="single" w:sz="4" w:space="0" w:color="000000"/>
              <w:left w:val="single" w:sz="4" w:space="0" w:color="000000"/>
              <w:bottom w:val="single" w:sz="12" w:space="0" w:color="000000"/>
              <w:right w:val="single" w:sz="4" w:space="0" w:color="000000"/>
            </w:tcBorders>
          </w:tcPr>
          <w:p>
            <w:pPr/>
          </w:p>
        </w:tc>
        <w:tc>
          <w:tcPr>
            <w:tcW w:w="7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43,027,2</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52.70</w:t>
            </w:r>
          </w:p>
        </w:tc>
        <w:tc>
          <w:tcPr>
            <w:tcW w:w="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4,892.9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12" w:space="0" w:color="000000"/>
              <w:right w:val="single" w:sz="4" w:space="0" w:color="000000"/>
            </w:tcBorders>
          </w:tcPr>
          <w:p>
            <w:pPr/>
          </w:p>
        </w:tc>
        <w:tc>
          <w:tcPr>
            <w:tcW w:w="8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1,275,421,</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553.36</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20"/>
        <w:gridCol w:w="593"/>
        <w:gridCol w:w="574"/>
        <w:gridCol w:w="572"/>
        <w:gridCol w:w="571"/>
        <w:gridCol w:w="686"/>
        <w:gridCol w:w="686"/>
        <w:gridCol w:w="684"/>
        <w:gridCol w:w="782"/>
        <w:gridCol w:w="665"/>
        <w:gridCol w:w="797"/>
        <w:gridCol w:w="797"/>
        <w:gridCol w:w="931"/>
      </w:tblGrid>
      <w:tr>
        <w:trPr>
          <w:trHeight w:val="402" w:hRule="exact"/>
        </w:trPr>
        <w:tc>
          <w:tcPr>
            <w:tcW w:w="1220" w:type="dxa"/>
            <w:vMerge w:val="restart"/>
            <w:tcBorders>
              <w:top w:val="single" w:sz="4" w:space="0" w:color="000000"/>
              <w:left w:val="single" w:sz="4" w:space="0" w:color="000000"/>
              <w:right w:val="single" w:sz="4" w:space="0" w:color="000000"/>
            </w:tcBorders>
            <w:shd w:val="clear" w:color="auto" w:fill="D2D2D2"/>
          </w:tcPr>
          <w:p>
            <w:pP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4"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93"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20" w:type="dxa"/>
            <w:vMerge/>
            <w:tcBorders>
              <w:left w:val="single" w:sz="4" w:space="0" w:color="000000"/>
              <w:bottom w:val="nil" w:sz="6" w:space="0" w:color="auto"/>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20" w:type="dxa"/>
            <w:vMerge w:val="restart"/>
            <w:tcBorders>
              <w:top w:val="nil" w:sz="6" w:space="0" w:color="auto"/>
              <w:left w:val="single" w:sz="4" w:space="0" w:color="000000"/>
              <w:right w:val="single" w:sz="4" w:space="0" w:color="000000"/>
            </w:tcBorders>
            <w:shd w:val="clear" w:color="auto" w:fill="D2D2D2"/>
          </w:tcPr>
          <w:p>
            <w:pPr/>
          </w:p>
        </w:tc>
        <w:tc>
          <w:tcPr>
            <w:tcW w:w="593"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20" w:type="dxa"/>
            <w:vMerge/>
            <w:tcBorders>
              <w:left w:val="single" w:sz="4" w:space="0" w:color="000000"/>
              <w:right w:val="single" w:sz="4" w:space="0" w:color="000000"/>
            </w:tcBorders>
            <w:shd w:val="clear" w:color="auto" w:fill="D2D2D2"/>
          </w:tcPr>
          <w:p>
            <w:pPr/>
          </w:p>
        </w:tc>
        <w:tc>
          <w:tcPr>
            <w:tcW w:w="593"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220"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3"/>
              <w:ind w:left="61"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647,930</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,592.46</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35,352,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920.00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231,954,4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56.16</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1,208,260,7</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74.62</w:t>
            </w:r>
          </w:p>
        </w:tc>
      </w:tr>
      <w:tr>
        <w:trPr>
          <w:trHeight w:val="704"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3" w:type="dxa"/>
            <w:vMerge w:val="restart"/>
            <w:tcBorders>
              <w:top w:val="single" w:sz="4" w:space="0" w:color="000000"/>
              <w:left w:val="single" w:sz="9" w:space="0" w:color="D2D2D2"/>
              <w:right w:val="single" w:sz="4" w:space="0" w:color="000000"/>
            </w:tcBorders>
          </w:tcPr>
          <w:p>
            <w:pPr>
              <w:pStyle w:val="TableParagraph"/>
              <w:spacing w:line="240" w:lineRule="auto" w:before="93"/>
              <w:ind w:left="61"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2"/>
              <w:ind w:left="104"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647,930</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,592.46</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35,352,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920.00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231,954,4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56.16</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1,208,260,7</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74.62</w:t>
            </w:r>
          </w:p>
        </w:tc>
      </w:tr>
      <w:tr>
        <w:trPr>
          <w:trHeight w:val="703" w:hRule="exact"/>
        </w:trPr>
        <w:tc>
          <w:tcPr>
            <w:tcW w:w="12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93"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6,563,2</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42.10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1,492,1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243,063.7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8,298,426.9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14,921,21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0.53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14,921,210.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53</w:t>
            </w:r>
          </w:p>
        </w:tc>
      </w:tr>
      <w:tr>
        <w:trPr>
          <w:trHeight w:val="71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1,492,1</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-14,678,1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46.76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-13,186,025</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.71</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1,492,1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-1,492,12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6" w:right="0"/>
              <w:jc w:val="left"/>
              <w:rPr>
                <w:rFonts w:ascii="Times New Roman" w:hAnsi="Times New Roman" w:cs="Times New Roman" w:eastAsia="Times New Roman" w:hint="default"/>
                <w:sz w:val="18"/>
                <w:szCs w:val="18"/>
              </w:rPr>
            </w:pPr>
            <w:r>
              <w:rPr>
                <w:rFonts w:ascii="Times New Roman"/>
                <w:sz w:val="18"/>
              </w:rPr>
              <w:t>-13,186,0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25.71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-13,186,025</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.71</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6,563,2</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42.10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6,563,242.1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293,02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654,493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,834.56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36,845,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041.05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232,197,5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19.93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1,216,559,2</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01.54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三、公司基本情况" w:id="164"/>
      <w:bookmarkEnd w:id="164"/>
      <w:r>
        <w:rPr>
          <w:b w:val="0"/>
          <w:bCs w:val="0"/>
        </w:rPr>
      </w: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left="573" w:right="0"/>
        <w:jc w:val="left"/>
      </w:pPr>
      <w:r>
        <w:rPr>
          <w:rFonts w:ascii="宋体" w:hAnsi="宋体" w:cs="宋体" w:eastAsia="宋体" w:hint="default"/>
        </w:rPr>
        <w:t>1</w:t>
      </w:r>
      <w:r>
        <w:rPr/>
        <w:t>、企业基本信息</w:t>
      </w:r>
      <w:r>
        <w:rPr>
          <w:w w:val="100"/>
        </w:rPr>
        <w:t> </w:t>
      </w:r>
      <w:r>
        <w:rPr>
          <w:spacing w:val="-2"/>
        </w:rPr>
        <w:t>汉威科技集团股份有限公司系在深圳证券交易所创业板上市的股份有限公司，股票简称：汉威科技，</w:t>
      </w:r>
    </w:p>
    <w:p>
      <w:pPr>
        <w:pStyle w:val="BodyText"/>
        <w:spacing w:line="408" w:lineRule="auto"/>
        <w:ind w:left="573" w:right="3554" w:hanging="421"/>
        <w:jc w:val="left"/>
      </w:pPr>
      <w:r>
        <w:rPr/>
        <w:t>股票代码：</w:t>
      </w:r>
      <w:r>
        <w:rPr>
          <w:rFonts w:ascii="宋体" w:hAnsi="宋体" w:cs="宋体" w:eastAsia="宋体" w:hint="default"/>
        </w:rPr>
        <w:t>300007</w:t>
      </w:r>
      <w:r>
        <w:rPr/>
        <w:t>；</w:t>
      </w:r>
      <w:r>
        <w:rPr>
          <w:w w:val="100"/>
        </w:rPr>
        <w:t> </w:t>
      </w:r>
      <w:r>
        <w:rPr>
          <w:spacing w:val="-2"/>
        </w:rPr>
        <w:t>公司注册地：河南省郑州市，统一社会信用代码：</w:t>
      </w:r>
      <w:r>
        <w:rPr>
          <w:rFonts w:ascii="宋体" w:hAnsi="宋体" w:cs="宋体" w:eastAsia="宋体" w:hint="default"/>
          <w:spacing w:val="-2"/>
        </w:rPr>
        <w:t>914101007067858314</w:t>
      </w:r>
      <w:r>
        <w:rPr>
          <w:spacing w:val="-2"/>
        </w:rPr>
        <w:t>；</w:t>
      </w:r>
      <w:r>
        <w:rPr>
          <w:w w:val="100"/>
        </w:rPr>
        <w:t> </w:t>
      </w:r>
      <w:r>
        <w:rPr/>
        <w:t>公司法定代表人：任红军；</w:t>
      </w:r>
      <w:r>
        <w:rPr>
          <w:w w:val="100"/>
        </w:rPr>
        <w:t> </w:t>
      </w:r>
      <w:r>
        <w:rPr/>
        <w:t>公司总部地址：郑州高新开发区雪松路</w:t>
      </w:r>
      <w:r>
        <w:rPr>
          <w:rFonts w:ascii="宋体" w:hAnsi="宋体" w:cs="宋体" w:eastAsia="宋体" w:hint="default"/>
        </w:rPr>
        <w:t>169</w:t>
      </w:r>
      <w:r>
        <w:rPr/>
        <w:t>号。</w:t>
      </w:r>
      <w:r>
        <w:rPr>
          <w:spacing w:val="-3"/>
          <w:w w:val="100"/>
        </w:rPr>
        <w:t> </w:t>
      </w:r>
      <w:r>
        <w:rPr>
          <w:rFonts w:ascii="宋体" w:hAnsi="宋体" w:cs="宋体" w:eastAsia="宋体" w:hint="default"/>
        </w:rPr>
        <w:t>2</w:t>
      </w:r>
      <w:r>
        <w:rPr/>
        <w:t>、企业的业务性质和主要经营活动。</w:t>
      </w:r>
    </w:p>
    <w:p>
      <w:pPr>
        <w:pStyle w:val="BodyText"/>
        <w:spacing w:line="408" w:lineRule="auto"/>
        <w:ind w:right="1126" w:firstLine="420"/>
        <w:jc w:val="both"/>
      </w:pPr>
      <w:r>
        <w:rPr>
          <w:spacing w:val="-2"/>
        </w:rPr>
        <w:t>本公司属物联网行业。公司以“成为以传感器为核心的物联网解决方案引领者”为产业愿景，主要是</w:t>
      </w:r>
      <w:r>
        <w:rPr>
          <w:w w:val="100"/>
        </w:rPr>
        <w:t> </w:t>
      </w:r>
      <w:r>
        <w:rPr>
          <w:spacing w:val="-2"/>
        </w:rPr>
        <w:t>以传感器为核心，将传感技术、智能终端、通讯技术、云计算和地理信息等物联网技术紧密结合，形成了</w:t>
      </w:r>
      <w:r>
        <w:rPr>
          <w:spacing w:val="-43"/>
        </w:rPr>
        <w:t> </w:t>
      </w:r>
      <w:r>
        <w:rPr>
          <w:spacing w:val="-43"/>
        </w:rPr>
      </w:r>
      <w:r>
        <w:rPr>
          <w:spacing w:val="-2"/>
        </w:rPr>
        <w:t>“传感器</w:t>
      </w:r>
      <w:r>
        <w:rPr>
          <w:rFonts w:ascii="宋体" w:hAnsi="宋体" w:cs="宋体" w:eastAsia="宋体" w:hint="default"/>
          <w:spacing w:val="-2"/>
        </w:rPr>
        <w:t>+</w:t>
      </w:r>
      <w:r>
        <w:rPr>
          <w:spacing w:val="-2"/>
        </w:rPr>
        <w:t>监测终端</w:t>
      </w:r>
      <w:r>
        <w:rPr>
          <w:rFonts w:ascii="宋体" w:hAnsi="宋体" w:cs="宋体" w:eastAsia="宋体" w:hint="default"/>
          <w:spacing w:val="-2"/>
        </w:rPr>
        <w:t>+</w:t>
      </w:r>
      <w:r>
        <w:rPr>
          <w:spacing w:val="-2"/>
        </w:rPr>
        <w:t>数据采集</w:t>
      </w:r>
      <w:r>
        <w:rPr>
          <w:rFonts w:ascii="宋体" w:hAnsi="宋体" w:cs="宋体" w:eastAsia="宋体" w:hint="default"/>
          <w:spacing w:val="-2"/>
        </w:rPr>
        <w:t>+</w:t>
      </w:r>
      <w:r>
        <w:rPr>
          <w:spacing w:val="-2"/>
        </w:rPr>
        <w:t>空间信息技术</w:t>
      </w:r>
      <w:r>
        <w:rPr>
          <w:rFonts w:ascii="宋体" w:hAnsi="宋体" w:cs="宋体" w:eastAsia="宋体" w:hint="default"/>
          <w:spacing w:val="-2"/>
        </w:rPr>
        <w:t>+</w:t>
      </w:r>
      <w:r>
        <w:rPr>
          <w:spacing w:val="-2"/>
        </w:rPr>
        <w:t>云应用”的系统解决方案，业务应用覆盖物联网综合解决方</w:t>
      </w:r>
      <w:r>
        <w:rPr>
          <w:spacing w:val="-42"/>
        </w:rPr>
        <w:t> </w:t>
      </w:r>
      <w:r>
        <w:rPr>
          <w:spacing w:val="-42"/>
        </w:rPr>
      </w:r>
      <w:r>
        <w:rPr/>
        <w:t>案及居家智能与健康等行业领域。</w:t>
      </w:r>
    </w:p>
    <w:p>
      <w:pPr>
        <w:pStyle w:val="BodyText"/>
        <w:spacing w:line="408" w:lineRule="auto"/>
        <w:ind w:left="573" w:right="2348"/>
        <w:jc w:val="left"/>
      </w:pPr>
      <w:r>
        <w:rPr>
          <w:rFonts w:ascii="宋体" w:hAnsi="宋体" w:cs="宋体" w:eastAsia="宋体" w:hint="default"/>
        </w:rPr>
        <w:t>3</w:t>
      </w:r>
      <w:r>
        <w:rPr/>
        <w:t>、财务报告批准报出者和财务报告批准报出日。</w:t>
      </w:r>
      <w:r>
        <w:rPr>
          <w:w w:val="100"/>
        </w:rPr>
        <w:t> </w:t>
      </w:r>
      <w:r>
        <w:rPr/>
        <w:t>本财务报告业经本公司董事会于</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30</w:t>
      </w:r>
      <w:r>
        <w:rPr/>
        <w:t>日决议批准报出。</w:t>
      </w:r>
      <w:r>
        <w:rPr>
          <w:w w:val="100"/>
        </w:rPr>
        <w:t> </w:t>
      </w:r>
      <w:r>
        <w:rPr>
          <w:spacing w:val="-2"/>
        </w:rPr>
        <w:t>关于合并范围子公司详细信息，请参阅本附注九“在其他主体中的权益”披露。</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0"/>
        <w:jc w:val="left"/>
      </w:pPr>
      <w:r>
        <w:rPr/>
        <w:t>本公司财务报表以持续经营为基础，根据实际发生的交易和事项，按照财政部颁布的《企业会计准则</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rFonts w:ascii="宋体" w:hAnsi="宋体" w:cs="宋体" w:eastAsia="宋体" w:hint="default"/>
        </w:rPr>
        <w:t>-</w:t>
      </w:r>
      <w:r>
        <w:rPr/>
        <w:t>基本准则》和具体会计准则等规定（以下合称“企业会计准则”），并基于以下所述重要会计政策、会</w:t>
      </w:r>
      <w:r>
        <w:rPr>
          <w:spacing w:val="-22"/>
        </w:rPr>
        <w:t> </w:t>
      </w:r>
      <w:r>
        <w:rPr>
          <w:spacing w:val="-22"/>
        </w:rPr>
      </w:r>
      <w:r>
        <w:rPr/>
        <w:t>计估计进行编制。</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3" w:right="0"/>
        <w:jc w:val="left"/>
      </w:pPr>
      <w:r>
        <w:rPr/>
        <w:t>本公司至本报告期末至少</w:t>
      </w:r>
      <w:r>
        <w:rPr>
          <w:rFonts w:ascii="宋体" w:hAnsi="宋体" w:cs="宋体" w:eastAsia="宋体" w:hint="default"/>
        </w:rPr>
        <w:t>12</w:t>
      </w:r>
      <w:r>
        <w:rPr/>
        <w:t>个月内具备持续经营能力，无影响持续经营能力的重大事项。</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
        <w:rPr>
          <w:rFonts w:ascii="宋体" w:hAnsi="宋体" w:cs="宋体" w:eastAsia="宋体" w:hint="default"/>
          <w:sz w:val="13"/>
          <w:szCs w:val="13"/>
        </w:rPr>
      </w:pPr>
    </w:p>
    <w:p>
      <w:pPr>
        <w:pStyle w:val="BodyText"/>
        <w:spacing w:line="408" w:lineRule="auto" w:before="0"/>
        <w:ind w:right="1126" w:firstLine="420"/>
        <w:jc w:val="both"/>
      </w:pPr>
      <w:r>
        <w:rPr>
          <w:spacing w:val="-2"/>
        </w:rPr>
        <w:t>本公司从事传感器、物联网综合解决方案及居家智能和健康等业务。公司根据实际生产经营特点，依</w:t>
      </w:r>
      <w:r>
        <w:rPr>
          <w:w w:val="100"/>
        </w:rPr>
        <w:t> </w:t>
      </w:r>
      <w:r>
        <w:rPr/>
        <w:t>据相关企业会计准则的规定，对收入确认等交易和事项制定了若干项具体会计政策和会计估计。</w:t>
      </w:r>
    </w:p>
    <w:p>
      <w:pPr>
        <w:spacing w:after="0" w:line="408"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spacing w:val="-2"/>
        </w:rPr>
        <w:t>本公司编制的财务报表符合《企业会计准则》的要求，真实、完整地反映了本公司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w:t>
      </w:r>
      <w:r>
        <w:rPr>
          <w:w w:val="100"/>
        </w:rPr>
        <w:t> </w:t>
      </w:r>
      <w:r>
        <w:rPr/>
        <w:t>财务状况、</w:t>
      </w:r>
      <w:r>
        <w:rPr>
          <w:rFonts w:ascii="宋体" w:hAnsi="宋体" w:cs="宋体" w:eastAsia="宋体" w:hint="default"/>
        </w:rPr>
        <w:t>2019</w:t>
      </w:r>
      <w:r>
        <w:rPr/>
        <w:t>年度的经营成果和现金流量等相关信息。</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0"/>
        <w:jc w:val="left"/>
      </w:pPr>
      <w:r>
        <w:rPr/>
        <w:t>本公司会计年度为公历年度，即每年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30"/>
          <w:szCs w:val="30"/>
        </w:rPr>
      </w:pPr>
    </w:p>
    <w:p>
      <w:pPr>
        <w:pStyle w:val="BodyText"/>
        <w:spacing w:line="240" w:lineRule="auto" w:before="0"/>
        <w:ind w:left="573" w:right="0"/>
        <w:jc w:val="left"/>
      </w:pPr>
      <w:r>
        <w:rPr/>
        <w:t>本公司以一年</w:t>
      </w:r>
      <w:r>
        <w:rPr>
          <w:rFonts w:ascii="宋体" w:hAnsi="宋体" w:cs="宋体" w:eastAsia="宋体" w:hint="default"/>
        </w:rPr>
        <w:t>12</w:t>
      </w:r>
      <w:r>
        <w:rPr/>
        <w:t>个月作为正常营业周期，并以营业周期作为资产和负债的流动性划分标准。</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0" w:firstLine="420"/>
        <w:jc w:val="left"/>
      </w:pPr>
      <w:r>
        <w:rPr>
          <w:spacing w:val="-2"/>
        </w:rPr>
        <w:t>本公司以人民币为记账本位币。本公司的子公司汉威香港以美元为记账本位币；子公司艾森斯波兰以</w:t>
      </w:r>
      <w:r>
        <w:rPr>
          <w:w w:val="100"/>
        </w:rPr>
        <w:t> </w:t>
      </w:r>
      <w:r>
        <w:rPr/>
        <w:t>兹罗提为记账本位币；子公司环球传感以英镑为记账本位币。</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0"/>
        <w:jc w:val="left"/>
      </w:pPr>
      <w:r>
        <w:rPr>
          <w:rFonts w:ascii="宋体" w:hAnsi="宋体" w:cs="宋体" w:eastAsia="宋体" w:hint="default"/>
        </w:rPr>
        <w:t>1.</w:t>
      </w:r>
      <w:r>
        <w:rPr/>
        <w:t>同一控制下的企业合并</w:t>
      </w:r>
      <w:r>
        <w:rPr>
          <w:w w:val="100"/>
        </w:rPr>
        <w:t> </w:t>
      </w:r>
      <w:r>
        <w:rPr>
          <w:spacing w:val="-2"/>
        </w:rPr>
        <w:t>同一控制下企业合并形成的长期股权投资合并方以支付现金、转让非现金资产或承担债务方式作为合</w:t>
      </w:r>
    </w:p>
    <w:p>
      <w:pPr>
        <w:pStyle w:val="BodyText"/>
        <w:spacing w:line="408" w:lineRule="auto"/>
        <w:ind w:right="1126"/>
        <w:jc w:val="both"/>
      </w:pPr>
      <w:r>
        <w:rPr>
          <w:spacing w:val="-2"/>
        </w:rPr>
        <w:t>并对价的，本公司在合并日按照被合并方所有者权益在最终控制方合并财务报表中的账面价值的份额作为</w:t>
      </w:r>
      <w:r>
        <w:rPr>
          <w:spacing w:val="-43"/>
        </w:rPr>
        <w:t> </w:t>
      </w:r>
      <w:r>
        <w:rPr>
          <w:spacing w:val="-43"/>
        </w:rPr>
      </w:r>
      <w:r>
        <w:rPr>
          <w:spacing w:val="-2"/>
        </w:rPr>
        <w:t>长期股权投资的初始投资成本。合并方以发行权益性工具作为合并对价的，按发行股份的面值总额作为股</w:t>
      </w:r>
      <w:r>
        <w:rPr>
          <w:spacing w:val="-42"/>
        </w:rPr>
        <w:t> </w:t>
      </w:r>
      <w:r>
        <w:rPr>
          <w:spacing w:val="-42"/>
        </w:rPr>
      </w:r>
      <w:r>
        <w:rPr>
          <w:spacing w:val="-2"/>
        </w:rPr>
        <w:t>本。长期股权投资的初始投资成本与合并对价账面价值（或发行股份面值总额）的差额，应当调整资本公</w:t>
      </w:r>
      <w:r>
        <w:rPr>
          <w:spacing w:val="-47"/>
        </w:rPr>
        <w:t> </w:t>
      </w:r>
      <w:r>
        <w:rPr>
          <w:spacing w:val="-47"/>
        </w:rPr>
      </w:r>
      <w:r>
        <w:rPr/>
        <w:t>积；资本公积不足冲减的，调整留存收益。</w:t>
      </w:r>
    </w:p>
    <w:p>
      <w:pPr>
        <w:pStyle w:val="BodyText"/>
        <w:spacing w:line="408" w:lineRule="auto"/>
        <w:ind w:left="573" w:right="0"/>
        <w:jc w:val="left"/>
      </w:pPr>
      <w:r>
        <w:rPr>
          <w:rFonts w:ascii="宋体" w:hAnsi="宋体" w:cs="宋体" w:eastAsia="宋体" w:hint="default"/>
        </w:rPr>
        <w:t>2.</w:t>
      </w:r>
      <w:r>
        <w:rPr/>
        <w:t>非同一控制下的企业合并</w:t>
      </w:r>
      <w:r>
        <w:rPr>
          <w:w w:val="100"/>
        </w:rPr>
        <w:t> </w:t>
      </w:r>
      <w:r>
        <w:rPr>
          <w:spacing w:val="2"/>
        </w:rPr>
        <w:t>对于非同一控制下的企业合并，合并成本为购买方在购买日为取得对被购买方的控制权而付出的资</w:t>
      </w:r>
    </w:p>
    <w:p>
      <w:pPr>
        <w:pStyle w:val="BodyText"/>
        <w:spacing w:line="408" w:lineRule="auto"/>
        <w:ind w:right="1126"/>
        <w:jc w:val="both"/>
      </w:pPr>
      <w:r>
        <w:rPr>
          <w:spacing w:val="-2"/>
        </w:rPr>
        <w:t>产、发生或承担的负债以及发行的权益性证券的公允价值之和。非同一控制下企业合并中所取得的被购买</w:t>
      </w:r>
      <w:r>
        <w:rPr>
          <w:spacing w:val="-44"/>
        </w:rPr>
        <w:t> </w:t>
      </w:r>
      <w:r>
        <w:rPr>
          <w:spacing w:val="-44"/>
        </w:rPr>
      </w:r>
      <w:r>
        <w:rPr>
          <w:spacing w:val="-2"/>
        </w:rPr>
        <w:t>方符合确认条件的可辨认资产、负债及或有负债，在购买日以公允价值计量。购买方对合并成本大于合并</w:t>
      </w:r>
      <w:r>
        <w:rPr>
          <w:spacing w:val="-44"/>
        </w:rPr>
        <w:t> </w:t>
      </w:r>
      <w:r>
        <w:rPr>
          <w:spacing w:val="-44"/>
        </w:rPr>
      </w:r>
      <w:r>
        <w:rPr>
          <w:spacing w:val="-2"/>
        </w:rPr>
        <w:t>中取得的被购买方可辨认净资产公允价值份额的差额，体现为商誉价值。购买方对合并成本小于合并中取</w:t>
      </w:r>
      <w:r>
        <w:rPr>
          <w:spacing w:val="-43"/>
        </w:rPr>
        <w:t> </w:t>
      </w:r>
      <w:r>
        <w:rPr>
          <w:spacing w:val="-43"/>
        </w:rPr>
      </w:r>
      <w:r>
        <w:rPr>
          <w:spacing w:val="-2"/>
        </w:rPr>
        <w:t>得的被购买方可辨认净资产公允价值份额的，经复核后合并成本仍小于合并中取得的被购买方可辨认净资</w:t>
      </w:r>
      <w:r>
        <w:rPr>
          <w:spacing w:val="-43"/>
        </w:rPr>
        <w:t> </w:t>
      </w:r>
      <w:r>
        <w:rPr>
          <w:spacing w:val="-43"/>
        </w:rPr>
      </w:r>
      <w:r>
        <w:rPr/>
        <w:t>产公允价值份额的差额，计入当期营业外收入。</w:t>
      </w:r>
    </w:p>
    <w:p>
      <w:pPr>
        <w:spacing w:after="0" w:line="408"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0"/>
        <w:jc w:val="left"/>
      </w:pPr>
      <w:r>
        <w:rPr>
          <w:rFonts w:ascii="宋体" w:hAnsi="宋体" w:cs="宋体" w:eastAsia="宋体" w:hint="default"/>
        </w:rPr>
        <w:t>1.</w:t>
      </w:r>
      <w:r>
        <w:rPr/>
        <w:t>合并财务报表范围</w:t>
      </w:r>
      <w:r>
        <w:rPr>
          <w:w w:val="100"/>
        </w:rPr>
        <w:t> </w:t>
      </w:r>
      <w:r>
        <w:rPr>
          <w:spacing w:val="-2"/>
        </w:rPr>
        <w:t>本公司将全部子公司（包括本公司所控制的单独主体）纳入合并财务报表范围，包括被本公司控制的</w:t>
      </w:r>
    </w:p>
    <w:p>
      <w:pPr>
        <w:pStyle w:val="BodyText"/>
        <w:spacing w:line="408" w:lineRule="auto"/>
        <w:ind w:left="573" w:right="0" w:hanging="421"/>
        <w:jc w:val="left"/>
      </w:pPr>
      <w:r>
        <w:rPr/>
        <w:t>企业、被投资单位中可分割的部分以及结构化主体。</w:t>
      </w:r>
      <w:r>
        <w:rPr>
          <w:w w:val="100"/>
        </w:rPr>
        <w:t> </w:t>
      </w:r>
      <w:r>
        <w:rPr>
          <w:rFonts w:ascii="宋体" w:hAnsi="宋体" w:cs="宋体" w:eastAsia="宋体" w:hint="default"/>
        </w:rPr>
        <w:t>2.</w:t>
      </w:r>
      <w:r>
        <w:rPr/>
        <w:t>统一母子公司的会计政策、统一母子公司的资产负债表日及会计期间</w:t>
      </w:r>
      <w:r>
        <w:rPr>
          <w:w w:val="100"/>
        </w:rPr>
        <w:t> </w:t>
      </w:r>
      <w:r>
        <w:rPr>
          <w:spacing w:val="-2"/>
        </w:rPr>
        <w:t>子公司与本公司采用的会计政策或会计期间不一致的，在编制合并财务报表时，按照本公司的会计政</w:t>
      </w:r>
    </w:p>
    <w:p>
      <w:pPr>
        <w:pStyle w:val="BodyText"/>
        <w:spacing w:line="408" w:lineRule="auto"/>
        <w:ind w:left="573" w:right="4634" w:hanging="421"/>
        <w:jc w:val="left"/>
      </w:pPr>
      <w:r>
        <w:rPr>
          <w:spacing w:val="-2"/>
        </w:rPr>
        <w:t>策或会计期间对子公司财务报表进行必要的调整。</w:t>
      </w:r>
      <w:r>
        <w:rPr>
          <w:spacing w:val="-62"/>
        </w:rPr>
        <w:t> </w:t>
      </w:r>
      <w:r>
        <w:rPr>
          <w:spacing w:val="-62"/>
        </w:rPr>
      </w:r>
      <w:r>
        <w:rPr>
          <w:rFonts w:ascii="宋体" w:hAnsi="宋体" w:cs="宋体" w:eastAsia="宋体" w:hint="default"/>
        </w:rPr>
        <w:t>3.</w:t>
      </w:r>
      <w:r>
        <w:rPr/>
        <w:t>合并财务报表抵销事项</w:t>
      </w:r>
    </w:p>
    <w:p>
      <w:pPr>
        <w:pStyle w:val="BodyText"/>
        <w:spacing w:line="408" w:lineRule="auto"/>
        <w:ind w:right="1126" w:firstLine="420"/>
        <w:jc w:val="both"/>
      </w:pPr>
      <w:r>
        <w:rPr>
          <w:spacing w:val="-2"/>
        </w:rPr>
        <w:t>合并财务报表以本公司和子公司的财务报表为基础，已抵销了本公司与子公司、子公司相互之间发生</w:t>
      </w:r>
      <w:r>
        <w:rPr>
          <w:w w:val="100"/>
        </w:rPr>
        <w:t> </w:t>
      </w:r>
      <w:r>
        <w:rPr>
          <w:spacing w:val="-2"/>
        </w:rPr>
        <w:t>的内部交易。子公司所有者权益中不属于本公司的份额，作为少数股东权益，在合并资产负债表中股东权</w:t>
      </w:r>
      <w:r>
        <w:rPr>
          <w:spacing w:val="-44"/>
        </w:rPr>
        <w:t> </w:t>
      </w:r>
      <w:r>
        <w:rPr>
          <w:spacing w:val="-44"/>
        </w:rPr>
      </w:r>
      <w:r>
        <w:rPr>
          <w:spacing w:val="-2"/>
        </w:rPr>
        <w:t>益项目下以“少数股东权益”项目列示。子公司持有本公司的长期股权投资，视为本公司的库存股，作为</w:t>
      </w:r>
      <w:r>
        <w:rPr>
          <w:spacing w:val="-43"/>
        </w:rPr>
        <w:t> </w:t>
      </w:r>
      <w:r>
        <w:rPr>
          <w:spacing w:val="-43"/>
        </w:rPr>
      </w:r>
      <w:r>
        <w:rPr/>
        <w:t>股东权益的减项，在合并资产负债表中股东权益项目下以“减：库存股”项目列示。</w:t>
      </w:r>
    </w:p>
    <w:p>
      <w:pPr>
        <w:pStyle w:val="BodyText"/>
        <w:spacing w:line="408" w:lineRule="auto"/>
        <w:ind w:left="573" w:right="0"/>
        <w:jc w:val="left"/>
      </w:pPr>
      <w:r>
        <w:rPr>
          <w:rFonts w:ascii="宋体" w:hAnsi="宋体" w:cs="宋体" w:eastAsia="宋体" w:hint="default"/>
        </w:rPr>
        <w:t>4.</w:t>
      </w:r>
      <w:r>
        <w:rPr/>
        <w:t>合并取得子公司会计处理</w:t>
      </w:r>
      <w:r>
        <w:rPr>
          <w:w w:val="100"/>
        </w:rPr>
        <w:t> </w:t>
      </w:r>
      <w:r>
        <w:rPr>
          <w:spacing w:val="-2"/>
        </w:rPr>
        <w:t>对于同一控制下企业合并取得的子公司，视同该企业合并于自最终控制方开始实施控制时已经发生，</w:t>
      </w:r>
    </w:p>
    <w:p>
      <w:pPr>
        <w:pStyle w:val="BodyText"/>
        <w:spacing w:line="408" w:lineRule="auto"/>
        <w:ind w:right="1126"/>
        <w:jc w:val="both"/>
      </w:pPr>
      <w:r>
        <w:rPr>
          <w:spacing w:val="-2"/>
        </w:rPr>
        <w:t>从合并当期的期初起将其资产、负债、经营成果和现金流量纳入合并财务报表；对于非同一控制下企业合</w:t>
      </w:r>
      <w:r>
        <w:rPr>
          <w:spacing w:val="-43"/>
        </w:rPr>
        <w:t> </w:t>
      </w:r>
      <w:r>
        <w:rPr>
          <w:spacing w:val="-43"/>
        </w:rPr>
      </w:r>
      <w:r>
        <w:rPr>
          <w:spacing w:val="-2"/>
        </w:rPr>
        <w:t>并取得的子公司，在编制合并财务报表时，以购买日可辨认净资产公允价值为基础对其个别财务报表进行</w:t>
      </w:r>
      <w:r>
        <w:rPr>
          <w:spacing w:val="-44"/>
        </w:rPr>
        <w:t> </w:t>
      </w:r>
      <w:r>
        <w:rPr>
          <w:spacing w:val="-44"/>
        </w:rPr>
      </w:r>
      <w:r>
        <w:rPr/>
        <w:t>调整。</w:t>
      </w:r>
    </w:p>
    <w:p>
      <w:pPr>
        <w:pStyle w:val="BodyText"/>
        <w:spacing w:line="408" w:lineRule="auto"/>
        <w:ind w:left="573" w:right="0"/>
        <w:jc w:val="left"/>
      </w:pPr>
      <w:r>
        <w:rPr>
          <w:rFonts w:ascii="宋体" w:hAnsi="宋体" w:cs="宋体" w:eastAsia="宋体" w:hint="default"/>
        </w:rPr>
        <w:t>5.</w:t>
      </w:r>
      <w:r>
        <w:rPr/>
        <w:t>处置子公司的会计处理</w:t>
      </w:r>
      <w:r>
        <w:rPr>
          <w:w w:val="100"/>
        </w:rPr>
        <w:t> </w:t>
      </w:r>
      <w:r>
        <w:rPr>
          <w:spacing w:val="-2"/>
        </w:rPr>
        <w:t>在不丧失控制权的情况下部分处置对子公司的长期股权投资，在合并财务报表中，处置价款与处置长</w:t>
      </w:r>
    </w:p>
    <w:p>
      <w:pPr>
        <w:pStyle w:val="BodyText"/>
        <w:spacing w:line="240" w:lineRule="auto"/>
        <w:ind w:right="0"/>
        <w:jc w:val="left"/>
      </w:pPr>
      <w:r>
        <w:rPr>
          <w:spacing w:val="2"/>
        </w:rPr>
        <w:t>期股权投资相对应享有子公司自购买日或合并日开始持续计算的净资产份额之间的差额，调整资本公积</w:t>
      </w:r>
    </w:p>
    <w:p>
      <w:pPr>
        <w:spacing w:line="240" w:lineRule="auto" w:before="10"/>
        <w:rPr>
          <w:rFonts w:ascii="宋体" w:hAnsi="宋体" w:cs="宋体" w:eastAsia="宋体" w:hint="default"/>
          <w:sz w:val="14"/>
          <w:szCs w:val="14"/>
        </w:rPr>
      </w:pPr>
    </w:p>
    <w:p>
      <w:pPr>
        <w:pStyle w:val="BodyText"/>
        <w:spacing w:line="408" w:lineRule="auto" w:before="0"/>
        <w:ind w:left="573" w:right="0" w:hanging="421"/>
        <w:jc w:val="left"/>
      </w:pPr>
      <w:r>
        <w:rPr/>
        <w:t>（资本溢价或股本溢价），资本公积不足冲减的，调整留存收益。</w:t>
      </w:r>
      <w:r>
        <w:rPr>
          <w:w w:val="100"/>
        </w:rPr>
        <w:t> </w:t>
      </w:r>
      <w:r>
        <w:rPr>
          <w:spacing w:val="-2"/>
        </w:rPr>
        <w:t>因处置部分股权投资等原因丧失了对被投资方的控制权的，在编制合并财务报表时，对于剩余股权，</w:t>
      </w:r>
    </w:p>
    <w:p>
      <w:pPr>
        <w:pStyle w:val="BodyText"/>
        <w:spacing w:line="408" w:lineRule="auto"/>
        <w:ind w:right="1126"/>
        <w:jc w:val="both"/>
      </w:pPr>
      <w:r>
        <w:rPr>
          <w:spacing w:val="-2"/>
        </w:rPr>
        <w:t>按照其在丧失控制权日的公允价值进行重新计量。处置股权取得的对价与剩余股权公允价值之和，减去按</w:t>
      </w:r>
      <w:r>
        <w:rPr>
          <w:spacing w:val="-43"/>
        </w:rPr>
        <w:t> </w:t>
      </w:r>
      <w:r>
        <w:rPr>
          <w:spacing w:val="-43"/>
        </w:rPr>
      </w:r>
      <w:r>
        <w:rPr>
          <w:spacing w:val="-2"/>
        </w:rPr>
        <w:t>原持股比例计算应享有原有子公司自购买日或合并日开始持续计算的净资产的份额之间的差额，计入丧失</w:t>
      </w:r>
      <w:r>
        <w:rPr>
          <w:spacing w:val="-43"/>
        </w:rPr>
        <w:t> </w:t>
      </w:r>
      <w:r>
        <w:rPr>
          <w:spacing w:val="-43"/>
        </w:rPr>
      </w:r>
      <w:r>
        <w:rPr>
          <w:spacing w:val="-2"/>
        </w:rPr>
        <w:t>控制权当期的投资收益，同时冲减商誉。与原有子公司股权投资相关的其他综合收益等，在丧失控制权时</w:t>
      </w:r>
      <w:r>
        <w:rPr>
          <w:spacing w:val="-43"/>
        </w:rPr>
        <w:t> </w:t>
      </w:r>
      <w:r>
        <w:rPr>
          <w:spacing w:val="-43"/>
        </w:rPr>
      </w:r>
      <w:r>
        <w:rPr/>
        <w:t>转为当期投资收益。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0"/>
        <w:jc w:val="left"/>
      </w:pPr>
      <w:r>
        <w:rPr>
          <w:rFonts w:ascii="宋体" w:hAnsi="宋体" w:cs="宋体" w:eastAsia="宋体" w:hint="default"/>
        </w:rPr>
        <w:t>1.</w:t>
      </w:r>
      <w:r>
        <w:rPr/>
        <w:t>合营安排的分类</w:t>
      </w:r>
    </w:p>
    <w:p>
      <w:pPr>
        <w:spacing w:after="0" w:line="240" w:lineRule="auto"/>
        <w:jc w:val="left"/>
        <w:sectPr>
          <w:footerReference w:type="default" r:id="rId19"/>
          <w:pgSz w:w="11910" w:h="16840"/>
          <w:pgMar w:footer="980" w:header="745" w:top="1060" w:bottom="1160" w:left="980" w:right="0"/>
          <w:pgNumType w:start="110"/>
        </w:sectPr>
      </w:pPr>
    </w:p>
    <w:p>
      <w:pPr>
        <w:spacing w:line="240" w:lineRule="auto" w:before="0"/>
        <w:rPr>
          <w:rFonts w:ascii="宋体" w:hAnsi="宋体" w:cs="宋体" w:eastAsia="宋体" w:hint="default"/>
          <w:sz w:val="20"/>
          <w:szCs w:val="20"/>
        </w:rPr>
      </w:pPr>
    </w:p>
    <w:p>
      <w:pPr>
        <w:pStyle w:val="BodyText"/>
        <w:spacing w:line="408" w:lineRule="auto" w:before="175"/>
        <w:ind w:right="1104" w:firstLine="420"/>
        <w:jc w:val="both"/>
      </w:pPr>
      <w:r>
        <w:rPr>
          <w:spacing w:val="-2"/>
        </w:rPr>
        <w:t>合营安排分为共同经营和合营企业。未通过单独主体达成的合营安排，划分为共同经营。单独主体，</w:t>
      </w:r>
      <w:r>
        <w:rPr>
          <w:w w:val="100"/>
        </w:rPr>
        <w:t> </w:t>
      </w:r>
      <w:r>
        <w:rPr>
          <w:spacing w:val="-2"/>
        </w:rPr>
        <w:t>是指具有单独可辨认的财务架构的主体，包括单独的法人主体和不具备法人主体资格但法律认可的主体。</w:t>
      </w:r>
      <w:r>
        <w:rPr>
          <w:spacing w:val="-21"/>
        </w:rPr>
        <w:t> </w:t>
      </w:r>
      <w:r>
        <w:rPr>
          <w:spacing w:val="-21"/>
        </w:rPr>
      </w:r>
      <w:r>
        <w:rPr>
          <w:spacing w:val="-2"/>
        </w:rPr>
        <w:t>通过单独主体达成的合营安排，通常划分为合营企业。相关事实和情况变化导致合营方在合营安排中享有</w:t>
      </w:r>
      <w:r>
        <w:rPr>
          <w:spacing w:val="-43"/>
        </w:rPr>
        <w:t> </w:t>
      </w:r>
      <w:r>
        <w:rPr>
          <w:spacing w:val="-43"/>
        </w:rPr>
      </w:r>
      <w:r>
        <w:rPr/>
        <w:t>的权利和承担的义务发生变化的，合营方对合营安排的分类进行重新评估。</w:t>
      </w:r>
    </w:p>
    <w:p>
      <w:pPr>
        <w:pStyle w:val="BodyText"/>
        <w:spacing w:line="408" w:lineRule="auto"/>
        <w:ind w:left="573" w:right="0"/>
        <w:jc w:val="left"/>
      </w:pPr>
      <w:r>
        <w:rPr>
          <w:rFonts w:ascii="宋体" w:hAnsi="宋体" w:cs="宋体" w:eastAsia="宋体" w:hint="default"/>
        </w:rPr>
        <w:t>2.</w:t>
      </w:r>
      <w:r>
        <w:rPr/>
        <w:t>共同经营的会计处理</w:t>
      </w:r>
      <w:r>
        <w:rPr>
          <w:w w:val="100"/>
        </w:rPr>
        <w:t> </w:t>
      </w:r>
      <w:r>
        <w:rPr>
          <w:spacing w:val="-2"/>
        </w:rPr>
        <w:t>本公司为共同经营参与方，确认与共同经营中利益份额相关的下列项目，并按照相关企业会计准则的</w:t>
      </w:r>
    </w:p>
    <w:p>
      <w:pPr>
        <w:pStyle w:val="BodyText"/>
        <w:spacing w:line="408" w:lineRule="auto"/>
        <w:ind w:right="1126"/>
        <w:jc w:val="both"/>
      </w:pPr>
      <w:r>
        <w:rPr>
          <w:spacing w:val="-2"/>
        </w:rPr>
        <w:t>规定进行会计处理：确认单独所持有的资产或负债，以及按份额确认共同持有的资产或负债；确认出售享</w:t>
      </w:r>
      <w:r>
        <w:rPr>
          <w:spacing w:val="-44"/>
        </w:rPr>
        <w:t> </w:t>
      </w:r>
      <w:r>
        <w:rPr>
          <w:spacing w:val="-44"/>
        </w:rPr>
      </w:r>
      <w:r>
        <w:rPr>
          <w:spacing w:val="-2"/>
        </w:rPr>
        <w:t>有的共同经营产出份额所产生的收入；按份额确认共同经营因出售产出所产生的收入；确认单独所发生的</w:t>
      </w:r>
      <w:r>
        <w:rPr>
          <w:spacing w:val="-43"/>
        </w:rPr>
        <w:t> </w:t>
      </w:r>
      <w:r>
        <w:rPr>
          <w:spacing w:val="-43"/>
        </w:rPr>
      </w:r>
      <w:r>
        <w:rPr/>
        <w:t>费用，以及按份额确认共同经营发生的费用。</w:t>
      </w:r>
    </w:p>
    <w:p>
      <w:pPr>
        <w:pStyle w:val="BodyText"/>
        <w:spacing w:line="408" w:lineRule="auto"/>
        <w:ind w:right="1107" w:firstLine="420"/>
        <w:jc w:val="both"/>
      </w:pPr>
      <w:r>
        <w:rPr>
          <w:spacing w:val="-2"/>
        </w:rPr>
        <w:t>本公司为对共同经营不享有共同控制的参与方，如果享有该共同经营相关资产且承担该共同经营相关</w:t>
      </w:r>
      <w:r>
        <w:rPr>
          <w:w w:val="100"/>
        </w:rPr>
        <w:t> </w:t>
      </w:r>
      <w:r>
        <w:rPr>
          <w:spacing w:val="-2"/>
        </w:rPr>
        <w:t>负债，则参照共同经营参与方的规定进行会计处理；否则，按照相关企业会计准则的规定进行会计处理。</w:t>
      </w:r>
    </w:p>
    <w:p>
      <w:pPr>
        <w:pStyle w:val="BodyText"/>
        <w:spacing w:line="408" w:lineRule="auto"/>
        <w:ind w:left="573" w:right="0"/>
        <w:jc w:val="left"/>
      </w:pPr>
      <w:r>
        <w:rPr>
          <w:rFonts w:ascii="宋体" w:hAnsi="宋体" w:cs="宋体" w:eastAsia="宋体" w:hint="default"/>
        </w:rPr>
        <w:t>3.</w:t>
      </w:r>
      <w:r>
        <w:rPr/>
        <w:t>合营企业的会计处理</w:t>
      </w:r>
      <w:r>
        <w:rPr>
          <w:spacing w:val="-3"/>
          <w:w w:val="100"/>
        </w:rPr>
        <w:t> </w:t>
      </w:r>
      <w:r>
        <w:rPr/>
        <w:t>本公司为合营企业合营方应当按照《企业会计准则第</w:t>
      </w:r>
      <w:r>
        <w:rPr>
          <w:rFonts w:ascii="宋体" w:hAnsi="宋体" w:cs="宋体" w:eastAsia="宋体" w:hint="default"/>
        </w:rPr>
        <w:t>2</w:t>
      </w:r>
      <w:r>
        <w:rPr/>
        <w:t>号—长期股权投资》的规定对合营企业的投资</w:t>
      </w:r>
    </w:p>
    <w:p>
      <w:pPr>
        <w:pStyle w:val="BodyText"/>
        <w:spacing w:line="240" w:lineRule="auto"/>
        <w:ind w:right="0"/>
        <w:jc w:val="both"/>
      </w:pPr>
      <w:r>
        <w:rPr/>
        <w:t>进行会计处理，本公司为非合营方根据对该合营企业的影响程度进行会计处理。</w:t>
      </w:r>
    </w:p>
    <w:p>
      <w:pPr>
        <w:spacing w:line="670" w:lineRule="atLeast" w:before="37"/>
        <w:ind w:left="573" w:right="0" w:hanging="421"/>
        <w:jc w:val="left"/>
        <w:rPr>
          <w:rFonts w:ascii="宋体" w:hAnsi="宋体" w:cs="宋体" w:eastAsia="宋体" w:hint="default"/>
          <w:sz w:val="21"/>
          <w:szCs w:val="21"/>
        </w:rPr>
      </w:pPr>
      <w:bookmarkStart w:name="8、现金及现金等价物的确定标准" w:id="176"/>
      <w:bookmarkEnd w:id="17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本公司在编制现金流量表时所确定的现金，是指本公司库存现金以及可以随时用于支付的存款。在编</w:t>
      </w:r>
    </w:p>
    <w:p>
      <w:pPr>
        <w:spacing w:line="240" w:lineRule="auto" w:before="8"/>
        <w:rPr>
          <w:rFonts w:ascii="宋体" w:hAnsi="宋体" w:cs="宋体" w:eastAsia="宋体" w:hint="default"/>
          <w:sz w:val="14"/>
          <w:szCs w:val="14"/>
        </w:rPr>
      </w:pPr>
    </w:p>
    <w:p>
      <w:pPr>
        <w:pStyle w:val="BodyText"/>
        <w:spacing w:line="408" w:lineRule="auto" w:before="0"/>
        <w:ind w:right="1129"/>
        <w:jc w:val="both"/>
      </w:pPr>
      <w:r>
        <w:rPr>
          <w:spacing w:val="-2"/>
        </w:rPr>
        <w:t>制现金流量表时所确定的现金等价物，是指持有的期限短、流动性强、易于转换为已知金额现金、价值变</w:t>
      </w:r>
      <w:r>
        <w:rPr>
          <w:spacing w:val="-47"/>
        </w:rPr>
        <w:t> </w:t>
      </w:r>
      <w:r>
        <w:rPr>
          <w:spacing w:val="-47"/>
        </w:rPr>
      </w:r>
      <w:r>
        <w:rPr/>
        <w:t>动风险很小的投资。</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0"/>
        <w:jc w:val="left"/>
      </w:pPr>
      <w:r>
        <w:rPr>
          <w:rFonts w:ascii="宋体" w:hAnsi="宋体" w:cs="宋体" w:eastAsia="宋体" w:hint="default"/>
        </w:rPr>
        <w:t>1.</w:t>
      </w:r>
      <w:r>
        <w:rPr/>
        <w:t>外币业务折算</w:t>
      </w:r>
      <w:r>
        <w:rPr>
          <w:spacing w:val="-103"/>
        </w:rPr>
        <w:t> </w:t>
      </w:r>
      <w:r>
        <w:rPr>
          <w:spacing w:val="-103"/>
        </w:rPr>
      </w:r>
      <w:r>
        <w:rPr>
          <w:spacing w:val="-2"/>
        </w:rPr>
        <w:t>本公司对发生的外币交易，采用与交易发生日即期汇率折合本位币入账。资产负债表日外币货币性项</w:t>
      </w:r>
    </w:p>
    <w:p>
      <w:pPr>
        <w:pStyle w:val="BodyText"/>
        <w:spacing w:line="408" w:lineRule="auto"/>
        <w:ind w:right="1126"/>
        <w:jc w:val="both"/>
      </w:pPr>
      <w:r>
        <w:rPr>
          <w:spacing w:val="-2"/>
        </w:rPr>
        <w:t>目按资产负债表日即期汇率折算，因该日的即期汇率与初始确认时或者前一资产负债表日即期汇率不同而</w:t>
      </w:r>
      <w:r>
        <w:rPr>
          <w:spacing w:val="-43"/>
        </w:rPr>
        <w:t> </w:t>
      </w:r>
      <w:r>
        <w:rPr>
          <w:spacing w:val="-43"/>
        </w:rPr>
      </w:r>
      <w:r>
        <w:rPr>
          <w:spacing w:val="-2"/>
        </w:rPr>
        <w:t>产生的汇兑差额，除符合资本化条件的外币专门借款的汇兑差额在资本化期间予以资本化计入相关资产的</w:t>
      </w:r>
      <w:r>
        <w:rPr>
          <w:spacing w:val="-43"/>
        </w:rPr>
        <w:t> </w:t>
      </w:r>
      <w:r>
        <w:rPr>
          <w:spacing w:val="-43"/>
        </w:rPr>
      </w:r>
      <w:r>
        <w:rPr>
          <w:spacing w:val="-2"/>
        </w:rPr>
        <w:t>成本外，均计入当期损益。以历史成本计量的外币非货币性项目，仍采用交易发生日的即期汇率折算，不</w:t>
      </w:r>
      <w:r>
        <w:rPr>
          <w:spacing w:val="-47"/>
        </w:rPr>
        <w:t> </w:t>
      </w:r>
      <w:r>
        <w:rPr>
          <w:spacing w:val="-47"/>
        </w:rPr>
      </w:r>
      <w:r>
        <w:rPr>
          <w:spacing w:val="-2"/>
        </w:rPr>
        <w:t>改变其记账本位币金额。以公允价值计量的外币非货币性项目，采用公允价值确定日的即期汇率折算，折</w:t>
      </w:r>
      <w:r>
        <w:rPr>
          <w:spacing w:val="-42"/>
        </w:rPr>
        <w:t> </w:t>
      </w:r>
      <w:r>
        <w:rPr>
          <w:spacing w:val="-42"/>
        </w:rPr>
      </w:r>
      <w:r>
        <w:rPr>
          <w:spacing w:val="-2"/>
        </w:rPr>
        <w:t>算后的记账本位币金额与原记账本位币金额的差额，作为公允价值变动</w:t>
      </w:r>
      <w:r>
        <w:rPr>
          <w:rFonts w:ascii="宋体" w:hAnsi="宋体" w:cs="宋体" w:eastAsia="宋体" w:hint="default"/>
          <w:spacing w:val="-2"/>
        </w:rPr>
        <w:t>(</w:t>
      </w:r>
      <w:r>
        <w:rPr>
          <w:spacing w:val="-2"/>
        </w:rPr>
        <w:t>含汇率变动</w:t>
      </w:r>
      <w:r>
        <w:rPr>
          <w:rFonts w:ascii="宋体" w:hAnsi="宋体" w:cs="宋体" w:eastAsia="宋体" w:hint="default"/>
          <w:spacing w:val="-2"/>
        </w:rPr>
        <w:t>)</w:t>
      </w:r>
      <w:r>
        <w:rPr>
          <w:spacing w:val="-2"/>
        </w:rPr>
        <w:t>处理，计入当期损益</w:t>
      </w:r>
      <w:r>
        <w:rPr>
          <w:spacing w:val="-46"/>
        </w:rPr>
        <w:t> </w:t>
      </w:r>
      <w:r>
        <w:rPr>
          <w:spacing w:val="-46"/>
        </w:rPr>
      </w:r>
      <w:r>
        <w:rPr/>
        <w:t>或确认为其他综合收益。</w:t>
      </w:r>
    </w:p>
    <w:p>
      <w:pPr>
        <w:pStyle w:val="BodyText"/>
        <w:spacing w:line="240" w:lineRule="auto"/>
        <w:ind w:left="573" w:right="0"/>
        <w:jc w:val="left"/>
      </w:pPr>
      <w:r>
        <w:rPr>
          <w:rFonts w:ascii="宋体" w:hAnsi="宋体" w:cs="宋体" w:eastAsia="宋体" w:hint="default"/>
        </w:rPr>
        <w:t>2.</w:t>
      </w:r>
      <w:r>
        <w:rPr/>
        <w:t>外币财务报表折算</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05" w:firstLine="420"/>
        <w:jc w:val="both"/>
      </w:pPr>
      <w:r>
        <w:rPr>
          <w:spacing w:val="-2"/>
        </w:rPr>
        <w:t>本公司的子公司、合营企业、联营企业等，若采用与本公司不同的记账本位币，需对其外币财务报表</w:t>
      </w:r>
      <w:r>
        <w:rPr>
          <w:w w:val="100"/>
        </w:rPr>
        <w:t> </w:t>
      </w:r>
      <w:r>
        <w:rPr>
          <w:spacing w:val="-2"/>
        </w:rPr>
        <w:t>折算后，再进行会计核算及合并财务报表的编报。资产负债表中的资产和负债项目，采用资产负债表日的</w:t>
      </w:r>
      <w:r>
        <w:rPr>
          <w:spacing w:val="-42"/>
        </w:rPr>
        <w:t> </w:t>
      </w:r>
      <w:r>
        <w:rPr>
          <w:spacing w:val="-42"/>
        </w:rPr>
      </w:r>
      <w:r>
        <w:rPr>
          <w:spacing w:val="-2"/>
        </w:rPr>
        <w:t>即期汇率折算，所有者权益项目除“未分配利润”项目外，其他项目采用发生时的即期汇率折算。利润表</w:t>
      </w:r>
      <w:r>
        <w:rPr>
          <w:spacing w:val="-44"/>
        </w:rPr>
        <w:t> </w:t>
      </w:r>
      <w:r>
        <w:rPr>
          <w:spacing w:val="-44"/>
        </w:rPr>
      </w:r>
      <w:r>
        <w:rPr>
          <w:spacing w:val="-2"/>
        </w:rPr>
        <w:t>中的收入和费用项目，采用交易发生日的即期汇率折算。折算产生的外币财务报表折算差额，在资产负债</w:t>
      </w:r>
      <w:r>
        <w:rPr>
          <w:spacing w:val="-45"/>
        </w:rPr>
        <w:t> </w:t>
      </w:r>
      <w:r>
        <w:rPr>
          <w:spacing w:val="-45"/>
        </w:rPr>
      </w:r>
      <w:r>
        <w:rPr>
          <w:spacing w:val="-2"/>
        </w:rPr>
        <w:t>表中所有者权益项目其他综合收益下列示。外币现金流量应当采用现金流量发生日的即期汇率。汇率变动</w:t>
      </w:r>
      <w:r>
        <w:rPr>
          <w:spacing w:val="-43"/>
        </w:rPr>
        <w:t> </w:t>
      </w:r>
      <w:r>
        <w:rPr>
          <w:spacing w:val="-43"/>
        </w:rPr>
      </w:r>
      <w:r>
        <w:rPr>
          <w:spacing w:val="-2"/>
        </w:rPr>
        <w:t>对现金的影响额，在现金流量表中单独列示。处置境外经营时，与该境外经营有关的外币报表折算差额，</w:t>
      </w:r>
      <w:r>
        <w:rPr>
          <w:spacing w:val="-21"/>
        </w:rPr>
        <w:t> </w:t>
      </w:r>
      <w:r>
        <w:rPr>
          <w:spacing w:val="-21"/>
        </w:rPr>
      </w:r>
      <w:r>
        <w:rPr/>
        <w:t>全部或按处置该境外经营的比例转入处置当期损益。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30"/>
          <w:szCs w:val="30"/>
        </w:rPr>
      </w:pPr>
    </w:p>
    <w:p>
      <w:pPr>
        <w:pStyle w:val="BodyText"/>
        <w:spacing w:line="408" w:lineRule="auto" w:before="0"/>
        <w:ind w:left="573" w:right="2348"/>
        <w:jc w:val="left"/>
      </w:pPr>
      <w:r>
        <w:rPr>
          <w:rFonts w:ascii="宋体" w:hAnsi="宋体" w:cs="宋体" w:eastAsia="宋体" w:hint="default"/>
        </w:rPr>
        <w:t>1.</w:t>
      </w:r>
      <w:r>
        <w:rPr/>
        <w:t>金融工具的分类及重分类</w:t>
      </w:r>
      <w:r>
        <w:rPr>
          <w:w w:val="100"/>
        </w:rPr>
        <w:t> </w:t>
      </w:r>
      <w:r>
        <w:rPr>
          <w:spacing w:val="-2"/>
        </w:rPr>
        <w:t>金融工具，是指形成一方的金融资产并形成其他方的金融负债或权益工具的合同。</w:t>
      </w:r>
    </w:p>
    <w:p>
      <w:pPr>
        <w:pStyle w:val="BodyText"/>
        <w:spacing w:line="408" w:lineRule="auto"/>
        <w:ind w:left="573" w:right="0"/>
        <w:jc w:val="left"/>
      </w:pPr>
      <w:r>
        <w:rPr/>
        <w:t>（</w:t>
      </w:r>
      <w:r>
        <w:rPr>
          <w:rFonts w:ascii="宋体" w:hAnsi="宋体" w:cs="宋体" w:eastAsia="宋体" w:hint="default"/>
        </w:rPr>
        <w:t>1</w:t>
      </w:r>
      <w:r>
        <w:rPr/>
        <w:t>）金融资产</w:t>
      </w:r>
      <w:r>
        <w:rPr>
          <w:w w:val="100"/>
        </w:rPr>
        <w:t> </w:t>
      </w:r>
      <w:r>
        <w:rPr>
          <w:spacing w:val="-2"/>
        </w:rPr>
        <w:t>本公司将同时符合下列条件的金融资产分类为以摊余成本计量的金融资产：①本公司管理金融资产的</w:t>
      </w:r>
    </w:p>
    <w:p>
      <w:pPr>
        <w:pStyle w:val="BodyText"/>
        <w:spacing w:line="408" w:lineRule="auto"/>
        <w:ind w:right="0"/>
        <w:jc w:val="left"/>
      </w:pPr>
      <w:r>
        <w:rPr>
          <w:spacing w:val="-2"/>
        </w:rPr>
        <w:t>业务模式是以收取合同现金流量为目标；②该金融资产的合同条款规定，在特定日期产生的现金流量仅为</w:t>
      </w:r>
      <w:r>
        <w:rPr>
          <w:spacing w:val="-43"/>
        </w:rPr>
        <w:t> </w:t>
      </w:r>
      <w:r>
        <w:rPr>
          <w:spacing w:val="-43"/>
        </w:rPr>
      </w:r>
      <w:r>
        <w:rPr/>
        <w:t>对本金和以未偿付本金金额为基础的利息的支付。</w:t>
      </w:r>
    </w:p>
    <w:p>
      <w:pPr>
        <w:pStyle w:val="BodyText"/>
        <w:spacing w:line="408" w:lineRule="auto"/>
        <w:ind w:right="1126" w:firstLine="420"/>
        <w:jc w:val="both"/>
      </w:pPr>
      <w:r>
        <w:rPr>
          <w:spacing w:val="2"/>
        </w:rPr>
        <w:t>本公司将同时符合下列条件的金融资产分类为以公允价值计量且其变动计入其他综合收益的金融资</w:t>
      </w:r>
      <w:r>
        <w:rPr>
          <w:w w:val="100"/>
        </w:rPr>
        <w:t> </w:t>
      </w:r>
      <w:r>
        <w:rPr>
          <w:spacing w:val="-2"/>
        </w:rPr>
        <w:t>产：①本公司管理金融资产的业务模式既以收取合同现金流量又以出售该金融资产为目标；②该金融资产</w:t>
      </w:r>
      <w:r>
        <w:rPr>
          <w:spacing w:val="-43"/>
        </w:rPr>
        <w:t> </w:t>
      </w:r>
      <w:r>
        <w:rPr>
          <w:spacing w:val="-43"/>
        </w:rPr>
      </w:r>
      <w:r>
        <w:rPr/>
        <w:t>的合同条款规定，在特定日期产生的现金流量，仅为对本金和以未偿付本金金额为基础的利息的支付。</w:t>
      </w:r>
    </w:p>
    <w:p>
      <w:pPr>
        <w:pStyle w:val="BodyText"/>
        <w:spacing w:line="408" w:lineRule="auto"/>
        <w:ind w:right="1126" w:firstLine="420"/>
        <w:jc w:val="both"/>
      </w:pPr>
      <w:r>
        <w:rPr>
          <w:spacing w:val="-2"/>
        </w:rPr>
        <w:t>对于非交易性权益工具投资，本公司可在初始确认时将其不可撤销地指定为以公允价值计量且其变动</w:t>
      </w:r>
      <w:r>
        <w:rPr>
          <w:w w:val="100"/>
        </w:rPr>
        <w:t> </w:t>
      </w:r>
      <w:r>
        <w:rPr>
          <w:spacing w:val="-2"/>
        </w:rPr>
        <w:t>计入其他综合收益的金融资产。该指定在单项投资的基础上作出，且相关投资从发行者的角度符合权益工</w:t>
      </w:r>
      <w:r>
        <w:rPr>
          <w:spacing w:val="-42"/>
        </w:rPr>
        <w:t> </w:t>
      </w:r>
      <w:r>
        <w:rPr>
          <w:spacing w:val="-42"/>
        </w:rPr>
      </w:r>
      <w:r>
        <w:rPr/>
        <w:t>具的定义。</w:t>
      </w:r>
    </w:p>
    <w:p>
      <w:pPr>
        <w:pStyle w:val="BodyText"/>
        <w:spacing w:line="408" w:lineRule="auto"/>
        <w:ind w:right="1126" w:firstLine="420"/>
        <w:jc w:val="both"/>
      </w:pPr>
      <w:r>
        <w:rPr>
          <w:spacing w:val="2"/>
        </w:rPr>
        <w:t>除分类为以摊余成本计量的金融资产和以公允价值计量且其变动计入其他综合收益的金融资产之外</w:t>
      </w:r>
      <w:r>
        <w:rPr>
          <w:w w:val="100"/>
        </w:rPr>
        <w:t> </w:t>
      </w:r>
      <w:r>
        <w:rPr>
          <w:spacing w:val="-2"/>
        </w:rPr>
        <w:t>的金融资产，本公司将其分类为以公允价值计量且其变动计入当期损益的金融资产。在初始确认时，如果</w:t>
      </w:r>
      <w:r>
        <w:rPr>
          <w:spacing w:val="-42"/>
        </w:rPr>
        <w:t> </w:t>
      </w:r>
      <w:r>
        <w:rPr>
          <w:spacing w:val="-42"/>
        </w:rPr>
      </w:r>
      <w:r>
        <w:rPr>
          <w:spacing w:val="-2"/>
        </w:rPr>
        <w:t>能消除或减少会计错配，本公司可以将金融资产不可撤销地指定为以公允价值计量且其变动计入当期损益</w:t>
      </w:r>
      <w:r>
        <w:rPr>
          <w:spacing w:val="-43"/>
        </w:rPr>
        <w:t> </w:t>
      </w:r>
      <w:r>
        <w:rPr>
          <w:spacing w:val="-43"/>
        </w:rPr>
      </w:r>
      <w:r>
        <w:rPr/>
        <w:t>的金融资产。</w:t>
      </w:r>
    </w:p>
    <w:p>
      <w:pPr>
        <w:pStyle w:val="BodyText"/>
        <w:spacing w:line="408" w:lineRule="auto"/>
        <w:ind w:right="1126" w:firstLine="420"/>
        <w:jc w:val="both"/>
      </w:pPr>
      <w:r>
        <w:rPr>
          <w:spacing w:val="-2"/>
        </w:rPr>
        <w:t>本公司改变管理金融资产的业务模式时，将对所有受影响的相关金融资产在业务模式发生变更后的首</w:t>
      </w:r>
      <w:r>
        <w:rPr>
          <w:w w:val="100"/>
        </w:rPr>
        <w:t> </w:t>
      </w:r>
      <w:r>
        <w:rPr>
          <w:spacing w:val="-2"/>
        </w:rPr>
        <w:t>个报告期间的第一天进行重分类，且自重分类日起采用未来适用法进行相关会计处理，不对以前已经确认</w:t>
      </w:r>
      <w:r>
        <w:rPr>
          <w:spacing w:val="-43"/>
        </w:rPr>
        <w:t> </w:t>
      </w:r>
      <w:r>
        <w:rPr>
          <w:spacing w:val="-43"/>
        </w:rPr>
      </w:r>
      <w:r>
        <w:rPr/>
        <w:t>的利得、损失（包括减值损失或利得）或利息进行追溯调整。</w:t>
      </w:r>
    </w:p>
    <w:p>
      <w:pPr>
        <w:pStyle w:val="BodyText"/>
        <w:spacing w:line="408" w:lineRule="auto"/>
        <w:ind w:left="573" w:right="0"/>
        <w:jc w:val="left"/>
      </w:pPr>
      <w:r>
        <w:rPr/>
        <w:t>（</w:t>
      </w:r>
      <w:r>
        <w:rPr>
          <w:rFonts w:ascii="宋体" w:hAnsi="宋体" w:cs="宋体" w:eastAsia="宋体" w:hint="default"/>
        </w:rPr>
        <w:t>2</w:t>
      </w:r>
      <w:r>
        <w:rPr/>
        <w:t>）金融负债</w:t>
      </w:r>
      <w:r>
        <w:rPr>
          <w:w w:val="100"/>
        </w:rPr>
        <w:t> </w:t>
      </w:r>
      <w:r>
        <w:rPr>
          <w:spacing w:val="-2"/>
        </w:rPr>
        <w:t>金融负债于初始确认时分类为：以公允价值计量且其变动计入当期损益的金融负债；金融资产转移不</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符合终止确认条件或继续涉入被转移金融资产所形成的金融负债；以摊余成本计量的金融负债。所有的金</w:t>
      </w:r>
      <w:r>
        <w:rPr>
          <w:spacing w:val="-42"/>
        </w:rPr>
        <w:t> </w:t>
      </w:r>
      <w:r>
        <w:rPr>
          <w:spacing w:val="-42"/>
        </w:rPr>
      </w:r>
      <w:r>
        <w:rPr/>
        <w:t>融负债不进行重分类。</w:t>
      </w:r>
    </w:p>
    <w:p>
      <w:pPr>
        <w:pStyle w:val="BodyText"/>
        <w:spacing w:line="408" w:lineRule="auto"/>
        <w:ind w:left="573" w:right="0"/>
        <w:jc w:val="left"/>
      </w:pPr>
      <w:r>
        <w:rPr>
          <w:rFonts w:ascii="宋体" w:hAnsi="宋体" w:cs="宋体" w:eastAsia="宋体" w:hint="default"/>
        </w:rPr>
        <w:t>2.</w:t>
      </w:r>
      <w:r>
        <w:rPr/>
        <w:t>金融工具的计量</w:t>
      </w:r>
      <w:r>
        <w:rPr>
          <w:w w:val="100"/>
        </w:rPr>
        <w:t> </w:t>
      </w:r>
      <w:r>
        <w:rPr>
          <w:spacing w:val="-2"/>
        </w:rPr>
        <w:t>本公司金融工具初始确认按照公允价值计量。对于以公允价值计量且其变动计入当期损益的金融资产</w:t>
      </w:r>
    </w:p>
    <w:p>
      <w:pPr>
        <w:pStyle w:val="BodyText"/>
        <w:spacing w:line="408" w:lineRule="auto"/>
        <w:ind w:right="1105"/>
        <w:jc w:val="both"/>
      </w:pPr>
      <w:r>
        <w:rPr>
          <w:spacing w:val="-2"/>
        </w:rPr>
        <w:t>和金融负债，相关交易费用直接计入当期损益；对于其他类别的金融资产或金融负债，相关交易费用计入</w:t>
      </w:r>
      <w:r>
        <w:rPr>
          <w:spacing w:val="-44"/>
        </w:rPr>
        <w:t> </w:t>
      </w:r>
      <w:r>
        <w:rPr>
          <w:spacing w:val="-44"/>
        </w:rPr>
      </w:r>
      <w:r>
        <w:rPr>
          <w:spacing w:val="-2"/>
        </w:rPr>
        <w:t>初始确认金额。因销售产品或提供劳务而产生的、未包含或不考虑重大融资成分的应收账款或应收票据，</w:t>
      </w:r>
      <w:r>
        <w:rPr>
          <w:spacing w:val="-21"/>
        </w:rPr>
        <w:t> </w:t>
      </w:r>
      <w:r>
        <w:rPr>
          <w:spacing w:val="-21"/>
        </w:rPr>
      </w:r>
      <w:r>
        <w:rPr/>
        <w:t>本公司按照预期有权收取的对价金额作为初始确认金额。金融工具的后续计量取决于其分类。</w:t>
      </w:r>
    </w:p>
    <w:p>
      <w:pPr>
        <w:pStyle w:val="BodyText"/>
        <w:spacing w:line="240" w:lineRule="auto"/>
        <w:ind w:left="573" w:right="0"/>
        <w:jc w:val="left"/>
      </w:pPr>
      <w:r>
        <w:rPr/>
        <w:t>（</w:t>
      </w:r>
      <w:r>
        <w:rPr>
          <w:rFonts w:ascii="宋体" w:hAnsi="宋体" w:cs="宋体" w:eastAsia="宋体" w:hint="default"/>
        </w:rPr>
        <w:t>1</w:t>
      </w:r>
      <w:r>
        <w:rPr/>
        <w:t>）金融资产</w:t>
      </w:r>
    </w:p>
    <w:p>
      <w:pPr>
        <w:spacing w:line="240" w:lineRule="auto" w:before="11"/>
        <w:rPr>
          <w:rFonts w:ascii="宋体" w:hAnsi="宋体" w:cs="宋体" w:eastAsia="宋体" w:hint="default"/>
          <w:sz w:val="14"/>
          <w:szCs w:val="14"/>
        </w:rPr>
      </w:pPr>
    </w:p>
    <w:p>
      <w:pPr>
        <w:pStyle w:val="BodyText"/>
        <w:spacing w:line="408" w:lineRule="auto" w:before="0"/>
        <w:ind w:right="1126" w:firstLine="420"/>
        <w:jc w:val="both"/>
      </w:pPr>
      <w:r>
        <w:rPr>
          <w:spacing w:val="-2"/>
        </w:rPr>
        <w:t>①以摊余成本计量的金融资产。初始确认后，对于该类金融资产采用实际利率法以摊余成本计量。以</w:t>
      </w:r>
      <w:r>
        <w:rPr>
          <w:w w:val="100"/>
        </w:rPr>
        <w:t> </w:t>
      </w:r>
      <w:r>
        <w:rPr>
          <w:spacing w:val="-2"/>
        </w:rPr>
        <w:t>摊余成本计量且不属于任何套期关系的金融资产所产生的利得或损失，在终止确认、重分类、按照实际利</w:t>
      </w:r>
      <w:r>
        <w:rPr>
          <w:spacing w:val="-42"/>
        </w:rPr>
        <w:t> </w:t>
      </w:r>
      <w:r>
        <w:rPr>
          <w:spacing w:val="-42"/>
        </w:rPr>
      </w:r>
      <w:r>
        <w:rPr/>
        <w:t>率法摊销或确认减值时，计入当期损益。</w:t>
      </w:r>
    </w:p>
    <w:p>
      <w:pPr>
        <w:pStyle w:val="BodyText"/>
        <w:spacing w:line="408" w:lineRule="auto"/>
        <w:ind w:right="1126" w:firstLine="420"/>
        <w:jc w:val="both"/>
      </w:pPr>
      <w:r>
        <w:rPr>
          <w:spacing w:val="-2"/>
        </w:rPr>
        <w:t>②以公允价值计量且其变动计入当期损益的金融资产。初始确认后，对于该类金融资产（除属于套期</w:t>
      </w:r>
      <w:r>
        <w:rPr>
          <w:w w:val="100"/>
        </w:rPr>
        <w:t> </w:t>
      </w:r>
      <w:r>
        <w:rPr>
          <w:spacing w:val="-2"/>
        </w:rPr>
        <w:t>关系的一部分金融资产外），以公允价值进行后续计量，产生的利得或损失（包括利息和股利收入）计入</w:t>
      </w:r>
      <w:r>
        <w:rPr>
          <w:spacing w:val="-43"/>
        </w:rPr>
        <w:t> </w:t>
      </w:r>
      <w:r>
        <w:rPr>
          <w:spacing w:val="-43"/>
        </w:rPr>
      </w:r>
      <w:r>
        <w:rPr/>
        <w:t>当期损益。</w:t>
      </w:r>
    </w:p>
    <w:p>
      <w:pPr>
        <w:pStyle w:val="BodyText"/>
        <w:spacing w:line="408" w:lineRule="auto"/>
        <w:ind w:right="1126" w:firstLine="420"/>
        <w:jc w:val="both"/>
      </w:pPr>
      <w:r>
        <w:rPr>
          <w:spacing w:val="-2"/>
        </w:rPr>
        <w:t>③以公允价值计量且其变动计入其他综合收益的债务工具投资。初始确认后，对于该类金融资产以公</w:t>
      </w:r>
      <w:r>
        <w:rPr>
          <w:w w:val="100"/>
        </w:rPr>
        <w:t> </w:t>
      </w:r>
      <w:r>
        <w:rPr>
          <w:spacing w:val="-2"/>
        </w:rPr>
        <w:t>允价值进行后续计量。采用实际利率法计算的利息、减值损失或利得及汇兑损益计入当期损益，其他利得</w:t>
      </w:r>
      <w:r>
        <w:rPr>
          <w:spacing w:val="-44"/>
        </w:rPr>
        <w:t> </w:t>
      </w:r>
      <w:r>
        <w:rPr>
          <w:spacing w:val="-44"/>
        </w:rPr>
      </w:r>
      <w:r>
        <w:rPr>
          <w:spacing w:val="-2"/>
        </w:rPr>
        <w:t>或损失均计入其他综合收益。终止确认时，将之前计入其他综合收益的累计利得或损失从其他综合收益中</w:t>
      </w:r>
      <w:r>
        <w:rPr>
          <w:spacing w:val="-43"/>
        </w:rPr>
        <w:t> </w:t>
      </w:r>
      <w:r>
        <w:rPr>
          <w:spacing w:val="-43"/>
        </w:rPr>
      </w:r>
      <w:r>
        <w:rPr/>
        <w:t>转出，计入当期损益。</w:t>
      </w:r>
    </w:p>
    <w:p>
      <w:pPr>
        <w:pStyle w:val="BodyText"/>
        <w:spacing w:line="408" w:lineRule="auto"/>
        <w:ind w:right="1126" w:firstLine="420"/>
        <w:jc w:val="both"/>
      </w:pPr>
      <w:r>
        <w:rPr>
          <w:spacing w:val="-2"/>
        </w:rPr>
        <w:t>④指定为公允价值计量且其变动计入其他综合收益的非交易性权益工具投资。初始确认后，对于该类</w:t>
      </w:r>
      <w:r>
        <w:rPr>
          <w:w w:val="100"/>
        </w:rPr>
        <w:t> </w:t>
      </w:r>
      <w:r>
        <w:rPr>
          <w:spacing w:val="-2"/>
        </w:rPr>
        <w:t>金融资产以公允价值进行后续计量。除获得的股利（属于投资成本收回部分的除外）计入当期损益外，其</w:t>
      </w:r>
      <w:r>
        <w:rPr>
          <w:spacing w:val="-47"/>
        </w:rPr>
        <w:t> </w:t>
      </w:r>
      <w:r>
        <w:rPr>
          <w:spacing w:val="-47"/>
        </w:rPr>
      </w:r>
      <w:r>
        <w:rPr/>
        <w:t>他相关利得和损失均计入其他综合收益，且后续不转入当期损益。</w:t>
      </w:r>
    </w:p>
    <w:p>
      <w:pPr>
        <w:pStyle w:val="BodyText"/>
        <w:spacing w:line="240" w:lineRule="auto"/>
        <w:ind w:left="573" w:right="0"/>
        <w:jc w:val="left"/>
      </w:pPr>
      <w:r>
        <w:rPr/>
        <w:t>（</w:t>
      </w:r>
      <w:r>
        <w:rPr>
          <w:rFonts w:ascii="宋体" w:hAnsi="宋体" w:cs="宋体" w:eastAsia="宋体" w:hint="default"/>
        </w:rPr>
        <w:t>2</w:t>
      </w:r>
      <w:r>
        <w:rPr/>
        <w:t>）金融负债</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t>①以公允价值计量且其变动计入当期损益的金融负债。该类金融负债包括交易性金融负债</w:t>
      </w:r>
      <w:r>
        <w:rPr>
          <w:rFonts w:ascii="宋体" w:hAnsi="宋体" w:cs="宋体" w:eastAsia="宋体" w:hint="default"/>
        </w:rPr>
        <w:t>(</w:t>
      </w:r>
      <w:r>
        <w:rPr/>
        <w:t>含属于金</w:t>
      </w:r>
      <w:r>
        <w:rPr>
          <w:w w:val="100"/>
        </w:rPr>
        <w:t> </w:t>
      </w:r>
      <w:r>
        <w:rPr/>
        <w:t>融负债的衍生工具</w:t>
      </w:r>
      <w:r>
        <w:rPr>
          <w:rFonts w:ascii="宋体" w:hAnsi="宋体" w:cs="宋体" w:eastAsia="宋体" w:hint="default"/>
        </w:rPr>
        <w:t>)</w:t>
      </w:r>
      <w:r>
        <w:rPr/>
        <w:t>和指定为以公允价值计量且其变动计入当期损益的金融负债。初始确认后，对于该类</w:t>
      </w:r>
      <w:r>
        <w:rPr>
          <w:spacing w:val="-24"/>
        </w:rPr>
        <w:t> </w:t>
      </w:r>
      <w:r>
        <w:rPr>
          <w:spacing w:val="-24"/>
        </w:rPr>
      </w:r>
      <w:r>
        <w:rPr>
          <w:spacing w:val="-2"/>
        </w:rPr>
        <w:t>金融负债以公允价值进行后续计量，除与套期会计有关外，交易性金融负债公允价值变动形成的利得或损</w:t>
      </w:r>
      <w:r>
        <w:rPr>
          <w:spacing w:val="-43"/>
        </w:rPr>
        <w:t> </w:t>
      </w:r>
      <w:r>
        <w:rPr>
          <w:spacing w:val="-43"/>
        </w:rPr>
      </w:r>
      <w:r>
        <w:rPr>
          <w:spacing w:val="-2"/>
        </w:rPr>
        <w:t>失（包括利息费用）计入当期损益。指定为以公允价值计量且其变动计入当期损益的金融负债的，由企业</w:t>
      </w:r>
      <w:r>
        <w:rPr>
          <w:spacing w:val="-47"/>
        </w:rPr>
        <w:t> </w:t>
      </w:r>
      <w:r>
        <w:rPr>
          <w:spacing w:val="-47"/>
        </w:rPr>
      </w:r>
      <w:r>
        <w:rPr>
          <w:spacing w:val="-2"/>
        </w:rPr>
        <w:t>自身信用风险变动引起的该金融负债公允价值的变动金额，计入其他综合收益，其他公允价值变动计入当</w:t>
      </w:r>
      <w:r>
        <w:rPr>
          <w:spacing w:val="-44"/>
        </w:rPr>
        <w:t> </w:t>
      </w:r>
      <w:r>
        <w:rPr>
          <w:spacing w:val="-44"/>
        </w:rPr>
      </w:r>
      <w:r>
        <w:rPr>
          <w:spacing w:val="-2"/>
        </w:rPr>
        <w:t>期损益。如果对该金融负债的自身信用风险变动的影响计入其他综合收益会造成或扩大损益中的会计错配</w:t>
      </w:r>
      <w:r>
        <w:rPr>
          <w:spacing w:val="-43"/>
        </w:rPr>
        <w:t> </w:t>
      </w:r>
      <w:r>
        <w:rPr>
          <w:spacing w:val="-43"/>
        </w:rPr>
      </w:r>
      <w:r>
        <w:rPr/>
        <w:t>的，本公司将该金融负债的全部利得或损失计入当期损益。</w:t>
      </w:r>
    </w:p>
    <w:p>
      <w:pPr>
        <w:pStyle w:val="BodyText"/>
        <w:spacing w:line="240" w:lineRule="auto"/>
        <w:ind w:left="573" w:right="0"/>
        <w:jc w:val="left"/>
      </w:pPr>
      <w:r>
        <w:rPr/>
        <w:t>②以摊余成本计量的金融负债。初始确认后，对此类金融负债采用实际利率法以摊余成本计量。</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0"/>
        <w:jc w:val="left"/>
      </w:pPr>
      <w:r>
        <w:rPr>
          <w:rFonts w:ascii="宋体" w:hAnsi="宋体" w:cs="宋体" w:eastAsia="宋体" w:hint="default"/>
        </w:rPr>
        <w:t>3.</w:t>
      </w:r>
      <w:r>
        <w:rPr/>
        <w:t>本公司对金融工具的公允价值的确认方法</w:t>
      </w:r>
      <w:r>
        <w:rPr>
          <w:w w:val="100"/>
        </w:rPr>
        <w:t> </w:t>
      </w:r>
      <w:r>
        <w:rPr>
          <w:spacing w:val="-2"/>
        </w:rPr>
        <w:t>如存在活跃市场的金融工具，以活跃市场中的报价确定其公允价值；如不存在活跃市场的金融工具，</w:t>
      </w:r>
    </w:p>
    <w:p>
      <w:pPr>
        <w:pStyle w:val="BodyText"/>
        <w:spacing w:line="408" w:lineRule="auto"/>
        <w:ind w:right="1126"/>
        <w:jc w:val="both"/>
      </w:pPr>
      <w:r>
        <w:rPr>
          <w:spacing w:val="-2"/>
        </w:rPr>
        <w:t>采用估值技术确定其公允价值。估值技术主要包括市场法、收益法和成本法。在有限情况下，如果用以确</w:t>
      </w:r>
      <w:r>
        <w:rPr>
          <w:spacing w:val="-47"/>
        </w:rPr>
        <w:t> </w:t>
      </w:r>
      <w:r>
        <w:rPr>
          <w:spacing w:val="-47"/>
        </w:rPr>
      </w:r>
      <w:r>
        <w:rPr>
          <w:spacing w:val="-2"/>
        </w:rPr>
        <w:t>定公允价值的近期信息不足，或者公允价值的可能估计金额分布范围很广，而成本代表了该范围内对公允</w:t>
      </w:r>
      <w:r>
        <w:rPr>
          <w:spacing w:val="-43"/>
        </w:rPr>
        <w:t> </w:t>
      </w:r>
      <w:r>
        <w:rPr>
          <w:spacing w:val="-43"/>
        </w:rPr>
      </w:r>
      <w:r>
        <w:rPr>
          <w:spacing w:val="-2"/>
        </w:rPr>
        <w:t>价值的最佳估计的，该成本可代表其在该分布范围内对公允价值的恰当估计。本公司利用初始确认日后可</w:t>
      </w:r>
      <w:r>
        <w:rPr>
          <w:spacing w:val="-43"/>
        </w:rPr>
        <w:t> </w:t>
      </w:r>
      <w:r>
        <w:rPr>
          <w:spacing w:val="-43"/>
        </w:rPr>
      </w:r>
      <w:r>
        <w:rPr/>
        <w:t>获得的关于被投资方业绩和经营的所有信息，判断成本能否代表公允价值。</w:t>
      </w:r>
    </w:p>
    <w:p>
      <w:pPr>
        <w:pStyle w:val="BodyText"/>
        <w:spacing w:line="240" w:lineRule="auto"/>
        <w:ind w:left="573" w:right="0"/>
        <w:jc w:val="left"/>
      </w:pPr>
      <w:r>
        <w:rPr>
          <w:rFonts w:ascii="宋体" w:hAnsi="宋体" w:cs="宋体" w:eastAsia="宋体" w:hint="default"/>
        </w:rPr>
        <w:t>4.</w:t>
      </w:r>
      <w:r>
        <w:rPr/>
        <w:t>金融资产和金融负债转移的确认依据和计量方法</w:t>
      </w:r>
    </w:p>
    <w:p>
      <w:pPr>
        <w:spacing w:line="240" w:lineRule="auto" w:before="10"/>
        <w:rPr>
          <w:rFonts w:ascii="宋体" w:hAnsi="宋体" w:cs="宋体" w:eastAsia="宋体" w:hint="default"/>
          <w:sz w:val="14"/>
          <w:szCs w:val="14"/>
        </w:rPr>
      </w:pPr>
    </w:p>
    <w:p>
      <w:pPr>
        <w:pStyle w:val="BodyText"/>
        <w:spacing w:line="410" w:lineRule="auto" w:before="0"/>
        <w:ind w:left="573" w:right="0"/>
        <w:jc w:val="left"/>
      </w:pPr>
      <w:r>
        <w:rPr/>
        <w:t>（</w:t>
      </w:r>
      <w:r>
        <w:rPr>
          <w:rFonts w:ascii="宋体" w:hAnsi="宋体" w:cs="宋体" w:eastAsia="宋体" w:hint="default"/>
        </w:rPr>
        <w:t>1</w:t>
      </w:r>
      <w:r>
        <w:rPr/>
        <w:t>）金融资产</w:t>
      </w:r>
      <w:r>
        <w:rPr>
          <w:w w:val="100"/>
        </w:rPr>
        <w:t> </w:t>
      </w:r>
      <w:r>
        <w:rPr>
          <w:spacing w:val="-2"/>
        </w:rPr>
        <w:t>本公司金融资产满足下列条件之一的，予以终止确认：①收取该金融资产现金流量的合同权利终止；</w:t>
      </w:r>
    </w:p>
    <w:p>
      <w:pPr>
        <w:pStyle w:val="BodyText"/>
        <w:spacing w:line="408" w:lineRule="auto" w:before="44"/>
        <w:ind w:right="1105"/>
        <w:jc w:val="both"/>
      </w:pPr>
      <w:r>
        <w:rPr>
          <w:spacing w:val="-2"/>
        </w:rPr>
        <w:t>②该金融资产已转移，且本公司转移了金融资产所有权上几乎所有的风险和报酬；③该金融资产已转移，</w:t>
      </w:r>
      <w:r>
        <w:rPr>
          <w:spacing w:val="-21"/>
        </w:rPr>
        <w:t> </w:t>
      </w:r>
      <w:r>
        <w:rPr>
          <w:spacing w:val="-21"/>
        </w:rPr>
      </w:r>
      <w:r>
        <w:rPr/>
        <w:t>虽然本公司既没有转移也没有保留金融资产所有权上几乎所有报酬的，但未保留对该金融资产的控制。</w:t>
      </w:r>
    </w:p>
    <w:p>
      <w:pPr>
        <w:pStyle w:val="BodyText"/>
        <w:spacing w:line="408" w:lineRule="auto"/>
        <w:ind w:right="1104" w:firstLine="420"/>
        <w:jc w:val="both"/>
      </w:pPr>
      <w:r>
        <w:rPr>
          <w:spacing w:val="-2"/>
        </w:rPr>
        <w:t>本公司既没有转移也没有保留金融资产所有权上几乎所有报酬的，且未保留了对该金融资产控制的，</w:t>
      </w:r>
      <w:r>
        <w:rPr>
          <w:w w:val="100"/>
        </w:rPr>
        <w:t> </w:t>
      </w:r>
      <w:r>
        <w:rPr>
          <w:spacing w:val="-2"/>
        </w:rPr>
        <w:t>按照继续涉入被转移金融资产的程度确认有关金融资产，并相应确认相关负债。金融资产转移整体满足终</w:t>
      </w:r>
      <w:r>
        <w:rPr>
          <w:spacing w:val="-43"/>
        </w:rPr>
        <w:t> </w:t>
      </w:r>
      <w:r>
        <w:rPr>
          <w:spacing w:val="-43"/>
        </w:rPr>
      </w:r>
      <w:r>
        <w:rPr>
          <w:spacing w:val="-2"/>
        </w:rPr>
        <w:t>止确认条件的，将以下两项金额的差额计入当期损益：①被转移金融资产在终止确认日的账面价值；②因</w:t>
      </w:r>
      <w:r>
        <w:rPr>
          <w:spacing w:val="-43"/>
        </w:rPr>
        <w:t> </w:t>
      </w:r>
      <w:r>
        <w:rPr>
          <w:spacing w:val="-43"/>
        </w:rPr>
      </w:r>
      <w:r>
        <w:rPr>
          <w:spacing w:val="-2"/>
        </w:rPr>
        <w:t>转移金融资产而收到的对价，与原直接计入其他综合收益的公允价值变动累计额中对应终止确认部分的金</w:t>
      </w:r>
      <w:r>
        <w:rPr>
          <w:spacing w:val="-43"/>
        </w:rPr>
        <w:t> </w:t>
      </w:r>
      <w:r>
        <w:rPr>
          <w:spacing w:val="-43"/>
        </w:rPr>
      </w:r>
      <w:r>
        <w:rPr/>
        <w:t>额（涉及转移的金融资产为分类为以公允价值计量且其变动计入其他综合收益的金融资产）之和。</w:t>
      </w:r>
    </w:p>
    <w:p>
      <w:pPr>
        <w:pStyle w:val="BodyText"/>
        <w:spacing w:line="408" w:lineRule="auto"/>
        <w:ind w:right="1021" w:firstLine="420"/>
        <w:jc w:val="both"/>
      </w:pPr>
      <w:r>
        <w:rPr/>
        <w:t>金融资产部分转移满足终止确认条件的，将所转移金融资产整体的账面价值，在终止确认部分和未终</w:t>
      </w:r>
      <w:r>
        <w:rPr>
          <w:w w:val="100"/>
        </w:rPr>
        <w:t> </w:t>
      </w:r>
      <w:r>
        <w:rPr>
          <w:spacing w:val="-5"/>
        </w:rPr>
        <w:t>止确认部分之间，先按照转移日各自的相对公允价值进行分摊，然后将以下两项金额的差额计入当期损益：</w:t>
      </w:r>
    </w:p>
    <w:p>
      <w:pPr>
        <w:pStyle w:val="BodyText"/>
        <w:spacing w:line="408" w:lineRule="auto"/>
        <w:ind w:right="1126"/>
        <w:jc w:val="both"/>
      </w:pPr>
      <w:r>
        <w:rPr>
          <w:spacing w:val="-2"/>
        </w:rPr>
        <w:t>①终止确认部分在终止确认日的账面价值；②终止确认部分收到的对价，与原计入其他综合收益的公允价</w:t>
      </w:r>
      <w:r>
        <w:rPr>
          <w:spacing w:val="-44"/>
        </w:rPr>
        <w:t> </w:t>
      </w:r>
      <w:r>
        <w:rPr>
          <w:spacing w:val="-44"/>
        </w:rPr>
      </w:r>
      <w:r>
        <w:rPr>
          <w:spacing w:val="-2"/>
        </w:rPr>
        <w:t>值变动累计额中对应终止确认部分的金额（涉及转移的金融资产为分类为以公允价值计量且其变动计入其</w:t>
      </w:r>
      <w:r>
        <w:rPr>
          <w:spacing w:val="-43"/>
        </w:rPr>
        <w:t> </w:t>
      </w:r>
      <w:r>
        <w:rPr>
          <w:spacing w:val="-43"/>
        </w:rPr>
      </w:r>
      <w:r>
        <w:rPr/>
        <w:t>他综合收益的金融资产）之和。</w:t>
      </w:r>
    </w:p>
    <w:p>
      <w:pPr>
        <w:pStyle w:val="BodyText"/>
        <w:spacing w:line="408" w:lineRule="auto"/>
        <w:ind w:right="1126" w:firstLine="420"/>
        <w:jc w:val="both"/>
      </w:pPr>
      <w:r>
        <w:rPr>
          <w:spacing w:val="-2"/>
        </w:rPr>
        <w:t>针对本公司指定为公允价值计量且其变动计入其他综合收益的非交易性权益工具投资终止确认时，将</w:t>
      </w:r>
      <w:r>
        <w:rPr>
          <w:w w:val="100"/>
        </w:rPr>
        <w:t> </w:t>
      </w:r>
      <w:r>
        <w:rPr/>
        <w:t>之前计入其他综合收益的累计利得或损失从其他综合收益中转出，计入留存收益。</w:t>
      </w:r>
    </w:p>
    <w:p>
      <w:pPr>
        <w:pStyle w:val="BodyText"/>
        <w:spacing w:line="408" w:lineRule="auto"/>
        <w:ind w:left="573" w:right="0"/>
        <w:jc w:val="left"/>
      </w:pPr>
      <w:r>
        <w:rPr/>
        <w:t>（</w:t>
      </w:r>
      <w:r>
        <w:rPr>
          <w:rFonts w:ascii="宋体" w:hAnsi="宋体" w:cs="宋体" w:eastAsia="宋体" w:hint="default"/>
        </w:rPr>
        <w:t>2</w:t>
      </w:r>
      <w:r>
        <w:rPr/>
        <w:t>）金融负债</w:t>
      </w:r>
      <w:r>
        <w:rPr>
          <w:w w:val="100"/>
        </w:rPr>
        <w:t> </w:t>
      </w:r>
      <w:r>
        <w:rPr>
          <w:spacing w:val="-5"/>
        </w:rPr>
        <w:t>金融负债（或其一部分）的现时义务已经解除的，本公司终止确认该金融负债（或该部分金融负债）。</w:t>
      </w:r>
      <w:r>
        <w:rPr>
          <w:spacing w:val="-16"/>
        </w:rPr>
        <w:t> </w:t>
      </w:r>
      <w:r>
        <w:rPr>
          <w:spacing w:val="-16"/>
        </w:rPr>
      </w:r>
      <w:r>
        <w:rPr>
          <w:spacing w:val="-2"/>
        </w:rPr>
        <w:t>金融负债（或其一部分）终止确认的，本公司将其账面价值与支付的对价（包括转出的非现金资产或</w:t>
      </w:r>
    </w:p>
    <w:p>
      <w:pPr>
        <w:pStyle w:val="BodyText"/>
        <w:spacing w:line="408" w:lineRule="auto"/>
        <w:ind w:left="573" w:right="4634" w:hanging="421"/>
        <w:jc w:val="left"/>
      </w:pPr>
      <w:r>
        <w:rPr/>
        <w:t>承担的负债）之间的差额，计入当期损益。</w:t>
      </w:r>
      <w:r>
        <w:rPr>
          <w:w w:val="100"/>
        </w:rPr>
        <w:t> </w:t>
      </w:r>
      <w:r>
        <w:rPr>
          <w:rFonts w:ascii="宋体" w:hAnsi="宋体" w:cs="宋体" w:eastAsia="宋体" w:hint="default"/>
          <w:spacing w:val="-2"/>
        </w:rPr>
        <w:t>5.</w:t>
      </w:r>
      <w:r>
        <w:rPr>
          <w:spacing w:val="-2"/>
        </w:rPr>
        <w:t>预期信用损失的确定方法及会计处理方法</w:t>
      </w:r>
    </w:p>
    <w:p>
      <w:pPr>
        <w:pStyle w:val="BodyText"/>
        <w:spacing w:line="408" w:lineRule="auto"/>
        <w:ind w:left="573" w:right="0"/>
        <w:jc w:val="left"/>
      </w:pPr>
      <w:r>
        <w:rPr/>
        <w:t>（</w:t>
      </w:r>
      <w:r>
        <w:rPr>
          <w:rFonts w:ascii="宋体" w:hAnsi="宋体" w:cs="宋体" w:eastAsia="宋体" w:hint="default"/>
        </w:rPr>
        <w:t>1</w:t>
      </w:r>
      <w:r>
        <w:rPr/>
        <w:t>）预期信用损失的确定方法</w:t>
      </w:r>
      <w:r>
        <w:rPr>
          <w:w w:val="100"/>
        </w:rPr>
        <w:t> </w:t>
      </w:r>
      <w:r>
        <w:rPr>
          <w:spacing w:val="-2"/>
        </w:rPr>
        <w:t>本公司以预期信用损失为基础，对以摊余成本计量的金融资产（含应收款项）、分类为以公允价值计</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19"/>
        <w:jc w:val="left"/>
      </w:pPr>
      <w:r>
        <w:rPr>
          <w:spacing w:val="-2"/>
        </w:rPr>
        <w:t>量且其变动计入其他综合收益的债权投资（含应收款项融资）、租赁应收款、进行减值会计处理并确认损</w:t>
      </w:r>
      <w:r>
        <w:rPr>
          <w:spacing w:val="-47"/>
        </w:rPr>
        <w:t> </w:t>
      </w:r>
      <w:r>
        <w:rPr>
          <w:spacing w:val="-47"/>
        </w:rPr>
      </w:r>
      <w:r>
        <w:rPr/>
        <w:t>失准备。</w:t>
      </w:r>
    </w:p>
    <w:p>
      <w:pPr>
        <w:pStyle w:val="BodyText"/>
        <w:spacing w:line="408" w:lineRule="auto"/>
        <w:ind w:right="1126" w:firstLine="420"/>
        <w:jc w:val="both"/>
      </w:pPr>
      <w:r>
        <w:rPr>
          <w:spacing w:val="-2"/>
        </w:rPr>
        <w:t>本公司在每个资产负债表日评估相关金融工具的信用风险自初始确认后是否显著增加，将金融工具发</w:t>
      </w:r>
      <w:r>
        <w:rPr>
          <w:w w:val="100"/>
        </w:rPr>
        <w:t> </w:t>
      </w:r>
      <w:r>
        <w:rPr>
          <w:spacing w:val="-2"/>
        </w:rPr>
        <w:t>生信用减值的过程分为三个阶段，对于不同阶段的金融工具减值有不同的会计处理方法：第一阶段，金融</w:t>
      </w:r>
      <w:r>
        <w:rPr>
          <w:spacing w:val="-41"/>
        </w:rPr>
        <w:t> </w:t>
      </w:r>
      <w:r>
        <w:rPr>
          <w:spacing w:val="-41"/>
        </w:rPr>
      </w:r>
      <w:r>
        <w:rPr>
          <w:spacing w:val="-2"/>
        </w:rPr>
        <w:t>工具的信用风险自初始确认后未显著增加的，本公司按照该金融工具未来</w:t>
      </w:r>
      <w:r>
        <w:rPr>
          <w:rFonts w:ascii="宋体" w:hAnsi="宋体" w:cs="宋体" w:eastAsia="宋体" w:hint="default"/>
          <w:spacing w:val="-2"/>
        </w:rPr>
        <w:t>12</w:t>
      </w:r>
      <w:r>
        <w:rPr>
          <w:spacing w:val="-2"/>
        </w:rPr>
        <w:t>个月的预期信用损失计量损失</w:t>
      </w:r>
      <w:r>
        <w:rPr>
          <w:spacing w:val="-41"/>
        </w:rPr>
        <w:t> </w:t>
      </w:r>
      <w:r>
        <w:rPr>
          <w:spacing w:val="-41"/>
        </w:rPr>
      </w:r>
      <w:r>
        <w:rPr>
          <w:spacing w:val="-2"/>
        </w:rPr>
        <w:t>准备，并按照其账面余额（即未扣除减值准备）和实际利率计算利息收入；第二阶段，金融工具的信用风</w:t>
      </w:r>
      <w:r>
        <w:rPr>
          <w:spacing w:val="-43"/>
        </w:rPr>
        <w:t> </w:t>
      </w:r>
      <w:r>
        <w:rPr>
          <w:spacing w:val="-43"/>
        </w:rPr>
      </w:r>
      <w:r>
        <w:rPr>
          <w:spacing w:val="-2"/>
        </w:rPr>
        <w:t>险自初始确认后已显著增加但未发生信用减值的，本公司按照该金融工具整个存续期的预期信用损失计量</w:t>
      </w:r>
      <w:r>
        <w:rPr>
          <w:spacing w:val="-43"/>
        </w:rPr>
        <w:t> </w:t>
      </w:r>
      <w:r>
        <w:rPr>
          <w:spacing w:val="-43"/>
        </w:rPr>
      </w:r>
      <w:r>
        <w:rPr>
          <w:spacing w:val="-2"/>
        </w:rPr>
        <w:t>损失准备，并按照其账面余额和实际利率计算利息收入；第三阶段，初始确认后发生信用减值的，本公司</w:t>
      </w:r>
      <w:r>
        <w:rPr>
          <w:spacing w:val="-47"/>
        </w:rPr>
        <w:t> </w:t>
      </w:r>
      <w:r>
        <w:rPr>
          <w:spacing w:val="-47"/>
        </w:rPr>
      </w:r>
      <w:r>
        <w:rPr>
          <w:spacing w:val="-2"/>
        </w:rPr>
        <w:t>按照该金融工具整个存续期的预期信用损失计量损失准备，并按照其摊余成本（账面余额减已计提减值准</w:t>
      </w:r>
      <w:r>
        <w:rPr>
          <w:spacing w:val="-44"/>
        </w:rPr>
        <w:t> </w:t>
      </w:r>
      <w:r>
        <w:rPr>
          <w:spacing w:val="-44"/>
        </w:rPr>
      </w:r>
      <w:r>
        <w:rPr/>
        <w:t>备）和实际利率计算利息收入。</w:t>
      </w:r>
    </w:p>
    <w:p>
      <w:pPr>
        <w:pStyle w:val="BodyText"/>
        <w:spacing w:line="408" w:lineRule="auto"/>
        <w:ind w:left="573" w:right="0"/>
        <w:jc w:val="left"/>
      </w:pPr>
      <w:r>
        <w:rPr/>
        <w:t>①较低信用风险的金融工具计量损失准备的方法</w:t>
      </w:r>
      <w:r>
        <w:rPr>
          <w:w w:val="100"/>
        </w:rPr>
        <w:t> </w:t>
      </w:r>
      <w:r>
        <w:rPr>
          <w:spacing w:val="-2"/>
        </w:rPr>
        <w:t>对于在资产负债表日具有较低信用风险的金融工具，本公司可以不用与其初始确认时的信用风险进行</w:t>
      </w:r>
    </w:p>
    <w:p>
      <w:pPr>
        <w:pStyle w:val="BodyText"/>
        <w:spacing w:line="408" w:lineRule="auto"/>
        <w:ind w:left="573" w:right="0" w:hanging="421"/>
        <w:jc w:val="left"/>
      </w:pPr>
      <w:r>
        <w:rPr/>
        <w:t>比较，而直接做出该工具的信用风险自初始确认后未显著增加的假定。</w:t>
      </w:r>
      <w:r>
        <w:rPr>
          <w:w w:val="100"/>
        </w:rPr>
        <w:t> </w:t>
      </w:r>
      <w:r>
        <w:rPr>
          <w:spacing w:val="-2"/>
        </w:rPr>
        <w:t>如果金融工具的违约风险较低，借款人在短期内履行其合同现金流量义务的能力很强，并且即便较长</w:t>
      </w:r>
    </w:p>
    <w:p>
      <w:pPr>
        <w:pStyle w:val="BodyText"/>
        <w:spacing w:line="408" w:lineRule="auto"/>
        <w:ind w:right="0"/>
        <w:jc w:val="left"/>
      </w:pPr>
      <w:r>
        <w:rPr>
          <w:spacing w:val="-2"/>
        </w:rPr>
        <w:t>时期内经济形势和经营环境存在不利变化但未必一定降低借款人履行其合同现金流量义务的能力，该金融</w:t>
      </w:r>
      <w:r>
        <w:rPr>
          <w:spacing w:val="-43"/>
        </w:rPr>
        <w:t> </w:t>
      </w:r>
      <w:r>
        <w:rPr>
          <w:spacing w:val="-43"/>
        </w:rPr>
      </w:r>
      <w:r>
        <w:rPr/>
        <w:t>工具被视为具有较低的信用风险。</w:t>
      </w:r>
    </w:p>
    <w:p>
      <w:pPr>
        <w:pStyle w:val="BodyText"/>
        <w:spacing w:line="408" w:lineRule="auto"/>
        <w:ind w:left="573" w:right="0"/>
        <w:jc w:val="left"/>
      </w:pPr>
      <w:r>
        <w:rPr/>
        <w:t>②应收款项、租赁应收款计量损失准备的方法</w:t>
      </w:r>
      <w:r>
        <w:rPr>
          <w:w w:val="100"/>
        </w:rPr>
        <w:t> </w:t>
      </w:r>
      <w:r>
        <w:rPr>
          <w:spacing w:val="-9"/>
          <w:w w:val="100"/>
        </w:rPr>
        <w:t>本公司对于由《企业会计准则第</w:t>
      </w:r>
      <w:r>
        <w:rPr>
          <w:rFonts w:ascii="宋体" w:hAnsi="宋体" w:cs="宋体" w:eastAsia="宋体" w:hint="default"/>
          <w:spacing w:val="-9"/>
          <w:w w:val="100"/>
        </w:rPr>
        <w:t>14</w:t>
      </w:r>
      <w:r>
        <w:rPr>
          <w:spacing w:val="-9"/>
          <w:w w:val="100"/>
        </w:rPr>
        <w:t>号—收入》规范的交易形成的应收款项（无论是否含重大融资成分），</w:t>
      </w:r>
    </w:p>
    <w:p>
      <w:pPr>
        <w:pStyle w:val="BodyText"/>
        <w:spacing w:line="408" w:lineRule="auto"/>
        <w:ind w:right="0"/>
        <w:jc w:val="left"/>
      </w:pPr>
      <w:r>
        <w:rPr>
          <w:spacing w:val="-2"/>
        </w:rPr>
        <w:t>以及由《企业会计准则第</w:t>
      </w:r>
      <w:r>
        <w:rPr>
          <w:rFonts w:ascii="宋体" w:hAnsi="宋体" w:cs="宋体" w:eastAsia="宋体" w:hint="default"/>
          <w:spacing w:val="-2"/>
        </w:rPr>
        <w:t>21</w:t>
      </w:r>
      <w:r>
        <w:rPr>
          <w:spacing w:val="-2"/>
        </w:rPr>
        <w:t>号—租赁》规范的租赁应收款，均采用简化方法，即始终按整个存续期预期信</w:t>
      </w:r>
      <w:r>
        <w:rPr>
          <w:spacing w:val="-45"/>
        </w:rPr>
        <w:t> </w:t>
      </w:r>
      <w:r>
        <w:rPr>
          <w:spacing w:val="-45"/>
        </w:rPr>
      </w:r>
      <w:r>
        <w:rPr/>
        <w:t>用损失计量损失准备。</w:t>
      </w:r>
    </w:p>
    <w:p>
      <w:pPr>
        <w:pStyle w:val="BodyText"/>
        <w:spacing w:line="408" w:lineRule="auto"/>
        <w:ind w:right="0" w:firstLine="420"/>
        <w:jc w:val="left"/>
      </w:pPr>
      <w:r>
        <w:rPr>
          <w:spacing w:val="-2"/>
        </w:rPr>
        <w:t>根据金融工具的性质，本公司以单项金融资产或金融资产组合为基础评估信用风险是否显著增加。本</w:t>
      </w:r>
      <w:r>
        <w:rPr>
          <w:w w:val="100"/>
        </w:rPr>
        <w:t> </w:t>
      </w:r>
      <w:r>
        <w:rPr/>
        <w:t>公司根据信用风险特征将应收票据、应收账款划分为若干组合，在组合基础上计算预期信用损失。</w:t>
      </w:r>
    </w:p>
    <w:p>
      <w:pPr>
        <w:pStyle w:val="BodyText"/>
        <w:spacing w:line="408" w:lineRule="auto"/>
        <w:ind w:right="0" w:firstLine="420"/>
        <w:jc w:val="left"/>
      </w:pPr>
      <w:r>
        <w:rPr>
          <w:spacing w:val="-5"/>
        </w:rPr>
        <w:t>对于划分为组合的应收账款，本公司参考历史信用损失经验，结合当前状况及对未来经济状况的预测，</w:t>
      </w:r>
      <w:r>
        <w:rPr>
          <w:w w:val="100"/>
        </w:rPr>
        <w:t> </w:t>
      </w:r>
      <w:r>
        <w:rPr>
          <w:spacing w:val="-5"/>
        </w:rPr>
        <w:t>编制应收账款账龄与整个存续期预期信用损失率对照表，计算预期信用损失。对于划分为组合的应收票据， </w:t>
      </w:r>
      <w:r>
        <w:rPr>
          <w:spacing w:val="-5"/>
        </w:rPr>
      </w:r>
      <w:r>
        <w:rPr>
          <w:spacing w:val="-2"/>
        </w:rPr>
        <w:t>本公司参考历史信用损失经验，结合当前状况及对未来经济状况的预测，通过违约风险敞口和整个存续期</w:t>
      </w:r>
      <w:r>
        <w:rPr>
          <w:spacing w:val="-43"/>
        </w:rPr>
        <w:t> </w:t>
      </w:r>
      <w:r>
        <w:rPr>
          <w:spacing w:val="-43"/>
        </w:rPr>
      </w:r>
      <w:r>
        <w:rPr/>
        <w:t>预期信用损失率，计算预期信用损失。</w:t>
      </w:r>
    </w:p>
    <w:p>
      <w:pPr>
        <w:pStyle w:val="BodyText"/>
        <w:spacing w:line="408" w:lineRule="auto"/>
        <w:ind w:left="573" w:right="0"/>
        <w:jc w:val="left"/>
      </w:pPr>
      <w:r>
        <w:rPr/>
        <w:t>③其他金融资产计量损失准备的方法</w:t>
      </w:r>
      <w:r>
        <w:rPr>
          <w:w w:val="100"/>
        </w:rPr>
        <w:t> </w:t>
      </w:r>
      <w:r>
        <w:rPr>
          <w:spacing w:val="-2"/>
        </w:rPr>
        <w:t>对于除上述以外的金融资产，如：债权投资、其他债权投资、其他应收款、除租赁应收款以外的长期</w:t>
      </w:r>
    </w:p>
    <w:p>
      <w:pPr>
        <w:pStyle w:val="BodyText"/>
        <w:spacing w:line="408" w:lineRule="auto"/>
        <w:ind w:left="573" w:right="0" w:hanging="421"/>
        <w:jc w:val="left"/>
      </w:pPr>
      <w:r>
        <w:rPr/>
        <w:t>应收款等，本公司按照一般方法，即“三阶段”模型计量损失准备。</w:t>
      </w:r>
      <w:r>
        <w:rPr>
          <w:w w:val="100"/>
        </w:rPr>
        <w:t> </w:t>
      </w:r>
      <w:r>
        <w:rPr>
          <w:spacing w:val="-2"/>
        </w:rPr>
        <w:t>本公司在计量金融工具发生信用减值时，评估信用风险是否显著增加考虑了以下因素：①预期将导致</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借款人履行其偿债义务的能力发生显著变化的业务、财务或外部经济状况的不利变化；②借款人经营成果</w:t>
      </w:r>
      <w:r>
        <w:rPr>
          <w:spacing w:val="-43"/>
        </w:rPr>
        <w:t> </w:t>
      </w:r>
      <w:r>
        <w:rPr>
          <w:spacing w:val="-43"/>
        </w:rPr>
      </w:r>
      <w:r>
        <w:rPr>
          <w:spacing w:val="-2"/>
        </w:rPr>
        <w:t>实际或预期的显著变化；③预期将降低借款人按合同约定期限还款的经济动机的显著变化；④借款人预期</w:t>
      </w:r>
      <w:r>
        <w:rPr>
          <w:spacing w:val="-42"/>
        </w:rPr>
        <w:t> </w:t>
      </w:r>
      <w:r>
        <w:rPr>
          <w:spacing w:val="-42"/>
        </w:rPr>
      </w:r>
      <w:r>
        <w:rPr/>
        <w:t>表现和还款行为的显著变化。</w:t>
      </w:r>
    </w:p>
    <w:p>
      <w:pPr>
        <w:pStyle w:val="BodyText"/>
        <w:spacing w:line="408" w:lineRule="auto"/>
        <w:ind w:right="1126" w:firstLine="420"/>
        <w:jc w:val="both"/>
      </w:pPr>
      <w:r>
        <w:rPr>
          <w:spacing w:val="-2"/>
        </w:rPr>
        <w:t>对于某项其他应收款，如果在无须付出不必要的额外成本或努力后即可以评价其预期信用损失的，则</w:t>
      </w:r>
      <w:r>
        <w:rPr>
          <w:w w:val="100"/>
        </w:rPr>
        <w:t> </w:t>
      </w:r>
      <w:r>
        <w:rPr>
          <w:spacing w:val="-2"/>
        </w:rPr>
        <w:t>单独进行减值会计处理并确认坏账准备。本公司根据款项性质将其余其他应收款划分为若干组合，在组合</w:t>
      </w:r>
      <w:r>
        <w:rPr>
          <w:spacing w:val="-43"/>
        </w:rPr>
        <w:t> </w:t>
      </w:r>
      <w:r>
        <w:rPr>
          <w:spacing w:val="-43"/>
        </w:rPr>
      </w:r>
      <w:r>
        <w:rPr/>
        <w:t>基础上计算预期信用损失。</w:t>
      </w:r>
    </w:p>
    <w:p>
      <w:pPr>
        <w:pStyle w:val="BodyText"/>
        <w:spacing w:line="408" w:lineRule="auto"/>
        <w:ind w:left="573" w:right="0"/>
        <w:jc w:val="left"/>
      </w:pPr>
      <w:r>
        <w:rPr/>
        <w:t>（</w:t>
      </w:r>
      <w:r>
        <w:rPr>
          <w:rFonts w:ascii="宋体" w:hAnsi="宋体" w:cs="宋体" w:eastAsia="宋体" w:hint="default"/>
        </w:rPr>
        <w:t>2</w:t>
      </w:r>
      <w:r>
        <w:rPr/>
        <w:t>）预期信用损失的会计处理方法</w:t>
      </w:r>
      <w:r>
        <w:rPr>
          <w:w w:val="100"/>
        </w:rPr>
        <w:t> </w:t>
      </w:r>
      <w:r>
        <w:rPr>
          <w:spacing w:val="2"/>
        </w:rPr>
        <w:t>为反映金融工具的信用风险自初始确认后的变化，本公司在每个资产负债表日重新计量预期信用损</w:t>
      </w:r>
    </w:p>
    <w:p>
      <w:pPr>
        <w:pStyle w:val="BodyText"/>
        <w:spacing w:line="408" w:lineRule="auto"/>
        <w:ind w:right="1126"/>
        <w:jc w:val="both"/>
      </w:pPr>
      <w:r>
        <w:rPr>
          <w:spacing w:val="-2"/>
        </w:rPr>
        <w:t>失，由此形成的损失准备的增加或转回金额，应当作为减值损失或利得计入当期损益，并根据金融工具的</w:t>
      </w:r>
      <w:r>
        <w:rPr>
          <w:spacing w:val="-43"/>
        </w:rPr>
        <w:t> </w:t>
      </w:r>
      <w:r>
        <w:rPr>
          <w:spacing w:val="-43"/>
        </w:rPr>
      </w:r>
      <w:r>
        <w:rPr>
          <w:spacing w:val="-2"/>
        </w:rPr>
        <w:t>种类，抵减该金融资产在资产负债表中列示的账面价值或计入预计负债（贷款承诺或财务担保合同）或计</w:t>
      </w:r>
      <w:r>
        <w:rPr>
          <w:spacing w:val="-43"/>
        </w:rPr>
        <w:t> </w:t>
      </w:r>
      <w:r>
        <w:rPr>
          <w:spacing w:val="-43"/>
        </w:rPr>
      </w:r>
      <w:r>
        <w:rPr/>
        <w:t>入其他综合收益（以公允价值计量且其变动计入其他综合收益的债权投资）。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547" w:lineRule="auto" w:before="0"/>
        <w:ind w:left="152" w:right="6434" w:firstLine="0"/>
        <w:jc w:val="left"/>
        <w:rPr>
          <w:rFonts w:ascii="宋体" w:hAnsi="宋体" w:cs="宋体" w:eastAsia="宋体" w:hint="default"/>
          <w:sz w:val="21"/>
          <w:szCs w:val="21"/>
        </w:rPr>
      </w:pPr>
      <w:bookmarkStart w:name="11、应收票据" w:id="179"/>
      <w:bookmarkEnd w:id="179"/>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w:t>
      </w:r>
      <w:r>
        <w:rPr>
          <w:rFonts w:ascii="宋体" w:hAnsi="宋体" w:cs="宋体" w:eastAsia="宋体" w:hint="default"/>
          <w:b/>
          <w:bCs/>
          <w:w w:val="100"/>
          <w:sz w:val="21"/>
          <w:szCs w:val="21"/>
        </w:rPr>
        <w:t> </w:t>
      </w:r>
      <w:r>
        <w:rPr>
          <w:rFonts w:ascii="宋体" w:hAnsi="宋体" w:cs="宋体" w:eastAsia="宋体" w:hint="default"/>
          <w:sz w:val="18"/>
          <w:szCs w:val="18"/>
        </w:rPr>
        <w:t>详见附注五、重要会计政策及会计估计</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r>
        <w:rPr>
          <w:rFonts w:ascii="宋体" w:hAnsi="宋体" w:cs="宋体" w:eastAsia="宋体" w:hint="default"/>
          <w:spacing w:val="-87"/>
          <w:sz w:val="18"/>
          <w:szCs w:val="18"/>
        </w:rPr>
        <w:t> </w:t>
      </w:r>
      <w:bookmarkStart w:name="12、应收账款" w:id="180"/>
      <w:bookmarkEnd w:id="180"/>
      <w:r>
        <w:rPr>
          <w:rFonts w:ascii="宋体" w:hAnsi="宋体" w:cs="宋体" w:eastAsia="宋体" w:hint="default"/>
          <w:spacing w:val="-87"/>
          <w:sz w:val="18"/>
          <w:szCs w:val="18"/>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547" w:lineRule="auto" w:before="44"/>
        <w:ind w:left="152" w:right="6434" w:firstLine="0"/>
        <w:jc w:val="left"/>
        <w:rPr>
          <w:rFonts w:ascii="宋体" w:hAnsi="宋体" w:cs="宋体" w:eastAsia="宋体" w:hint="default"/>
          <w:sz w:val="18"/>
          <w:szCs w:val="18"/>
        </w:rPr>
      </w:pPr>
      <w:r>
        <w:rPr>
          <w:rFonts w:ascii="宋体" w:hAnsi="宋体" w:cs="宋体" w:eastAsia="宋体" w:hint="default"/>
          <w:sz w:val="18"/>
          <w:szCs w:val="18"/>
        </w:rPr>
        <w:t>详见附注五、重要会计政策及会计估计</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r>
        <w:rPr>
          <w:rFonts w:ascii="宋体" w:hAnsi="宋体" w:cs="宋体" w:eastAsia="宋体" w:hint="default"/>
          <w:spacing w:val="-87"/>
          <w:sz w:val="18"/>
          <w:szCs w:val="18"/>
        </w:rPr>
        <w:t> </w:t>
      </w:r>
      <w:bookmarkStart w:name="13、应收款项融资" w:id="181"/>
      <w:bookmarkEnd w:id="181"/>
      <w:r>
        <w:rPr>
          <w:rFonts w:ascii="宋体" w:hAnsi="宋体" w:cs="宋体" w:eastAsia="宋体" w:hint="default"/>
          <w:spacing w:val="-87"/>
          <w:sz w:val="18"/>
          <w:szCs w:val="18"/>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、应收款项融资</w:t>
      </w:r>
      <w:r>
        <w:rPr>
          <w:rFonts w:ascii="宋体" w:hAnsi="宋体" w:cs="宋体" w:eastAsia="宋体" w:hint="default"/>
          <w:b/>
          <w:bCs/>
          <w:w w:val="100"/>
          <w:sz w:val="21"/>
          <w:szCs w:val="21"/>
        </w:rPr>
        <w:t> </w:t>
      </w:r>
      <w:r>
        <w:rPr>
          <w:rFonts w:ascii="宋体" w:hAnsi="宋体" w:cs="宋体" w:eastAsia="宋体" w:hint="default"/>
          <w:sz w:val="18"/>
          <w:szCs w:val="18"/>
        </w:rPr>
        <w:t>详见附注五、重要会计政策及会计估计</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p>
    <w:p>
      <w:pPr>
        <w:pStyle w:val="Heading4"/>
        <w:spacing w:line="240" w:lineRule="auto" w:before="87"/>
        <w:ind w:right="0"/>
        <w:jc w:val="left"/>
        <w:rPr>
          <w:b w:val="0"/>
          <w:bCs w:val="0"/>
        </w:rPr>
      </w:pPr>
      <w:bookmarkStart w:name="14、其他应收款" w:id="182"/>
      <w:bookmarkEnd w:id="182"/>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6434"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 详见附注五、重要会计政策及会计估计</w:t>
      </w:r>
      <w:r>
        <w:rPr>
          <w:rFonts w:ascii="Times New Roman" w:hAnsi="Times New Roman" w:cs="Times New Roman" w:eastAsia="Times New Roman" w:hint="default"/>
          <w:sz w:val="18"/>
          <w:szCs w:val="18"/>
        </w:rPr>
        <w:t>10</w:t>
      </w:r>
      <w:r>
        <w:rPr>
          <w:rFonts w:ascii="宋体" w:hAnsi="宋体" w:cs="宋体" w:eastAsia="宋体" w:hint="default"/>
          <w:sz w:val="18"/>
          <w:szCs w:val="18"/>
        </w:rPr>
        <w:t>、金融工具。</w:t>
      </w:r>
    </w:p>
    <w:p>
      <w:pPr>
        <w:spacing w:line="240" w:lineRule="auto" w:before="8"/>
        <w:rPr>
          <w:rFonts w:ascii="宋体" w:hAnsi="宋体" w:cs="宋体" w:eastAsia="宋体" w:hint="default"/>
          <w:sz w:val="18"/>
          <w:szCs w:val="18"/>
        </w:rPr>
      </w:pPr>
    </w:p>
    <w:p>
      <w:pPr>
        <w:pStyle w:val="Heading4"/>
        <w:spacing w:line="240" w:lineRule="auto"/>
        <w:ind w:right="0"/>
        <w:jc w:val="left"/>
        <w:rPr>
          <w:b w:val="0"/>
          <w:bCs w:val="0"/>
        </w:rPr>
      </w:pPr>
      <w:bookmarkStart w:name="15、存货" w:id="183"/>
      <w:bookmarkEnd w:id="183"/>
      <w:r>
        <w:rPr>
          <w:b w:val="0"/>
          <w:bCs w:val="0"/>
        </w:rPr>
      </w:r>
      <w:r>
        <w:rPr>
          <w:rFonts w:ascii="Times New Roman" w:hAnsi="Times New Roman" w:cs="Times New Roman" w:eastAsia="Times New Roman" w:hint="default"/>
        </w:rPr>
        <w:t>15</w:t>
      </w:r>
      <w:r>
        <w:rPr/>
        <w:t>、存货</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3" w:right="0"/>
        <w:jc w:val="left"/>
      </w:pPr>
      <w:r>
        <w:rPr>
          <w:rFonts w:ascii="宋体" w:hAnsi="宋体" w:cs="宋体" w:eastAsia="宋体" w:hint="default"/>
        </w:rPr>
        <w:t>1.</w:t>
      </w:r>
      <w:r>
        <w:rPr/>
        <w:t>存货的分类</w:t>
      </w:r>
      <w:r>
        <w:rPr>
          <w:w w:val="100"/>
        </w:rPr>
        <w:t> </w:t>
      </w:r>
      <w:r>
        <w:rPr>
          <w:spacing w:val="-2"/>
        </w:rPr>
        <w:t>存货是指本公司在日常活动中持有以备出售的产成品或商品、处在生产过程中的在产品、在生产过程</w:t>
      </w:r>
    </w:p>
    <w:p>
      <w:pPr>
        <w:pStyle w:val="BodyText"/>
        <w:spacing w:line="408" w:lineRule="auto"/>
        <w:ind w:right="0"/>
        <w:jc w:val="left"/>
      </w:pPr>
      <w:r>
        <w:rPr>
          <w:spacing w:val="-2"/>
        </w:rPr>
        <w:t>或提供劳务过程中耗用的材料和物料等。主要包括原材料、周转材料、委托加工材料、包装物、低值易耗</w:t>
      </w:r>
      <w:r>
        <w:rPr>
          <w:spacing w:val="-43"/>
        </w:rPr>
        <w:t> </w:t>
      </w:r>
      <w:r>
        <w:rPr>
          <w:spacing w:val="-43"/>
        </w:rPr>
      </w:r>
      <w:r>
        <w:rPr/>
        <w:t>品、在产品、自制半成品、产成品（库存商品）、施工成本等。</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4634"/>
        <w:jc w:val="left"/>
      </w:pPr>
      <w:r>
        <w:rPr>
          <w:rFonts w:ascii="宋体" w:hAnsi="宋体" w:cs="宋体" w:eastAsia="宋体" w:hint="default"/>
        </w:rPr>
        <w:t>2.</w:t>
      </w:r>
      <w:r>
        <w:rPr/>
        <w:t>发出存货的计价方法</w:t>
      </w:r>
      <w:r>
        <w:rPr>
          <w:w w:val="100"/>
        </w:rPr>
        <w:t> </w:t>
      </w:r>
      <w:r>
        <w:rPr>
          <w:spacing w:val="-2"/>
        </w:rPr>
        <w:t>存货发出时，采取加权平均法确定其发出的实际成本。</w:t>
      </w:r>
      <w:r>
        <w:rPr>
          <w:spacing w:val="-59"/>
        </w:rPr>
        <w:t> </w:t>
      </w:r>
      <w:r>
        <w:rPr>
          <w:spacing w:val="-59"/>
        </w:rPr>
      </w:r>
      <w:r>
        <w:rPr>
          <w:rFonts w:ascii="宋体" w:hAnsi="宋体" w:cs="宋体" w:eastAsia="宋体" w:hint="default"/>
        </w:rPr>
        <w:t>3.</w:t>
      </w:r>
      <w:r>
        <w:rPr/>
        <w:t>存货跌价准备的计提方法</w:t>
      </w:r>
    </w:p>
    <w:p>
      <w:pPr>
        <w:pStyle w:val="BodyText"/>
        <w:spacing w:line="408" w:lineRule="auto"/>
        <w:ind w:right="1126" w:firstLine="420"/>
        <w:jc w:val="both"/>
      </w:pPr>
      <w:r>
        <w:rPr>
          <w:spacing w:val="-2"/>
        </w:rPr>
        <w:t>资产负债表日，存货按照成本与可变现净值孰低计量，并按单个存货项目计提存货跌价准备，但对于</w:t>
      </w:r>
      <w:r>
        <w:rPr>
          <w:w w:val="100"/>
        </w:rPr>
        <w:t> </w:t>
      </w:r>
      <w:r>
        <w:rPr/>
        <w:t>数量繁多、单价较低的存货，按照存货类别计提存货跌价准备。</w:t>
      </w:r>
    </w:p>
    <w:p>
      <w:pPr>
        <w:pStyle w:val="BodyText"/>
        <w:spacing w:line="408" w:lineRule="auto"/>
        <w:ind w:left="573" w:right="6254"/>
        <w:jc w:val="left"/>
      </w:pPr>
      <w:r>
        <w:rPr>
          <w:rFonts w:ascii="宋体" w:hAnsi="宋体" w:cs="宋体" w:eastAsia="宋体" w:hint="default"/>
        </w:rPr>
        <w:t>4.</w:t>
      </w:r>
      <w:r>
        <w:rPr/>
        <w:t>存货的盘存制度</w:t>
      </w:r>
      <w:r>
        <w:rPr>
          <w:w w:val="100"/>
        </w:rPr>
        <w:t> </w:t>
      </w:r>
      <w:r>
        <w:rPr/>
        <w:t>本公司的存货盘存制度为永续盘存制。</w:t>
      </w:r>
      <w:r>
        <w:rPr>
          <w:w w:val="100"/>
        </w:rPr>
        <w:t> </w:t>
      </w:r>
      <w:r>
        <w:rPr>
          <w:rFonts w:ascii="宋体" w:hAnsi="宋体" w:cs="宋体" w:eastAsia="宋体" w:hint="default"/>
        </w:rPr>
        <w:t>5.</w:t>
      </w:r>
      <w:r>
        <w:rPr/>
        <w:t>低值易耗品和包装物的摊销方法</w:t>
      </w:r>
      <w:r>
        <w:rPr>
          <w:w w:val="100"/>
        </w:rPr>
        <w:t> </w:t>
      </w:r>
      <w:r>
        <w:rPr>
          <w:spacing w:val="-2"/>
        </w:rPr>
        <w:t>低值易耗品和包装物采用一次转销法摊销。</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6、持有待售资产" w:id="184"/>
      <w:bookmarkEnd w:id="184"/>
      <w:r>
        <w:rPr>
          <w:b w:val="0"/>
          <w:bCs w:val="0"/>
        </w:rPr>
      </w:r>
      <w:r>
        <w:rPr>
          <w:rFonts w:ascii="Times New Roman" w:hAnsi="Times New Roman" w:cs="Times New Roman" w:eastAsia="Times New Roman" w:hint="default"/>
        </w:rPr>
        <w:t>16</w:t>
      </w:r>
      <w:r>
        <w:rPr/>
        <w:t>、持有待售资产</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本公司将同时满足下列条件的非流动资产或处置组划分为持有待售类别：一是根据类似交易中出售此</w:t>
      </w:r>
      <w:r>
        <w:rPr>
          <w:w w:val="100"/>
        </w:rPr>
        <w:t> </w:t>
      </w:r>
      <w:r>
        <w:rPr>
          <w:spacing w:val="-2"/>
        </w:rPr>
        <w:t>类资产或处置组的惯例，在当前状况下即可立即出售；二是出售极可能发生，即企业已经就一项出售计划</w:t>
      </w:r>
      <w:r>
        <w:rPr>
          <w:spacing w:val="-43"/>
        </w:rPr>
        <w:t> </w:t>
      </w:r>
      <w:r>
        <w:rPr>
          <w:spacing w:val="-43"/>
        </w:rPr>
      </w:r>
      <w:r>
        <w:rPr>
          <w:spacing w:val="-2"/>
        </w:rPr>
        <w:t>作出决议且获得确定的购买承诺，预计出售将在一年内完成。有关规定要求企业相关权力机构或者监管部</w:t>
      </w:r>
      <w:r>
        <w:rPr>
          <w:spacing w:val="-43"/>
        </w:rPr>
        <w:t> </w:t>
      </w:r>
      <w:r>
        <w:rPr>
          <w:spacing w:val="-43"/>
        </w:rPr>
      </w:r>
      <w:r>
        <w:rPr/>
        <w:t>门批准后方可出售的，应当已经获得批准。</w:t>
      </w:r>
    </w:p>
    <w:p>
      <w:pPr>
        <w:pStyle w:val="BodyText"/>
        <w:spacing w:line="408" w:lineRule="auto"/>
        <w:ind w:right="1126" w:firstLine="420"/>
        <w:jc w:val="both"/>
      </w:pPr>
      <w:r>
        <w:rPr>
          <w:spacing w:val="-2"/>
        </w:rPr>
        <w:t>初始计量或在资产负债表日重新计量持有待售的非流动资产或处置组时，其账面价值高于公允价值减</w:t>
      </w:r>
      <w:r>
        <w:rPr>
          <w:w w:val="100"/>
        </w:rPr>
        <w:t> </w:t>
      </w:r>
      <w:r>
        <w:rPr>
          <w:spacing w:val="-2"/>
        </w:rPr>
        <w:t>去出售费用后的净额的，应当将账面价值减记至公允价值减去出售费用后的净额，减记的金额确认为资产</w:t>
      </w:r>
      <w:r>
        <w:rPr>
          <w:spacing w:val="-42"/>
        </w:rPr>
        <w:t> </w:t>
      </w:r>
      <w:r>
        <w:rPr>
          <w:spacing w:val="-42"/>
        </w:rPr>
      </w:r>
      <w:r>
        <w:rPr/>
        <w:t>减值损失计入当期损益，同时计提持有待售资产减值准备。</w:t>
      </w:r>
    </w:p>
    <w:p>
      <w:pPr>
        <w:pStyle w:val="BodyText"/>
        <w:spacing w:line="408" w:lineRule="auto"/>
        <w:ind w:right="1126" w:firstLine="420"/>
        <w:jc w:val="both"/>
      </w:pPr>
      <w:r>
        <w:rPr>
          <w:spacing w:val="-2"/>
        </w:rPr>
        <w:t>资产负债表中持有待售的非流动资产或持有待售的处置组中的资产列示为持有待售资产，持有待售的</w:t>
      </w:r>
      <w:r>
        <w:rPr>
          <w:w w:val="100"/>
        </w:rPr>
        <w:t> </w:t>
      </w:r>
      <w:r>
        <w:rPr/>
        <w:t>处置组中的负债列示为持有待售负债。</w:t>
      </w:r>
    </w:p>
    <w:p>
      <w:pPr>
        <w:pStyle w:val="BodyText"/>
        <w:spacing w:line="408" w:lineRule="auto"/>
        <w:ind w:right="1126" w:firstLine="420"/>
        <w:jc w:val="both"/>
      </w:pPr>
      <w:r>
        <w:rPr>
          <w:spacing w:val="-2"/>
        </w:rPr>
        <w:t>终止经营是满足下列条件之一的、能够单独区分的组成部分，且该组成部分已被本公司处置或被本公</w:t>
      </w:r>
      <w:r>
        <w:rPr>
          <w:w w:val="100"/>
        </w:rPr>
        <w:t> </w:t>
      </w:r>
      <w:r>
        <w:rPr/>
        <w:t>司划归为持有待售类别：</w:t>
      </w:r>
    </w:p>
    <w:p>
      <w:pPr>
        <w:pStyle w:val="BodyText"/>
        <w:spacing w:line="240" w:lineRule="auto"/>
        <w:ind w:left="573" w:right="0"/>
        <w:jc w:val="left"/>
      </w:pPr>
      <w:r>
        <w:rPr>
          <w:rFonts w:ascii="宋体" w:hAnsi="宋体" w:cs="宋体" w:eastAsia="宋体" w:hint="default"/>
        </w:rPr>
        <w:t>1.</w:t>
      </w:r>
      <w:r>
        <w:rPr/>
        <w:t>该组成部分代表一项独立的主要业务或一个单独的主要经营地区；</w:t>
      </w:r>
    </w:p>
    <w:p>
      <w:pPr>
        <w:spacing w:line="240" w:lineRule="auto" w:before="11"/>
        <w:rPr>
          <w:rFonts w:ascii="宋体" w:hAnsi="宋体" w:cs="宋体" w:eastAsia="宋体" w:hint="default"/>
          <w:sz w:val="14"/>
          <w:szCs w:val="14"/>
        </w:rPr>
      </w:pPr>
    </w:p>
    <w:p>
      <w:pPr>
        <w:pStyle w:val="BodyText"/>
        <w:spacing w:line="408" w:lineRule="auto" w:before="0"/>
        <w:ind w:right="1140" w:firstLine="420"/>
        <w:jc w:val="both"/>
      </w:pPr>
      <w:r>
        <w:rPr>
          <w:rFonts w:ascii="宋体" w:hAnsi="宋体" w:cs="宋体" w:eastAsia="宋体" w:hint="default"/>
          <w:spacing w:val="2"/>
        </w:rPr>
        <w:t>2.</w:t>
      </w:r>
      <w:r>
        <w:rPr>
          <w:spacing w:val="2"/>
        </w:rPr>
        <w:t>该组成部分是拟对一项独立的主要业务或一个单独的主要经营地区进行处置的一项相关联计划的</w:t>
      </w:r>
      <w:r>
        <w:rPr>
          <w:w w:val="100"/>
        </w:rPr>
        <w:t> </w:t>
      </w:r>
      <w:r>
        <w:rPr/>
        <w:t>一部分；</w:t>
      </w:r>
    </w:p>
    <w:p>
      <w:pPr>
        <w:pStyle w:val="BodyText"/>
        <w:spacing w:line="240" w:lineRule="auto"/>
        <w:ind w:left="573" w:right="0"/>
        <w:jc w:val="left"/>
      </w:pPr>
      <w:r>
        <w:rPr>
          <w:rFonts w:ascii="宋体" w:hAnsi="宋体" w:cs="宋体" w:eastAsia="宋体" w:hint="default"/>
        </w:rPr>
        <w:t>3.</w:t>
      </w:r>
      <w:r>
        <w:rPr/>
        <w:t>该组成部分是专为转售而取得的子公司。</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17、长期股权投资" w:id="185"/>
      <w:bookmarkEnd w:id="18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0"/>
        <w:jc w:val="left"/>
      </w:pPr>
      <w:r>
        <w:rPr>
          <w:rFonts w:ascii="宋体" w:hAnsi="宋体" w:cs="宋体" w:eastAsia="宋体" w:hint="default"/>
        </w:rPr>
        <w:t>1.</w:t>
      </w:r>
      <w:r>
        <w:rPr/>
        <w:t>初始投资成本确定</w:t>
      </w:r>
      <w:r>
        <w:rPr>
          <w:w w:val="100"/>
        </w:rPr>
        <w:t> </w:t>
      </w:r>
      <w:r>
        <w:rPr>
          <w:spacing w:val="-2"/>
        </w:rPr>
        <w:t>对于企业合并取得的长期股权投资，如为同一控制下的企业合并，应当在合并日按照被合并方所有者</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权益在最终控制方合并财务报表中的账面价值的份额作为长期股权投资的初始投资成本；非同一控制下的</w:t>
      </w:r>
      <w:r>
        <w:rPr>
          <w:spacing w:val="-43"/>
        </w:rPr>
        <w:t> </w:t>
      </w:r>
      <w:r>
        <w:rPr>
          <w:spacing w:val="-43"/>
        </w:rPr>
      </w:r>
      <w:r>
        <w:rPr>
          <w:spacing w:val="-2"/>
        </w:rPr>
        <w:t>企业合并，按照购买日确定的合并成本作为长期股权投资的初始投资成本；以支付现金取得的长期股权投</w:t>
      </w:r>
      <w:r>
        <w:rPr>
          <w:spacing w:val="-42"/>
        </w:rPr>
        <w:t> </w:t>
      </w:r>
      <w:r>
        <w:rPr>
          <w:spacing w:val="-42"/>
        </w:rPr>
      </w:r>
      <w:r>
        <w:rPr>
          <w:spacing w:val="-2"/>
        </w:rPr>
        <w:t>资，初始投资成本为实际支付的购买价款；以发行权益性证券取得的长期股权投资，初始投资成本为发行</w:t>
      </w:r>
      <w:r>
        <w:rPr>
          <w:spacing w:val="-43"/>
        </w:rPr>
        <w:t> </w:t>
      </w:r>
      <w:r>
        <w:rPr>
          <w:spacing w:val="-43"/>
        </w:rPr>
      </w:r>
      <w:r>
        <w:rPr>
          <w:spacing w:val="-2"/>
        </w:rPr>
        <w:t>权益性证券的公允价值；通过债务重组取得的长期股权投资，其初始投资成本按照《企业会计准则第</w:t>
      </w:r>
      <w:r>
        <w:rPr>
          <w:rFonts w:ascii="宋体" w:hAnsi="宋体" w:cs="宋体" w:eastAsia="宋体" w:hint="default"/>
          <w:spacing w:val="-2"/>
        </w:rPr>
        <w:t>12</w:t>
      </w:r>
      <w:r>
        <w:rPr>
          <w:spacing w:val="-2"/>
        </w:rPr>
        <w:t>号</w:t>
      </w:r>
    </w:p>
    <w:p>
      <w:pPr>
        <w:pStyle w:val="BodyText"/>
        <w:spacing w:line="408" w:lineRule="auto"/>
        <w:ind w:right="1131"/>
        <w:jc w:val="both"/>
      </w:pPr>
      <w:r>
        <w:rPr>
          <w:spacing w:val="-2"/>
        </w:rPr>
        <w:t>——债务重组》的有关规定确定；非货币性资产交换取得的长期股权投资，初始投资成本按照《企业会计</w:t>
      </w:r>
      <w:r>
        <w:rPr>
          <w:spacing w:val="-50"/>
        </w:rPr>
        <w:t> </w:t>
      </w:r>
      <w:r>
        <w:rPr>
          <w:spacing w:val="-50"/>
        </w:rPr>
      </w:r>
      <w:r>
        <w:rPr/>
        <w:t>准则第</w:t>
      </w:r>
      <w:r>
        <w:rPr>
          <w:rFonts w:ascii="宋体" w:hAnsi="宋体" w:cs="宋体" w:eastAsia="宋体" w:hint="default"/>
        </w:rPr>
        <w:t>7</w:t>
      </w:r>
      <w:r>
        <w:rPr/>
        <w:t>号——非货币性资产交换》的有关规定确定。</w:t>
      </w:r>
    </w:p>
    <w:p>
      <w:pPr>
        <w:pStyle w:val="BodyText"/>
        <w:spacing w:line="408" w:lineRule="auto"/>
        <w:ind w:left="573" w:right="0"/>
        <w:jc w:val="left"/>
      </w:pPr>
      <w:r>
        <w:rPr>
          <w:rFonts w:ascii="宋体" w:hAnsi="宋体" w:cs="宋体" w:eastAsia="宋体" w:hint="default"/>
        </w:rPr>
        <w:t>2.</w:t>
      </w:r>
      <w:r>
        <w:rPr/>
        <w:t>后续计量及损益确认方法</w:t>
      </w:r>
      <w:r>
        <w:rPr>
          <w:w w:val="100"/>
        </w:rPr>
        <w:t> </w:t>
      </w:r>
      <w:r>
        <w:rPr>
          <w:spacing w:val="-2"/>
        </w:rPr>
        <w:t>本公司能够对被投资单位实施控制的长期股权投资采用成本法核算，对联营企业和合营企业的长期股</w:t>
      </w:r>
    </w:p>
    <w:p>
      <w:pPr>
        <w:pStyle w:val="BodyText"/>
        <w:spacing w:line="408" w:lineRule="auto"/>
        <w:ind w:right="1126"/>
        <w:jc w:val="both"/>
      </w:pPr>
      <w:r>
        <w:rPr>
          <w:spacing w:val="-2"/>
        </w:rPr>
        <w:t>权投资采用权益法核算。本公司对联营企业的权益性投资，其中一部分通过风险投资机构、共同基金、信</w:t>
      </w:r>
      <w:r>
        <w:rPr>
          <w:spacing w:val="-47"/>
        </w:rPr>
        <w:t> </w:t>
      </w:r>
      <w:r>
        <w:rPr>
          <w:spacing w:val="-47"/>
        </w:rPr>
      </w:r>
      <w:r>
        <w:rPr>
          <w:spacing w:val="-2"/>
        </w:rPr>
        <w:t>托公司或包括投连险基金在内的类似主体间接持有的，无论以上主体是否对这部分投资具有重大影响，本</w:t>
      </w:r>
      <w:r>
        <w:rPr>
          <w:spacing w:val="-44"/>
        </w:rPr>
        <w:t> </w:t>
      </w:r>
      <w:r>
        <w:rPr>
          <w:spacing w:val="-44"/>
        </w:rPr>
      </w:r>
      <w:r>
        <w:rPr>
          <w:spacing w:val="-2"/>
        </w:rPr>
        <w:t>公司按照《企业会计准则第</w:t>
      </w:r>
      <w:r>
        <w:rPr>
          <w:rFonts w:ascii="宋体" w:hAnsi="宋体" w:cs="宋体" w:eastAsia="宋体" w:hint="default"/>
          <w:spacing w:val="-2"/>
        </w:rPr>
        <w:t>22</w:t>
      </w:r>
      <w:r>
        <w:rPr>
          <w:spacing w:val="-2"/>
        </w:rPr>
        <w:t>号——金融工具确认和计量》的有关规定处理，并对其余部分采用权益法核</w:t>
      </w:r>
      <w:r>
        <w:rPr>
          <w:spacing w:val="-41"/>
        </w:rPr>
        <w:t> </w:t>
      </w:r>
      <w:r>
        <w:rPr>
          <w:spacing w:val="-41"/>
        </w:rPr>
      </w:r>
      <w:r>
        <w:rPr/>
        <w:t>算。</w:t>
      </w:r>
    </w:p>
    <w:p>
      <w:pPr>
        <w:pStyle w:val="BodyText"/>
        <w:spacing w:line="408" w:lineRule="auto"/>
        <w:ind w:left="573" w:right="0"/>
        <w:jc w:val="left"/>
      </w:pPr>
      <w:r>
        <w:rPr>
          <w:rFonts w:ascii="宋体" w:hAnsi="宋体" w:cs="宋体" w:eastAsia="宋体" w:hint="default"/>
        </w:rPr>
        <w:t>3.</w:t>
      </w:r>
      <w:r>
        <w:rPr/>
        <w:t>确定对被投资单位具有共同控制、重大影响的依据</w:t>
      </w:r>
      <w:r>
        <w:rPr>
          <w:w w:val="100"/>
        </w:rPr>
        <w:t> </w:t>
      </w:r>
      <w:r>
        <w:rPr>
          <w:spacing w:val="-2"/>
        </w:rPr>
        <w:t>对被投资单位具有共同控制，是指对某项安排的回报产生重大影响的活动必须经过分享控制权的参与</w:t>
      </w:r>
    </w:p>
    <w:p>
      <w:pPr>
        <w:pStyle w:val="BodyText"/>
        <w:spacing w:line="408" w:lineRule="auto"/>
        <w:ind w:right="1126"/>
        <w:jc w:val="both"/>
      </w:pPr>
      <w:r>
        <w:rPr>
          <w:spacing w:val="-2"/>
        </w:rPr>
        <w:t>方一致同意后才能决策，包括商品或劳务的销售和购买、金融资产的管理、资产的购买和处置、研究与开</w:t>
      </w:r>
      <w:r>
        <w:rPr>
          <w:spacing w:val="-47"/>
        </w:rPr>
        <w:t> </w:t>
      </w:r>
      <w:r>
        <w:rPr>
          <w:spacing w:val="-47"/>
        </w:rPr>
      </w:r>
      <w:r>
        <w:rPr>
          <w:spacing w:val="-2"/>
        </w:rPr>
        <w:t>发活动以及融资活动等；对被投资单位具有重大影响，是指当持有被投资单位</w:t>
      </w:r>
      <w:r>
        <w:rPr>
          <w:rFonts w:ascii="宋体" w:hAnsi="宋体" w:cs="宋体" w:eastAsia="宋体" w:hint="default"/>
          <w:spacing w:val="-2"/>
        </w:rPr>
        <w:t>20%</w:t>
      </w:r>
      <w:r>
        <w:rPr>
          <w:spacing w:val="-2"/>
        </w:rPr>
        <w:t>以上至</w:t>
      </w:r>
      <w:r>
        <w:rPr>
          <w:rFonts w:ascii="宋体" w:hAnsi="宋体" w:cs="宋体" w:eastAsia="宋体" w:hint="default"/>
          <w:spacing w:val="-2"/>
        </w:rPr>
        <w:t>50%</w:t>
      </w:r>
      <w:r>
        <w:rPr>
          <w:spacing w:val="-2"/>
        </w:rPr>
        <w:t>的表决权资本</w:t>
      </w:r>
      <w:r>
        <w:rPr>
          <w:spacing w:val="-37"/>
        </w:rPr>
        <w:t> </w:t>
      </w:r>
      <w:r>
        <w:rPr>
          <w:spacing w:val="-37"/>
        </w:rPr>
      </w:r>
      <w:r>
        <w:rPr/>
        <w:t>时，具有重大影响。或虽不足</w:t>
      </w:r>
      <w:r>
        <w:rPr>
          <w:rFonts w:ascii="宋体" w:hAnsi="宋体" w:cs="宋体" w:eastAsia="宋体" w:hint="default"/>
        </w:rPr>
        <w:t>20%</w:t>
      </w:r>
      <w:r>
        <w:rPr/>
        <w:t>，但符合下列条件之一时，具有重大影响：在被投资单位的董事会或类</w:t>
      </w:r>
      <w:r>
        <w:rPr>
          <w:spacing w:val="-25"/>
        </w:rPr>
        <w:t> </w:t>
      </w:r>
      <w:r>
        <w:rPr>
          <w:spacing w:val="-25"/>
        </w:rPr>
      </w:r>
      <w:r>
        <w:rPr>
          <w:spacing w:val="-2"/>
        </w:rPr>
        <w:t>似的权力机构中派有代表；参与被投资单位的政策制定过程；向被投资单位派出管理人员；被投资单位依</w:t>
      </w:r>
      <w:r>
        <w:rPr>
          <w:spacing w:val="-45"/>
        </w:rPr>
        <w:t> </w:t>
      </w:r>
      <w:r>
        <w:rPr>
          <w:spacing w:val="-45"/>
        </w:rPr>
      </w:r>
      <w:r>
        <w:rPr/>
        <w:t>赖投资公司的技术或技术资料；与被投资单位之间发生重要交易。</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18、投资性房地产" w:id="186"/>
      <w:bookmarkEnd w:id="186"/>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87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投资性房地产计量模式：成本法计量 折旧或摊销方法：</w:t>
      </w:r>
    </w:p>
    <w:p>
      <w:pPr>
        <w:pStyle w:val="BodyText"/>
        <w:spacing w:line="410" w:lineRule="auto" w:before="83"/>
        <w:ind w:right="1126" w:firstLine="420"/>
        <w:jc w:val="both"/>
      </w:pPr>
      <w:r>
        <w:rPr>
          <w:spacing w:val="-2"/>
        </w:rPr>
        <w:t>本公司投资性房地产的类别，包括出租的土地使用权、出租的建筑物、持有并准备增值后转让的土地</w:t>
      </w:r>
      <w:r>
        <w:rPr>
          <w:w w:val="100"/>
        </w:rPr>
        <w:t> </w:t>
      </w:r>
      <w:r>
        <w:rPr/>
        <w:t>使用权。投资性房地产按照成本进行初始计量，采用成本模式进行后续计量。</w:t>
      </w:r>
    </w:p>
    <w:p>
      <w:pPr>
        <w:pStyle w:val="BodyText"/>
        <w:spacing w:line="408" w:lineRule="auto" w:before="44"/>
        <w:ind w:right="1104" w:firstLine="420"/>
        <w:jc w:val="both"/>
      </w:pPr>
      <w:r>
        <w:rPr>
          <w:spacing w:val="-2"/>
        </w:rPr>
        <w:t>本公司投资性房地产中出租的建筑物采用年限平均法计提折旧，具体核算政策与固定资产部分相同。</w:t>
      </w:r>
      <w:r>
        <w:rPr>
          <w:w w:val="100"/>
        </w:rPr>
        <w:t> </w:t>
      </w:r>
      <w:r>
        <w:rPr>
          <w:spacing w:val="-2"/>
        </w:rPr>
        <w:t>投资性房地产中出租的土地使用权、持有并准备增值后转让的土地使用权采用直线法摊销，具体核算政策</w:t>
      </w:r>
      <w:r>
        <w:rPr>
          <w:spacing w:val="-42"/>
        </w:rPr>
        <w:t> </w:t>
      </w:r>
      <w:r>
        <w:rPr>
          <w:spacing w:val="-42"/>
        </w:rPr>
      </w:r>
      <w:r>
        <w:rPr/>
        <w:t>与无形资产部分相同。</w:t>
      </w:r>
    </w:p>
    <w:p>
      <w:pPr>
        <w:spacing w:after="0" w:line="408"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19、固定资产" w:id="187"/>
      <w:bookmarkEnd w:id="187"/>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26" w:firstLine="420"/>
        <w:jc w:val="both"/>
      </w:pPr>
      <w:r>
        <w:rPr>
          <w:spacing w:val="-2"/>
        </w:rPr>
        <w:t>固定资产指为生产商品、提供劳务、出租或经营管理而持有的，使用寿命超过一个会计年度的有形资</w:t>
      </w:r>
      <w:r>
        <w:rPr>
          <w:w w:val="100"/>
        </w:rPr>
        <w:t> </w:t>
      </w:r>
      <w:r>
        <w:rPr>
          <w:spacing w:val="-2"/>
        </w:rPr>
        <w:t>产。同时满足以下条件时予以确认：与该固定资产有关的经济利益很可能流入企业；该固定资产的成本能</w:t>
      </w:r>
      <w:r>
        <w:rPr>
          <w:spacing w:val="-43"/>
        </w:rPr>
        <w:t> </w:t>
      </w:r>
      <w:r>
        <w:rPr>
          <w:spacing w:val="-43"/>
        </w:rPr>
      </w:r>
      <w:r>
        <w:rPr/>
        <w:t>够可靠地计量。</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1940"/>
        <w:gridCol w:w="1940"/>
        <w:gridCol w:w="1940"/>
        <w:gridCol w:w="1940"/>
        <w:gridCol w:w="1939"/>
      </w:tblGrid>
      <w:tr>
        <w:trPr>
          <w:trHeight w:val="396" w:hRule="exact"/>
        </w:trPr>
        <w:tc>
          <w:tcPr>
            <w:tcW w:w="194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35"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3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350"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10-40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9.50-2.375</w:t>
            </w:r>
          </w:p>
        </w:tc>
      </w:tr>
      <w:tr>
        <w:trPr>
          <w:trHeight w:val="401" w:hRule="exact"/>
        </w:trPr>
        <w:tc>
          <w:tcPr>
            <w:tcW w:w="19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管道沟槽</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6.33</w:t>
            </w:r>
          </w:p>
        </w:tc>
      </w:tr>
      <w:tr>
        <w:trPr>
          <w:trHeight w:val="403" w:hRule="exact"/>
        </w:trPr>
        <w:tc>
          <w:tcPr>
            <w:tcW w:w="19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w:t>
            </w:r>
            <w:r>
              <w:rPr>
                <w:rFonts w:ascii="Times New Roman"/>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19.00-9.50</w:t>
            </w:r>
          </w:p>
        </w:tc>
      </w:tr>
      <w:tr>
        <w:trPr>
          <w:trHeight w:val="401" w:hRule="exact"/>
        </w:trPr>
        <w:tc>
          <w:tcPr>
            <w:tcW w:w="19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w:t>
            </w:r>
            <w:r>
              <w:rPr>
                <w:rFonts w:ascii="Times New Roman"/>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19.00-9.50</w:t>
            </w:r>
          </w:p>
        </w:tc>
      </w:tr>
      <w:tr>
        <w:trPr>
          <w:trHeight w:val="403" w:hRule="exact"/>
        </w:trPr>
        <w:tc>
          <w:tcPr>
            <w:tcW w:w="194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31.67-19.00</w:t>
            </w:r>
          </w:p>
        </w:tc>
      </w:tr>
      <w:tr>
        <w:trPr>
          <w:trHeight w:val="410" w:hRule="exact"/>
        </w:trPr>
        <w:tc>
          <w:tcPr>
            <w:tcW w:w="194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w:t>
            </w: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31.67-19.00</w:t>
            </w:r>
          </w:p>
        </w:tc>
      </w:tr>
    </w:tbl>
    <w:p>
      <w:pPr>
        <w:spacing w:line="240" w:lineRule="auto" w:before="5"/>
        <w:rPr>
          <w:rFonts w:ascii="宋体" w:hAnsi="宋体" w:cs="宋体" w:eastAsia="宋体" w:hint="default"/>
          <w:b/>
          <w:bCs/>
          <w:sz w:val="19"/>
          <w:szCs w:val="19"/>
        </w:rPr>
      </w:pPr>
    </w:p>
    <w:p>
      <w:pPr>
        <w:pStyle w:val="Heading4"/>
        <w:spacing w:line="240" w:lineRule="auto" w:before="36"/>
        <w:ind w:right="0"/>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26" w:firstLine="420"/>
        <w:jc w:val="both"/>
      </w:pPr>
      <w:r>
        <w:rPr>
          <w:spacing w:val="-2"/>
        </w:rPr>
        <w:t>融资租入固定资产为实质上转移了与资产所有权有关的全部风险和报酬的租赁。融资租入固定资产初</w:t>
      </w:r>
      <w:r>
        <w:rPr>
          <w:w w:val="100"/>
        </w:rPr>
        <w:t> </w:t>
      </w:r>
      <w:r>
        <w:rPr>
          <w:spacing w:val="-2"/>
        </w:rPr>
        <w:t>始计价为租赁期开始日租赁资产公允价值与最低租赁付款额现值较低者作为入账价值；融资租入固定资产</w:t>
      </w:r>
      <w:r>
        <w:rPr>
          <w:spacing w:val="-43"/>
        </w:rPr>
        <w:t> </w:t>
      </w:r>
      <w:r>
        <w:rPr>
          <w:spacing w:val="-43"/>
        </w:rPr>
      </w:r>
      <w:r>
        <w:rPr/>
        <w:t>后续计价采用与自有固定资产相一致的折旧政策计提折旧及减值准备。</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0、在建工程" w:id="191"/>
      <w:bookmarkEnd w:id="191"/>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0" w:firstLine="420"/>
        <w:jc w:val="left"/>
      </w:pPr>
      <w:r>
        <w:rPr>
          <w:spacing w:val="2"/>
        </w:rPr>
        <w:t>本公司在建工程分为自营方式建造和出包方式建造两种。在建工程在工程完工达到预定可使用状态</w:t>
      </w:r>
      <w:r>
        <w:rPr>
          <w:w w:val="100"/>
        </w:rPr>
        <w:t> </w:t>
      </w:r>
      <w:r>
        <w:rPr>
          <w:spacing w:val="-5"/>
        </w:rPr>
        <w:t>时，结转固定资产。预定可使用状态的判断标准，应符合下列情况之一：固定资产的实体建造（包括安装）</w:t>
      </w:r>
      <w:r>
        <w:rPr>
          <w:spacing w:val="-8"/>
        </w:rPr>
        <w:t> </w:t>
      </w:r>
      <w:r>
        <w:rPr>
          <w:spacing w:val="-8"/>
        </w:rPr>
      </w:r>
      <w:r>
        <w:rPr>
          <w:spacing w:val="-2"/>
        </w:rPr>
        <w:t>工作已经全部完成或实质上已经全部完成；已经试生产或试运行，并且其结果表明资产能够正常运行或能</w:t>
      </w:r>
      <w:r>
        <w:rPr>
          <w:spacing w:val="-43"/>
        </w:rPr>
        <w:t> </w:t>
      </w:r>
      <w:r>
        <w:rPr>
          <w:spacing w:val="-43"/>
        </w:rPr>
      </w:r>
      <w:r>
        <w:rPr>
          <w:spacing w:val="-2"/>
        </w:rPr>
        <w:t>够稳定地生产出合格产品，或者试运行结果表明其能够正常运转或营业；该项建造的固定资产上的支出金</w:t>
      </w:r>
      <w:r>
        <w:rPr>
          <w:spacing w:val="-44"/>
        </w:rPr>
        <w:t> </w:t>
      </w:r>
      <w:r>
        <w:rPr>
          <w:spacing w:val="-44"/>
        </w:rPr>
      </w:r>
      <w:r>
        <w:rPr/>
        <w:t>额很少或者几乎不再发生；所购建的固定资产已经达到设计或合同要求，或与设计或合同要求基本相符。</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1、借款费用" w:id="192"/>
      <w:bookmarkEnd w:id="192"/>
      <w:r>
        <w:rPr>
          <w:b w:val="0"/>
          <w:bCs w:val="0"/>
        </w:rPr>
      </w:r>
      <w:r>
        <w:rPr>
          <w:rFonts w:ascii="Times New Roman" w:hAnsi="Times New Roman" w:cs="Times New Roman" w:eastAsia="Times New Roman" w:hint="default"/>
        </w:rPr>
        <w:t>21</w:t>
      </w:r>
      <w:r>
        <w:rPr/>
        <w:t>、借款费用</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0"/>
        <w:jc w:val="left"/>
      </w:pPr>
      <w:r>
        <w:rPr>
          <w:rFonts w:ascii="宋体" w:hAnsi="宋体" w:cs="宋体" w:eastAsia="宋体" w:hint="default"/>
        </w:rPr>
        <w:t>1.</w:t>
      </w:r>
      <w:r>
        <w:rPr/>
        <w:t>借款费用资本化的确认原则</w:t>
      </w:r>
      <w:r>
        <w:rPr>
          <w:w w:val="100"/>
        </w:rPr>
        <w:t> </w:t>
      </w:r>
      <w:r>
        <w:rPr>
          <w:spacing w:val="-2"/>
        </w:rPr>
        <w:t>本公司发生的借款费用，可直接归属于符合资本化条件的资产的购建或者生产的，予以资本化，计入</w:t>
      </w:r>
    </w:p>
    <w:p>
      <w:pPr>
        <w:spacing w:after="0" w:line="40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相关资产成本；其他借款费用，在发生时根据其发生额确认为费用，计入当期损益。符合资本化条件的资</w:t>
      </w:r>
      <w:r>
        <w:rPr>
          <w:spacing w:val="-50"/>
        </w:rPr>
        <w:t> </w:t>
      </w:r>
      <w:r>
        <w:rPr>
          <w:spacing w:val="-50"/>
        </w:rPr>
      </w:r>
      <w:r>
        <w:rPr>
          <w:spacing w:val="-2"/>
        </w:rPr>
        <w:t>产，是指需要经过相当长时间的购建或者生产活动才能达到预定可使用或者可销售状态的固定资产、投资</w:t>
      </w:r>
      <w:r>
        <w:rPr>
          <w:spacing w:val="-43"/>
        </w:rPr>
        <w:t> </w:t>
      </w:r>
      <w:r>
        <w:rPr>
          <w:spacing w:val="-43"/>
        </w:rPr>
      </w:r>
      <w:r>
        <w:rPr/>
        <w:t>性房地产和存货等资产。</w:t>
      </w:r>
    </w:p>
    <w:p>
      <w:pPr>
        <w:pStyle w:val="BodyText"/>
        <w:spacing w:line="408" w:lineRule="auto"/>
        <w:ind w:left="573" w:right="0"/>
        <w:jc w:val="left"/>
      </w:pPr>
      <w:r>
        <w:rPr>
          <w:rFonts w:ascii="宋体" w:hAnsi="宋体" w:cs="宋体" w:eastAsia="宋体" w:hint="default"/>
        </w:rPr>
        <w:t>2.</w:t>
      </w:r>
      <w:r>
        <w:rPr/>
        <w:t>资本化金额计算方法</w:t>
      </w:r>
      <w:r>
        <w:rPr>
          <w:w w:val="100"/>
        </w:rPr>
        <w:t> </w:t>
      </w:r>
      <w:r>
        <w:rPr>
          <w:spacing w:val="-2"/>
        </w:rPr>
        <w:t>资本化期间，是指从借款费用开始资本化时点到停止资本化时点的期间。借款费用暂停资本化的期间</w:t>
      </w:r>
    </w:p>
    <w:p>
      <w:pPr>
        <w:pStyle w:val="BodyText"/>
        <w:spacing w:line="408" w:lineRule="auto"/>
        <w:ind w:right="1130"/>
        <w:jc w:val="both"/>
      </w:pPr>
      <w:r>
        <w:rPr/>
        <w:t>不包括在内。在购建或生产过程中发生非正常中断、且中断时间连续超过</w:t>
      </w:r>
      <w:r>
        <w:rPr>
          <w:rFonts w:ascii="宋体" w:hAnsi="宋体" w:cs="宋体" w:eastAsia="宋体" w:hint="default"/>
        </w:rPr>
        <w:t>3</w:t>
      </w:r>
      <w:r>
        <w:rPr/>
        <w:t>个月的，应当暂停借款费用的</w:t>
      </w:r>
      <w:r>
        <w:rPr>
          <w:spacing w:val="-21"/>
        </w:rPr>
        <w:t> </w:t>
      </w:r>
      <w:r>
        <w:rPr>
          <w:spacing w:val="-21"/>
        </w:rPr>
      </w:r>
      <w:r>
        <w:rPr/>
        <w:t>资本化。</w:t>
      </w:r>
    </w:p>
    <w:p>
      <w:pPr>
        <w:pStyle w:val="BodyText"/>
        <w:spacing w:line="408" w:lineRule="auto"/>
        <w:ind w:right="1126" w:firstLine="420"/>
        <w:jc w:val="both"/>
      </w:pPr>
      <w:r>
        <w:rPr>
          <w:spacing w:val="-2"/>
        </w:rPr>
        <w:t>借入专门借款，按照专门借款当期实际发生的利息费用，减去将尚未动用的借款资金存入银行取得的</w:t>
      </w:r>
      <w:r>
        <w:rPr>
          <w:w w:val="100"/>
        </w:rPr>
        <w:t> </w:t>
      </w:r>
      <w:r>
        <w:rPr>
          <w:spacing w:val="-2"/>
        </w:rPr>
        <w:t>利息收入或进行暂时性投资取得的投资收益后的金额确定；占用一般借款按照累计资产支出超过专门借款</w:t>
      </w:r>
      <w:r>
        <w:rPr>
          <w:spacing w:val="-43"/>
        </w:rPr>
        <w:t> </w:t>
      </w:r>
      <w:r>
        <w:rPr>
          <w:spacing w:val="-43"/>
        </w:rPr>
      </w:r>
      <w:r>
        <w:rPr>
          <w:spacing w:val="-2"/>
        </w:rPr>
        <w:t>部分的资产支出加权平均数乘以所占用一般借款的资本化率计算确定，资本化率为一般借款的加权平均利</w:t>
      </w:r>
      <w:r>
        <w:rPr>
          <w:spacing w:val="-43"/>
        </w:rPr>
        <w:t> </w:t>
      </w:r>
      <w:r>
        <w:rPr>
          <w:spacing w:val="-43"/>
        </w:rPr>
      </w:r>
      <w:r>
        <w:rPr>
          <w:spacing w:val="-2"/>
        </w:rPr>
        <w:t>率；借款存在折价或溢价的，按照实际利率法确定每一会计期间应摊销的折价或溢价金额，调整每期利息</w:t>
      </w:r>
      <w:r>
        <w:rPr>
          <w:spacing w:val="-43"/>
        </w:rPr>
        <w:t> </w:t>
      </w:r>
      <w:r>
        <w:rPr>
          <w:spacing w:val="-43"/>
        </w:rPr>
      </w:r>
      <w:r>
        <w:rPr/>
        <w:t>金额。</w:t>
      </w:r>
    </w:p>
    <w:p>
      <w:pPr>
        <w:pStyle w:val="BodyText"/>
        <w:spacing w:line="408" w:lineRule="auto"/>
        <w:ind w:right="1126" w:firstLine="420"/>
        <w:jc w:val="both"/>
      </w:pPr>
      <w:r>
        <w:rPr>
          <w:spacing w:val="-2"/>
        </w:rPr>
        <w:t>实际利率法是根据借款实际利率计算其摊余折价或溢价或利息费用的方法。其中实际利率是借款在预</w:t>
      </w:r>
      <w:r>
        <w:rPr>
          <w:w w:val="100"/>
        </w:rPr>
        <w:t> </w:t>
      </w:r>
      <w:r>
        <w:rPr/>
        <w:t>期存续期间的未来现金流量，折现为该借款当前账面价值所使用的利率。</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2、无形资产" w:id="193"/>
      <w:bookmarkEnd w:id="193"/>
      <w:r>
        <w:rPr>
          <w:b w:val="0"/>
          <w:bCs w:val="0"/>
        </w:rPr>
      </w:r>
      <w:r>
        <w:rPr>
          <w:rFonts w:ascii="Times New Roman" w:hAnsi="Times New Roman" w:cs="Times New Roman" w:eastAsia="Times New Roman" w:hint="default"/>
        </w:rPr>
        <w:t>22</w:t>
      </w:r>
      <w:r>
        <w:rPr/>
        <w:t>、无形资产</w:t>
      </w:r>
      <w:r>
        <w:rPr>
          <w:b w:val="0"/>
          <w:bCs w:val="0"/>
        </w:rPr>
      </w:r>
    </w:p>
    <w:p>
      <w:pPr>
        <w:spacing w:line="688" w:lineRule="exact" w:before="19"/>
        <w:ind w:left="573" w:right="6794" w:hanging="421"/>
        <w:jc w:val="left"/>
        <w:rPr>
          <w:rFonts w:ascii="宋体" w:hAnsi="宋体" w:cs="宋体" w:eastAsia="宋体" w:hint="default"/>
          <w:sz w:val="21"/>
          <w:szCs w:val="21"/>
        </w:rPr>
      </w:pPr>
      <w:bookmarkStart w:name="（1）计价方法、使用寿命、减值测试" w:id="194"/>
      <w:bookmarkEnd w:id="194"/>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）计价方法、使用寿命、减值测试</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1.</w:t>
      </w:r>
      <w:r>
        <w:rPr>
          <w:rFonts w:ascii="宋体" w:hAnsi="宋体" w:cs="宋体" w:eastAsia="宋体" w:hint="default"/>
          <w:sz w:val="21"/>
          <w:szCs w:val="21"/>
        </w:rPr>
        <w:t>无形资产的计价方法</w:t>
      </w:r>
    </w:p>
    <w:p>
      <w:pPr>
        <w:pStyle w:val="BodyText"/>
        <w:spacing w:line="408" w:lineRule="auto" w:before="85"/>
        <w:ind w:right="1126" w:firstLine="420"/>
        <w:jc w:val="both"/>
      </w:pPr>
      <w:r>
        <w:rPr>
          <w:spacing w:val="-2"/>
        </w:rPr>
        <w:t>本公司无形资产按照成本进行初始计量。购入的无形资产，按实际支付的价款和相关支出作为实际成</w:t>
      </w:r>
      <w:r>
        <w:rPr>
          <w:w w:val="100"/>
        </w:rPr>
        <w:t> </w:t>
      </w:r>
      <w:r>
        <w:rPr>
          <w:spacing w:val="-2"/>
        </w:rPr>
        <w:t>本。投资者投入的无形资产，按投资合同或协议约定的价值确定实际成本，但合同或协议约定价值不公允</w:t>
      </w:r>
      <w:r>
        <w:rPr>
          <w:spacing w:val="-42"/>
        </w:rPr>
        <w:t> </w:t>
      </w:r>
      <w:r>
        <w:rPr>
          <w:spacing w:val="-42"/>
        </w:rPr>
      </w:r>
      <w:r>
        <w:rPr/>
        <w:t>的，按公允价值确定实际成本。自行开发的无形资产，其成本为达到预定用途前所发生的支出总额。</w:t>
      </w:r>
    </w:p>
    <w:p>
      <w:pPr>
        <w:pStyle w:val="BodyText"/>
        <w:spacing w:line="408" w:lineRule="auto"/>
        <w:ind w:right="1126" w:firstLine="420"/>
        <w:jc w:val="both"/>
      </w:pPr>
      <w:r>
        <w:rPr>
          <w:spacing w:val="-2"/>
        </w:rPr>
        <w:t>本公司无形资产后续计量方法分别为：使用寿命有限无形资产采用直线法摊销，并在年度终了，对无</w:t>
      </w:r>
      <w:r>
        <w:rPr>
          <w:w w:val="100"/>
        </w:rPr>
        <w:t> </w:t>
      </w:r>
      <w:r>
        <w:rPr>
          <w:spacing w:val="-2"/>
        </w:rPr>
        <w:t>形资产的使用寿命和摊销方法进行复核，如与原先估计数存在差异的，进行相应的调整；使用寿命不确定</w:t>
      </w:r>
      <w:r>
        <w:rPr>
          <w:spacing w:val="-43"/>
        </w:rPr>
        <w:t> </w:t>
      </w:r>
      <w:r>
        <w:rPr>
          <w:spacing w:val="-43"/>
        </w:rPr>
      </w:r>
      <w:r>
        <w:rPr>
          <w:spacing w:val="-2"/>
        </w:rPr>
        <w:t>的无形资产不摊销，但在年度终了，对使用寿命进行复核，当有确凿证据表明其使用寿命是有限的，则估</w:t>
      </w:r>
      <w:r>
        <w:rPr>
          <w:spacing w:val="-50"/>
        </w:rPr>
        <w:t> </w:t>
      </w:r>
      <w:r>
        <w:rPr>
          <w:spacing w:val="-50"/>
        </w:rPr>
      </w:r>
      <w:r>
        <w:rPr/>
        <w:t>计其使用寿命，按直线法进行摊销。</w:t>
      </w:r>
    </w:p>
    <w:p>
      <w:pPr>
        <w:pStyle w:val="BodyText"/>
        <w:spacing w:line="244" w:lineRule="exact" w:before="0"/>
        <w:ind w:left="573" w:right="0"/>
        <w:jc w:val="left"/>
      </w:pPr>
      <w:r>
        <w:rPr/>
        <w:t>使用寿命有限的无形资产摊销方法如下：</w:t>
      </w:r>
    </w:p>
    <w:p>
      <w:pPr>
        <w:spacing w:line="240" w:lineRule="auto" w:before="9"/>
        <w:rPr>
          <w:rFonts w:ascii="宋体" w:hAnsi="宋体" w:cs="宋体" w:eastAsia="宋体"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3291"/>
        <w:gridCol w:w="3276"/>
        <w:gridCol w:w="3101"/>
      </w:tblGrid>
      <w:tr>
        <w:trPr>
          <w:trHeight w:val="353" w:hRule="exact"/>
        </w:trPr>
        <w:tc>
          <w:tcPr>
            <w:tcW w:w="3291"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327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005" w:right="0"/>
              <w:jc w:val="left"/>
              <w:rPr>
                <w:rFonts w:ascii="宋体" w:hAnsi="宋体" w:cs="宋体" w:eastAsia="宋体" w:hint="default"/>
                <w:sz w:val="18"/>
                <w:szCs w:val="18"/>
              </w:rPr>
            </w:pPr>
            <w:r>
              <w:rPr>
                <w:rFonts w:ascii="宋体" w:hAnsi="宋体" w:cs="宋体" w:eastAsia="宋体" w:hint="default"/>
                <w:sz w:val="18"/>
                <w:szCs w:val="18"/>
              </w:rPr>
              <w:t>使用寿命（年）</w:t>
            </w:r>
          </w:p>
        </w:tc>
        <w:tc>
          <w:tcPr>
            <w:tcW w:w="3101"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341" w:hRule="exact"/>
        </w:trPr>
        <w:tc>
          <w:tcPr>
            <w:tcW w:w="32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w:t>
            </w:r>
          </w:p>
        </w:tc>
        <w:tc>
          <w:tcPr>
            <w:tcW w:w="31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11" w:right="0"/>
              <w:jc w:val="center"/>
              <w:rPr>
                <w:rFonts w:ascii="宋体" w:hAnsi="宋体" w:cs="宋体" w:eastAsia="宋体" w:hint="default"/>
                <w:sz w:val="18"/>
                <w:szCs w:val="18"/>
              </w:rPr>
            </w:pPr>
            <w:r>
              <w:rPr>
                <w:rFonts w:ascii="宋体" w:hAnsi="宋体" w:cs="宋体" w:eastAsia="宋体" w:hint="default"/>
                <w:sz w:val="18"/>
                <w:szCs w:val="18"/>
              </w:rPr>
              <w:t>平均年限法</w:t>
            </w:r>
          </w:p>
        </w:tc>
      </w:tr>
      <w:tr>
        <w:trPr>
          <w:trHeight w:val="343" w:hRule="exact"/>
        </w:trPr>
        <w:tc>
          <w:tcPr>
            <w:tcW w:w="32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w:t>
            </w:r>
          </w:p>
        </w:tc>
        <w:tc>
          <w:tcPr>
            <w:tcW w:w="31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1" w:right="0"/>
              <w:jc w:val="center"/>
              <w:rPr>
                <w:rFonts w:ascii="宋体" w:hAnsi="宋体" w:cs="宋体" w:eastAsia="宋体" w:hint="default"/>
                <w:sz w:val="18"/>
                <w:szCs w:val="18"/>
              </w:rPr>
            </w:pPr>
            <w:r>
              <w:rPr>
                <w:rFonts w:ascii="宋体" w:hAnsi="宋体" w:cs="宋体" w:eastAsia="宋体" w:hint="default"/>
                <w:sz w:val="18"/>
                <w:szCs w:val="18"/>
              </w:rPr>
              <w:t>平均年限法</w:t>
            </w:r>
          </w:p>
        </w:tc>
      </w:tr>
      <w:tr>
        <w:trPr>
          <w:trHeight w:val="353" w:hRule="exact"/>
        </w:trPr>
        <w:tc>
          <w:tcPr>
            <w:tcW w:w="32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非专利技术</w:t>
            </w:r>
          </w:p>
        </w:tc>
        <w:tc>
          <w:tcPr>
            <w:tcW w:w="3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w:t>
            </w:r>
          </w:p>
        </w:tc>
        <w:tc>
          <w:tcPr>
            <w:tcW w:w="310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7"/>
              <w:ind w:left="11" w:right="0"/>
              <w:jc w:val="center"/>
              <w:rPr>
                <w:rFonts w:ascii="宋体" w:hAnsi="宋体" w:cs="宋体" w:eastAsia="宋体" w:hint="default"/>
                <w:sz w:val="18"/>
                <w:szCs w:val="18"/>
              </w:rPr>
            </w:pPr>
            <w:r>
              <w:rPr>
                <w:rFonts w:ascii="宋体" w:hAnsi="宋体" w:cs="宋体" w:eastAsia="宋体" w:hint="default"/>
                <w:sz w:val="18"/>
                <w:szCs w:val="18"/>
              </w:rPr>
              <w:t>平均年限法</w:t>
            </w:r>
          </w:p>
        </w:tc>
      </w:tr>
    </w:tbl>
    <w:p>
      <w:pPr>
        <w:spacing w:after="0" w:line="240" w:lineRule="auto"/>
        <w:jc w:val="center"/>
        <w:rPr>
          <w:rFonts w:ascii="宋体" w:hAnsi="宋体" w:cs="宋体" w:eastAsia="宋体" w:hint="default"/>
          <w:sz w:val="18"/>
          <w:szCs w:val="18"/>
        </w:rPr>
        <w:sectPr>
          <w:footerReference w:type="default" r:id="rId20"/>
          <w:pgSz w:w="11910" w:h="16840"/>
          <w:pgMar w:footer="980" w:header="745" w:top="1060" w:bottom="1160" w:left="980" w:right="0"/>
          <w:pgNumType w:start="120"/>
        </w:sectPr>
      </w:pPr>
    </w:p>
    <w:p>
      <w:pPr>
        <w:spacing w:line="240" w:lineRule="auto" w:before="6"/>
        <w:rPr>
          <w:rFonts w:ascii="宋体" w:hAnsi="宋体" w:cs="宋体" w:eastAsia="宋体" w:hint="default"/>
          <w:sz w:val="28"/>
          <w:szCs w:val="28"/>
        </w:rPr>
      </w:pPr>
    </w:p>
    <w:tbl>
      <w:tblPr>
        <w:tblW w:w="0" w:type="auto"/>
        <w:jc w:val="left"/>
        <w:tblInd w:w="123" w:type="dxa"/>
        <w:tblLayout w:type="fixed"/>
        <w:tblCellMar>
          <w:top w:w="0" w:type="dxa"/>
          <w:left w:w="0" w:type="dxa"/>
          <w:bottom w:w="0" w:type="dxa"/>
          <w:right w:w="0" w:type="dxa"/>
        </w:tblCellMar>
        <w:tblLook w:val="01E0"/>
      </w:tblPr>
      <w:tblGrid>
        <w:gridCol w:w="3291"/>
        <w:gridCol w:w="3276"/>
        <w:gridCol w:w="3101"/>
      </w:tblGrid>
      <w:tr>
        <w:trPr>
          <w:trHeight w:val="353" w:hRule="exact"/>
        </w:trPr>
        <w:tc>
          <w:tcPr>
            <w:tcW w:w="329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32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w:t>
            </w:r>
          </w:p>
        </w:tc>
        <w:tc>
          <w:tcPr>
            <w:tcW w:w="310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11" w:right="0"/>
              <w:jc w:val="center"/>
              <w:rPr>
                <w:rFonts w:ascii="宋体" w:hAnsi="宋体" w:cs="宋体" w:eastAsia="宋体" w:hint="default"/>
                <w:sz w:val="18"/>
                <w:szCs w:val="18"/>
              </w:rPr>
            </w:pPr>
            <w:r>
              <w:rPr>
                <w:rFonts w:ascii="宋体" w:hAnsi="宋体" w:cs="宋体" w:eastAsia="宋体" w:hint="default"/>
                <w:sz w:val="18"/>
                <w:szCs w:val="18"/>
              </w:rPr>
              <w:t>平均年限法</w:t>
            </w:r>
          </w:p>
        </w:tc>
      </w:tr>
      <w:tr>
        <w:trPr>
          <w:trHeight w:val="353" w:hRule="exact"/>
        </w:trPr>
        <w:tc>
          <w:tcPr>
            <w:tcW w:w="32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特许经营权</w:t>
            </w:r>
          </w:p>
        </w:tc>
        <w:tc>
          <w:tcPr>
            <w:tcW w:w="32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20-30</w:t>
            </w:r>
          </w:p>
        </w:tc>
        <w:tc>
          <w:tcPr>
            <w:tcW w:w="310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7"/>
              <w:ind w:left="11" w:right="0"/>
              <w:jc w:val="center"/>
              <w:rPr>
                <w:rFonts w:ascii="宋体" w:hAnsi="宋体" w:cs="宋体" w:eastAsia="宋体" w:hint="default"/>
                <w:sz w:val="18"/>
                <w:szCs w:val="18"/>
              </w:rPr>
            </w:pPr>
            <w:r>
              <w:rPr>
                <w:rFonts w:ascii="宋体" w:hAnsi="宋体" w:cs="宋体" w:eastAsia="宋体" w:hint="default"/>
                <w:sz w:val="18"/>
                <w:szCs w:val="18"/>
              </w:rPr>
              <w:t>平均年限法</w:t>
            </w:r>
          </w:p>
        </w:tc>
      </w:tr>
    </w:tbl>
    <w:p>
      <w:pPr>
        <w:pStyle w:val="BodyText"/>
        <w:spacing w:line="321" w:lineRule="auto" w:before="0"/>
        <w:ind w:left="573" w:right="0"/>
        <w:jc w:val="left"/>
      </w:pPr>
      <w:r>
        <w:rPr>
          <w:rFonts w:ascii="Times New Roman" w:hAnsi="Times New Roman" w:cs="Times New Roman" w:eastAsia="Times New Roman" w:hint="default"/>
        </w:rPr>
        <w:t>2.</w:t>
      </w:r>
      <w:r>
        <w:rPr/>
        <w:t>使用寿命不确定的判断依据</w:t>
      </w:r>
      <w:r>
        <w:rPr>
          <w:w w:val="100"/>
        </w:rPr>
        <w:t> </w:t>
      </w:r>
      <w:r>
        <w:rPr>
          <w:spacing w:val="-2"/>
        </w:rPr>
        <w:t>本公司将无法预见该资产为公司带来经济利益的期限，或使用期限不确定的无形资产确定为使用寿命</w:t>
      </w:r>
    </w:p>
    <w:p>
      <w:pPr>
        <w:pStyle w:val="BodyText"/>
        <w:spacing w:line="408" w:lineRule="auto" w:before="121"/>
        <w:ind w:right="1126"/>
        <w:jc w:val="both"/>
      </w:pPr>
      <w:r>
        <w:rPr>
          <w:spacing w:val="-2"/>
        </w:rPr>
        <w:t>不确定的无形资产。使用寿命不确定的判断依据为：来源于合同性权利或其他法定权利，但合同规定或法</w:t>
      </w:r>
      <w:r>
        <w:rPr>
          <w:spacing w:val="-43"/>
        </w:rPr>
        <w:t> </w:t>
      </w:r>
      <w:r>
        <w:rPr>
          <w:spacing w:val="-43"/>
        </w:rPr>
      </w:r>
      <w:r>
        <w:rPr>
          <w:spacing w:val="-2"/>
        </w:rPr>
        <w:t>律规定无明确使用年限；综合同行业情况或相关专家论证等，仍无法判断无形资产为公司带来经济利益的</w:t>
      </w:r>
      <w:r>
        <w:rPr>
          <w:spacing w:val="-42"/>
        </w:rPr>
        <w:t> </w:t>
      </w:r>
      <w:r>
        <w:rPr>
          <w:spacing w:val="-42"/>
        </w:rPr>
      </w:r>
      <w:r>
        <w:rPr/>
        <w:t>期限。</w:t>
      </w:r>
    </w:p>
    <w:p>
      <w:pPr>
        <w:pStyle w:val="BodyText"/>
        <w:spacing w:line="408" w:lineRule="auto"/>
        <w:ind w:right="1126" w:firstLine="420"/>
        <w:jc w:val="both"/>
      </w:pPr>
      <w:r>
        <w:rPr>
          <w:spacing w:val="-2"/>
        </w:rPr>
        <w:t>每年年末，对使用寿命不确定的无形资产的使用寿命进行复核，主要采取自下而上的方式，由无形资</w:t>
      </w:r>
      <w:r>
        <w:rPr>
          <w:w w:val="100"/>
        </w:rPr>
        <w:t> </w:t>
      </w:r>
      <w:r>
        <w:rPr/>
        <w:t>产使用相关部门进行基础复核，评价使用寿命不确定判断依据是否存在变化等。</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05" w:firstLine="420"/>
        <w:jc w:val="both"/>
      </w:pPr>
      <w:r>
        <w:rPr>
          <w:spacing w:val="-2"/>
        </w:rPr>
        <w:t>内部研究开发项目研究阶段的支出，于发生时计入当期损益；开发阶段的支出，满足确认为无形资产</w:t>
      </w:r>
      <w:r>
        <w:rPr>
          <w:w w:val="100"/>
        </w:rPr>
        <w:t> </w:t>
      </w:r>
      <w:r>
        <w:rPr>
          <w:spacing w:val="-2"/>
        </w:rPr>
        <w:t>条件的转入无形资产核算。划分内部研究开发项目的研究阶段和开发阶段的具体标准：为获取新的技术和</w:t>
      </w:r>
      <w:r>
        <w:rPr>
          <w:spacing w:val="-43"/>
        </w:rPr>
        <w:t> </w:t>
      </w:r>
      <w:r>
        <w:rPr>
          <w:spacing w:val="-43"/>
        </w:rPr>
      </w:r>
      <w:r>
        <w:rPr>
          <w:spacing w:val="-2"/>
        </w:rPr>
        <w:t>知识等进行的有计划的调查阶段，应确定为研究阶段，该阶段具有计划性和探索性等特点；在进行商业性</w:t>
      </w:r>
      <w:r>
        <w:rPr>
          <w:spacing w:val="-43"/>
        </w:rPr>
        <w:t> </w:t>
      </w:r>
      <w:r>
        <w:rPr>
          <w:spacing w:val="-43"/>
        </w:rPr>
      </w:r>
      <w:r>
        <w:rPr>
          <w:spacing w:val="-2"/>
        </w:rPr>
        <w:t>生产或使用前，将研究成果或其他知识应用于某项计划或设计，以生产出新的或具有实质性改进的材料、</w:t>
      </w:r>
      <w:r>
        <w:rPr>
          <w:spacing w:val="-21"/>
        </w:rPr>
        <w:t> </w:t>
      </w:r>
      <w:r>
        <w:rPr>
          <w:spacing w:val="-21"/>
        </w:rPr>
      </w:r>
      <w:r>
        <w:rPr>
          <w:spacing w:val="-2"/>
        </w:rPr>
        <w:t>装置、产品等阶段，应确定为开发阶段，该阶段具有针对性和形成成果的可能性较大等特点。开发阶段的</w:t>
      </w:r>
      <w:r>
        <w:rPr>
          <w:spacing w:val="-47"/>
        </w:rPr>
        <w:t> </w:t>
      </w:r>
      <w:r>
        <w:rPr>
          <w:spacing w:val="-47"/>
        </w:rPr>
      </w:r>
      <w:r>
        <w:rPr>
          <w:spacing w:val="-2"/>
        </w:rPr>
        <w:t>支出，同时满足下列条件的，确认为无形资产：①完成该无形资产以使其能够使用或出售在技术上具有可</w:t>
      </w:r>
      <w:r>
        <w:rPr>
          <w:spacing w:val="-43"/>
        </w:rPr>
        <w:t> </w:t>
      </w:r>
      <w:r>
        <w:rPr>
          <w:spacing w:val="-43"/>
        </w:rPr>
      </w:r>
      <w:r>
        <w:rPr>
          <w:spacing w:val="-2"/>
        </w:rPr>
        <w:t>行性；②具有完成该无形资产并使用或出售的意图；③无形资产产生经济利益的方式，包括能够证明运用</w:t>
      </w:r>
      <w:r>
        <w:rPr>
          <w:spacing w:val="-45"/>
        </w:rPr>
        <w:t> </w:t>
      </w:r>
      <w:r>
        <w:rPr>
          <w:spacing w:val="-45"/>
        </w:rPr>
      </w:r>
      <w:r>
        <w:rPr>
          <w:spacing w:val="-2"/>
        </w:rPr>
        <w:t>该无形资产生产的产品存在市场或无形资产自身存在市场，无形资产将在内部使用的，能证明其有用性；</w:t>
      </w:r>
    </w:p>
    <w:p>
      <w:pPr>
        <w:pStyle w:val="BodyText"/>
        <w:spacing w:line="240" w:lineRule="auto"/>
        <w:ind w:right="0"/>
        <w:jc w:val="both"/>
      </w:pPr>
      <w:r>
        <w:rPr>
          <w:spacing w:val="-5"/>
        </w:rPr>
        <w:t>④有足够的技术、财务资源和其他资源支持，以完成该无形资产的开发，并有能力使用或出售该无形资产；</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⑤归属于该无形资产开发阶段的支出能够可靠地计量。</w:t>
      </w:r>
    </w:p>
    <w:p>
      <w:pPr>
        <w:pStyle w:val="BodyText"/>
        <w:spacing w:line="670" w:lineRule="atLeast" w:before="37"/>
        <w:ind w:left="573" w:right="0" w:hanging="421"/>
        <w:jc w:val="left"/>
      </w:pPr>
      <w:bookmarkStart w:name="23、长期资产减值" w:id="196"/>
      <w:bookmarkEnd w:id="196"/>
      <w:r>
        <w:rPr/>
      </w:r>
      <w:r>
        <w:rPr>
          <w:rFonts w:ascii="Times New Roman" w:hAnsi="Times New Roman" w:cs="Times New Roman" w:eastAsia="Times New Roman" w:hint="default"/>
          <w:b/>
          <w:bCs/>
        </w:rPr>
        <w:t>23</w:t>
      </w:r>
      <w:r>
        <w:rPr>
          <w:rFonts w:ascii="宋体" w:hAnsi="宋体" w:cs="宋体" w:eastAsia="宋体" w:hint="default"/>
          <w:b/>
          <w:bCs/>
        </w:rPr>
        <w:t>、长期资产减值</w:t>
      </w:r>
      <w:r>
        <w:rPr>
          <w:rFonts w:ascii="宋体" w:hAnsi="宋体" w:cs="宋体" w:eastAsia="宋体" w:hint="default"/>
          <w:b/>
          <w:bCs/>
          <w:w w:val="100"/>
        </w:rPr>
        <w:t> </w:t>
      </w:r>
      <w:r>
        <w:rPr>
          <w:spacing w:val="-2"/>
        </w:rPr>
        <w:t>长期股权投资、采用成本模式计量的投资性房地产、固定资产、在建工程、无形资产、商誉等长期资</w:t>
      </w:r>
    </w:p>
    <w:p>
      <w:pPr>
        <w:spacing w:line="240" w:lineRule="auto" w:before="11"/>
        <w:rPr>
          <w:rFonts w:ascii="宋体" w:hAnsi="宋体" w:cs="宋体" w:eastAsia="宋体" w:hint="default"/>
          <w:sz w:val="14"/>
          <w:szCs w:val="14"/>
        </w:rPr>
      </w:pPr>
    </w:p>
    <w:p>
      <w:pPr>
        <w:pStyle w:val="BodyText"/>
        <w:spacing w:line="408" w:lineRule="auto" w:before="0"/>
        <w:ind w:right="1126"/>
        <w:jc w:val="both"/>
      </w:pPr>
      <w:r>
        <w:rPr>
          <w:spacing w:val="-2"/>
        </w:rPr>
        <w:t>产于资产负债表日存在减值迹象的，进行减值测试。减值测试结果表明资产的可收回金额低于其账面价值</w:t>
      </w:r>
      <w:r>
        <w:rPr>
          <w:spacing w:val="-42"/>
        </w:rPr>
        <w:t> </w:t>
      </w:r>
      <w:r>
        <w:rPr>
          <w:spacing w:val="-42"/>
        </w:rPr>
      </w:r>
      <w:r>
        <w:rPr/>
        <w:t>的，按其差额计提减值准备并计入减值损失。</w:t>
      </w:r>
    </w:p>
    <w:p>
      <w:pPr>
        <w:pStyle w:val="BodyText"/>
        <w:spacing w:line="408" w:lineRule="auto"/>
        <w:ind w:right="1126" w:firstLine="420"/>
        <w:jc w:val="both"/>
      </w:pPr>
      <w:r>
        <w:rPr>
          <w:spacing w:val="2"/>
        </w:rPr>
        <w:t>可收回金额为资产的公允价值减去处置费用后的净额与资产预计未来现金流量的现值两者之间的较</w:t>
      </w:r>
      <w:r>
        <w:rPr>
          <w:w w:val="100"/>
        </w:rPr>
        <w:t> </w:t>
      </w:r>
      <w:r>
        <w:rPr>
          <w:spacing w:val="-2"/>
        </w:rPr>
        <w:t>高者。资产减值准备按单项资产为基础计算并确认，如果难以对单项资产的可收回金额进行估计的，以该</w:t>
      </w:r>
      <w:r>
        <w:rPr>
          <w:spacing w:val="-44"/>
        </w:rPr>
        <w:t> </w:t>
      </w:r>
      <w:r>
        <w:rPr>
          <w:spacing w:val="-44"/>
        </w:rPr>
      </w:r>
      <w:r>
        <w:rPr/>
        <w:t>资产所属的资产组确定资产组的可收回金额。资产组是能够独立产生现金流入的最小资产组合。</w:t>
      </w:r>
    </w:p>
    <w:p>
      <w:pPr>
        <w:pStyle w:val="BodyText"/>
        <w:spacing w:line="240" w:lineRule="auto"/>
        <w:ind w:left="573" w:right="0"/>
        <w:jc w:val="left"/>
      </w:pPr>
      <w:r>
        <w:rPr/>
        <w:t>在财务报表中单独列示的商誉，无论是否存在减值迹象，至少每年进行减值测试。减值测试时，商誉</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的账面价值分摊至预期从企业合并的协同效应中受益的资产组或资产组组合。测试结果表明包含分摊的商</w:t>
      </w:r>
      <w:r>
        <w:rPr>
          <w:spacing w:val="-43"/>
        </w:rPr>
        <w:t> </w:t>
      </w:r>
      <w:r>
        <w:rPr>
          <w:spacing w:val="-43"/>
        </w:rPr>
      </w:r>
      <w:r>
        <w:rPr>
          <w:spacing w:val="-2"/>
        </w:rPr>
        <w:t>誉的资产组或资产组组合的可收回金额低于其账面价值的，确认相应的减值损失。减值损失金额先抵减分</w:t>
      </w:r>
      <w:r>
        <w:rPr>
          <w:spacing w:val="-43"/>
        </w:rPr>
        <w:t> </w:t>
      </w:r>
      <w:r>
        <w:rPr>
          <w:spacing w:val="-43"/>
        </w:rPr>
      </w:r>
      <w:r>
        <w:rPr>
          <w:spacing w:val="-2"/>
        </w:rPr>
        <w:t>摊至该资产组或资产组组合的商誉的账面价值，再根据资产组或资产组组合中除商誉以外的其他各项资产</w:t>
      </w:r>
      <w:r>
        <w:rPr>
          <w:spacing w:val="-43"/>
        </w:rPr>
        <w:t> </w:t>
      </w:r>
      <w:r>
        <w:rPr>
          <w:spacing w:val="-43"/>
        </w:rPr>
      </w:r>
      <w:r>
        <w:rPr/>
        <w:t>的账面价值所占比重，按比例抵减其他各项资产的账面价值。</w:t>
      </w:r>
    </w:p>
    <w:p>
      <w:pPr>
        <w:pStyle w:val="BodyText"/>
        <w:spacing w:line="240" w:lineRule="auto"/>
        <w:ind w:left="573" w:right="0"/>
        <w:jc w:val="left"/>
      </w:pPr>
      <w:r>
        <w:rPr/>
        <w:t>上述资产减值损失一经确认，以后期间不予转回价值得以恢复的部分。</w:t>
      </w:r>
    </w:p>
    <w:p>
      <w:pPr>
        <w:pStyle w:val="BodyText"/>
        <w:spacing w:line="670" w:lineRule="atLeast" w:before="37"/>
        <w:ind w:left="573" w:right="0" w:hanging="421"/>
        <w:jc w:val="left"/>
      </w:pPr>
      <w:bookmarkStart w:name="24、长期待摊费用" w:id="197"/>
      <w:bookmarkEnd w:id="197"/>
      <w:r>
        <w:rPr/>
      </w:r>
      <w:r>
        <w:rPr>
          <w:rFonts w:ascii="Times New Roman" w:hAnsi="Times New Roman" w:cs="Times New Roman" w:eastAsia="Times New Roman" w:hint="default"/>
          <w:b/>
          <w:bCs/>
        </w:rPr>
        <w:t>24</w:t>
      </w:r>
      <w:r>
        <w:rPr>
          <w:rFonts w:ascii="宋体" w:hAnsi="宋体" w:cs="宋体" w:eastAsia="宋体" w:hint="default"/>
          <w:b/>
          <w:bCs/>
        </w:rPr>
        <w:t>、长期待摊费用</w:t>
      </w:r>
      <w:r>
        <w:rPr>
          <w:rFonts w:ascii="宋体" w:hAnsi="宋体" w:cs="宋体" w:eastAsia="宋体" w:hint="default"/>
          <w:b/>
          <w:bCs/>
          <w:w w:val="100"/>
        </w:rPr>
        <w:t> </w:t>
      </w:r>
      <w:r>
        <w:rPr>
          <w:spacing w:val="-2"/>
        </w:rPr>
        <w:t>本公司长期待摊费用是指已经支出，但受益期限在一年以上（不含一年）的各项费用。长期待摊费用</w:t>
      </w:r>
    </w:p>
    <w:p>
      <w:pPr>
        <w:spacing w:line="240" w:lineRule="auto" w:before="11"/>
        <w:rPr>
          <w:rFonts w:ascii="宋体" w:hAnsi="宋体" w:cs="宋体" w:eastAsia="宋体" w:hint="default"/>
          <w:sz w:val="14"/>
          <w:szCs w:val="14"/>
        </w:rPr>
      </w:pPr>
    </w:p>
    <w:p>
      <w:pPr>
        <w:pStyle w:val="BodyText"/>
        <w:spacing w:line="408" w:lineRule="auto" w:before="0"/>
        <w:ind w:right="0"/>
        <w:jc w:val="left"/>
      </w:pPr>
      <w:r>
        <w:rPr>
          <w:spacing w:val="-2"/>
        </w:rPr>
        <w:t>按费用项目的受益期限分期摊销。若长期待摊的费用项目不能使以后会计期间受益，则将尚未摊销的该项</w:t>
      </w:r>
      <w:r>
        <w:rPr>
          <w:spacing w:val="-43"/>
        </w:rPr>
        <w:t> </w:t>
      </w:r>
      <w:r>
        <w:rPr>
          <w:spacing w:val="-43"/>
        </w:rPr>
      </w:r>
      <w:r>
        <w:rPr/>
        <w:t>目的摊余价值全部转入当期损益。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5、职工薪酬" w:id="198"/>
      <w:bookmarkEnd w:id="198"/>
      <w:r>
        <w:rPr>
          <w:b w:val="0"/>
          <w:bCs w:val="0"/>
        </w:rPr>
      </w:r>
      <w:r>
        <w:rPr>
          <w:rFonts w:ascii="Times New Roman" w:hAnsi="Times New Roman" w:cs="Times New Roman" w:eastAsia="Times New Roman" w:hint="default"/>
        </w:rPr>
        <w:t>25</w:t>
      </w:r>
      <w:r>
        <w:rPr/>
        <w:t>、职工薪酬</w:t>
      </w:r>
      <w:r>
        <w:rPr>
          <w:b w:val="0"/>
          <w:bCs w:val="0"/>
        </w:rPr>
      </w:r>
    </w:p>
    <w:p>
      <w:pPr>
        <w:spacing w:line="692" w:lineRule="exact" w:before="13"/>
        <w:ind w:left="573" w:right="0" w:hanging="421"/>
        <w:jc w:val="left"/>
        <w:rPr>
          <w:rFonts w:ascii="宋体" w:hAnsi="宋体" w:cs="宋体" w:eastAsia="宋体" w:hint="default"/>
          <w:sz w:val="21"/>
          <w:szCs w:val="21"/>
        </w:rPr>
      </w:pPr>
      <w:bookmarkStart w:name="（1）短期薪酬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在职工为本公司提供服务的会计期间，将实际发生的短期薪酬确认为负债，并计入当期损益，企业会</w:t>
      </w:r>
    </w:p>
    <w:p>
      <w:pPr>
        <w:pStyle w:val="BodyText"/>
        <w:spacing w:line="408" w:lineRule="auto" w:before="84"/>
        <w:ind w:right="0"/>
        <w:jc w:val="left"/>
      </w:pPr>
      <w:r>
        <w:rPr>
          <w:spacing w:val="-2"/>
        </w:rPr>
        <w:t>计准则要求或允许计入资产成本的除外。本公司发生的职工福利费，在实际发生时根据实际发生额计入当</w:t>
      </w:r>
      <w:r>
        <w:rPr>
          <w:spacing w:val="-43"/>
        </w:rPr>
        <w:t> </w:t>
      </w:r>
      <w:r>
        <w:rPr>
          <w:spacing w:val="-43"/>
        </w:rPr>
      </w:r>
      <w:r>
        <w:rPr>
          <w:spacing w:val="-2"/>
        </w:rPr>
        <w:t>期损益或相关资产成本。职工福利费为非货币性福利的，按照公允价值计量。本公司为职工缴纳的医疗保</w:t>
      </w:r>
      <w:r>
        <w:rPr>
          <w:spacing w:val="-44"/>
        </w:rPr>
        <w:t> </w:t>
      </w:r>
      <w:r>
        <w:rPr>
          <w:spacing w:val="-44"/>
        </w:rPr>
      </w:r>
      <w:r>
        <w:rPr>
          <w:spacing w:val="-5"/>
        </w:rPr>
        <w:t>险费、工伤保险费、生育保险费等社会保险费和住房公积金，以及按规定提取的工会经费和职工教育经费， </w:t>
      </w:r>
      <w:r>
        <w:rPr>
          <w:spacing w:val="-5"/>
        </w:rPr>
      </w:r>
      <w:r>
        <w:rPr>
          <w:spacing w:val="-2"/>
        </w:rPr>
        <w:t>在职工提供服务的会计期间，根据规定的计提基础和计提比例计算确定相应的职工薪酬金额，并确认相应</w:t>
      </w:r>
      <w:r>
        <w:rPr>
          <w:spacing w:val="-43"/>
        </w:rPr>
        <w:t> </w:t>
      </w:r>
      <w:r>
        <w:rPr>
          <w:spacing w:val="-43"/>
        </w:rPr>
      </w:r>
      <w:r>
        <w:rPr/>
        <w:t>负债，计入当期损益或相关资产成本。</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26" w:firstLine="420"/>
        <w:jc w:val="both"/>
      </w:pPr>
      <w:r>
        <w:rPr>
          <w:spacing w:val="-2"/>
        </w:rPr>
        <w:t>本公司在职工提供服务的会计期间，根据设定提存计划计算的应缴存金额确认为负债，并计入当期损</w:t>
      </w:r>
      <w:r>
        <w:rPr>
          <w:w w:val="100"/>
        </w:rPr>
        <w:t> </w:t>
      </w:r>
      <w:r>
        <w:rPr>
          <w:spacing w:val="-2"/>
        </w:rPr>
        <w:t>益或相关资产成本。根据预期累计福利单位法确定的公式将设定受益计划产生的福利义务归属于职工提供</w:t>
      </w:r>
      <w:r>
        <w:rPr>
          <w:spacing w:val="-43"/>
        </w:rPr>
        <w:t> </w:t>
      </w:r>
      <w:r>
        <w:rPr>
          <w:spacing w:val="-43"/>
        </w:rPr>
      </w:r>
      <w:r>
        <w:rPr/>
        <w:t>服务的期间，并计入当期损益或相关资产成本。</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本公司向职工提供辞退福利时，在下列两者孰早日确认辞退福利产生的职工薪酬负债，并计入当期损</w:t>
      </w:r>
      <w:r>
        <w:rPr>
          <w:w w:val="100"/>
        </w:rPr>
        <w:t> </w:t>
      </w:r>
      <w:r>
        <w:rPr>
          <w:spacing w:val="-2"/>
        </w:rPr>
        <w:t>益：本公司不能单方面撤回因解除劳动关系计划或裁减建议所提供的辞退福利时；本公司确认与涉及支付</w:t>
      </w:r>
      <w:r>
        <w:rPr>
          <w:spacing w:val="-43"/>
        </w:rPr>
        <w:t> </w:t>
      </w:r>
      <w:r>
        <w:rPr>
          <w:spacing w:val="-43"/>
        </w:rPr>
      </w:r>
      <w:r>
        <w:rPr/>
        <w:t>辞退福利的重组相关的成本或费用时。</w:t>
      </w:r>
    </w:p>
    <w:p>
      <w:pPr>
        <w:spacing w:after="0" w:line="408"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bookmarkStart w:name="（4）其他长期职工福利的会计处理方法" w:id="202"/>
      <w:bookmarkEnd w:id="20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本公司向职工提供的其他长期职工福利，符合设定提存计划条件的，应当按照有关设定提存计划的规</w:t>
      </w:r>
      <w:r>
        <w:rPr>
          <w:w w:val="100"/>
        </w:rPr>
        <w:t> </w:t>
      </w:r>
      <w:r>
        <w:rPr/>
        <w:t>定进行处理；除此外，根据设定受益计划的有关规定，确认和计量其他长期职工福利净负债或净资产。</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6、预计负债" w:id="203"/>
      <w:bookmarkEnd w:id="203"/>
      <w:r>
        <w:rPr>
          <w:b w:val="0"/>
          <w:bCs w:val="0"/>
        </w:rPr>
      </w:r>
      <w:r>
        <w:rPr>
          <w:rFonts w:ascii="Times New Roman" w:hAnsi="Times New Roman" w:cs="Times New Roman" w:eastAsia="Times New Roman" w:hint="default"/>
        </w:rPr>
        <w:t>26</w:t>
      </w:r>
      <w:r>
        <w:rPr/>
        <w:t>、预计负债</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26" w:firstLine="420"/>
        <w:jc w:val="both"/>
      </w:pPr>
      <w:r>
        <w:rPr>
          <w:spacing w:val="-2"/>
        </w:rPr>
        <w:t>当与或有事项相关的义务是公司承担的现时义务，且履行该义务很可能导致经济利益流出，同时其金</w:t>
      </w:r>
      <w:r>
        <w:rPr>
          <w:w w:val="100"/>
        </w:rPr>
        <w:t> </w:t>
      </w:r>
      <w:r>
        <w:rPr>
          <w:spacing w:val="-2"/>
        </w:rPr>
        <w:t>额能够可靠地计量时确认该义务为预计负债。本公司按照履行相关现时义务所需支出的最佳估计数进行初</w:t>
      </w:r>
      <w:r>
        <w:rPr>
          <w:spacing w:val="-43"/>
        </w:rPr>
        <w:t> </w:t>
      </w:r>
      <w:r>
        <w:rPr>
          <w:spacing w:val="-43"/>
        </w:rPr>
      </w:r>
      <w:r>
        <w:rPr>
          <w:spacing w:val="-2"/>
        </w:rPr>
        <w:t>始计量，如所需支出存在一个连续范围，且该范围内各种结果发生的可能性相同，最佳估计数按照该范围</w:t>
      </w:r>
      <w:r>
        <w:rPr>
          <w:spacing w:val="-44"/>
        </w:rPr>
        <w:t> </w:t>
      </w:r>
      <w:r>
        <w:rPr>
          <w:spacing w:val="-44"/>
        </w:rPr>
      </w:r>
      <w:r>
        <w:rPr/>
        <w:t>内的中间值确定；如涉及多个项目，按照各种可能结果及相关概率计算确定最佳估计数。</w:t>
      </w:r>
    </w:p>
    <w:p>
      <w:pPr>
        <w:pStyle w:val="BodyText"/>
        <w:spacing w:line="408" w:lineRule="auto"/>
        <w:ind w:right="1126" w:firstLine="420"/>
        <w:jc w:val="both"/>
      </w:pPr>
      <w:r>
        <w:rPr>
          <w:spacing w:val="-2"/>
        </w:rPr>
        <w:t>资产负债表日应当对预计负债账面价值进行复核，有确凿证据表明该账面价值不能真实反映当前最佳</w:t>
      </w:r>
      <w:r>
        <w:rPr>
          <w:w w:val="100"/>
        </w:rPr>
        <w:t> </w:t>
      </w:r>
      <w:r>
        <w:rPr/>
        <w:t>估计数，应当按照当前最佳估计数对该账面价值进行调整。</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27、收入" w:id="204"/>
      <w:bookmarkEnd w:id="204"/>
      <w:r>
        <w:rPr>
          <w:b w:val="0"/>
          <w:bCs w:val="0"/>
        </w:rPr>
      </w:r>
      <w:r>
        <w:rPr>
          <w:rFonts w:ascii="Times New Roman" w:hAnsi="Times New Roman" w:cs="Times New Roman" w:eastAsia="Times New Roman" w:hint="default"/>
        </w:rPr>
        <w:t>27</w:t>
      </w:r>
      <w:r>
        <w:rPr/>
        <w:t>、收入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408" w:lineRule="auto" w:before="159"/>
        <w:ind w:left="573" w:right="1119"/>
        <w:jc w:val="left"/>
      </w:pPr>
      <w:r>
        <w:rPr>
          <w:rFonts w:ascii="宋体" w:hAnsi="宋体" w:cs="宋体" w:eastAsia="宋体" w:hint="default"/>
        </w:rPr>
        <w:t>1.</w:t>
      </w:r>
      <w:r>
        <w:rPr/>
        <w:t>销售商品</w:t>
      </w:r>
      <w:r>
        <w:rPr>
          <w:spacing w:val="-102"/>
        </w:rPr>
        <w:t> </w:t>
      </w:r>
      <w:r>
        <w:rPr>
          <w:spacing w:val="-102"/>
        </w:rPr>
      </w:r>
      <w:r>
        <w:rPr>
          <w:spacing w:val="-2"/>
        </w:rPr>
        <w:t>公司按照从购货方已收或应收的合同或协议价款确定销售商品收入金额，但已收或应收的合同或协议</w:t>
      </w:r>
    </w:p>
    <w:p>
      <w:pPr>
        <w:pStyle w:val="BodyText"/>
        <w:spacing w:line="408" w:lineRule="auto"/>
        <w:ind w:right="1126"/>
        <w:jc w:val="both"/>
      </w:pPr>
      <w:r>
        <w:rPr>
          <w:spacing w:val="-2"/>
        </w:rPr>
        <w:t>价款不公允的除外。合同或协议价款的收取采用递延方式，实质上具有融资性质的，按照应收的合同或协</w:t>
      </w:r>
      <w:r>
        <w:rPr>
          <w:spacing w:val="-42"/>
        </w:rPr>
        <w:t> </w:t>
      </w:r>
      <w:r>
        <w:rPr>
          <w:spacing w:val="-42"/>
        </w:rPr>
      </w:r>
      <w:r>
        <w:rPr>
          <w:spacing w:val="-2"/>
        </w:rPr>
        <w:t>议价款的公允价值确定销售商品收入金额。应收的合同或协议价款与其公允价值之间的差额，在合同或协</w:t>
      </w:r>
      <w:r>
        <w:rPr>
          <w:spacing w:val="-44"/>
        </w:rPr>
        <w:t> </w:t>
      </w:r>
      <w:r>
        <w:rPr>
          <w:spacing w:val="-44"/>
        </w:rPr>
      </w:r>
      <w:r>
        <w:rPr/>
        <w:t>议期间内采用实际利率法进行摊销，计入当期损益。</w:t>
      </w:r>
    </w:p>
    <w:p>
      <w:pPr>
        <w:pStyle w:val="BodyText"/>
        <w:spacing w:line="408" w:lineRule="auto"/>
        <w:ind w:right="1126" w:firstLine="420"/>
        <w:jc w:val="both"/>
      </w:pPr>
      <w:r>
        <w:rPr>
          <w:spacing w:val="-2"/>
        </w:rPr>
        <w:t>销售商品涉及现金折扣的，按照扣除现金折扣前的金额确定销售商品收入金额。销售商品涉及商业折</w:t>
      </w:r>
      <w:r>
        <w:rPr>
          <w:w w:val="100"/>
        </w:rPr>
        <w:t> </w:t>
      </w:r>
      <w:r>
        <w:rPr>
          <w:spacing w:val="-2"/>
        </w:rPr>
        <w:t>扣的，按照扣除商业折扣后的金额确定销售商品收入金额。本公司已经确认销售商品收入的售出商品发生</w:t>
      </w:r>
      <w:r>
        <w:rPr>
          <w:spacing w:val="-43"/>
        </w:rPr>
        <w:t> </w:t>
      </w:r>
      <w:r>
        <w:rPr>
          <w:spacing w:val="-43"/>
        </w:rPr>
      </w:r>
      <w:r>
        <w:rPr/>
        <w:t>销售折让的，在发生时冲减当期销售商品收入。</w:t>
      </w:r>
    </w:p>
    <w:p>
      <w:pPr>
        <w:pStyle w:val="BodyText"/>
        <w:spacing w:line="408" w:lineRule="auto"/>
        <w:ind w:left="573" w:right="0"/>
        <w:jc w:val="left"/>
      </w:pPr>
      <w:r>
        <w:rPr/>
        <w:t>公司已经确认销售商品收入的售出商品发生销售退回的，在发生时冲减当期销售商品收入。</w:t>
      </w:r>
      <w:r>
        <w:rPr>
          <w:w w:val="100"/>
        </w:rPr>
        <w:t> </w:t>
      </w:r>
      <w:r>
        <w:rPr/>
        <w:t>确认销售收入具体方法：</w:t>
      </w:r>
      <w:r>
        <w:rPr>
          <w:w w:val="100"/>
        </w:rPr>
        <w:t> </w:t>
      </w:r>
      <w:r>
        <w:rPr/>
        <w:t>系统产品销售收入：公司根据和客户签订的系统产品销售合同约定</w:t>
      </w:r>
      <w:r>
        <w:rPr>
          <w:rFonts w:ascii="宋体" w:hAnsi="宋体" w:cs="宋体" w:eastAsia="宋体" w:hint="default"/>
        </w:rPr>
        <w:t>,</w:t>
      </w:r>
      <w:r>
        <w:rPr/>
        <w:t>经审批后组织发货并安装调试，</w:t>
      </w:r>
    </w:p>
    <w:p>
      <w:pPr>
        <w:pStyle w:val="BodyText"/>
        <w:spacing w:line="408" w:lineRule="auto"/>
        <w:ind w:right="0"/>
        <w:jc w:val="left"/>
      </w:pPr>
      <w:r>
        <w:rPr>
          <w:spacing w:val="-2"/>
        </w:rPr>
        <w:t>客户验收后出具安装调试报告或验收报告，公司根据合同、销售出库单、货物回单、安装调试报告或验收</w:t>
      </w:r>
      <w:r>
        <w:rPr>
          <w:spacing w:val="-47"/>
        </w:rPr>
        <w:t> </w:t>
      </w:r>
      <w:r>
        <w:rPr>
          <w:spacing w:val="-47"/>
        </w:rPr>
      </w:r>
      <w:r>
        <w:rPr/>
        <w:t>报告确认收入。</w:t>
      </w:r>
    </w:p>
    <w:p>
      <w:pPr>
        <w:pStyle w:val="BodyText"/>
        <w:spacing w:line="408" w:lineRule="auto"/>
        <w:ind w:right="1104" w:firstLine="420"/>
        <w:jc w:val="both"/>
      </w:pPr>
      <w:r>
        <w:rPr>
          <w:spacing w:val="-2"/>
        </w:rPr>
        <w:t>软件产品销售收入：公司根据和客户签订的软件产品销售合同约定，经审批后组织发货并安装调试，</w:t>
      </w:r>
      <w:r>
        <w:rPr>
          <w:w w:val="100"/>
        </w:rPr>
        <w:t> </w:t>
      </w:r>
      <w:r>
        <w:rPr/>
        <w:t>客户进行初验，公司根据初验报告确认收入。</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04" w:firstLine="420"/>
        <w:jc w:val="both"/>
      </w:pPr>
      <w:r>
        <w:rPr>
          <w:spacing w:val="-2"/>
        </w:rPr>
        <w:t>其他产品销售收入：根据和客户签订的产品销售合同经审批后组织发货，产品送达客户指定地点后，</w:t>
      </w:r>
      <w:r>
        <w:rPr>
          <w:w w:val="100"/>
        </w:rPr>
        <w:t> </w:t>
      </w:r>
      <w:r>
        <w:rPr>
          <w:spacing w:val="-2"/>
        </w:rPr>
        <w:t>由客户检验核对无误，验收后出具收货或验收确认单据，公司根据合同、销售出库单、货物回单、收货或</w:t>
      </w:r>
      <w:r>
        <w:rPr>
          <w:spacing w:val="-43"/>
        </w:rPr>
        <w:t> </w:t>
      </w:r>
      <w:r>
        <w:rPr>
          <w:spacing w:val="-43"/>
        </w:rPr>
      </w:r>
      <w:r>
        <w:rPr/>
        <w:t>验收确认单据确认收入。</w:t>
      </w:r>
    </w:p>
    <w:p>
      <w:pPr>
        <w:pStyle w:val="BodyText"/>
        <w:spacing w:line="408" w:lineRule="auto"/>
        <w:ind w:left="573" w:right="7694"/>
        <w:jc w:val="left"/>
      </w:pPr>
      <w:r>
        <w:rPr>
          <w:rFonts w:ascii="宋体" w:hAnsi="宋体" w:cs="宋体" w:eastAsia="宋体" w:hint="default"/>
        </w:rPr>
        <w:t>2.</w:t>
      </w:r>
      <w:r>
        <w:rPr/>
        <w:t>提供劳务</w:t>
      </w:r>
      <w:r>
        <w:rPr>
          <w:spacing w:val="-102"/>
        </w:rPr>
        <w:t> </w:t>
      </w:r>
      <w:r>
        <w:rPr>
          <w:spacing w:val="-102"/>
        </w:rPr>
      </w:r>
      <w:r>
        <w:rPr>
          <w:spacing w:val="-2"/>
        </w:rPr>
        <w:t>确认劳务收入具体方法：</w:t>
      </w:r>
    </w:p>
    <w:p>
      <w:pPr>
        <w:pStyle w:val="BodyText"/>
        <w:spacing w:line="408" w:lineRule="auto"/>
        <w:ind w:left="573" w:right="0"/>
        <w:jc w:val="left"/>
      </w:pPr>
      <w:r>
        <w:rPr/>
        <w:t>运营收入：按每个月计量的实际处理的工作量（水量或气量等）经业主确认后确认收入。</w:t>
      </w:r>
      <w:r>
        <w:rPr>
          <w:w w:val="100"/>
        </w:rPr>
        <w:t> </w:t>
      </w:r>
      <w:r>
        <w:rPr>
          <w:spacing w:val="-2"/>
        </w:rPr>
        <w:t>技术服务收入：公司在完成技术服务合同中约定结算的具体服务内容并提交相应技术服务成果，经业</w:t>
      </w:r>
    </w:p>
    <w:p>
      <w:pPr>
        <w:pStyle w:val="BodyText"/>
        <w:spacing w:line="410" w:lineRule="auto"/>
        <w:ind w:left="573" w:right="0" w:hanging="421"/>
        <w:jc w:val="left"/>
      </w:pPr>
      <w:r>
        <w:rPr/>
        <w:t>主确认后确认收入。</w:t>
      </w:r>
      <w:r>
        <w:rPr>
          <w:w w:val="100"/>
        </w:rPr>
        <w:t> </w:t>
      </w:r>
      <w:r>
        <w:rPr>
          <w:spacing w:val="-2"/>
        </w:rPr>
        <w:t>工程收入：对于公司提供的土建、安装等劳务，按照实际发生的成本占预计总成本的比例计算的完工</w:t>
      </w:r>
    </w:p>
    <w:p>
      <w:pPr>
        <w:pStyle w:val="BodyText"/>
        <w:spacing w:line="408" w:lineRule="auto" w:before="44"/>
        <w:ind w:right="0"/>
        <w:jc w:val="left"/>
      </w:pPr>
      <w:r>
        <w:rPr>
          <w:spacing w:val="-2"/>
        </w:rPr>
        <w:t>进度确认营业收入，并需取得完工进度外部确认文件。外部确认文件包括但不限于最终验收报告、工程量</w:t>
      </w:r>
      <w:r>
        <w:rPr>
          <w:spacing w:val="-43"/>
        </w:rPr>
        <w:t> </w:t>
      </w:r>
      <w:r>
        <w:rPr>
          <w:spacing w:val="-43"/>
        </w:rPr>
      </w:r>
      <w:r>
        <w:rPr/>
        <w:t>确认单或其他按照业主统一格式出具的验收文件等。</w:t>
      </w:r>
    </w:p>
    <w:p>
      <w:pPr>
        <w:pStyle w:val="BodyText"/>
        <w:spacing w:line="408" w:lineRule="auto"/>
        <w:ind w:left="573" w:right="0"/>
        <w:jc w:val="left"/>
      </w:pPr>
      <w:r>
        <w:rPr>
          <w:rFonts w:ascii="宋体" w:hAnsi="宋体" w:cs="宋体" w:eastAsia="宋体" w:hint="default"/>
        </w:rPr>
        <w:t>3.</w:t>
      </w:r>
      <w:r>
        <w:rPr/>
        <w:t>让渡资产使用权</w:t>
      </w:r>
      <w:r>
        <w:rPr>
          <w:w w:val="100"/>
        </w:rPr>
        <w:t> </w:t>
      </w:r>
      <w:r>
        <w:rPr>
          <w:spacing w:val="-2"/>
        </w:rPr>
        <w:t>让渡资产使用权根据与资产使用权让渡相关的经济利益能够流入及收入的金额能够可靠地计量时，确</w:t>
      </w:r>
    </w:p>
    <w:p>
      <w:pPr>
        <w:pStyle w:val="BodyText"/>
        <w:spacing w:line="240" w:lineRule="auto"/>
        <w:ind w:right="0"/>
        <w:jc w:val="left"/>
      </w:pPr>
      <w:r>
        <w:rPr/>
        <w:t>认收入。</w:t>
      </w:r>
    </w:p>
    <w:p>
      <w:pPr>
        <w:spacing w:line="240" w:lineRule="auto" w:before="10"/>
        <w:rPr>
          <w:rFonts w:ascii="宋体" w:hAnsi="宋体" w:cs="宋体" w:eastAsia="宋体" w:hint="default"/>
          <w:sz w:val="14"/>
          <w:szCs w:val="14"/>
        </w:rPr>
      </w:pPr>
    </w:p>
    <w:p>
      <w:pPr>
        <w:pStyle w:val="BodyText"/>
        <w:spacing w:line="408" w:lineRule="auto" w:before="0"/>
        <w:ind w:left="573" w:right="6794"/>
        <w:jc w:val="left"/>
      </w:pPr>
      <w:r>
        <w:rPr>
          <w:rFonts w:ascii="宋体" w:hAnsi="宋体" w:cs="宋体" w:eastAsia="宋体" w:hint="default"/>
        </w:rPr>
        <w:t>4.</w:t>
      </w:r>
      <w:r>
        <w:rPr/>
        <w:t>建造合同</w:t>
      </w:r>
      <w:r>
        <w:rPr>
          <w:spacing w:val="-102"/>
        </w:rPr>
        <w:t> </w:t>
      </w:r>
      <w:r>
        <w:rPr>
          <w:spacing w:val="-102"/>
        </w:rPr>
      </w:r>
      <w:r>
        <w:rPr>
          <w:rFonts w:ascii="宋体" w:hAnsi="宋体" w:cs="宋体" w:eastAsia="宋体" w:hint="default"/>
          <w:spacing w:val="-2"/>
        </w:rPr>
        <w:t>BOT</w:t>
      </w:r>
      <w:r>
        <w:rPr>
          <w:spacing w:val="-2"/>
        </w:rPr>
        <w:t>项目收入确认的具体方式：</w:t>
      </w:r>
    </w:p>
    <w:p>
      <w:pPr>
        <w:pStyle w:val="BodyText"/>
        <w:spacing w:line="408" w:lineRule="auto"/>
        <w:ind w:right="1023" w:firstLine="420"/>
        <w:jc w:val="left"/>
      </w:pPr>
      <w:r>
        <w:rPr/>
        <w:t>建造期间，公司对于所提供的建造服务按照《企业会计准则第</w:t>
      </w:r>
      <w:r>
        <w:rPr>
          <w:rFonts w:ascii="宋体" w:hAnsi="宋体" w:cs="宋体" w:eastAsia="宋体" w:hint="default"/>
        </w:rPr>
        <w:t>15</w:t>
      </w:r>
      <w:r>
        <w:rPr/>
        <w:t>号——建造合同》确认相关的收入和</w:t>
      </w:r>
      <w:r>
        <w:rPr>
          <w:w w:val="100"/>
        </w:rPr>
        <w:t> </w:t>
      </w:r>
      <w:r>
        <w:rPr>
          <w:spacing w:val="-5"/>
        </w:rPr>
        <w:t>费用。基础设施建成后，项目公司按照《企业会计准则第</w:t>
      </w:r>
      <w:r>
        <w:rPr>
          <w:rFonts w:ascii="宋体" w:hAnsi="宋体" w:cs="宋体" w:eastAsia="宋体" w:hint="default"/>
          <w:spacing w:val="-5"/>
        </w:rPr>
        <w:t>14</w:t>
      </w:r>
      <w:r>
        <w:rPr>
          <w:spacing w:val="-5"/>
        </w:rPr>
        <w:t>号——收入》确认与后续经营服务相关的收入。</w:t>
      </w:r>
      <w:r>
        <w:rPr>
          <w:spacing w:val="-3"/>
        </w:rPr>
        <w:t> </w:t>
      </w:r>
      <w:r>
        <w:rPr>
          <w:spacing w:val="-3"/>
        </w:rPr>
      </w:r>
      <w:r>
        <w:rPr>
          <w:spacing w:val="-2"/>
        </w:rPr>
        <w:t>建造合同收入按照收取或应收对价的公允价值计量，并分别以下情况在确认收入的同时，确认金融资产或</w:t>
      </w:r>
      <w:r>
        <w:rPr>
          <w:spacing w:val="-44"/>
        </w:rPr>
        <w:t> </w:t>
      </w:r>
      <w:r>
        <w:rPr>
          <w:spacing w:val="-44"/>
        </w:rPr>
      </w:r>
      <w:r>
        <w:rPr/>
        <w:t>无形资产：</w:t>
      </w:r>
    </w:p>
    <w:p>
      <w:pPr>
        <w:pStyle w:val="BodyText"/>
        <w:spacing w:line="408" w:lineRule="auto"/>
        <w:ind w:right="1126" w:firstLine="420"/>
        <w:jc w:val="both"/>
      </w:pPr>
      <w:r>
        <w:rPr>
          <w:spacing w:val="-2"/>
        </w:rPr>
        <w:t>合同规定基础设施建成后的一定期间内，项目公司可以无条件地自合同授予方收取确定金额的货币资</w:t>
      </w:r>
      <w:r>
        <w:rPr>
          <w:w w:val="100"/>
        </w:rPr>
        <w:t> </w:t>
      </w:r>
      <w:r>
        <w:rPr>
          <w:spacing w:val="-2"/>
        </w:rPr>
        <w:t>金或其他金融资产的；或在项目公司提供经营服务的收费低于某一限定金额的情况下，合同授予方按照合</w:t>
      </w:r>
      <w:r>
        <w:rPr>
          <w:spacing w:val="-43"/>
        </w:rPr>
        <w:t> </w:t>
      </w:r>
      <w:r>
        <w:rPr>
          <w:spacing w:val="-43"/>
        </w:rPr>
      </w:r>
      <w:r>
        <w:rPr>
          <w:spacing w:val="-2"/>
        </w:rPr>
        <w:t>同规定负责将有关差价补偿给项目公司的，应当在确认收入的同时确认金融资产，并按照《企业会计准则</w:t>
      </w:r>
      <w:r>
        <w:rPr>
          <w:spacing w:val="-44"/>
        </w:rPr>
        <w:t> </w:t>
      </w:r>
      <w:r>
        <w:rPr>
          <w:spacing w:val="-44"/>
        </w:rPr>
      </w:r>
      <w:r>
        <w:rPr/>
        <w:t>第</w:t>
      </w:r>
      <w:r>
        <w:rPr>
          <w:rFonts w:ascii="宋体" w:hAnsi="宋体" w:cs="宋体" w:eastAsia="宋体" w:hint="default"/>
        </w:rPr>
        <w:t>22</w:t>
      </w:r>
      <w:r>
        <w:rPr/>
        <w:t>号——金融工具确认和计量》的规定处理。</w:t>
      </w:r>
    </w:p>
    <w:p>
      <w:pPr>
        <w:pStyle w:val="BodyText"/>
        <w:spacing w:line="408" w:lineRule="auto"/>
        <w:ind w:right="1126" w:firstLine="420"/>
        <w:jc w:val="both"/>
      </w:pPr>
      <w:r>
        <w:rPr>
          <w:spacing w:val="2"/>
        </w:rPr>
        <w:t>合同规定项目公司在有关基础设施建成后，从事经营的一定期间内有权利向获取服务的对象收取费</w:t>
      </w:r>
      <w:r>
        <w:rPr>
          <w:w w:val="100"/>
        </w:rPr>
        <w:t> </w:t>
      </w:r>
      <w:r>
        <w:rPr>
          <w:spacing w:val="-2"/>
        </w:rPr>
        <w:t>用，但收费金额不确定的，该权利不构成一项无条件收取现金的权利，项目公司在确认收入的同时确认无</w:t>
      </w:r>
      <w:r>
        <w:rPr>
          <w:spacing w:val="-43"/>
        </w:rPr>
        <w:t> </w:t>
      </w:r>
      <w:r>
        <w:rPr>
          <w:spacing w:val="-43"/>
        </w:rPr>
      </w:r>
      <w:r>
        <w:rPr/>
        <w:t>形资产。</w:t>
      </w:r>
    </w:p>
    <w:p>
      <w:pPr>
        <w:pStyle w:val="BodyText"/>
        <w:spacing w:line="408" w:lineRule="auto"/>
        <w:ind w:right="1104" w:firstLine="420"/>
        <w:jc w:val="both"/>
      </w:pPr>
      <w:r>
        <w:rPr>
          <w:spacing w:val="-2"/>
        </w:rPr>
        <w:t>对于公司提供的建造服务，按照实际发生的成本占预计总成本的比例计算的完工进度确认营业收入，</w:t>
      </w:r>
      <w:r>
        <w:rPr>
          <w:w w:val="100"/>
        </w:rPr>
        <w:t> </w:t>
      </w:r>
      <w:r>
        <w:rPr>
          <w:spacing w:val="-2"/>
        </w:rPr>
        <w:t>并需取得完工进度外部确认文件。外部确认文件包括但不限于最终验收报告、工程量确认单或其他按照业</w:t>
      </w:r>
      <w:r>
        <w:rPr>
          <w:spacing w:val="-44"/>
        </w:rPr>
        <w:t> </w:t>
      </w:r>
      <w:r>
        <w:rPr>
          <w:spacing w:val="-44"/>
        </w:rPr>
      </w:r>
      <w:r>
        <w:rPr/>
        <w:t>主统一格式出具的验收文件等。</w:t>
      </w:r>
    </w:p>
    <w:p>
      <w:pPr>
        <w:spacing w:after="0" w:line="408"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28、政府补助" w:id="205"/>
      <w:bookmarkEnd w:id="205"/>
      <w:r>
        <w:rPr>
          <w:b w:val="0"/>
          <w:bCs w:val="0"/>
        </w:rPr>
      </w:r>
      <w:r>
        <w:rPr>
          <w:rFonts w:ascii="Times New Roman" w:hAnsi="Times New Roman" w:cs="Times New Roman" w:eastAsia="Times New Roman" w:hint="default"/>
        </w:rPr>
        <w:t>28</w:t>
      </w:r>
      <w:r>
        <w:rPr/>
        <w:t>、政府补助</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0"/>
        <w:jc w:val="left"/>
      </w:pPr>
      <w:r>
        <w:rPr>
          <w:rFonts w:ascii="宋体" w:hAnsi="宋体" w:cs="宋体" w:eastAsia="宋体" w:hint="default"/>
        </w:rPr>
        <w:t>1.</w:t>
      </w:r>
      <w:r>
        <w:rPr/>
        <w:t>政府补助的类型及会计处理</w:t>
      </w:r>
      <w:r>
        <w:rPr>
          <w:w w:val="100"/>
        </w:rPr>
        <w:t> </w:t>
      </w:r>
      <w:r>
        <w:rPr>
          <w:spacing w:val="-2"/>
        </w:rPr>
        <w:t>政府补助是指本公司从政府无偿取得的货币性资产或非货币性资产（但不包括政府作为所有者投入的</w:t>
      </w:r>
    </w:p>
    <w:p>
      <w:pPr>
        <w:pStyle w:val="BodyText"/>
        <w:spacing w:line="408" w:lineRule="auto"/>
        <w:ind w:right="0"/>
        <w:jc w:val="left"/>
      </w:pPr>
      <w:r>
        <w:rPr>
          <w:spacing w:val="-2"/>
        </w:rPr>
        <w:t>资本）。政府补助为货币性资产的，应当按照收到或应收的金额计量。政府补助为非货币性资产的，应当</w:t>
      </w:r>
      <w:r>
        <w:rPr>
          <w:spacing w:val="-43"/>
        </w:rPr>
        <w:t> </w:t>
      </w:r>
      <w:r>
        <w:rPr>
          <w:spacing w:val="-43"/>
        </w:rPr>
      </w:r>
      <w:r>
        <w:rPr/>
        <w:t>按照公允价值计量；公允价值不能可靠取得的，按照名义金额计量。</w:t>
      </w:r>
    </w:p>
    <w:p>
      <w:pPr>
        <w:pStyle w:val="BodyText"/>
        <w:spacing w:line="408" w:lineRule="auto"/>
        <w:ind w:right="1128" w:firstLine="420"/>
        <w:jc w:val="both"/>
      </w:pPr>
      <w:r>
        <w:rPr>
          <w:spacing w:val="-2"/>
        </w:rPr>
        <w:t>与日常活动相关的政府补助，按照经济业务实质，计入其他收益。与日常活动无关的政府补助，计入</w:t>
      </w:r>
      <w:r>
        <w:rPr>
          <w:w w:val="100"/>
        </w:rPr>
        <w:t> </w:t>
      </w:r>
      <w:r>
        <w:rPr/>
        <w:t>营业外收支。</w:t>
      </w:r>
    </w:p>
    <w:p>
      <w:pPr>
        <w:pStyle w:val="BodyText"/>
        <w:spacing w:line="408" w:lineRule="auto"/>
        <w:ind w:right="1104" w:firstLine="420"/>
        <w:jc w:val="both"/>
      </w:pPr>
      <w:r>
        <w:rPr>
          <w:spacing w:val="-2"/>
        </w:rPr>
        <w:t>政府文件明确规定用于购建或以其他方式形成长期资产的政府补助，确认为与资产相关的政府补助。</w:t>
      </w:r>
      <w:r>
        <w:rPr>
          <w:w w:val="100"/>
        </w:rPr>
        <w:t> </w:t>
      </w:r>
      <w:r>
        <w:rPr>
          <w:spacing w:val="-2"/>
        </w:rPr>
        <w:t>政府文件未明确规定补助对象的，能够形成长期资产的，与资产价值相对应的政府补助部分作为与资产相</w:t>
      </w:r>
      <w:r>
        <w:rPr>
          <w:spacing w:val="-43"/>
        </w:rPr>
        <w:t> </w:t>
      </w:r>
      <w:r>
        <w:rPr>
          <w:spacing w:val="-43"/>
        </w:rPr>
      </w:r>
      <w:r>
        <w:rPr>
          <w:spacing w:val="-2"/>
        </w:rPr>
        <w:t>关的政府补助，其余部分作为与收益相关的政府补助；难以区分的，将政府补助整体作为与收益相关的政</w:t>
      </w:r>
      <w:r>
        <w:rPr>
          <w:spacing w:val="-43"/>
        </w:rPr>
        <w:t> </w:t>
      </w:r>
      <w:r>
        <w:rPr>
          <w:spacing w:val="-43"/>
        </w:rPr>
      </w:r>
      <w:r>
        <w:rPr>
          <w:spacing w:val="-2"/>
        </w:rPr>
        <w:t>府补助。与资产相关的政府补助确认为递延收益。确认为递延收益的金额，在相关资产使用寿命内按照合</w:t>
      </w:r>
      <w:r>
        <w:rPr>
          <w:spacing w:val="-42"/>
        </w:rPr>
        <w:t> </w:t>
      </w:r>
      <w:r>
        <w:rPr>
          <w:spacing w:val="-42"/>
        </w:rPr>
      </w:r>
      <w:r>
        <w:rPr/>
        <w:t>理、系统的方法分期计入当期损益。</w:t>
      </w:r>
    </w:p>
    <w:p>
      <w:pPr>
        <w:pStyle w:val="BodyText"/>
        <w:spacing w:line="408" w:lineRule="auto"/>
        <w:ind w:right="1105" w:firstLine="420"/>
        <w:jc w:val="both"/>
      </w:pPr>
      <w:r>
        <w:rPr>
          <w:spacing w:val="-2"/>
        </w:rPr>
        <w:t>除与资产相关的政府补助之外的政府补助，确认为与收益相关的政府补助。与收益相关的政府补助用</w:t>
      </w:r>
      <w:r>
        <w:rPr>
          <w:w w:val="100"/>
        </w:rPr>
        <w:t> </w:t>
      </w:r>
      <w:r>
        <w:rPr>
          <w:spacing w:val="-2"/>
        </w:rPr>
        <w:t>于补偿企业以后期间的相关费用或损失的，确认为递延收益，并在确认相关费用的期间，计入当期损益；</w:t>
      </w:r>
      <w:r>
        <w:rPr>
          <w:spacing w:val="-21"/>
        </w:rPr>
        <w:t> </w:t>
      </w:r>
      <w:r>
        <w:rPr>
          <w:spacing w:val="-21"/>
        </w:rPr>
      </w:r>
      <w:r>
        <w:rPr/>
        <w:t>用于补偿企业已发生的相关费用或损失的，直接计入当期损益。</w:t>
      </w:r>
    </w:p>
    <w:p>
      <w:pPr>
        <w:pStyle w:val="BodyText"/>
        <w:spacing w:line="405" w:lineRule="auto"/>
        <w:ind w:left="573" w:right="0"/>
        <w:jc w:val="left"/>
      </w:pPr>
      <w:r>
        <w:rPr>
          <w:rFonts w:ascii="宋体" w:hAnsi="宋体" w:cs="宋体" w:eastAsia="宋体" w:hint="default"/>
        </w:rPr>
        <w:t>2.</w:t>
      </w:r>
      <w:r>
        <w:rPr/>
        <w:t>政府补助确认时点</w:t>
      </w:r>
      <w:r>
        <w:rPr>
          <w:w w:val="100"/>
        </w:rPr>
        <w:t> </w:t>
      </w:r>
      <w:r>
        <w:rPr>
          <w:spacing w:val="-2"/>
        </w:rPr>
        <w:t>政府补助在满足政府补助所附条件并能够收到时确认。按照应收金额计量的政府补助，在期末有确凿</w:t>
      </w:r>
    </w:p>
    <w:p>
      <w:pPr>
        <w:pStyle w:val="BodyText"/>
        <w:spacing w:line="408" w:lineRule="auto" w:before="48"/>
        <w:ind w:right="0"/>
        <w:jc w:val="left"/>
      </w:pPr>
      <w:r>
        <w:rPr>
          <w:spacing w:val="-2"/>
        </w:rPr>
        <w:t>证据表明能够符合财政扶持政策规定的相关条件且预计能够收到财政扶持资金时予以确认。除按照应收金</w:t>
      </w:r>
      <w:r>
        <w:rPr>
          <w:spacing w:val="-43"/>
        </w:rPr>
        <w:t> </w:t>
      </w:r>
      <w:r>
        <w:rPr>
          <w:spacing w:val="-43"/>
        </w:rPr>
      </w:r>
      <w:r>
        <w:rPr/>
        <w:t>额计量的政府补助外的其他政府补助，在实际收到补助款项时予以确认。</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9、递延所得税资产/递延所得税负债" w:id="206"/>
      <w:bookmarkEnd w:id="206"/>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rFonts w:ascii="宋体" w:hAnsi="宋体" w:cs="宋体" w:eastAsia="宋体" w:hint="default"/>
          <w:spacing w:val="-2"/>
        </w:rPr>
        <w:t>1.</w:t>
      </w:r>
      <w:r>
        <w:rPr>
          <w:spacing w:val="-2"/>
        </w:rPr>
        <w:t>根据资产、负债的账面价值与其计税基础之间的差额（未作为资产和负债确认的项目按照税法规定</w:t>
      </w:r>
      <w:r>
        <w:rPr>
          <w:w w:val="100"/>
        </w:rPr>
        <w:t> </w:t>
      </w:r>
      <w:r>
        <w:rPr>
          <w:spacing w:val="-2"/>
        </w:rPr>
        <w:t>可以确定其计税基础的，确定该计税基础为其差额），按照预期收回该资产或清偿该负债期间的适用税率</w:t>
      </w:r>
      <w:r>
        <w:rPr>
          <w:spacing w:val="-43"/>
        </w:rPr>
        <w:t> </w:t>
      </w:r>
      <w:r>
        <w:rPr>
          <w:spacing w:val="-43"/>
        </w:rPr>
      </w:r>
      <w:r>
        <w:rPr/>
        <w:t>计算确认递延所得税资产或递延所得税负债。</w:t>
      </w:r>
    </w:p>
    <w:p>
      <w:pPr>
        <w:pStyle w:val="BodyText"/>
        <w:spacing w:line="408" w:lineRule="auto"/>
        <w:ind w:right="1126" w:firstLine="420"/>
        <w:jc w:val="both"/>
      </w:pPr>
      <w:r>
        <w:rPr>
          <w:rFonts w:ascii="宋体" w:hAnsi="宋体" w:cs="宋体" w:eastAsia="宋体" w:hint="default"/>
          <w:spacing w:val="-2"/>
        </w:rPr>
        <w:t>2.</w:t>
      </w:r>
      <w:r>
        <w:rPr>
          <w:spacing w:val="-2"/>
        </w:rPr>
        <w:t>递延所得税资产的确认以很可能取得用来抵扣可抵扣暂时性差异的应纳税所得额为限。资产负债表</w:t>
      </w:r>
      <w:r>
        <w:rPr>
          <w:w w:val="100"/>
        </w:rPr>
        <w:t> </w:t>
      </w:r>
      <w:r>
        <w:rPr>
          <w:spacing w:val="-2"/>
        </w:rPr>
        <w:t>日，有确凿证据表明未来期间很可能获得足够的应纳税所得额用来抵扣可抵扣暂时性差异的，确认以前会</w:t>
      </w:r>
      <w:r>
        <w:rPr>
          <w:spacing w:val="-44"/>
        </w:rPr>
        <w:t> </w:t>
      </w:r>
      <w:r>
        <w:rPr>
          <w:spacing w:val="-44"/>
        </w:rPr>
      </w:r>
      <w:r>
        <w:rPr>
          <w:spacing w:val="-2"/>
        </w:rPr>
        <w:t>计期间未确认的递延所得税资产。如未来期间很可能无法获得足够的应纳税所得额用以抵扣递延所得税资</w:t>
      </w:r>
      <w:r>
        <w:rPr>
          <w:spacing w:val="-43"/>
        </w:rPr>
        <w:t> </w:t>
      </w:r>
      <w:r>
        <w:rPr>
          <w:spacing w:val="-43"/>
        </w:rPr>
      </w:r>
      <w:r>
        <w:rPr/>
        <w:t>产的，则减记递延所得税资产的账面价值。</w:t>
      </w:r>
    </w:p>
    <w:p>
      <w:pPr>
        <w:pStyle w:val="BodyText"/>
        <w:spacing w:line="240" w:lineRule="auto"/>
        <w:ind w:left="573" w:right="0"/>
        <w:jc w:val="left"/>
      </w:pPr>
      <w:r>
        <w:rPr>
          <w:rFonts w:ascii="宋体" w:hAnsi="宋体" w:cs="宋体" w:eastAsia="宋体" w:hint="default"/>
        </w:rPr>
        <w:t>3.</w:t>
      </w:r>
      <w:r>
        <w:rPr/>
        <w:t>对与子公司及联营企业投资相关的应纳税暂时性差异，确认递延所得税负债，除非本公司能够控制</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jc w:val="both"/>
      </w:pPr>
      <w:r>
        <w:rPr>
          <w:spacing w:val="-2"/>
        </w:rPr>
        <w:t>暂时性差异转回的时间且该暂时性差异在可预见的未来很可能不会转回。对与子公司及联营企业投资相关</w:t>
      </w:r>
      <w:r>
        <w:rPr>
          <w:spacing w:val="-43"/>
        </w:rPr>
        <w:t> </w:t>
      </w:r>
      <w:r>
        <w:rPr>
          <w:spacing w:val="-43"/>
        </w:rPr>
      </w:r>
      <w:r>
        <w:rPr>
          <w:spacing w:val="-2"/>
        </w:rPr>
        <w:t>的可抵扣暂时性差异，当该暂时性差异在可预见的未来很可能转回且未来很可能获得用来抵扣可抵扣暂时</w:t>
      </w:r>
      <w:r>
        <w:rPr>
          <w:spacing w:val="-42"/>
        </w:rPr>
        <w:t> </w:t>
      </w:r>
      <w:r>
        <w:rPr>
          <w:spacing w:val="-42"/>
        </w:rPr>
      </w:r>
      <w:r>
        <w:rPr/>
        <w:t>性差异的应纳税所得额时，确认递延所得税资产。</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30、租赁" w:id="207"/>
      <w:bookmarkEnd w:id="207"/>
      <w:r>
        <w:rPr>
          <w:b w:val="0"/>
          <w:bCs w:val="0"/>
        </w:rPr>
      </w:r>
      <w:r>
        <w:rPr>
          <w:rFonts w:ascii="Times New Roman" w:hAnsi="Times New Roman" w:cs="Times New Roman" w:eastAsia="Times New Roman" w:hint="default"/>
        </w:rPr>
        <w:t>30</w:t>
      </w:r>
      <w:r>
        <w:rPr/>
        <w:t>、租赁</w:t>
      </w:r>
      <w:r>
        <w:rPr>
          <w:b w:val="0"/>
          <w:bCs w:val="0"/>
        </w:rPr>
      </w:r>
    </w:p>
    <w:p>
      <w:pPr>
        <w:spacing w:line="240" w:lineRule="auto" w:before="10"/>
        <w:rPr>
          <w:rFonts w:ascii="宋体" w:hAnsi="宋体" w:cs="宋体" w:eastAsia="宋体" w:hint="default"/>
          <w:b/>
          <w:bCs/>
          <w:sz w:val="24"/>
          <w:szCs w:val="24"/>
        </w:rPr>
      </w:pPr>
    </w:p>
    <w:p>
      <w:pPr>
        <w:spacing w:line="506" w:lineRule="auto" w:before="0"/>
        <w:ind w:left="152" w:right="2348" w:firstLine="0"/>
        <w:jc w:val="left"/>
        <w:rPr>
          <w:rFonts w:ascii="宋体" w:hAnsi="宋体" w:cs="宋体" w:eastAsia="宋体" w:hint="default"/>
          <w:sz w:val="21"/>
          <w:szCs w:val="21"/>
        </w:rPr>
      </w:pPr>
      <w:bookmarkStart w:name="（1）经营租赁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经营租赁的租金支出在租赁期内按照直线法计入相关资产成本或当期损益。</w:t>
      </w:r>
    </w:p>
    <w:p>
      <w:pPr>
        <w:pStyle w:val="Heading4"/>
        <w:spacing w:line="240" w:lineRule="auto" w:before="104"/>
        <w:ind w:right="0"/>
        <w:jc w:val="both"/>
        <w:rPr>
          <w:b w:val="0"/>
          <w:bCs w:val="0"/>
        </w:rPr>
      </w:pPr>
      <w:bookmarkStart w:name="（2）融资租赁的会计处理方法" w:id="209"/>
      <w:bookmarkEnd w:id="20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9"/>
        <w:rPr>
          <w:rFonts w:ascii="宋体" w:hAnsi="宋体" w:cs="宋体" w:eastAsia="宋体" w:hint="default"/>
          <w:b/>
          <w:bCs/>
          <w:sz w:val="30"/>
          <w:szCs w:val="30"/>
        </w:rPr>
      </w:pPr>
    </w:p>
    <w:p>
      <w:pPr>
        <w:pStyle w:val="BodyText"/>
        <w:spacing w:line="408" w:lineRule="auto" w:before="0"/>
        <w:ind w:right="1126" w:firstLine="420"/>
        <w:jc w:val="both"/>
      </w:pPr>
      <w:r>
        <w:rPr>
          <w:spacing w:val="-2"/>
        </w:rPr>
        <w:t>以租赁资产的公允价值与最低租赁付款额的现值两者中较低者作为租入资产的入账价值，租入资产的</w:t>
      </w:r>
      <w:r>
        <w:rPr>
          <w:w w:val="100"/>
        </w:rPr>
        <w:t> </w:t>
      </w:r>
      <w:r>
        <w:rPr>
          <w:spacing w:val="-2"/>
        </w:rPr>
        <w:t>入账价值与最低租赁付款额之间的差额作为未确认融资费用，在租赁期内按实际利率法摊销。最低租赁付</w:t>
      </w:r>
      <w:r>
        <w:rPr>
          <w:spacing w:val="-43"/>
        </w:rPr>
        <w:t> </w:t>
      </w:r>
      <w:r>
        <w:rPr>
          <w:spacing w:val="-43"/>
        </w:rPr>
      </w:r>
      <w:r>
        <w:rPr/>
        <w:t>款额扣除未确认融资费用后的余额作为长期应付款列示。</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31、重要会计政策和会计估计变更" w:id="210"/>
      <w:bookmarkEnd w:id="210"/>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36"/>
        <w:gridCol w:w="3231"/>
        <w:gridCol w:w="3231"/>
      </w:tblGrid>
      <w:tr>
        <w:trPr>
          <w:trHeight w:val="396" w:hRule="exact"/>
        </w:trPr>
        <w:tc>
          <w:tcPr>
            <w:tcW w:w="323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52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23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82" w:hRule="exact"/>
        </w:trPr>
        <w:tc>
          <w:tcPr>
            <w:tcW w:w="323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年发布了修订后的《企业</w:t>
            </w:r>
          </w:p>
          <w:p>
            <w:pPr>
              <w:pStyle w:val="TableParagraph"/>
              <w:spacing w:line="240" w:lineRule="auto" w:before="63"/>
              <w:ind w:left="14" w:right="0"/>
              <w:jc w:val="both"/>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w:t>
            </w:r>
          </w:p>
          <w:p>
            <w:pPr>
              <w:pStyle w:val="TableParagraph"/>
              <w:spacing w:line="240" w:lineRule="auto" w:before="63"/>
              <w:ind w:left="14" w:right="0"/>
              <w:jc w:val="both"/>
              <w:rPr>
                <w:rFonts w:ascii="宋体" w:hAnsi="宋体" w:cs="宋体" w:eastAsia="宋体" w:hint="default"/>
                <w:sz w:val="18"/>
                <w:szCs w:val="18"/>
              </w:rPr>
            </w:pPr>
            <w:r>
              <w:rPr>
                <w:rFonts w:ascii="宋体" w:hAnsi="宋体" w:cs="宋体" w:eastAsia="宋体" w:hint="default"/>
                <w:sz w:val="18"/>
                <w:szCs w:val="18"/>
              </w:rPr>
              <w:t>量</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w:t>
            </w:r>
          </w:p>
          <w:p>
            <w:pPr>
              <w:pStyle w:val="TableParagraph"/>
              <w:spacing w:line="240" w:lineRule="auto" w:before="63"/>
              <w:ind w:left="14" w:right="0"/>
              <w:jc w:val="both"/>
              <w:rPr>
                <w:rFonts w:ascii="宋体" w:hAnsi="宋体" w:cs="宋体" w:eastAsia="宋体" w:hint="default"/>
                <w:sz w:val="18"/>
                <w:szCs w:val="18"/>
              </w:rPr>
            </w:pPr>
            <w:r>
              <w:rPr>
                <w:rFonts w:ascii="宋体" w:hAnsi="宋体" w:cs="宋体" w:eastAsia="宋体" w:hint="default"/>
                <w:sz w:val="18"/>
                <w:szCs w:val="18"/>
              </w:rPr>
              <w:t>产转移</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p>
            <w:pPr>
              <w:pStyle w:val="TableParagraph"/>
              <w:spacing w:line="300" w:lineRule="auto" w:before="63"/>
              <w:ind w:left="14" w:right="23"/>
              <w:jc w:val="both"/>
              <w:rPr>
                <w:rFonts w:ascii="宋体" w:hAnsi="宋体" w:cs="宋体" w:eastAsia="宋体" w:hint="default"/>
                <w:sz w:val="18"/>
                <w:szCs w:val="18"/>
              </w:rPr>
            </w:pPr>
            <w:r>
              <w:rPr>
                <w:rFonts w:ascii="宋体" w:hAnsi="宋体" w:cs="宋体" w:eastAsia="宋体" w:hint="default"/>
                <w:sz w:val="18"/>
                <w:szCs w:val="18"/>
              </w:rPr>
              <w:t>期会计</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 融工具列报</w:t>
            </w:r>
            <w:r>
              <w:rPr>
                <w:rFonts w:ascii="宋体" w:hAnsi="宋体" w:cs="宋体" w:eastAsia="宋体" w:hint="default"/>
                <w:spacing w:val="-144"/>
                <w:sz w:val="18"/>
                <w:szCs w:val="18"/>
              </w:rPr>
              <w:t>》</w:t>
            </w:r>
            <w:r>
              <w:rPr>
                <w:rFonts w:ascii="宋体" w:hAnsi="宋体" w:cs="宋体" w:eastAsia="宋体" w:hint="default"/>
                <w:sz w:val="18"/>
                <w:szCs w:val="18"/>
              </w:rPr>
              <w:t>（上述四项准则</w:t>
            </w:r>
            <w:r>
              <w:rPr>
                <w:rFonts w:ascii="宋体" w:hAnsi="宋体" w:cs="宋体" w:eastAsia="宋体" w:hint="default"/>
                <w:spacing w:val="2"/>
                <w:sz w:val="18"/>
                <w:szCs w:val="18"/>
              </w:rPr>
              <w:t>以</w:t>
            </w:r>
            <w:r>
              <w:rPr>
                <w:rFonts w:ascii="宋体" w:hAnsi="宋体" w:cs="宋体" w:eastAsia="宋体" w:hint="default"/>
                <w:sz w:val="18"/>
                <w:szCs w:val="18"/>
              </w:rPr>
              <w:t>下统</w:t>
            </w:r>
            <w:r>
              <w:rPr>
                <w:rFonts w:ascii="宋体" w:hAnsi="宋体" w:cs="宋体" w:eastAsia="宋体" w:hint="default"/>
                <w:spacing w:val="1"/>
                <w:sz w:val="18"/>
                <w:szCs w:val="18"/>
              </w:rPr>
              <w:t>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新 金融工具准则</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r>
          </w:p>
        </w:tc>
        <w:tc>
          <w:tcPr>
            <w:tcW w:w="32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3" w:right="17"/>
              <w:jc w:val="both"/>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日经第四届董事会 </w:t>
            </w:r>
            <w:r>
              <w:rPr>
                <w:rFonts w:ascii="宋体" w:hAnsi="宋体" w:cs="宋体" w:eastAsia="宋体" w:hint="default"/>
                <w:spacing w:val="-4"/>
                <w:sz w:val="18"/>
                <w:szCs w:val="18"/>
              </w:rPr>
              <w:t>第二十六次会议决议通过《关于会计政策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变更的议案》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 </w:t>
            </w:r>
            <w:r>
              <w:rPr>
                <w:rFonts w:ascii="宋体" w:hAnsi="宋体" w:cs="宋体" w:eastAsia="宋体" w:hint="default"/>
                <w:spacing w:val="-4"/>
                <w:sz w:val="18"/>
                <w:szCs w:val="18"/>
              </w:rPr>
              <w:t>执行修订后的准则，对会计政策相关内容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进行调整。</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对财务报表的影响见下表。</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2803"/>
        <w:gridCol w:w="2348"/>
        <w:gridCol w:w="2199"/>
        <w:gridCol w:w="2319"/>
      </w:tblGrid>
      <w:tr>
        <w:trPr>
          <w:trHeight w:val="665" w:hRule="exact"/>
        </w:trPr>
        <w:tc>
          <w:tcPr>
            <w:tcW w:w="280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sz w:val="18"/>
                <w:szCs w:val="18"/>
              </w:rPr>
              <w:t>合并资产负债表项目</w:t>
            </w:r>
          </w:p>
        </w:tc>
        <w:tc>
          <w:tcPr>
            <w:tcW w:w="234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会计政策变更前</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2199"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20"/>
              <w:ind w:left="734" w:right="463" w:hanging="272"/>
              <w:jc w:val="left"/>
              <w:rPr>
                <w:rFonts w:ascii="宋体" w:hAnsi="宋体" w:cs="宋体" w:eastAsia="宋体" w:hint="default"/>
                <w:sz w:val="18"/>
                <w:szCs w:val="18"/>
              </w:rPr>
            </w:pPr>
            <w:r>
              <w:rPr>
                <w:rFonts w:ascii="宋体" w:hAnsi="宋体" w:cs="宋体" w:eastAsia="宋体" w:hint="default"/>
                <w:sz w:val="18"/>
                <w:szCs w:val="18"/>
              </w:rPr>
              <w:t>新金融工具准则 影响金额</w:t>
            </w:r>
          </w:p>
        </w:tc>
        <w:tc>
          <w:tcPr>
            <w:tcW w:w="2319"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300" w:lineRule="auto" w:before="20"/>
              <w:ind w:left="886" w:right="61" w:hanging="812"/>
              <w:jc w:val="left"/>
              <w:rPr>
                <w:rFonts w:ascii="宋体" w:hAnsi="宋体" w:cs="宋体" w:eastAsia="宋体" w:hint="default"/>
                <w:sz w:val="18"/>
                <w:szCs w:val="18"/>
              </w:rPr>
            </w:pPr>
            <w:r>
              <w:rPr>
                <w:rFonts w:ascii="宋体" w:hAnsi="宋体" w:cs="宋体" w:eastAsia="宋体" w:hint="default"/>
                <w:sz w:val="18"/>
                <w:szCs w:val="18"/>
              </w:rPr>
              <w:t>会计政策变更后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348" w:type="dxa"/>
            <w:tcBorders>
              <w:top w:val="single" w:sz="8" w:space="0" w:color="000000"/>
              <w:left w:val="single" w:sz="4" w:space="0" w:color="000000"/>
              <w:bottom w:val="single" w:sz="4" w:space="0" w:color="000000"/>
              <w:right w:val="single" w:sz="4" w:space="0" w:color="000000"/>
            </w:tcBorders>
          </w:tcPr>
          <w:p>
            <w:pPr/>
          </w:p>
        </w:tc>
        <w:tc>
          <w:tcPr>
            <w:tcW w:w="2199" w:type="dxa"/>
            <w:tcBorders>
              <w:top w:val="single" w:sz="8" w:space="0" w:color="000000"/>
              <w:left w:val="single" w:sz="4" w:space="0" w:color="000000"/>
              <w:bottom w:val="single" w:sz="4" w:space="0" w:color="000000"/>
              <w:right w:val="single" w:sz="4" w:space="0" w:color="000000"/>
            </w:tcBorders>
          </w:tcPr>
          <w:p>
            <w:pPr/>
          </w:p>
        </w:tc>
        <w:tc>
          <w:tcPr>
            <w:tcW w:w="2319" w:type="dxa"/>
            <w:tcBorders>
              <w:top w:val="single" w:sz="8" w:space="0" w:color="000000"/>
              <w:left w:val="single" w:sz="4" w:space="0" w:color="000000"/>
              <w:bottom w:val="single" w:sz="4" w:space="0" w:color="000000"/>
              <w:right w:val="single" w:sz="12" w:space="0" w:color="000000"/>
            </w:tcBorders>
          </w:tcPr>
          <w:p>
            <w:pP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4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46,250,000.00</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46,250,000.00</w:t>
            </w: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23,550,664.69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-21,644,898.32</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1,905,766.37</w:t>
            </w: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470,143,769.08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-3,281,113.29</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466,862,655.79</w:t>
            </w: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34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21,582,608.19</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21,582,608.19</w:t>
            </w: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84,513,721.65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-46,250,000.00</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38,263,721.65</w:t>
            </w:r>
          </w:p>
        </w:tc>
      </w:tr>
      <w:tr>
        <w:trPr>
          <w:trHeight w:val="353" w:hRule="exact"/>
        </w:trPr>
        <w:tc>
          <w:tcPr>
            <w:tcW w:w="280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38,100,001.00</w:t>
            </w:r>
          </w:p>
        </w:tc>
        <w:tc>
          <w:tcPr>
            <w:tcW w:w="2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-38,100,001.00</w:t>
            </w:r>
          </w:p>
        </w:tc>
        <w:tc>
          <w:tcPr>
            <w:tcW w:w="2319"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23" w:type="dxa"/>
        <w:tblLayout w:type="fixed"/>
        <w:tblCellMar>
          <w:top w:w="0" w:type="dxa"/>
          <w:left w:w="0" w:type="dxa"/>
          <w:bottom w:w="0" w:type="dxa"/>
          <w:right w:w="0" w:type="dxa"/>
        </w:tblCellMar>
        <w:tblLook w:val="01E0"/>
      </w:tblPr>
      <w:tblGrid>
        <w:gridCol w:w="2799"/>
        <w:gridCol w:w="2352"/>
        <w:gridCol w:w="2199"/>
        <w:gridCol w:w="2319"/>
      </w:tblGrid>
      <w:tr>
        <w:trPr>
          <w:trHeight w:val="353" w:hRule="exact"/>
        </w:trPr>
        <w:tc>
          <w:tcPr>
            <w:tcW w:w="2799"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52" w:type="dxa"/>
            <w:tcBorders>
              <w:top w:val="single" w:sz="12" w:space="0" w:color="000000"/>
              <w:left w:val="single" w:sz="4" w:space="0" w:color="000000"/>
              <w:bottom w:val="single" w:sz="4" w:space="0" w:color="000000"/>
              <w:right w:val="single" w:sz="4" w:space="0" w:color="000000"/>
            </w:tcBorders>
          </w:tcPr>
          <w:p>
            <w:pPr/>
          </w:p>
        </w:tc>
        <w:tc>
          <w:tcPr>
            <w:tcW w:w="21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38,100,001.00</w:t>
            </w:r>
          </w:p>
        </w:tc>
        <w:tc>
          <w:tcPr>
            <w:tcW w:w="231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38,100,001.00</w:t>
            </w:r>
          </w:p>
        </w:tc>
      </w:tr>
      <w:tr>
        <w:trPr>
          <w:trHeight w:val="341" w:hRule="exact"/>
        </w:trPr>
        <w:tc>
          <w:tcPr>
            <w:tcW w:w="279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107,545,600.52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472,136.05</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108,017,736.57</w:t>
            </w:r>
          </w:p>
        </w:tc>
      </w:tr>
      <w:tr>
        <w:trPr>
          <w:trHeight w:val="343" w:hRule="exact"/>
        </w:trPr>
        <w:tc>
          <w:tcPr>
            <w:tcW w:w="279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2352"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12" w:space="0" w:color="000000"/>
            </w:tcBorders>
          </w:tcPr>
          <w:p>
            <w:pPr/>
          </w:p>
        </w:tc>
      </w:tr>
      <w:tr>
        <w:trPr>
          <w:trHeight w:val="341" w:hRule="exact"/>
        </w:trPr>
        <w:tc>
          <w:tcPr>
            <w:tcW w:w="279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526,909,816.62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-2,579,457.56</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524,330,359.06</w:t>
            </w:r>
          </w:p>
        </w:tc>
      </w:tr>
      <w:tr>
        <w:trPr>
          <w:trHeight w:val="353" w:hRule="exact"/>
        </w:trPr>
        <w:tc>
          <w:tcPr>
            <w:tcW w:w="2799"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563,384,263.98</w:t>
            </w:r>
          </w:p>
        </w:tc>
        <w:tc>
          <w:tcPr>
            <w:tcW w:w="2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-291,809.81</w:t>
            </w:r>
          </w:p>
        </w:tc>
        <w:tc>
          <w:tcPr>
            <w:tcW w:w="231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563,092,454.17</w:t>
            </w:r>
          </w:p>
        </w:tc>
      </w:tr>
    </w:tbl>
    <w:p>
      <w:pPr>
        <w:spacing w:line="240" w:lineRule="auto" w:before="11"/>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2803"/>
        <w:gridCol w:w="2348"/>
        <w:gridCol w:w="2199"/>
        <w:gridCol w:w="2319"/>
      </w:tblGrid>
      <w:tr>
        <w:trPr>
          <w:trHeight w:val="665" w:hRule="exact"/>
        </w:trPr>
        <w:tc>
          <w:tcPr>
            <w:tcW w:w="2803"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母公司资产负债表项目</w:t>
            </w:r>
          </w:p>
        </w:tc>
        <w:tc>
          <w:tcPr>
            <w:tcW w:w="234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会计政策变更前</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2199"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734" w:right="463" w:hanging="272"/>
              <w:jc w:val="left"/>
              <w:rPr>
                <w:rFonts w:ascii="宋体" w:hAnsi="宋体" w:cs="宋体" w:eastAsia="宋体" w:hint="default"/>
                <w:sz w:val="18"/>
                <w:szCs w:val="18"/>
              </w:rPr>
            </w:pPr>
            <w:r>
              <w:rPr>
                <w:rFonts w:ascii="宋体" w:hAnsi="宋体" w:cs="宋体" w:eastAsia="宋体" w:hint="default"/>
                <w:sz w:val="18"/>
                <w:szCs w:val="18"/>
              </w:rPr>
              <w:t>新金融工具准则 影响金额</w:t>
            </w:r>
          </w:p>
        </w:tc>
        <w:tc>
          <w:tcPr>
            <w:tcW w:w="2319"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300" w:lineRule="auto" w:before="20"/>
              <w:ind w:left="886" w:right="61" w:hanging="812"/>
              <w:jc w:val="left"/>
              <w:rPr>
                <w:rFonts w:ascii="宋体" w:hAnsi="宋体" w:cs="宋体" w:eastAsia="宋体" w:hint="default"/>
                <w:sz w:val="18"/>
                <w:szCs w:val="18"/>
              </w:rPr>
            </w:pPr>
            <w:r>
              <w:rPr>
                <w:rFonts w:ascii="宋体" w:hAnsi="宋体" w:cs="宋体" w:eastAsia="宋体" w:hint="default"/>
                <w:sz w:val="18"/>
                <w:szCs w:val="18"/>
              </w:rPr>
              <w:t>会计政策变更后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348" w:type="dxa"/>
            <w:tcBorders>
              <w:top w:val="single" w:sz="8" w:space="0" w:color="000000"/>
              <w:left w:val="single" w:sz="4" w:space="0" w:color="000000"/>
              <w:bottom w:val="single" w:sz="4" w:space="0" w:color="000000"/>
              <w:right w:val="single" w:sz="4" w:space="0" w:color="000000"/>
            </w:tcBorders>
          </w:tcPr>
          <w:p>
            <w:pPr/>
          </w:p>
        </w:tc>
        <w:tc>
          <w:tcPr>
            <w:tcW w:w="2199" w:type="dxa"/>
            <w:tcBorders>
              <w:top w:val="single" w:sz="8" w:space="0" w:color="000000"/>
              <w:left w:val="single" w:sz="4" w:space="0" w:color="000000"/>
              <w:bottom w:val="single" w:sz="4" w:space="0" w:color="000000"/>
              <w:right w:val="single" w:sz="4" w:space="0" w:color="000000"/>
            </w:tcBorders>
          </w:tcPr>
          <w:p>
            <w:pPr/>
          </w:p>
        </w:tc>
        <w:tc>
          <w:tcPr>
            <w:tcW w:w="2319" w:type="dxa"/>
            <w:tcBorders>
              <w:top w:val="single" w:sz="8" w:space="0" w:color="000000"/>
              <w:left w:val="single" w:sz="4" w:space="0" w:color="000000"/>
              <w:bottom w:val="single" w:sz="4" w:space="0" w:color="000000"/>
              <w:right w:val="single" w:sz="12" w:space="0" w:color="000000"/>
            </w:tcBorders>
          </w:tcPr>
          <w:p>
            <w:pP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15,474,752.24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-14,963,103.91</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511,648.33</w:t>
            </w: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171,485,062.44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-1,580,450.91</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169,904,611.53</w:t>
            </w: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8"/>
              <w:ind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34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14,935,095.74</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14,935,095.74</w:t>
            </w: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36,900,001.00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-36,900,001.00</w:t>
            </w:r>
          </w:p>
        </w:tc>
        <w:tc>
          <w:tcPr>
            <w:tcW w:w="2319" w:type="dxa"/>
            <w:tcBorders>
              <w:top w:val="single" w:sz="4" w:space="0" w:color="000000"/>
              <w:left w:val="single" w:sz="4" w:space="0" w:color="000000"/>
              <w:bottom w:val="single" w:sz="4" w:space="0" w:color="000000"/>
              <w:right w:val="single" w:sz="12" w:space="0" w:color="000000"/>
            </w:tcBorders>
          </w:tcPr>
          <w:p>
            <w:pP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4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36,900,001.00</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36,900,001.00</w:t>
            </w:r>
          </w:p>
        </w:tc>
      </w:tr>
      <w:tr>
        <w:trPr>
          <w:trHeight w:val="343"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5,820,325.97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241,268.86</w:t>
            </w:r>
          </w:p>
        </w:tc>
        <w:tc>
          <w:tcPr>
            <w:tcW w:w="231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6,061,594.83</w:t>
            </w:r>
          </w:p>
        </w:tc>
      </w:tr>
      <w:tr>
        <w:trPr>
          <w:trHeight w:val="341" w:hRule="exact"/>
        </w:trPr>
        <w:tc>
          <w:tcPr>
            <w:tcW w:w="280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2348"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c>
          <w:tcPr>
            <w:tcW w:w="2319" w:type="dxa"/>
            <w:tcBorders>
              <w:top w:val="single" w:sz="4" w:space="0" w:color="000000"/>
              <w:left w:val="single" w:sz="4" w:space="0" w:color="000000"/>
              <w:bottom w:val="single" w:sz="4" w:space="0" w:color="000000"/>
              <w:right w:val="single" w:sz="12" w:space="0" w:color="000000"/>
            </w:tcBorders>
          </w:tcPr>
          <w:p>
            <w:pPr/>
          </w:p>
        </w:tc>
      </w:tr>
      <w:tr>
        <w:trPr>
          <w:trHeight w:val="353" w:hRule="exact"/>
        </w:trPr>
        <w:tc>
          <w:tcPr>
            <w:tcW w:w="280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232,197,519.93</w:t>
            </w:r>
          </w:p>
        </w:tc>
        <w:tc>
          <w:tcPr>
            <w:tcW w:w="2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-1,367,190.22</w:t>
            </w:r>
          </w:p>
        </w:tc>
        <w:tc>
          <w:tcPr>
            <w:tcW w:w="231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230,830,329.71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3）2019年起执行新金融工具准则、新收入准则或新租赁准则调整执行当年年初财务" w:id="213"/>
      <w:bookmarkEnd w:id="213"/>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40"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387"/>
            <w:col w:w="2009"/>
          </w:cols>
        </w:sectPr>
      </w:pP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218"/>
        <w:gridCol w:w="2497"/>
        <w:gridCol w:w="2489"/>
        <w:gridCol w:w="2487"/>
      </w:tblGrid>
      <w:tr>
        <w:trPr>
          <w:trHeight w:val="412" w:hRule="exact"/>
        </w:trPr>
        <w:tc>
          <w:tcPr>
            <w:tcW w:w="221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49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8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8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1,452,520,751.04</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1,452,520,751.04</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46,250,000.00</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46,250,000.00</w:t>
            </w:r>
          </w:p>
        </w:tc>
      </w:tr>
      <w:tr>
        <w:trPr>
          <w:trHeight w:val="71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49"/>
              <w:ind w:left="7" w:right="2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动计入当期损益的金融资产</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23,550,664.69</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1,905,766.37</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-21,644,898.32</w:t>
            </w:r>
          </w:p>
        </w:tc>
      </w:tr>
      <w:tr>
        <w:trPr>
          <w:trHeight w:val="410" w:hRule="exact"/>
        </w:trPr>
        <w:tc>
          <w:tcPr>
            <w:tcW w:w="221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97"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470,143,769.08</w:t>
            </w:r>
          </w:p>
        </w:tc>
        <w:tc>
          <w:tcPr>
            <w:tcW w:w="24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466,862,655.79</w:t>
            </w:r>
          </w:p>
        </w:tc>
        <w:tc>
          <w:tcPr>
            <w:tcW w:w="24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-3,281,113.29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218"/>
        <w:gridCol w:w="2497"/>
        <w:gridCol w:w="2489"/>
        <w:gridCol w:w="2487"/>
      </w:tblGrid>
      <w:tr>
        <w:trPr>
          <w:trHeight w:val="413" w:hRule="exact"/>
        </w:trPr>
        <w:tc>
          <w:tcPr>
            <w:tcW w:w="221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97" w:type="dxa"/>
            <w:tcBorders>
              <w:top w:val="single" w:sz="12" w:space="0" w:color="000000"/>
              <w:left w:val="single" w:sz="13" w:space="0" w:color="D2D2D2"/>
              <w:bottom w:val="single" w:sz="4" w:space="0" w:color="000000"/>
              <w:right w:val="single" w:sz="4" w:space="0" w:color="000000"/>
            </w:tcBorders>
          </w:tcPr>
          <w:p>
            <w:pPr/>
          </w:p>
        </w:tc>
        <w:tc>
          <w:tcPr>
            <w:tcW w:w="24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21,582,608.19</w:t>
            </w:r>
          </w:p>
        </w:tc>
        <w:tc>
          <w:tcPr>
            <w:tcW w:w="248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21,582,608.19</w:t>
            </w: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150,642,792.74</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150,642,792.74</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60,781,183.38</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60,781,183.38</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407,907,845.25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407,907,845.25</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84,513,721.65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38,263,721.65</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-46,250,000.00</w:t>
            </w: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2,650,060,727.83</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2,646,717,324.41</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-3,343,403.42</w:t>
            </w: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38,100,001.00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-38,100,001.00</w:t>
            </w: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95,841,901.94</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95,841,901.94</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38,100,001.00</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38,100,001.00</w:t>
            </w: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184,700,496.44</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184,700,496.44</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857,714,936.00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857,714,936.00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225,049,799.70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225,049,799.70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545,089,314.58</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545,089,314.58</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221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97" w:type="dxa"/>
            <w:tcBorders>
              <w:top w:val="single" w:sz="4" w:space="0" w:color="000000"/>
              <w:left w:val="single" w:sz="13" w:space="0" w:color="D2D2D2"/>
              <w:bottom w:val="single" w:sz="12" w:space="0" w:color="000000"/>
              <w:right w:val="single" w:sz="4" w:space="0" w:color="000000"/>
            </w:tcBorders>
          </w:tcPr>
          <w:p>
            <w:pPr/>
          </w:p>
        </w:tc>
        <w:tc>
          <w:tcPr>
            <w:tcW w:w="2489" w:type="dxa"/>
            <w:tcBorders>
              <w:top w:val="single" w:sz="4" w:space="0" w:color="000000"/>
              <w:left w:val="single" w:sz="4" w:space="0" w:color="000000"/>
              <w:bottom w:val="single" w:sz="12" w:space="0" w:color="000000"/>
              <w:right w:val="single" w:sz="4" w:space="0" w:color="000000"/>
            </w:tcBorders>
          </w:tcPr>
          <w:p>
            <w:pPr/>
          </w:p>
        </w:tc>
        <w:tc>
          <w:tcPr>
            <w:tcW w:w="2487"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218"/>
        <w:gridCol w:w="2497"/>
        <w:gridCol w:w="2489"/>
        <w:gridCol w:w="2487"/>
      </w:tblGrid>
      <w:tr>
        <w:trPr>
          <w:trHeight w:val="413" w:hRule="exact"/>
        </w:trPr>
        <w:tc>
          <w:tcPr>
            <w:tcW w:w="221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97" w:type="dxa"/>
            <w:tcBorders>
              <w:top w:val="single" w:sz="12"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316,902,401.39</w:t>
            </w:r>
          </w:p>
        </w:tc>
        <w:tc>
          <w:tcPr>
            <w:tcW w:w="24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316,902,401.39</w:t>
            </w:r>
          </w:p>
        </w:tc>
        <w:tc>
          <w:tcPr>
            <w:tcW w:w="2487"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40,597,482.27</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40,597,482.27</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107,545,600.52</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108,017,736.57</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472,136.05</w:t>
            </w: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6,829,708.52</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6,829,708.52</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2,418,371,642.36</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2,418,843,778.41</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472,136.05</w:t>
            </w: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5,068,432,370.19</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5,065,561,102.82</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-2,871,267.37</w:t>
            </w: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195,650,000.00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195,650,000.00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2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384,124,466.00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384,124,466.00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439,946,607.99</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439,946,607.99</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45,944,231.97</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45,944,231.97</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21,325,658.88</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21,325,658.88</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244,099,422.73</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244,099,422.73</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400,277.78</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400,277.78</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296,433,293.33</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296,433,293.33</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1,627,523,680.90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1,627,523,680.90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221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97" w:type="dxa"/>
            <w:tcBorders>
              <w:top w:val="single" w:sz="4" w:space="0" w:color="000000"/>
              <w:left w:val="single" w:sz="4" w:space="0" w:color="000000"/>
              <w:bottom w:val="single" w:sz="12" w:space="0" w:color="000000"/>
              <w:right w:val="single" w:sz="4" w:space="0" w:color="000000"/>
            </w:tcBorders>
            <w:shd w:val="clear" w:color="auto" w:fill="D2D2D2"/>
          </w:tcPr>
          <w:p>
            <w:pPr/>
          </w:p>
        </w:tc>
        <w:tc>
          <w:tcPr>
            <w:tcW w:w="2489" w:type="dxa"/>
            <w:tcBorders>
              <w:top w:val="single" w:sz="4" w:space="0" w:color="000000"/>
              <w:left w:val="single" w:sz="4" w:space="0" w:color="000000"/>
              <w:bottom w:val="single" w:sz="12"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12" w:space="0" w:color="000000"/>
              <w:right w:val="single" w:sz="12"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218"/>
        <w:gridCol w:w="2497"/>
        <w:gridCol w:w="2489"/>
        <w:gridCol w:w="2487"/>
      </w:tblGrid>
      <w:tr>
        <w:trPr>
          <w:trHeight w:val="413" w:hRule="exact"/>
        </w:trPr>
        <w:tc>
          <w:tcPr>
            <w:tcW w:w="221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97" w:type="dxa"/>
            <w:tcBorders>
              <w:top w:val="single" w:sz="12" w:space="0" w:color="000000"/>
              <w:left w:val="single" w:sz="13" w:space="0" w:color="D2D2D2"/>
              <w:bottom w:val="single" w:sz="4" w:space="0" w:color="000000"/>
              <w:right w:val="single" w:sz="4" w:space="0" w:color="000000"/>
            </w:tcBorders>
          </w:tcPr>
          <w:p>
            <w:pPr/>
          </w:p>
        </w:tc>
        <w:tc>
          <w:tcPr>
            <w:tcW w:w="2489" w:type="dxa"/>
            <w:tcBorders>
              <w:top w:val="single" w:sz="12" w:space="0" w:color="000000"/>
              <w:left w:val="single" w:sz="4" w:space="0" w:color="000000"/>
              <w:bottom w:val="single" w:sz="4" w:space="0" w:color="000000"/>
              <w:right w:val="single" w:sz="4" w:space="0" w:color="000000"/>
            </w:tcBorders>
          </w:tcPr>
          <w:p>
            <w:pPr/>
          </w:p>
        </w:tc>
        <w:tc>
          <w:tcPr>
            <w:tcW w:w="2487"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670,350,927.63</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670,350,927.63</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49,119,554.46</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49,119,554.46</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11,686,073.93</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11,686,073.93</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41,594,093.36</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41,594,093.36</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628,108,506.40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628,108,506.40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21,059,059.52</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21,059,059.52</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1,421,918,215.30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1,421,918,215.30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3,049,441,896.20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3,049,441,896.20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293,022,806.00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293,022,806.00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598,828,546.34</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598,828,546.34</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36,845,041.05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36,845,041.05</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526,909,816.62</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524,330,359.06</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-2,579,457.56</w:t>
            </w:r>
          </w:p>
        </w:tc>
      </w:tr>
      <w:tr>
        <w:trPr>
          <w:trHeight w:val="716"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49"/>
              <w:ind w:left="7" w:right="29"/>
              <w:jc w:val="left"/>
              <w:rPr>
                <w:rFonts w:ascii="宋体" w:hAnsi="宋体" w:cs="宋体" w:eastAsia="宋体" w:hint="default"/>
                <w:sz w:val="18"/>
                <w:szCs w:val="18"/>
              </w:rPr>
            </w:pPr>
            <w:r>
              <w:rPr>
                <w:rFonts w:ascii="宋体" w:hAnsi="宋体" w:cs="宋体" w:eastAsia="宋体" w:hint="default"/>
                <w:sz w:val="18"/>
                <w:szCs w:val="18"/>
              </w:rPr>
              <w:t>归属于母公司所有者权益合 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1,455,606,210.01</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1,453,026,752.45</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-2,579,457.56</w:t>
            </w: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563,384,263.98</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563,092,454.17</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-291,809.81</w:t>
            </w: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2,018,990,473.99</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2,016,119,206.62</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-2,871,267.37</w:t>
            </w:r>
          </w:p>
        </w:tc>
      </w:tr>
      <w:tr>
        <w:trPr>
          <w:trHeight w:val="410" w:hRule="exact"/>
        </w:trPr>
        <w:tc>
          <w:tcPr>
            <w:tcW w:w="221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97"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5,068,432,370.19</w:t>
            </w:r>
          </w:p>
        </w:tc>
        <w:tc>
          <w:tcPr>
            <w:tcW w:w="24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5,065,561,102.82</w:t>
            </w:r>
          </w:p>
        </w:tc>
        <w:tc>
          <w:tcPr>
            <w:tcW w:w="24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-2,871,267.37</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2236"/>
        <w:gridCol w:w="2485"/>
        <w:gridCol w:w="2489"/>
        <w:gridCol w:w="2480"/>
      </w:tblGrid>
      <w:tr>
        <w:trPr>
          <w:trHeight w:val="406" w:hRule="exact"/>
        </w:trPr>
        <w:tc>
          <w:tcPr>
            <w:tcW w:w="2236"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34"/>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485"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4"/>
              <w:ind w:left="4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89"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4"/>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80"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34"/>
              <w:ind w:left="19" w:right="0"/>
              <w:jc w:val="center"/>
              <w:rPr>
                <w:rFonts w:ascii="宋体" w:hAnsi="宋体" w:cs="宋体" w:eastAsia="宋体" w:hint="default"/>
                <w:sz w:val="18"/>
                <w:szCs w:val="18"/>
              </w:rPr>
            </w:pPr>
            <w:r>
              <w:rPr>
                <w:rFonts w:ascii="宋体" w:hAnsi="宋体" w:cs="宋体" w:eastAsia="宋体" w:hint="default"/>
                <w:sz w:val="18"/>
                <w:szCs w:val="18"/>
              </w:rPr>
              <w:t>调整数</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213"/>
        <w:gridCol w:w="2501"/>
        <w:gridCol w:w="2489"/>
        <w:gridCol w:w="2487"/>
      </w:tblGrid>
      <w:tr>
        <w:trPr>
          <w:trHeight w:val="412" w:hRule="exact"/>
        </w:trPr>
        <w:tc>
          <w:tcPr>
            <w:tcW w:w="2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01"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2489"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12"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871,567,259.65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871,567,259.65</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动计入当期损益的金融资产</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15,474,752.24</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511,648.33</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-14,963,103.91</w:t>
            </w:r>
          </w:p>
        </w:tc>
      </w:tr>
      <w:tr>
        <w:trPr>
          <w:trHeight w:val="40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171,485,062.44</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169,904,611.53</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-1,580,450.91</w:t>
            </w: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14,935,095.74</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14,935,095.74</w:t>
            </w:r>
          </w:p>
        </w:tc>
      </w:tr>
      <w:tr>
        <w:trPr>
          <w:trHeight w:val="404"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11,336,006.50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11,336,006.50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192,288,697.27</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192,288,697.27</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37,308,701.57</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37,308,701.57</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852,742.99</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852,742.99</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1,300,313,222.66</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1,298,704,763.58</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-1,608,459.08</w:t>
            </w:r>
          </w:p>
        </w:tc>
      </w:tr>
      <w:tr>
        <w:trPr>
          <w:trHeight w:val="40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36,900,001.00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-36,900,001.00</w:t>
            </w: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1,705,465,127.06</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1,705,465,127.06</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36,900,001.00</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36,900,001.00</w:t>
            </w:r>
          </w:p>
        </w:tc>
      </w:tr>
      <w:tr>
        <w:trPr>
          <w:trHeight w:val="40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162,262,562.16</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162,262,562.16</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155,154,608.24</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155,154,608.24</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42,541,714.91</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42,541,714.91</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01"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2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501" w:type="dxa"/>
            <w:tcBorders>
              <w:top w:val="single" w:sz="4" w:space="0" w:color="000000"/>
              <w:left w:val="single" w:sz="13" w:space="0" w:color="D2D2D2"/>
              <w:bottom w:val="single" w:sz="12" w:space="0" w:color="000000"/>
              <w:right w:val="single" w:sz="4" w:space="0" w:color="000000"/>
            </w:tcBorders>
          </w:tcPr>
          <w:p>
            <w:pPr/>
          </w:p>
        </w:tc>
        <w:tc>
          <w:tcPr>
            <w:tcW w:w="2489" w:type="dxa"/>
            <w:tcBorders>
              <w:top w:val="single" w:sz="4" w:space="0" w:color="000000"/>
              <w:left w:val="single" w:sz="4" w:space="0" w:color="000000"/>
              <w:bottom w:val="single" w:sz="12" w:space="0" w:color="000000"/>
              <w:right w:val="single" w:sz="4" w:space="0" w:color="000000"/>
            </w:tcBorders>
          </w:tcPr>
          <w:p>
            <w:pPr/>
          </w:p>
        </w:tc>
        <w:tc>
          <w:tcPr>
            <w:tcW w:w="2487"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218"/>
        <w:gridCol w:w="2497"/>
        <w:gridCol w:w="2489"/>
        <w:gridCol w:w="2487"/>
      </w:tblGrid>
      <w:tr>
        <w:trPr>
          <w:trHeight w:val="413" w:hRule="exact"/>
        </w:trPr>
        <w:tc>
          <w:tcPr>
            <w:tcW w:w="221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97" w:type="dxa"/>
            <w:tcBorders>
              <w:top w:val="single" w:sz="12"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61,344,992.17</w:t>
            </w:r>
          </w:p>
        </w:tc>
        <w:tc>
          <w:tcPr>
            <w:tcW w:w="24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61,344,992.17</w:t>
            </w:r>
          </w:p>
        </w:tc>
        <w:tc>
          <w:tcPr>
            <w:tcW w:w="2487"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32,096,898.29</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32,096,898.29</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5,820,325.97</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6,061,594.83</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241,268.86</w:t>
            </w: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2,201,586,229.80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2,201,827,498.66</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241,268.86</w:t>
            </w: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3,501,899,452.46</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3,500,532,262.24</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-1,367,190.22</w:t>
            </w: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128,000,000.00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128,000,000.00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2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84,189,089.65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84,189,089.65</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9,342,766.45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9,342,766.45</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11,393,708.25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11,393,708.25</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5,006,850.15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5,006,850.15</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1,545,538,949.71</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1,545,538,949.71</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38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400,277.78</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400,277.78</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38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226,772,215.49</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226,772,215.49</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2,010,243,579.70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2,010,243,579.70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275,000,000.00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275,000,000.00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221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97" w:type="dxa"/>
            <w:tcBorders>
              <w:top w:val="single" w:sz="4" w:space="0" w:color="000000"/>
              <w:left w:val="single" w:sz="13" w:space="0" w:color="D2D2D2"/>
              <w:bottom w:val="single" w:sz="12" w:space="0" w:color="000000"/>
              <w:right w:val="single" w:sz="4" w:space="0" w:color="000000"/>
            </w:tcBorders>
          </w:tcPr>
          <w:p>
            <w:pPr/>
          </w:p>
        </w:tc>
        <w:tc>
          <w:tcPr>
            <w:tcW w:w="2489" w:type="dxa"/>
            <w:tcBorders>
              <w:top w:val="single" w:sz="4" w:space="0" w:color="000000"/>
              <w:left w:val="single" w:sz="4" w:space="0" w:color="000000"/>
              <w:bottom w:val="single" w:sz="12" w:space="0" w:color="000000"/>
              <w:right w:val="single" w:sz="4" w:space="0" w:color="000000"/>
            </w:tcBorders>
          </w:tcPr>
          <w:p>
            <w:pPr/>
          </w:p>
        </w:tc>
        <w:tc>
          <w:tcPr>
            <w:tcW w:w="2487"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218"/>
        <w:gridCol w:w="2497"/>
        <w:gridCol w:w="2489"/>
        <w:gridCol w:w="2487"/>
      </w:tblGrid>
      <w:tr>
        <w:trPr>
          <w:trHeight w:val="413" w:hRule="exact"/>
        </w:trPr>
        <w:tc>
          <w:tcPr>
            <w:tcW w:w="221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97" w:type="dxa"/>
            <w:tcBorders>
              <w:top w:val="single" w:sz="12" w:space="0" w:color="000000"/>
              <w:left w:val="single" w:sz="13" w:space="0" w:color="D2D2D2"/>
              <w:bottom w:val="single" w:sz="4" w:space="0" w:color="000000"/>
              <w:right w:val="single" w:sz="4" w:space="0" w:color="000000"/>
            </w:tcBorders>
          </w:tcPr>
          <w:p>
            <w:pPr/>
          </w:p>
        </w:tc>
        <w:tc>
          <w:tcPr>
            <w:tcW w:w="2489" w:type="dxa"/>
            <w:tcBorders>
              <w:top w:val="single" w:sz="12" w:space="0" w:color="000000"/>
              <w:left w:val="single" w:sz="4" w:space="0" w:color="000000"/>
              <w:bottom w:val="single" w:sz="4" w:space="0" w:color="000000"/>
              <w:right w:val="single" w:sz="4" w:space="0" w:color="000000"/>
            </w:tcBorders>
          </w:tcPr>
          <w:p>
            <w:pPr/>
          </w:p>
        </w:tc>
        <w:tc>
          <w:tcPr>
            <w:tcW w:w="2487"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96,671.22</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96,671.22</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275,096,671.22</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275,096,671.22</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2,285,340,250.92</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2,285,340,250.92</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87"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293,022,806.00</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293,022,806.00</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08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654,493,834.56</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654,493,834.56</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97" w:type="dxa"/>
            <w:tcBorders>
              <w:top w:val="single" w:sz="4" w:space="0" w:color="000000"/>
              <w:left w:val="single" w:sz="13" w:space="0" w:color="D2D2D2"/>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36,845,041.05</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36,845,041.05</w:t>
            </w:r>
          </w:p>
        </w:tc>
        <w:tc>
          <w:tcPr>
            <w:tcW w:w="2487"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232,197,519.93</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230,830,329.71</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-1,367,190.22</w:t>
            </w:r>
          </w:p>
        </w:tc>
      </w:tr>
      <w:tr>
        <w:trPr>
          <w:trHeight w:val="404" w:hRule="exact"/>
        </w:trPr>
        <w:tc>
          <w:tcPr>
            <w:tcW w:w="22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1,216,559,201.54</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1,215,192,011.32</w:t>
            </w:r>
          </w:p>
        </w:tc>
        <w:tc>
          <w:tcPr>
            <w:tcW w:w="24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-1,367,190.22</w:t>
            </w:r>
          </w:p>
        </w:tc>
      </w:tr>
      <w:tr>
        <w:trPr>
          <w:trHeight w:val="410" w:hRule="exact"/>
        </w:trPr>
        <w:tc>
          <w:tcPr>
            <w:tcW w:w="221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97" w:type="dxa"/>
            <w:tcBorders>
              <w:top w:val="single" w:sz="4" w:space="0" w:color="000000"/>
              <w:left w:val="single" w:sz="13" w:space="0" w:color="D2D2D2"/>
              <w:bottom w:val="single" w:sz="12"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3,501,899,452.46</w:t>
            </w:r>
          </w:p>
        </w:tc>
        <w:tc>
          <w:tcPr>
            <w:tcW w:w="24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3,500,532,262.24</w:t>
            </w:r>
          </w:p>
        </w:tc>
        <w:tc>
          <w:tcPr>
            <w:tcW w:w="24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-1,367,190.22</w:t>
            </w: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0"/>
        <w:jc w:val="left"/>
        <w:rPr>
          <w:b w:val="0"/>
          <w:bCs w:val="0"/>
        </w:rPr>
      </w:pPr>
      <w:bookmarkStart w:name="（4）2019年起执行新金融工具准则或新租赁准则追溯调整前期比较数据说明" w:id="214"/>
      <w:bookmarkEnd w:id="214"/>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六、税项" w:id="215"/>
      <w:bookmarkEnd w:id="215"/>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16"/>
      <w:bookmarkEnd w:id="21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8"/>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3213"/>
        <w:gridCol w:w="3244"/>
        <w:gridCol w:w="3233"/>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税种</w:t>
            </w:r>
          </w:p>
        </w:tc>
        <w:tc>
          <w:tcPr>
            <w:tcW w:w="32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销售货物或者提供应税劳务增值额</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实际缴纳增值税额</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实际缴纳增值税额</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实际缴纳增值税额</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存在不同企业所得税税率纳税主体的情况说明：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4847"/>
        <w:gridCol w:w="4851"/>
      </w:tblGrid>
      <w:tr>
        <w:trPr>
          <w:trHeight w:val="396" w:hRule="exact"/>
        </w:trPr>
        <w:tc>
          <w:tcPr>
            <w:tcW w:w="484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1" w:right="1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85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9"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汉威科技</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炜盛科技</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上海嘉园</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福建恒嘉</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福安嘉园</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3"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高新供水</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11" w:hRule="exact"/>
        </w:trPr>
        <w:tc>
          <w:tcPr>
            <w:tcW w:w="484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高新热力</w:t>
            </w:r>
          </w:p>
        </w:tc>
        <w:tc>
          <w:tcPr>
            <w:tcW w:w="485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15.00%</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税收优惠" w:id="217"/>
      <w:bookmarkEnd w:id="21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left="573" w:right="0"/>
        <w:jc w:val="left"/>
      </w:pPr>
      <w:r>
        <w:rPr>
          <w:rFonts w:ascii="Times New Roman" w:hAnsi="Times New Roman" w:cs="Times New Roman" w:eastAsia="Times New Roman" w:hint="default"/>
        </w:rPr>
        <w:t>1</w:t>
      </w:r>
      <w:r>
        <w:rPr/>
        <w:t>、所得税税收优惠</w:t>
      </w:r>
      <w:r>
        <w:rPr>
          <w:w w:val="100"/>
        </w:rPr>
        <w:t> </w:t>
      </w:r>
      <w:r>
        <w:rPr>
          <w:spacing w:val="-2"/>
        </w:rPr>
        <w:t>经相关部门批复认定为高新技术企业的公司，包括本公司及子公司，根据《中华人民共和国企业所得</w:t>
      </w:r>
    </w:p>
    <w:p>
      <w:pPr>
        <w:pStyle w:val="BodyText"/>
        <w:spacing w:line="386" w:lineRule="auto" w:before="65"/>
        <w:ind w:right="0"/>
        <w:jc w:val="left"/>
      </w:pPr>
      <w:r>
        <w:rPr/>
        <w:t>税法》及《关于高新技术企业</w:t>
      </w:r>
      <w:r>
        <w:rPr>
          <w:rFonts w:ascii="Times New Roman" w:hAnsi="Times New Roman" w:cs="Times New Roman" w:eastAsia="Times New Roman" w:hint="default"/>
        </w:rPr>
        <w:t>2008</w:t>
      </w:r>
      <w:r>
        <w:rPr/>
        <w:t>年度缴纳企业所得税问题的通知》（国税（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985</w:t>
      </w:r>
      <w:r>
        <w:rPr/>
        <w:t>号）有关规定，</w:t>
      </w:r>
      <w:r>
        <w:rPr>
          <w:spacing w:val="-23"/>
        </w:rPr>
        <w:t> </w:t>
      </w:r>
      <w:r>
        <w:rPr>
          <w:spacing w:val="-23"/>
        </w:rPr>
      </w:r>
      <w:r>
        <w:rPr/>
        <w:t>本年度适用</w:t>
      </w:r>
      <w:r>
        <w:rPr>
          <w:rFonts w:ascii="Times New Roman" w:hAnsi="Times New Roman" w:cs="Times New Roman" w:eastAsia="Times New Roman" w:hint="default"/>
        </w:rPr>
        <w:t>15%</w:t>
      </w:r>
      <w:r>
        <w:rPr/>
        <w:t>的所得税优惠税率。</w:t>
      </w:r>
    </w:p>
    <w:p>
      <w:pPr>
        <w:pStyle w:val="BodyText"/>
        <w:spacing w:line="410" w:lineRule="auto" w:before="35"/>
        <w:ind w:right="1126" w:firstLine="420"/>
        <w:jc w:val="both"/>
      </w:pPr>
      <w:r>
        <w:rPr>
          <w:spacing w:val="-2"/>
        </w:rPr>
        <w:t>子公司福安嘉园根据《中华人民共和国企业所得税法》第二十七条以及《中华人民共和国企业所得税</w:t>
      </w:r>
      <w:r>
        <w:rPr>
          <w:w w:val="100"/>
        </w:rPr>
        <w:t> </w:t>
      </w:r>
      <w:r>
        <w:rPr/>
        <w:t>法实施条例》第八十八条的规定，享受企业所得税三免三减半税收优惠。</w:t>
      </w:r>
    </w:p>
    <w:p>
      <w:pPr>
        <w:pStyle w:val="BodyText"/>
        <w:spacing w:line="386" w:lineRule="auto" w:before="44"/>
        <w:ind w:right="1128" w:firstLine="420"/>
        <w:jc w:val="both"/>
      </w:pPr>
      <w:r>
        <w:rPr>
          <w:spacing w:val="-1"/>
        </w:rPr>
        <w:t>根据《财政部税务总局关于实施小微企业普惠性税收减免政策的通知》</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[2019]13</w:t>
      </w:r>
      <w:r>
        <w:rPr>
          <w:spacing w:val="-1"/>
        </w:rPr>
        <w:t>号</w:t>
      </w:r>
      <w:r>
        <w:rPr>
          <w:rFonts w:ascii="Times New Roman" w:hAnsi="Times New Roman" w:cs="Times New Roman" w:eastAsia="Times New Roman" w:hint="default"/>
          <w:spacing w:val="-1"/>
        </w:rPr>
        <w:t>)</w:t>
      </w:r>
      <w:r>
        <w:rPr>
          <w:spacing w:val="-1"/>
        </w:rPr>
        <w:t>，自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w w:val="100"/>
        </w:rPr>
        <w:t> </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日，对小型微利企业年应纳税所得额不超过</w:t>
      </w:r>
      <w:r>
        <w:rPr>
          <w:rFonts w:ascii="Times New Roman" w:hAnsi="Times New Roman" w:cs="Times New Roman" w:eastAsia="Times New Roman" w:hint="default"/>
          <w:spacing w:val="-1"/>
        </w:rPr>
        <w:t>100</w:t>
      </w:r>
      <w:r>
        <w:rPr>
          <w:spacing w:val="-1"/>
        </w:rPr>
        <w:t>万元的部分，减按</w:t>
      </w:r>
      <w:r>
        <w:rPr>
          <w:rFonts w:ascii="Times New Roman" w:hAnsi="Times New Roman" w:cs="Times New Roman" w:eastAsia="Times New Roman" w:hint="default"/>
          <w:spacing w:val="-1"/>
        </w:rPr>
        <w:t>25%</w:t>
      </w:r>
      <w:r>
        <w:rPr>
          <w:spacing w:val="-1"/>
        </w:rPr>
        <w:t>计入应纳税所</w:t>
      </w:r>
      <w:r>
        <w:rPr>
          <w:spacing w:val="-47"/>
        </w:rPr>
        <w:t> </w:t>
      </w:r>
      <w:r>
        <w:rPr>
          <w:spacing w:val="-47"/>
        </w:rPr>
      </w:r>
      <w:r>
        <w:rPr>
          <w:spacing w:val="-2"/>
        </w:rPr>
        <w:t>得额，按</w:t>
      </w:r>
      <w:r>
        <w:rPr>
          <w:rFonts w:ascii="Times New Roman" w:hAnsi="Times New Roman" w:cs="Times New Roman" w:eastAsia="Times New Roman" w:hint="default"/>
          <w:spacing w:val="-2"/>
        </w:rPr>
        <w:t>20%</w:t>
      </w:r>
      <w:r>
        <w:rPr>
          <w:spacing w:val="-2"/>
        </w:rPr>
        <w:t>的税率缴纳企业所得税</w:t>
      </w:r>
      <w:r>
        <w:rPr>
          <w:rFonts w:ascii="Times New Roman" w:hAnsi="Times New Roman" w:cs="Times New Roman" w:eastAsia="Times New Roman" w:hint="default"/>
          <w:spacing w:val="-2"/>
        </w:rPr>
        <w:t>;</w:t>
      </w:r>
      <w:r>
        <w:rPr>
          <w:spacing w:val="-2"/>
        </w:rPr>
        <w:t>对年应纳税所得额超过</w:t>
      </w:r>
      <w:r>
        <w:rPr>
          <w:rFonts w:ascii="Times New Roman" w:hAnsi="Times New Roman" w:cs="Times New Roman" w:eastAsia="Times New Roman" w:hint="default"/>
          <w:spacing w:val="-2"/>
        </w:rPr>
        <w:t>100</w:t>
      </w:r>
      <w:r>
        <w:rPr>
          <w:spacing w:val="-2"/>
        </w:rPr>
        <w:t>万元但不超过</w:t>
      </w:r>
      <w:r>
        <w:rPr>
          <w:rFonts w:ascii="Times New Roman" w:hAnsi="Times New Roman" w:cs="Times New Roman" w:eastAsia="Times New Roman" w:hint="default"/>
          <w:spacing w:val="-2"/>
        </w:rPr>
        <w:t>300</w:t>
      </w:r>
      <w:r>
        <w:rPr>
          <w:spacing w:val="-2"/>
        </w:rPr>
        <w:t>万元的部分，减按</w:t>
      </w:r>
      <w:r>
        <w:rPr>
          <w:rFonts w:ascii="Times New Roman" w:hAnsi="Times New Roman" w:cs="Times New Roman" w:eastAsia="Times New Roman" w:hint="default"/>
          <w:spacing w:val="-2"/>
        </w:rPr>
        <w:t>50%</w:t>
      </w:r>
      <w:r>
        <w:rPr>
          <w:spacing w:val="-2"/>
        </w:rPr>
        <w:t>计</w:t>
      </w:r>
      <w:r>
        <w:rPr>
          <w:spacing w:val="-23"/>
        </w:rPr>
        <w:t> </w:t>
      </w:r>
      <w:r>
        <w:rPr/>
        <w:t>入应纳税所得额，按</w:t>
      </w:r>
      <w:r>
        <w:rPr>
          <w:rFonts w:ascii="Times New Roman" w:hAnsi="Times New Roman" w:cs="Times New Roman" w:eastAsia="Times New Roman" w:hint="default"/>
        </w:rPr>
        <w:t>20%</w:t>
      </w:r>
      <w:r>
        <w:rPr/>
        <w:t>的税率缴纳企业所得税。</w:t>
      </w:r>
    </w:p>
    <w:p>
      <w:pPr>
        <w:pStyle w:val="BodyText"/>
        <w:spacing w:line="240" w:lineRule="auto" w:before="35"/>
        <w:ind w:left="573" w:right="0"/>
        <w:jc w:val="left"/>
      </w:pPr>
      <w:r>
        <w:rPr>
          <w:rFonts w:ascii="Times New Roman" w:hAnsi="Times New Roman" w:cs="Times New Roman" w:eastAsia="Times New Roman" w:hint="default"/>
        </w:rPr>
        <w:t>2</w:t>
      </w:r>
      <w:r>
        <w:rPr/>
        <w:t>、增值税税收优惠</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0" w:firstLine="420"/>
        <w:jc w:val="left"/>
      </w:pPr>
      <w:r>
        <w:rPr>
          <w:spacing w:val="-2"/>
        </w:rPr>
        <w:t>本公司根据</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100</w:t>
      </w:r>
      <w:r>
        <w:rPr>
          <w:spacing w:val="-2"/>
        </w:rPr>
        <w:t>号《财政部、国家税务总局关于软件产品增值税政策的通知》</w:t>
      </w:r>
      <w:r>
        <w:rPr>
          <w:rFonts w:ascii="Times New Roman" w:hAnsi="Times New Roman" w:cs="Times New Roman" w:eastAsia="Times New Roman" w:hint="default"/>
          <w:spacing w:val="-2"/>
        </w:rPr>
        <w:t>“</w:t>
      </w:r>
      <w:r>
        <w:rPr>
          <w:spacing w:val="-2"/>
        </w:rPr>
        <w:t>的规定，</w:t>
      </w:r>
      <w:r>
        <w:rPr>
          <w:w w:val="100"/>
        </w:rPr>
        <w:t> </w:t>
      </w:r>
      <w:r>
        <w:rPr>
          <w:spacing w:val="-4"/>
          <w:w w:val="100"/>
        </w:rPr>
        <w:t>自</w:t>
      </w:r>
      <w:r>
        <w:rPr>
          <w:rFonts w:ascii="Times New Roman" w:hAnsi="Times New Roman" w:cs="Times New Roman" w:eastAsia="Times New Roman" w:hint="default"/>
          <w:spacing w:val="-4"/>
          <w:w w:val="100"/>
        </w:rPr>
        <w:t>2011</w:t>
      </w:r>
      <w:r>
        <w:rPr>
          <w:spacing w:val="-4"/>
          <w:w w:val="100"/>
        </w:rPr>
        <w:t>年</w:t>
      </w:r>
      <w:r>
        <w:rPr>
          <w:rFonts w:ascii="Times New Roman" w:hAnsi="Times New Roman" w:cs="Times New Roman" w:eastAsia="Times New Roman" w:hint="default"/>
          <w:spacing w:val="-4"/>
          <w:w w:val="100"/>
        </w:rPr>
        <w:t>1</w:t>
      </w:r>
      <w:r>
        <w:rPr>
          <w:spacing w:val="-4"/>
          <w:w w:val="100"/>
        </w:rPr>
        <w:t>月</w:t>
      </w:r>
      <w:r>
        <w:rPr>
          <w:rFonts w:ascii="Times New Roman" w:hAnsi="Times New Roman" w:cs="Times New Roman" w:eastAsia="Times New Roman" w:hint="default"/>
          <w:spacing w:val="-4"/>
          <w:w w:val="100"/>
        </w:rPr>
        <w:t>1</w:t>
      </w:r>
      <w:r>
        <w:rPr>
          <w:spacing w:val="-4"/>
          <w:w w:val="100"/>
        </w:rPr>
        <w:t>日起对增值税一般纳税人销售其自行开发生产的软件产品，对其增值税实际税负超过</w:t>
      </w:r>
      <w:r>
        <w:rPr>
          <w:rFonts w:ascii="Times New Roman" w:hAnsi="Times New Roman" w:cs="Times New Roman" w:eastAsia="Times New Roman" w:hint="default"/>
          <w:spacing w:val="-4"/>
          <w:w w:val="100"/>
        </w:rPr>
        <w:t>3%</w:t>
      </w:r>
      <w:r>
        <w:rPr>
          <w:spacing w:val="-4"/>
          <w:w w:val="100"/>
        </w:rPr>
        <w:t>的部</w:t>
      </w:r>
      <w:r>
        <w:rPr>
          <w:spacing w:val="-67"/>
          <w:w w:val="100"/>
        </w:rPr>
        <w:t> </w:t>
      </w:r>
      <w:r>
        <w:rPr/>
        <w:t>分实行即征即退政策。</w:t>
      </w:r>
    </w:p>
    <w:p>
      <w:pPr>
        <w:pStyle w:val="BodyText"/>
        <w:spacing w:line="386" w:lineRule="auto" w:before="65"/>
        <w:ind w:right="0" w:firstLine="420"/>
        <w:jc w:val="left"/>
      </w:pPr>
      <w:r>
        <w:rPr>
          <w:spacing w:val="-2"/>
        </w:rPr>
        <w:t>子公司东山嘉园根据</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[2015]78</w:t>
      </w:r>
      <w:r>
        <w:rPr>
          <w:spacing w:val="-2"/>
        </w:rPr>
        <w:t>号</w:t>
      </w:r>
      <w:r>
        <w:rPr>
          <w:rFonts w:ascii="Times New Roman" w:hAnsi="Times New Roman" w:cs="Times New Roman" w:eastAsia="Times New Roman" w:hint="default"/>
          <w:spacing w:val="-2"/>
        </w:rPr>
        <w:t>-</w:t>
      </w:r>
      <w:r>
        <w:rPr>
          <w:spacing w:val="-2"/>
        </w:rPr>
        <w:t>关于印发《资源综合利用产品和劳务增值税优惠目录》的通知</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的规定，对污水处理劳务按照</w:t>
      </w:r>
      <w:r>
        <w:rPr>
          <w:rFonts w:ascii="Times New Roman" w:hAnsi="Times New Roman" w:cs="Times New Roman" w:eastAsia="Times New Roman" w:hint="default"/>
        </w:rPr>
        <w:t>70%</w:t>
      </w:r>
      <w:r>
        <w:rPr/>
        <w:t>享受增值税即征即退政策。</w:t>
      </w:r>
    </w:p>
    <w:p>
      <w:pPr>
        <w:pStyle w:val="BodyText"/>
        <w:spacing w:line="386" w:lineRule="auto" w:before="35"/>
        <w:ind w:right="0" w:firstLine="420"/>
        <w:jc w:val="left"/>
      </w:pPr>
      <w:r>
        <w:rPr>
          <w:spacing w:val="-2"/>
        </w:rPr>
        <w:t>子公司合肥嘉园根据</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[2015]78</w:t>
      </w:r>
      <w:r>
        <w:rPr>
          <w:spacing w:val="-2"/>
        </w:rPr>
        <w:t>号</w:t>
      </w:r>
      <w:r>
        <w:rPr>
          <w:rFonts w:ascii="Times New Roman" w:hAnsi="Times New Roman" w:cs="Times New Roman" w:eastAsia="Times New Roman" w:hint="default"/>
          <w:spacing w:val="-2"/>
        </w:rPr>
        <w:t>-</w:t>
      </w:r>
      <w:r>
        <w:rPr>
          <w:spacing w:val="-2"/>
        </w:rPr>
        <w:t>关于印发《资源综合利用产品和劳务增值税优惠目录》的通知</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的规定，对垃圾处理厂渗透（滤）液按照</w:t>
      </w:r>
      <w:r>
        <w:rPr>
          <w:rFonts w:ascii="Times New Roman" w:hAnsi="Times New Roman" w:cs="Times New Roman" w:eastAsia="Times New Roman" w:hint="default"/>
        </w:rPr>
        <w:t>50%</w:t>
      </w:r>
      <w:r>
        <w:rPr/>
        <w:t>享受增值税即征即退政策。</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七、合并财务报表项目注释" w:id="218"/>
      <w:bookmarkEnd w:id="218"/>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19"/>
      <w:bookmarkEnd w:id="21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4"/>
        <w:gridCol w:w="3233"/>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359,146.61</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279,050.29</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1,199,195,372.12</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1,446,994,428.79</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11,190,371.87</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5,247,271.96</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1,210,744,890.60</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1,452,520,751.04</w:t>
            </w:r>
          </w:p>
        </w:tc>
      </w:tr>
    </w:tbl>
    <w:p>
      <w:pPr>
        <w:spacing w:line="357" w:lineRule="auto" w:before="51"/>
        <w:ind w:left="152" w:right="4049" w:firstLine="0"/>
        <w:jc w:val="left"/>
        <w:rPr>
          <w:rFonts w:ascii="宋体" w:hAnsi="宋体" w:cs="宋体" w:eastAsia="宋体" w:hint="default"/>
          <w:sz w:val="18"/>
          <w:szCs w:val="18"/>
        </w:rPr>
      </w:pPr>
      <w:r>
        <w:rPr>
          <w:rFonts w:ascii="宋体" w:hAnsi="宋体" w:cs="宋体" w:eastAsia="宋体" w:hint="default"/>
          <w:sz w:val="18"/>
          <w:szCs w:val="18"/>
        </w:rPr>
        <w:t>其他说明： 期末其他货币资金中将于</w:t>
      </w:r>
      <w:r>
        <w:rPr>
          <w:rFonts w:ascii="Times New Roman" w:hAnsi="Times New Roman" w:cs="Times New Roman" w:eastAsia="Times New Roman" w:hint="default"/>
          <w:sz w:val="18"/>
          <w:szCs w:val="18"/>
        </w:rPr>
        <w:t>3</w:t>
      </w:r>
      <w:r>
        <w:rPr>
          <w:rFonts w:ascii="宋体" w:hAnsi="宋体" w:cs="宋体" w:eastAsia="宋体" w:hint="default"/>
          <w:sz w:val="18"/>
          <w:szCs w:val="18"/>
        </w:rPr>
        <w:t>个月后到期的汇票、保函、信用证保证金</w:t>
      </w:r>
      <w:r>
        <w:rPr>
          <w:rFonts w:ascii="Times New Roman" w:hAnsi="Times New Roman" w:cs="Times New Roman" w:eastAsia="Times New Roman" w:hint="default"/>
          <w:sz w:val="18"/>
          <w:szCs w:val="18"/>
        </w:rPr>
        <w:t>11,029,423.88</w:t>
      </w:r>
      <w:r>
        <w:rPr>
          <w:rFonts w:ascii="宋体" w:hAnsi="宋体" w:cs="宋体" w:eastAsia="宋体" w:hint="default"/>
          <w:sz w:val="18"/>
          <w:szCs w:val="18"/>
        </w:rPr>
        <w:t>元。</w:t>
      </w: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bookmarkStart w:name="2、交易性金融资产" w:id="220"/>
      <w:bookmarkEnd w:id="220"/>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4"/>
        <w:gridCol w:w="3233"/>
      </w:tblGrid>
      <w:tr>
        <w:trPr>
          <w:trHeight w:val="409"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7" w:right="12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244" w:type="dxa"/>
            <w:tcBorders>
              <w:top w:val="single" w:sz="4" w:space="0" w:color="000000"/>
              <w:left w:val="single" w:sz="10" w:space="0" w:color="D2D2D2"/>
              <w:bottom w:val="single" w:sz="4" w:space="0" w:color="000000"/>
              <w:right w:val="single" w:sz="4" w:space="0" w:color="000000"/>
            </w:tcBorders>
          </w:tcPr>
          <w:p>
            <w:pP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46,250,000.00</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33"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4" w:hRule="exact"/>
        </w:trPr>
        <w:tc>
          <w:tcPr>
            <w:tcW w:w="32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244" w:type="dxa"/>
            <w:tcBorders>
              <w:top w:val="single" w:sz="4" w:space="0" w:color="000000"/>
              <w:left w:val="single" w:sz="4" w:space="0" w:color="000000"/>
              <w:bottom w:val="single" w:sz="4" w:space="0" w:color="000000"/>
              <w:right w:val="single" w:sz="4" w:space="0" w:color="000000"/>
            </w:tcBorders>
          </w:tcPr>
          <w:p>
            <w:pP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46,250,000.00</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4" w:space="0" w:color="000000"/>
              <w:bottom w:val="single" w:sz="12" w:space="0" w:color="000000"/>
              <w:right w:val="single" w:sz="4" w:space="0" w:color="000000"/>
            </w:tcBorders>
          </w:tcPr>
          <w:p>
            <w:pP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46,250,000.00</w:t>
            </w:r>
          </w:p>
        </w:tc>
      </w:tr>
    </w:tbl>
    <w:p>
      <w:pPr>
        <w:spacing w:line="357" w:lineRule="auto" w:before="51"/>
        <w:ind w:left="152" w:right="4529" w:firstLine="0"/>
        <w:jc w:val="left"/>
        <w:rPr>
          <w:rFonts w:ascii="宋体" w:hAnsi="宋体" w:cs="宋体" w:eastAsia="宋体" w:hint="default"/>
          <w:sz w:val="18"/>
          <w:szCs w:val="18"/>
        </w:rPr>
      </w:pPr>
      <w:r>
        <w:rPr>
          <w:rFonts w:ascii="宋体" w:hAnsi="宋体" w:cs="宋体" w:eastAsia="宋体" w:hint="default"/>
          <w:sz w:val="18"/>
          <w:szCs w:val="18"/>
        </w:rPr>
        <w:t>其他说明： 交易性金融资产较期初减少</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，主要系报告期公司收回结构性存款所致。</w:t>
      </w:r>
    </w:p>
    <w:p>
      <w:pPr>
        <w:spacing w:after="0" w:line="35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3、应收票据" w:id="221"/>
      <w:bookmarkEnd w:id="221"/>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22"/>
      <w:bookmarkEnd w:id="22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412"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8,722,643.14</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1,968,056.50</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-238,600.02</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-62,290.13</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w w:val="95"/>
                <w:sz w:val="18"/>
              </w:rPr>
              <w:t>8,484,043.12</w:t>
            </w:r>
            <w:r>
              <w:rPr>
                <w:rFonts w:ascii="Times New Roman"/>
                <w:color w:val="FF0000"/>
                <w:w w:val="95"/>
                <w:position w:val="8"/>
                <w:sz w:val="12"/>
              </w:rPr>
              <w:t>1</w:t>
            </w:r>
            <w:r>
              <w:rPr>
                <w:rFonts w:ascii="Times New Roman"/>
                <w:w w:val="95"/>
                <w:sz w:val="12"/>
              </w:rPr>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1,905,766.37</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应收票据较年初增加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345.18%</w:t>
      </w:r>
      <w:r>
        <w:rPr>
          <w:rFonts w:ascii="宋体" w:hAnsi="宋体" w:cs="宋体" w:eastAsia="宋体" w:hint="default"/>
          <w:sz w:val="18"/>
          <w:szCs w:val="18"/>
        </w:rPr>
        <w:t>，主要系报告期内公司收到的商业承兑汇票增加所致。</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00"/>
        <w:gridCol w:w="1001"/>
        <w:gridCol w:w="704"/>
        <w:gridCol w:w="864"/>
        <w:gridCol w:w="533"/>
        <w:gridCol w:w="1001"/>
        <w:gridCol w:w="1001"/>
        <w:gridCol w:w="701"/>
        <w:gridCol w:w="778"/>
        <w:gridCol w:w="612"/>
        <w:gridCol w:w="1003"/>
      </w:tblGrid>
      <w:tr>
        <w:trPr>
          <w:trHeight w:val="410" w:hRule="exact"/>
        </w:trPr>
        <w:tc>
          <w:tcPr>
            <w:tcW w:w="1500" w:type="dxa"/>
            <w:vMerge w:val="restart"/>
            <w:tcBorders>
              <w:top w:val="single" w:sz="12" w:space="0" w:color="000000"/>
              <w:left w:val="single" w:sz="12" w:space="0" w:color="000000"/>
              <w:right w:val="single" w:sz="4" w:space="0" w:color="000000"/>
            </w:tcBorders>
            <w:shd w:val="clear" w:color="auto" w:fill="D2D2D2"/>
          </w:tcPr>
          <w:p>
            <w:pPr/>
          </w:p>
        </w:tc>
        <w:tc>
          <w:tcPr>
            <w:tcW w:w="4103" w:type="dxa"/>
            <w:gridSpan w:val="5"/>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500" w:type="dxa"/>
            <w:vMerge/>
            <w:tcBorders>
              <w:left w:val="single" w:sz="12" w:space="0" w:color="000000"/>
              <w:bottom w:val="nil" w:sz="6" w:space="0" w:color="auto"/>
              <w:right w:val="single" w:sz="4" w:space="0" w:color="000000"/>
            </w:tcBorders>
            <w:shd w:val="clear" w:color="auto" w:fill="D2D2D2"/>
          </w:tcPr>
          <w:p>
            <w:pPr/>
          </w:p>
        </w:tc>
        <w:tc>
          <w:tcPr>
            <w:tcW w:w="17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3" w:type="dxa"/>
            <w:vMerge w:val="restart"/>
            <w:tcBorders>
              <w:top w:val="single" w:sz="4" w:space="0" w:color="000000"/>
              <w:left w:val="single" w:sz="4" w:space="0" w:color="000000"/>
              <w:right w:val="single" w:sz="12" w:space="0" w:color="000000"/>
            </w:tcBorders>
            <w:shd w:val="clear" w:color="auto" w:fill="D2D2D2"/>
          </w:tcPr>
          <w:p>
            <w:pPr/>
          </w:p>
        </w:tc>
      </w:tr>
      <w:tr>
        <w:trPr>
          <w:trHeight w:val="240" w:hRule="exact"/>
        </w:trPr>
        <w:tc>
          <w:tcPr>
            <w:tcW w:w="1500"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类别</w:t>
            </w:r>
          </w:p>
        </w:tc>
        <w:tc>
          <w:tcPr>
            <w:tcW w:w="1705" w:type="dxa"/>
            <w:gridSpan w:val="2"/>
            <w:vMerge/>
            <w:tcBorders>
              <w:left w:val="single" w:sz="4" w:space="0" w:color="000000"/>
              <w:bottom w:val="single" w:sz="4" w:space="0" w:color="000000"/>
              <w:right w:val="single" w:sz="4" w:space="0" w:color="000000"/>
            </w:tcBorders>
            <w:shd w:val="clear" w:color="auto" w:fill="D2D2D2"/>
          </w:tcPr>
          <w:p>
            <w:pPr/>
          </w:p>
        </w:tc>
        <w:tc>
          <w:tcPr>
            <w:tcW w:w="1397" w:type="dxa"/>
            <w:gridSpan w:val="2"/>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390" w:type="dxa"/>
            <w:gridSpan w:val="2"/>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12" w:space="0" w:color="000000"/>
            </w:tcBorders>
            <w:shd w:val="clear" w:color="auto" w:fill="D2D2D2"/>
          </w:tcPr>
          <w:p>
            <w:pPr/>
          </w:p>
        </w:tc>
      </w:tr>
      <w:tr>
        <w:trPr>
          <w:trHeight w:val="161" w:hRule="exact"/>
        </w:trPr>
        <w:tc>
          <w:tcPr>
            <w:tcW w:w="1500" w:type="dxa"/>
            <w:vMerge/>
            <w:tcBorders>
              <w:left w:val="single" w:sz="12"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tcBorders>
              <w:top w:val="single" w:sz="4" w:space="0" w:color="000000"/>
              <w:left w:val="single" w:sz="4" w:space="0" w:color="000000"/>
              <w:bottom w:val="nil" w:sz="6" w:space="0" w:color="auto"/>
              <w:right w:val="single" w:sz="4" w:space="0" w:color="000000"/>
            </w:tcBorders>
            <w:shd w:val="clear" w:color="auto" w:fill="D2D2D2"/>
          </w:tcPr>
          <w:p>
            <w:pP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1" w:right="79"/>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03"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500" w:type="dxa"/>
            <w:vMerge w:val="restart"/>
            <w:tcBorders>
              <w:top w:val="nil" w:sz="6" w:space="0" w:color="auto"/>
              <w:left w:val="single" w:sz="12"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33"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2" w:type="dxa"/>
            <w:vMerge/>
            <w:tcBorders>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12" w:space="0" w:color="000000"/>
            </w:tcBorders>
            <w:shd w:val="clear" w:color="auto" w:fill="D2D2D2"/>
          </w:tcPr>
          <w:p>
            <w:pPr/>
          </w:p>
        </w:tc>
      </w:tr>
      <w:tr>
        <w:trPr>
          <w:trHeight w:val="199" w:hRule="exact"/>
        </w:trPr>
        <w:tc>
          <w:tcPr>
            <w:tcW w:w="1500" w:type="dxa"/>
            <w:vMerge/>
            <w:tcBorders>
              <w:left w:val="single" w:sz="12"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704"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612" w:type="dxa"/>
            <w:vMerge/>
            <w:tcBorders>
              <w:left w:val="single" w:sz="4" w:space="0" w:color="000000"/>
              <w:right w:val="single" w:sz="4" w:space="0" w:color="000000"/>
            </w:tcBorders>
            <w:shd w:val="clear" w:color="auto" w:fill="D2D2D2"/>
          </w:tcPr>
          <w:p>
            <w:pPr/>
          </w:p>
        </w:tc>
        <w:tc>
          <w:tcPr>
            <w:tcW w:w="1003" w:type="dxa"/>
            <w:vMerge w:val="restart"/>
            <w:tcBorders>
              <w:top w:val="nil" w:sz="6" w:space="0" w:color="auto"/>
              <w:left w:val="single" w:sz="4" w:space="0" w:color="000000"/>
              <w:right w:val="single" w:sz="12" w:space="0" w:color="000000"/>
            </w:tcBorders>
            <w:shd w:val="clear" w:color="auto" w:fill="D2D2D2"/>
          </w:tcPr>
          <w:p>
            <w:pPr/>
          </w:p>
        </w:tc>
      </w:tr>
      <w:tr>
        <w:trPr>
          <w:trHeight w:val="161" w:hRule="exact"/>
        </w:trPr>
        <w:tc>
          <w:tcPr>
            <w:tcW w:w="1500" w:type="dxa"/>
            <w:vMerge/>
            <w:tcBorders>
              <w:left w:val="single" w:sz="12"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tcBorders>
              <w:top w:val="nil" w:sz="6" w:space="0" w:color="auto"/>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12" w:space="0" w:color="000000"/>
            </w:tcBorders>
            <w:shd w:val="clear" w:color="auto" w:fill="D2D2D2"/>
          </w:tcPr>
          <w:p>
            <w:pPr/>
          </w:p>
        </w:tc>
      </w:tr>
      <w:tr>
        <w:trPr>
          <w:trHeight w:val="715" w:hRule="exact"/>
        </w:trPr>
        <w:tc>
          <w:tcPr>
            <w:tcW w:w="150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14" w:right="24"/>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10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8,722,643.14</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238,600.02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2.74%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8,484,043.12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1,968,056.50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62,290.13</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w:t>
            </w:r>
          </w:p>
        </w:tc>
        <w:tc>
          <w:tcPr>
            <w:tcW w:w="10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1,905,766.37</w:t>
            </w:r>
          </w:p>
        </w:tc>
      </w:tr>
      <w:tr>
        <w:trPr>
          <w:trHeight w:val="401" w:hRule="exact"/>
        </w:trPr>
        <w:tc>
          <w:tcPr>
            <w:tcW w:w="150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715" w:hRule="exact"/>
        </w:trPr>
        <w:tc>
          <w:tcPr>
            <w:tcW w:w="1500" w:type="dxa"/>
            <w:tcBorders>
              <w:top w:val="single" w:sz="4" w:space="0" w:color="000000"/>
              <w:left w:val="single" w:sz="12" w:space="0" w:color="000000"/>
              <w:bottom w:val="single" w:sz="4" w:space="0" w:color="000000"/>
              <w:right w:val="single" w:sz="4" w:space="0" w:color="000000"/>
            </w:tcBorders>
          </w:tcPr>
          <w:p>
            <w:pPr>
              <w:pStyle w:val="TableParagraph"/>
              <w:spacing w:line="297" w:lineRule="auto" w:before="51"/>
              <w:ind w:left="14" w:right="6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：银行承兑 汇票</w:t>
            </w:r>
          </w:p>
        </w:tc>
        <w:tc>
          <w:tcPr>
            <w:tcW w:w="1001"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500"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49"/>
              <w:ind w:left="14" w:right="6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：商业承兑 汇票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8,722,643.14</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238,600.02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2.74%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8,484,043.12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1,968,056.50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62,290.13</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w:t>
            </w:r>
          </w:p>
        </w:tc>
        <w:tc>
          <w:tcPr>
            <w:tcW w:w="100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1,905,766.37</w:t>
            </w:r>
          </w:p>
        </w:tc>
      </w:tr>
      <w:tr>
        <w:trPr>
          <w:trHeight w:val="410" w:hRule="exact"/>
        </w:trPr>
        <w:tc>
          <w:tcPr>
            <w:tcW w:w="150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8,722,643.14</w:t>
            </w:r>
          </w:p>
        </w:tc>
        <w:tc>
          <w:tcPr>
            <w:tcW w:w="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100.00%</w:t>
            </w:r>
          </w:p>
        </w:tc>
        <w:tc>
          <w:tcPr>
            <w:tcW w:w="8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238,600.02</w:t>
            </w:r>
          </w:p>
        </w:tc>
        <w:tc>
          <w:tcPr>
            <w:tcW w:w="5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2.74%</w:t>
            </w:r>
          </w:p>
        </w:tc>
        <w:tc>
          <w:tcPr>
            <w:tcW w:w="10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8,484,043.12</w:t>
            </w:r>
          </w:p>
        </w:tc>
        <w:tc>
          <w:tcPr>
            <w:tcW w:w="10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1,968,056.50</w:t>
            </w:r>
          </w:p>
        </w:tc>
        <w:tc>
          <w:tcPr>
            <w:tcW w:w="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62,290.13</w:t>
            </w:r>
          </w:p>
        </w:tc>
        <w:tc>
          <w:tcPr>
            <w:tcW w:w="6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3.17%</w:t>
            </w:r>
          </w:p>
        </w:tc>
        <w:tc>
          <w:tcPr>
            <w:tcW w:w="100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1,905,766.37</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238,600.02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24"/>
        <w:gridCol w:w="2425"/>
        <w:gridCol w:w="2424"/>
        <w:gridCol w:w="2425"/>
      </w:tblGrid>
      <w:tr>
        <w:trPr>
          <w:trHeight w:val="412" w:hRule="exact"/>
        </w:trPr>
        <w:tc>
          <w:tcPr>
            <w:tcW w:w="2424"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名称</w:t>
            </w:r>
          </w:p>
        </w:tc>
        <w:tc>
          <w:tcPr>
            <w:tcW w:w="7274"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24" w:type="dxa"/>
            <w:vMerge/>
            <w:tcBorders>
              <w:left w:val="single" w:sz="12" w:space="0" w:color="000000"/>
              <w:bottom w:val="single" w:sz="4" w:space="0" w:color="000000"/>
              <w:right w:val="single" w:sz="4" w:space="0" w:color="000000"/>
            </w:tcBorders>
            <w:shd w:val="clear" w:color="auto" w:fill="D2D2D2"/>
          </w:tcPr>
          <w:p>
            <w:pP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5"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：银行承兑汇票</w:t>
            </w:r>
          </w:p>
        </w:tc>
        <w:tc>
          <w:tcPr>
            <w:tcW w:w="2425"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：商业承兑汇票</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8,722,643.14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238,600.02</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2.74%</w:t>
            </w:r>
          </w:p>
        </w:tc>
      </w:tr>
      <w:tr>
        <w:trPr>
          <w:trHeight w:val="411" w:hRule="exact"/>
        </w:trPr>
        <w:tc>
          <w:tcPr>
            <w:tcW w:w="242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8,722,643.14</w:t>
            </w:r>
          </w:p>
        </w:tc>
        <w:tc>
          <w:tcPr>
            <w:tcW w:w="2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238,600.02</w:t>
            </w:r>
          </w:p>
        </w:tc>
        <w:tc>
          <w:tcPr>
            <w:tcW w:w="2425"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1"/>
        <w:rPr>
          <w:rFonts w:ascii="宋体" w:hAnsi="宋体" w:cs="宋体" w:eastAsia="宋体" w:hint="default"/>
          <w:sz w:val="13"/>
          <w:szCs w:val="13"/>
        </w:rPr>
      </w:pPr>
    </w:p>
    <w:p>
      <w:pPr>
        <w:pStyle w:val="BodyText"/>
        <w:spacing w:line="408" w:lineRule="auto" w:before="0"/>
        <w:ind w:right="1119" w:firstLine="420"/>
        <w:jc w:val="left"/>
      </w:pPr>
      <w:r>
        <w:rPr>
          <w:spacing w:val="-2"/>
        </w:rPr>
        <w:t>根据信用风险特征将应收票据划分为若干组合，在组合基础上计算预期信用损失，确定组合的依据如</w:t>
      </w:r>
      <w:r>
        <w:rPr>
          <w:w w:val="100"/>
        </w:rPr>
        <w:t> </w:t>
      </w:r>
      <w:r>
        <w:rPr/>
        <w:t>下：</w:t>
      </w:r>
    </w:p>
    <w:p>
      <w:pPr>
        <w:pStyle w:val="BodyText"/>
        <w:spacing w:line="386" w:lineRule="auto"/>
        <w:ind w:left="573" w:right="6794"/>
        <w:jc w:val="left"/>
      </w:pPr>
      <w:r>
        <w:rPr>
          <w:spacing w:val="-2"/>
        </w:rPr>
        <w:t>应收票据组合</w:t>
      </w:r>
      <w:r>
        <w:rPr>
          <w:rFonts w:ascii="Times New Roman" w:hAnsi="Times New Roman" w:cs="Times New Roman" w:eastAsia="Times New Roman" w:hint="default"/>
          <w:spacing w:val="-2"/>
        </w:rPr>
        <w:t>1</w:t>
      </w:r>
      <w:r>
        <w:rPr>
          <w:spacing w:val="-2"/>
        </w:rPr>
        <w:t>：银行承兑汇票</w:t>
      </w:r>
      <w:r>
        <w:rPr>
          <w:spacing w:val="-80"/>
        </w:rPr>
        <w:t> </w:t>
      </w:r>
      <w:r>
        <w:rPr>
          <w:spacing w:val="-80"/>
        </w:rPr>
      </w:r>
      <w:r>
        <w:rPr>
          <w:spacing w:val="-2"/>
        </w:rPr>
        <w:t>应收票据组合</w:t>
      </w:r>
      <w:r>
        <w:rPr>
          <w:rFonts w:ascii="Times New Roman" w:hAnsi="Times New Roman" w:cs="Times New Roman" w:eastAsia="Times New Roman" w:hint="default"/>
          <w:spacing w:val="-2"/>
        </w:rPr>
        <w:t>2</w:t>
      </w:r>
      <w:r>
        <w:rPr>
          <w:spacing w:val="-2"/>
        </w:rPr>
        <w:t>：商业承兑汇票</w:t>
      </w:r>
    </w:p>
    <w:p>
      <w:pPr>
        <w:spacing w:before="20"/>
        <w:ind w:left="152" w:right="0"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如是按照预期信用损失一般模型计提应收票据坏账准备，请参照其他应收款的披露方式披露坏账准备的相关信息：</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本期计提、收回或转回的坏账准备情况" w:id="223"/>
      <w:bookmarkEnd w:id="22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20"/>
        <w:gridCol w:w="1618"/>
        <w:gridCol w:w="1615"/>
        <w:gridCol w:w="1616"/>
        <w:gridCol w:w="1613"/>
        <w:gridCol w:w="1615"/>
      </w:tblGrid>
      <w:tr>
        <w:trPr>
          <w:trHeight w:val="413" w:hRule="exact"/>
        </w:trPr>
        <w:tc>
          <w:tcPr>
            <w:tcW w:w="1620"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类别</w:t>
            </w:r>
          </w:p>
        </w:tc>
        <w:tc>
          <w:tcPr>
            <w:tcW w:w="1618"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44"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615"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620" w:type="dxa"/>
            <w:vMerge/>
            <w:tcBorders>
              <w:left w:val="single" w:sz="12" w:space="0" w:color="000000"/>
              <w:bottom w:val="single" w:sz="4" w:space="0" w:color="000000"/>
              <w:right w:val="single" w:sz="4" w:space="0" w:color="000000"/>
            </w:tcBorders>
            <w:shd w:val="clear" w:color="auto" w:fill="D2D2D2"/>
          </w:tcPr>
          <w:p>
            <w:pPr/>
          </w:p>
        </w:tc>
        <w:tc>
          <w:tcPr>
            <w:tcW w:w="1618" w:type="dxa"/>
            <w:vMerge/>
            <w:tcBorders>
              <w:left w:val="single" w:sz="4" w:space="0" w:color="000000"/>
              <w:bottom w:val="single" w:sz="4" w:space="0" w:color="000000"/>
              <w:right w:val="single" w:sz="4" w:space="0" w:color="000000"/>
            </w:tcBorders>
            <w:shd w:val="clear" w:color="auto" w:fill="D2D2D2"/>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615"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6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62,290.13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176,309.89</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238,600.02</w:t>
            </w:r>
          </w:p>
        </w:tc>
      </w:tr>
      <w:tr>
        <w:trPr>
          <w:trHeight w:val="410" w:hRule="exact"/>
        </w:trPr>
        <w:tc>
          <w:tcPr>
            <w:tcW w:w="162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62,290.13</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176,309.89</w:t>
            </w:r>
          </w:p>
        </w:tc>
        <w:tc>
          <w:tcPr>
            <w:tcW w:w="1616" w:type="dxa"/>
            <w:tcBorders>
              <w:top w:val="single" w:sz="4" w:space="0" w:color="000000"/>
              <w:left w:val="single" w:sz="4" w:space="0" w:color="000000"/>
              <w:bottom w:val="single" w:sz="12" w:space="0" w:color="000000"/>
              <w:right w:val="single" w:sz="4" w:space="0" w:color="000000"/>
            </w:tcBorders>
          </w:tcPr>
          <w:p>
            <w:pPr/>
          </w:p>
        </w:tc>
        <w:tc>
          <w:tcPr>
            <w:tcW w:w="1613" w:type="dxa"/>
            <w:tcBorders>
              <w:top w:val="single" w:sz="4" w:space="0" w:color="000000"/>
              <w:left w:val="single" w:sz="4" w:space="0" w:color="000000"/>
              <w:bottom w:val="single" w:sz="12" w:space="0" w:color="000000"/>
              <w:right w:val="single" w:sz="4" w:space="0" w:color="000000"/>
            </w:tcBorders>
          </w:tcPr>
          <w:p>
            <w:pPr/>
          </w:p>
        </w:tc>
        <w:tc>
          <w:tcPr>
            <w:tcW w:w="16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238,600.02</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期末公司已背书或贴现且在资产负债表日尚未到期的应收票据" w:id="224"/>
      <w:bookmarkEnd w:id="22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4"/>
        <w:gridCol w:w="3233"/>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801"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60,876,831.24</w:t>
            </w:r>
          </w:p>
        </w:tc>
        <w:tc>
          <w:tcPr>
            <w:tcW w:w="3233"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60,876,831.24</w:t>
            </w:r>
          </w:p>
        </w:tc>
        <w:tc>
          <w:tcPr>
            <w:tcW w:w="3233"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4、应收账款" w:id="225"/>
      <w:bookmarkEnd w:id="225"/>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26"/>
      <w:bookmarkEnd w:id="22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617"/>
        <w:gridCol w:w="774"/>
        <w:gridCol w:w="764"/>
        <w:gridCol w:w="761"/>
        <w:gridCol w:w="763"/>
        <w:gridCol w:w="790"/>
        <w:gridCol w:w="775"/>
        <w:gridCol w:w="797"/>
        <w:gridCol w:w="800"/>
        <w:gridCol w:w="790"/>
        <w:gridCol w:w="931"/>
      </w:tblGrid>
      <w:tr>
        <w:trPr>
          <w:trHeight w:val="407" w:hRule="exact"/>
        </w:trPr>
        <w:tc>
          <w:tcPr>
            <w:tcW w:w="1617" w:type="dxa"/>
            <w:vMerge w:val="restart"/>
            <w:tcBorders>
              <w:top w:val="single" w:sz="12" w:space="0" w:color="000000"/>
              <w:left w:val="single" w:sz="12" w:space="0" w:color="000000"/>
              <w:right w:val="single" w:sz="4" w:space="0" w:color="000000"/>
            </w:tcBorders>
            <w:shd w:val="clear" w:color="auto" w:fill="D2D2D2"/>
          </w:tcPr>
          <w:p>
            <w:pPr/>
          </w:p>
        </w:tc>
        <w:tc>
          <w:tcPr>
            <w:tcW w:w="3852" w:type="dxa"/>
            <w:gridSpan w:val="5"/>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7" w:type="dxa"/>
            <w:vMerge/>
            <w:tcBorders>
              <w:left w:val="single" w:sz="12"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12" w:space="0" w:color="000000"/>
            </w:tcBorders>
            <w:shd w:val="clear" w:color="auto" w:fill="D2D2D2"/>
          </w:tcPr>
          <w:p>
            <w:pPr/>
          </w:p>
        </w:tc>
      </w:tr>
      <w:tr>
        <w:trPr>
          <w:trHeight w:val="242" w:hRule="exact"/>
        </w:trPr>
        <w:tc>
          <w:tcPr>
            <w:tcW w:w="1617"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12" w:space="0" w:color="000000"/>
            </w:tcBorders>
            <w:shd w:val="clear" w:color="auto" w:fill="D2D2D2"/>
          </w:tcPr>
          <w:p>
            <w:pPr/>
          </w:p>
        </w:tc>
      </w:tr>
      <w:tr>
        <w:trPr>
          <w:trHeight w:val="158" w:hRule="exact"/>
        </w:trPr>
        <w:tc>
          <w:tcPr>
            <w:tcW w:w="1617" w:type="dxa"/>
            <w:vMerge/>
            <w:tcBorders>
              <w:left w:val="single" w:sz="12"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7" w:type="dxa"/>
            <w:vMerge w:val="restart"/>
            <w:tcBorders>
              <w:top w:val="single" w:sz="4" w:space="0" w:color="FFFFFF"/>
              <w:left w:val="single" w:sz="12"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12" w:space="0" w:color="000000"/>
            </w:tcBorders>
            <w:shd w:val="clear" w:color="auto" w:fill="D2D2D2"/>
          </w:tcPr>
          <w:p>
            <w:pPr/>
          </w:p>
        </w:tc>
      </w:tr>
      <w:tr>
        <w:trPr>
          <w:trHeight w:val="202" w:hRule="exact"/>
        </w:trPr>
        <w:tc>
          <w:tcPr>
            <w:tcW w:w="1617" w:type="dxa"/>
            <w:vMerge/>
            <w:tcBorders>
              <w:left w:val="single" w:sz="12"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12" w:space="0" w:color="000000"/>
            </w:tcBorders>
            <w:shd w:val="clear" w:color="auto" w:fill="D2D2D2"/>
          </w:tcPr>
          <w:p>
            <w:pPr/>
          </w:p>
        </w:tc>
      </w:tr>
      <w:tr>
        <w:trPr>
          <w:trHeight w:val="161" w:hRule="exact"/>
        </w:trPr>
        <w:tc>
          <w:tcPr>
            <w:tcW w:w="1617" w:type="dxa"/>
            <w:vMerge/>
            <w:tcBorders>
              <w:left w:val="single" w:sz="12"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61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713" w:hRule="exact"/>
        </w:trPr>
        <w:tc>
          <w:tcPr>
            <w:tcW w:w="161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668,736,</w:t>
            </w:r>
          </w:p>
          <w:p>
            <w:pPr>
              <w:pStyle w:val="TableParagraph"/>
              <w:spacing w:line="240" w:lineRule="auto" w:before="103"/>
              <w:ind w:left="220" w:right="0"/>
              <w:jc w:val="center"/>
              <w:rPr>
                <w:rFonts w:ascii="Times New Roman" w:hAnsi="Times New Roman" w:cs="Times New Roman" w:eastAsia="Times New Roman" w:hint="default"/>
                <w:sz w:val="18"/>
                <w:szCs w:val="18"/>
              </w:rPr>
            </w:pPr>
            <w:r>
              <w:rPr>
                <w:rFonts w:ascii="Times New Roman"/>
                <w:sz w:val="18"/>
              </w:rPr>
              <w:t>997.32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83,615,1</w:t>
            </w:r>
          </w:p>
          <w:p>
            <w:pPr>
              <w:pStyle w:val="TableParagraph"/>
              <w:spacing w:line="240" w:lineRule="auto" w:before="103"/>
              <w:ind w:left="323" w:right="0"/>
              <w:jc w:val="left"/>
              <w:rPr>
                <w:rFonts w:ascii="Times New Roman" w:hAnsi="Times New Roman" w:cs="Times New Roman" w:eastAsia="Times New Roman" w:hint="default"/>
                <w:sz w:val="18"/>
                <w:szCs w:val="18"/>
              </w:rPr>
            </w:pPr>
            <w:r>
              <w:rPr>
                <w:rFonts w:ascii="Times New Roman"/>
                <w:sz w:val="18"/>
              </w:rPr>
              <w:t>24.24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585,121,8</w:t>
            </w:r>
          </w:p>
          <w:p>
            <w:pPr>
              <w:pStyle w:val="TableParagraph"/>
              <w:spacing w:line="240" w:lineRule="auto" w:before="103"/>
              <w:ind w:left="350" w:right="0"/>
              <w:jc w:val="left"/>
              <w:rPr>
                <w:rFonts w:ascii="Times New Roman" w:hAnsi="Times New Roman" w:cs="Times New Roman" w:eastAsia="Times New Roman" w:hint="default"/>
                <w:sz w:val="18"/>
                <w:szCs w:val="18"/>
              </w:rPr>
            </w:pPr>
            <w:r>
              <w:rPr>
                <w:rFonts w:ascii="Times New Roman"/>
                <w:sz w:val="18"/>
              </w:rPr>
              <w:t>73.08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543,235,8</w:t>
            </w:r>
          </w:p>
          <w:p>
            <w:pPr>
              <w:pStyle w:val="TableParagraph"/>
              <w:spacing w:line="240" w:lineRule="auto" w:before="103"/>
              <w:ind w:left="338" w:right="0"/>
              <w:jc w:val="left"/>
              <w:rPr>
                <w:rFonts w:ascii="Times New Roman" w:hAnsi="Times New Roman" w:cs="Times New Roman" w:eastAsia="Times New Roman" w:hint="default"/>
                <w:sz w:val="18"/>
                <w:szCs w:val="18"/>
              </w:rPr>
            </w:pPr>
            <w:r>
              <w:rPr>
                <w:rFonts w:ascii="Times New Roman"/>
                <w:sz w:val="18"/>
              </w:rPr>
              <w:t>01.30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76,373,14</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5.51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14.06%</w:t>
            </w:r>
          </w:p>
        </w:tc>
        <w:tc>
          <w:tcPr>
            <w:tcW w:w="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466,862,65</w:t>
            </w:r>
          </w:p>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5.79</w:t>
            </w:r>
          </w:p>
        </w:tc>
      </w:tr>
      <w:tr>
        <w:trPr>
          <w:trHeight w:val="403" w:hRule="exact"/>
        </w:trPr>
        <w:tc>
          <w:tcPr>
            <w:tcW w:w="161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713" w:hRule="exact"/>
        </w:trPr>
        <w:tc>
          <w:tcPr>
            <w:tcW w:w="16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：物联网业务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422,014,</w:t>
            </w:r>
          </w:p>
          <w:p>
            <w:pPr>
              <w:pStyle w:val="TableParagraph"/>
              <w:spacing w:line="240" w:lineRule="auto" w:before="102"/>
              <w:ind w:left="227" w:right="0"/>
              <w:jc w:val="center"/>
              <w:rPr>
                <w:rFonts w:ascii="Times New Roman" w:hAnsi="Times New Roman" w:cs="Times New Roman" w:eastAsia="Times New Roman" w:hint="default"/>
                <w:sz w:val="18"/>
                <w:szCs w:val="18"/>
              </w:rPr>
            </w:pPr>
            <w:r>
              <w:rPr>
                <w:rFonts w:ascii="Times New Roman"/>
                <w:sz w:val="18"/>
              </w:rPr>
              <w:t>403.84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63.10%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61,984,1</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98.12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360,030,2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05.72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382,210,5</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57.91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70.36%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57,034,42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14.92%</w:t>
            </w:r>
          </w:p>
        </w:tc>
        <w:tc>
          <w:tcPr>
            <w:tcW w:w="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325,176,13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6.22</w:t>
            </w:r>
          </w:p>
        </w:tc>
      </w:tr>
      <w:tr>
        <w:trPr>
          <w:trHeight w:val="715" w:hRule="exact"/>
        </w:trPr>
        <w:tc>
          <w:tcPr>
            <w:tcW w:w="161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：环保业务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108,047,</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281.98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16.16%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7,734,26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4.09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100,313,0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17.89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99,350,26</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6.62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18.29%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12,107,47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12.19%</w:t>
            </w:r>
          </w:p>
        </w:tc>
        <w:tc>
          <w:tcPr>
            <w:tcW w:w="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87,242,787.</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68</w:t>
            </w:r>
          </w:p>
        </w:tc>
      </w:tr>
      <w:tr>
        <w:trPr>
          <w:trHeight w:val="722" w:hRule="exact"/>
        </w:trPr>
        <w:tc>
          <w:tcPr>
            <w:tcW w:w="1617" w:type="dxa"/>
            <w:tcBorders>
              <w:top w:val="single" w:sz="4" w:space="0" w:color="000000"/>
              <w:left w:val="single" w:sz="12" w:space="0" w:color="000000"/>
              <w:bottom w:val="single" w:sz="12" w:space="0" w:color="000000"/>
              <w:right w:val="single" w:sz="4" w:space="0" w:color="000000"/>
            </w:tcBorders>
          </w:tcPr>
          <w:p>
            <w:pPr>
              <w:pStyle w:val="TableParagraph"/>
              <w:spacing w:line="297" w:lineRule="auto" w:before="49"/>
              <w:ind w:left="7" w:right="1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：公用事业业 务</w:t>
            </w:r>
          </w:p>
        </w:tc>
        <w:tc>
          <w:tcPr>
            <w:tcW w:w="7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138,675,</w:t>
            </w:r>
          </w:p>
          <w:p>
            <w:pPr>
              <w:pStyle w:val="TableParagraph"/>
              <w:spacing w:line="240" w:lineRule="auto" w:before="102"/>
              <w:ind w:left="234" w:right="0"/>
              <w:jc w:val="center"/>
              <w:rPr>
                <w:rFonts w:ascii="Times New Roman" w:hAnsi="Times New Roman" w:cs="Times New Roman" w:eastAsia="Times New Roman" w:hint="default"/>
                <w:sz w:val="18"/>
                <w:szCs w:val="18"/>
              </w:rPr>
            </w:pPr>
            <w:r>
              <w:rPr>
                <w:rFonts w:ascii="Times New Roman"/>
                <w:sz w:val="18"/>
              </w:rPr>
              <w:t>311.50</w:t>
            </w:r>
          </w:p>
        </w:tc>
        <w:tc>
          <w:tcPr>
            <w:tcW w:w="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20.74%</w:t>
            </w:r>
          </w:p>
        </w:tc>
        <w:tc>
          <w:tcPr>
            <w:tcW w:w="7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13,896,6</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62.03</w:t>
            </w:r>
          </w:p>
        </w:tc>
        <w:tc>
          <w:tcPr>
            <w:tcW w:w="7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10.02%</w:t>
            </w:r>
          </w:p>
        </w:tc>
        <w:tc>
          <w:tcPr>
            <w:tcW w:w="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124,778,6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49.47</w:t>
            </w:r>
          </w:p>
        </w:tc>
        <w:tc>
          <w:tcPr>
            <w:tcW w:w="7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61,674,97</w:t>
            </w:r>
          </w:p>
          <w:p>
            <w:pPr>
              <w:pStyle w:val="TableParagraph"/>
              <w:spacing w:line="240" w:lineRule="auto" w:before="102"/>
              <w:ind w:left="429" w:right="0"/>
              <w:jc w:val="left"/>
              <w:rPr>
                <w:rFonts w:ascii="Times New Roman" w:hAnsi="Times New Roman" w:cs="Times New Roman" w:eastAsia="Times New Roman" w:hint="default"/>
                <w:sz w:val="18"/>
                <w:szCs w:val="18"/>
              </w:rPr>
            </w:pPr>
            <w:r>
              <w:rPr>
                <w:rFonts w:ascii="Times New Roman"/>
                <w:sz w:val="18"/>
              </w:rPr>
              <w:t>6.77</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11.35%</w:t>
            </w:r>
          </w:p>
        </w:tc>
        <w:tc>
          <w:tcPr>
            <w:tcW w:w="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7,231,244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.88</w:t>
            </w:r>
          </w:p>
        </w:tc>
        <w:tc>
          <w:tcPr>
            <w:tcW w:w="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11.72%</w:t>
            </w:r>
          </w:p>
        </w:tc>
        <w:tc>
          <w:tcPr>
            <w:tcW w:w="9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54,443,731.</w:t>
            </w:r>
          </w:p>
          <w:p>
            <w:pPr>
              <w:pStyle w:val="TableParagraph"/>
              <w:spacing w:line="240" w:lineRule="auto" w:before="102"/>
              <w:ind w:right="7"/>
              <w:jc w:val="right"/>
              <w:rPr>
                <w:rFonts w:ascii="Times New Roman" w:hAnsi="Times New Roman" w:cs="Times New Roman" w:eastAsia="Times New Roman" w:hint="default"/>
                <w:sz w:val="18"/>
                <w:szCs w:val="18"/>
              </w:rPr>
            </w:pPr>
            <w:r>
              <w:rPr>
                <w:rFonts w:ascii="Times New Roman"/>
                <w:sz w:val="18"/>
              </w:rPr>
              <w:t>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1"/>
      </w:tblGrid>
      <w:tr>
        <w:trPr>
          <w:trHeight w:val="732" w:hRule="exact"/>
        </w:trPr>
        <w:tc>
          <w:tcPr>
            <w:tcW w:w="1634"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668,736,</w:t>
            </w:r>
          </w:p>
          <w:p>
            <w:pPr>
              <w:pStyle w:val="TableParagraph"/>
              <w:spacing w:line="240" w:lineRule="auto" w:before="103"/>
              <w:ind w:left="216" w:right="0"/>
              <w:jc w:val="center"/>
              <w:rPr>
                <w:rFonts w:ascii="Times New Roman" w:hAnsi="Times New Roman" w:cs="Times New Roman" w:eastAsia="Times New Roman" w:hint="default"/>
                <w:sz w:val="18"/>
                <w:szCs w:val="18"/>
              </w:rPr>
            </w:pPr>
            <w:r>
              <w:rPr>
                <w:rFonts w:ascii="Times New Roman"/>
                <w:sz w:val="18"/>
              </w:rPr>
              <w:t>997.32</w:t>
            </w:r>
          </w:p>
        </w:tc>
        <w:tc>
          <w:tcPr>
            <w:tcW w:w="76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83,615,1</w:t>
            </w:r>
          </w:p>
          <w:p>
            <w:pPr>
              <w:pStyle w:val="TableParagraph"/>
              <w:spacing w:line="240" w:lineRule="auto" w:before="103"/>
              <w:ind w:left="323" w:right="0"/>
              <w:jc w:val="left"/>
              <w:rPr>
                <w:rFonts w:ascii="Times New Roman" w:hAnsi="Times New Roman" w:cs="Times New Roman" w:eastAsia="Times New Roman" w:hint="default"/>
                <w:sz w:val="18"/>
                <w:szCs w:val="18"/>
              </w:rPr>
            </w:pPr>
            <w:r>
              <w:rPr>
                <w:rFonts w:ascii="Times New Roman"/>
                <w:sz w:val="18"/>
              </w:rPr>
              <w:t>24.24</w:t>
            </w:r>
          </w:p>
        </w:tc>
        <w:tc>
          <w:tcPr>
            <w:tcW w:w="76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12.50%</w:t>
            </w:r>
          </w:p>
        </w:tc>
        <w:tc>
          <w:tcPr>
            <w:tcW w:w="79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585,121,8</w:t>
            </w:r>
          </w:p>
          <w:p>
            <w:pPr>
              <w:pStyle w:val="TableParagraph"/>
              <w:spacing w:line="240" w:lineRule="auto" w:before="103"/>
              <w:ind w:left="350" w:right="0"/>
              <w:jc w:val="left"/>
              <w:rPr>
                <w:rFonts w:ascii="Times New Roman" w:hAnsi="Times New Roman" w:cs="Times New Roman" w:eastAsia="Times New Roman" w:hint="default"/>
                <w:sz w:val="18"/>
                <w:szCs w:val="18"/>
              </w:rPr>
            </w:pPr>
            <w:r>
              <w:rPr>
                <w:rFonts w:ascii="Times New Roman"/>
                <w:sz w:val="18"/>
              </w:rPr>
              <w:t>73.08</w:t>
            </w:r>
          </w:p>
        </w:tc>
        <w:tc>
          <w:tcPr>
            <w:tcW w:w="77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543,235,8</w:t>
            </w:r>
          </w:p>
          <w:p>
            <w:pPr>
              <w:pStyle w:val="TableParagraph"/>
              <w:spacing w:line="240" w:lineRule="auto" w:before="103"/>
              <w:ind w:left="338" w:right="0"/>
              <w:jc w:val="left"/>
              <w:rPr>
                <w:rFonts w:ascii="Times New Roman" w:hAnsi="Times New Roman" w:cs="Times New Roman" w:eastAsia="Times New Roman" w:hint="default"/>
                <w:sz w:val="18"/>
                <w:szCs w:val="18"/>
              </w:rPr>
            </w:pPr>
            <w:r>
              <w:rPr>
                <w:rFonts w:ascii="Times New Roman"/>
                <w:sz w:val="18"/>
              </w:rPr>
              <w:t>01.30</w:t>
            </w:r>
          </w:p>
        </w:tc>
        <w:tc>
          <w:tcPr>
            <w:tcW w:w="79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76,373,14</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5.51</w:t>
            </w:r>
          </w:p>
        </w:tc>
        <w:tc>
          <w:tcPr>
            <w:tcW w:w="79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14.06%</w:t>
            </w:r>
          </w:p>
        </w:tc>
        <w:tc>
          <w:tcPr>
            <w:tcW w:w="931"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466,862,65</w:t>
            </w:r>
          </w:p>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5.79</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83,615,124.24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24"/>
        <w:gridCol w:w="2425"/>
        <w:gridCol w:w="2424"/>
        <w:gridCol w:w="2425"/>
      </w:tblGrid>
      <w:tr>
        <w:trPr>
          <w:trHeight w:val="412" w:hRule="exact"/>
        </w:trPr>
        <w:tc>
          <w:tcPr>
            <w:tcW w:w="2424"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名称</w:t>
            </w:r>
          </w:p>
        </w:tc>
        <w:tc>
          <w:tcPr>
            <w:tcW w:w="7274"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24" w:type="dxa"/>
            <w:vMerge/>
            <w:tcBorders>
              <w:left w:val="single" w:sz="12" w:space="0" w:color="000000"/>
              <w:bottom w:val="single" w:sz="4" w:space="0" w:color="000000"/>
              <w:right w:val="single" w:sz="4" w:space="0" w:color="000000"/>
            </w:tcBorders>
            <w:shd w:val="clear" w:color="auto" w:fill="D2D2D2"/>
          </w:tcPr>
          <w:p>
            <w:pP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5"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：物联网业务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422,014,403.84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61,984,198.12</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14.69%</w:t>
            </w:r>
          </w:p>
        </w:tc>
      </w:tr>
      <w:tr>
        <w:trPr>
          <w:trHeight w:val="403"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：环保业务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108,047,281.98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7,734,264.09</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7.16%</w:t>
            </w:r>
          </w:p>
        </w:tc>
      </w:tr>
      <w:tr>
        <w:trPr>
          <w:trHeight w:val="401"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：公用事业业务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138,675,311.50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13,896,662.03</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10.02%</w:t>
            </w:r>
          </w:p>
        </w:tc>
      </w:tr>
      <w:tr>
        <w:trPr>
          <w:trHeight w:val="411" w:hRule="exact"/>
        </w:trPr>
        <w:tc>
          <w:tcPr>
            <w:tcW w:w="242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668,736,997.32</w:t>
            </w:r>
          </w:p>
        </w:tc>
        <w:tc>
          <w:tcPr>
            <w:tcW w:w="2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83,615,124.24</w:t>
            </w:r>
          </w:p>
        </w:tc>
        <w:tc>
          <w:tcPr>
            <w:tcW w:w="2425"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08" w:lineRule="auto" w:before="66"/>
        <w:ind w:right="1119" w:firstLine="420"/>
        <w:jc w:val="left"/>
      </w:pPr>
      <w:r>
        <w:rPr>
          <w:spacing w:val="-2"/>
        </w:rPr>
        <w:t>根据信用风险特征将应收账款划分为若干组合，在组合基础上计算预期信用损失，确定组合的依据如</w:t>
      </w:r>
      <w:r>
        <w:rPr>
          <w:w w:val="100"/>
        </w:rPr>
        <w:t> </w:t>
      </w:r>
      <w:r>
        <w:rPr/>
        <w:t>下：</w:t>
      </w:r>
    </w:p>
    <w:p>
      <w:pPr>
        <w:pStyle w:val="BodyText"/>
        <w:spacing w:line="386" w:lineRule="auto"/>
        <w:ind w:left="573" w:right="6474"/>
        <w:jc w:val="left"/>
      </w:pPr>
      <w:r>
        <w:rPr/>
        <w:t>应收账款组合</w:t>
      </w:r>
      <w:r>
        <w:rPr>
          <w:rFonts w:ascii="Times New Roman" w:hAnsi="Times New Roman" w:cs="Times New Roman" w:eastAsia="Times New Roman" w:hint="default"/>
        </w:rPr>
        <w:t>1</w:t>
      </w:r>
      <w:r>
        <w:rPr/>
        <w:t>：物联网业务</w:t>
      </w:r>
      <w:r>
        <w:rPr>
          <w:w w:val="100"/>
        </w:rPr>
        <w:t> </w:t>
      </w:r>
      <w:r>
        <w:rPr/>
        <w:t>应收账款组合</w:t>
      </w:r>
      <w:r>
        <w:rPr>
          <w:rFonts w:ascii="Times New Roman" w:hAnsi="Times New Roman" w:cs="Times New Roman" w:eastAsia="Times New Roman" w:hint="default"/>
        </w:rPr>
        <w:t>2</w:t>
      </w:r>
      <w:r>
        <w:rPr/>
        <w:t>：环保业务</w:t>
      </w:r>
      <w:r>
        <w:rPr>
          <w:w w:val="100"/>
        </w:rPr>
        <w:t> </w:t>
      </w:r>
      <w:r>
        <w:rPr/>
        <w:t>应收账款组合</w:t>
      </w:r>
      <w:r>
        <w:rPr>
          <w:rFonts w:ascii="Times New Roman" w:hAnsi="Times New Roman" w:cs="Times New Roman" w:eastAsia="Times New Roman" w:hint="default"/>
        </w:rPr>
        <w:t>3</w:t>
      </w:r>
      <w:r>
        <w:rPr/>
        <w:t>：公用事业业务</w:t>
      </w:r>
      <w:r>
        <w:rPr>
          <w:w w:val="100"/>
        </w:rPr>
        <w:t> </w:t>
      </w:r>
      <w:r>
        <w:rPr>
          <w:spacing w:val="-2"/>
        </w:rPr>
        <w:t>应收账款组合</w:t>
      </w:r>
      <w:r>
        <w:rPr>
          <w:rFonts w:ascii="Times New Roman" w:hAnsi="Times New Roman" w:cs="Times New Roman" w:eastAsia="Times New Roman" w:hint="default"/>
          <w:spacing w:val="-2"/>
        </w:rPr>
        <w:t>4</w:t>
      </w:r>
      <w:r>
        <w:rPr>
          <w:spacing w:val="-2"/>
        </w:rPr>
        <w:t>：合并范围内关联方客户</w:t>
      </w:r>
    </w:p>
    <w:p>
      <w:pPr>
        <w:spacing w:before="20"/>
        <w:ind w:left="152" w:right="0"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831"/>
        <w:gridCol w:w="4860"/>
      </w:tblGrid>
      <w:tr>
        <w:trPr>
          <w:trHeight w:val="412" w:hRule="exact"/>
        </w:trPr>
        <w:tc>
          <w:tcPr>
            <w:tcW w:w="48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486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2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454,887,962.08</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88,482,990.75</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69,654,781.64</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55,711,262.85</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17,889,824.57</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16,842,654.39</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20,978,783.89</w:t>
            </w:r>
          </w:p>
        </w:tc>
      </w:tr>
      <w:tr>
        <w:trPr>
          <w:trHeight w:val="410" w:hRule="exact"/>
        </w:trPr>
        <w:tc>
          <w:tcPr>
            <w:tcW w:w="48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60" w:type="dxa"/>
            <w:tcBorders>
              <w:top w:val="single" w:sz="4" w:space="0" w:color="000000"/>
              <w:left w:val="single" w:sz="12" w:space="0" w:color="D2D2D2"/>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668,736,997.32</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本期计提、收回或转回的坏账准备情况" w:id="227"/>
      <w:bookmarkEnd w:id="22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90"/>
        <w:gridCol w:w="1388"/>
        <w:gridCol w:w="1385"/>
        <w:gridCol w:w="1383"/>
        <w:gridCol w:w="1385"/>
        <w:gridCol w:w="1385"/>
        <w:gridCol w:w="1382"/>
      </w:tblGrid>
      <w:tr>
        <w:trPr>
          <w:trHeight w:val="413" w:hRule="exact"/>
        </w:trPr>
        <w:tc>
          <w:tcPr>
            <w:tcW w:w="1390"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类别</w:t>
            </w:r>
          </w:p>
        </w:tc>
        <w:tc>
          <w:tcPr>
            <w:tcW w:w="1388"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38" w:type="dxa"/>
            <w:gridSpan w:val="4"/>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82"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90" w:type="dxa"/>
            <w:vMerge/>
            <w:tcBorders>
              <w:left w:val="single" w:sz="12"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核销</w:t>
            </w:r>
          </w:p>
        </w:tc>
        <w:tc>
          <w:tcPr>
            <w:tcW w:w="1382"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物联网业务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57,034,421.69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13,480,417.09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88,003.63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177,850.00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8,796,494.29</w:t>
            </w: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61,984,198.12</w:t>
            </w:r>
          </w:p>
        </w:tc>
      </w:tr>
      <w:tr>
        <w:trPr>
          <w:trHeight w:val="401"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环保业务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12,107,478.94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-2,882,207.84</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1,491,007.01</w:t>
            </w: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7,734,264.09</w:t>
            </w:r>
          </w:p>
        </w:tc>
      </w:tr>
      <w:tr>
        <w:trPr>
          <w:trHeight w:val="403"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公用事业业务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7,231,244.88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6,665,417.15</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13,896,662.03</w:t>
            </w:r>
          </w:p>
        </w:tc>
      </w:tr>
      <w:tr>
        <w:trPr>
          <w:trHeight w:val="410" w:hRule="exact"/>
        </w:trPr>
        <w:tc>
          <w:tcPr>
            <w:tcW w:w="139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76,373,145.51</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17,263,626.40</w:t>
            </w:r>
          </w:p>
        </w:tc>
        <w:tc>
          <w:tcPr>
            <w:tcW w:w="13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88,003.63</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177,850.00</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10,287,501.30</w:t>
            </w:r>
          </w:p>
        </w:tc>
        <w:tc>
          <w:tcPr>
            <w:tcW w:w="13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83,615,124.24</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本期实际核销的应收账款情况" w:id="228"/>
      <w:bookmarkEnd w:id="22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4849"/>
        <w:gridCol w:w="4849"/>
      </w:tblGrid>
      <w:tr>
        <w:trPr>
          <w:trHeight w:val="396" w:hRule="exact"/>
        </w:trPr>
        <w:tc>
          <w:tcPr>
            <w:tcW w:w="484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5"/>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84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5"/>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8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杭州三唯星机电设备有限公司</w:t>
            </w:r>
          </w:p>
        </w:tc>
        <w:tc>
          <w:tcPr>
            <w:tcW w:w="48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1,819,800.00</w:t>
            </w:r>
          </w:p>
        </w:tc>
      </w:tr>
      <w:tr>
        <w:trPr>
          <w:trHeight w:val="403" w:hRule="exact"/>
        </w:trPr>
        <w:tc>
          <w:tcPr>
            <w:tcW w:w="48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河北泽宏科技股份有限公司</w:t>
            </w:r>
          </w:p>
        </w:tc>
        <w:tc>
          <w:tcPr>
            <w:tcW w:w="48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1,767,600.00</w:t>
            </w:r>
          </w:p>
        </w:tc>
      </w:tr>
      <w:tr>
        <w:trPr>
          <w:trHeight w:val="401" w:hRule="exact"/>
        </w:trPr>
        <w:tc>
          <w:tcPr>
            <w:tcW w:w="484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其他核销合计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183 </w:t>
            </w:r>
            <w:r>
              <w:rPr>
                <w:rFonts w:ascii="宋体" w:hAnsi="宋体" w:cs="宋体" w:eastAsia="宋体" w:hint="default"/>
                <w:sz w:val="18"/>
                <w:szCs w:val="18"/>
              </w:rPr>
              <w:t>户</w:t>
            </w:r>
          </w:p>
        </w:tc>
        <w:tc>
          <w:tcPr>
            <w:tcW w:w="48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6,700,101.30</w:t>
            </w:r>
          </w:p>
        </w:tc>
      </w:tr>
      <w:tr>
        <w:trPr>
          <w:trHeight w:val="410" w:hRule="exact"/>
        </w:trPr>
        <w:tc>
          <w:tcPr>
            <w:tcW w:w="484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4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10,287,501.30</w:t>
            </w:r>
          </w:p>
        </w:tc>
      </w:tr>
    </w:tbl>
    <w:p>
      <w:pPr>
        <w:spacing w:line="360" w:lineRule="auto" w:before="51"/>
        <w:ind w:left="152" w:right="6974" w:firstLine="0"/>
        <w:jc w:val="left"/>
        <w:rPr>
          <w:rFonts w:ascii="宋体" w:hAnsi="宋体" w:cs="宋体" w:eastAsia="宋体" w:hint="default"/>
          <w:sz w:val="18"/>
          <w:szCs w:val="18"/>
        </w:rPr>
      </w:pPr>
      <w:r>
        <w:rPr>
          <w:rFonts w:ascii="宋体" w:hAnsi="宋体" w:cs="宋体" w:eastAsia="宋体" w:hint="default"/>
          <w:sz w:val="18"/>
          <w:szCs w:val="18"/>
        </w:rPr>
        <w:t>应收账款核销说明： 账龄超过五年且无法收回，经管理层审批核销。</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bookmarkStart w:name="（4）按欠款方归集的期末余额前五名的应收账款情况" w:id="229"/>
      <w:bookmarkEnd w:id="22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25"/>
        <w:gridCol w:w="1848"/>
        <w:gridCol w:w="2561"/>
        <w:gridCol w:w="2564"/>
      </w:tblGrid>
      <w:tr>
        <w:trPr>
          <w:trHeight w:val="725" w:hRule="exact"/>
        </w:trPr>
        <w:tc>
          <w:tcPr>
            <w:tcW w:w="272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6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97" w:right="101" w:hanging="990"/>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6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7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中国建筑第七工程局有限公司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40,590,136.92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4" w:right="0"/>
              <w:jc w:val="left"/>
              <w:rPr>
                <w:rFonts w:ascii="Times New Roman" w:hAnsi="Times New Roman" w:cs="Times New Roman" w:eastAsia="Times New Roman" w:hint="default"/>
                <w:sz w:val="18"/>
                <w:szCs w:val="18"/>
              </w:rPr>
            </w:pPr>
            <w:r>
              <w:rPr>
                <w:rFonts w:ascii="Times New Roman"/>
                <w:sz w:val="18"/>
              </w:rPr>
              <w:t>6.07%</w:t>
            </w:r>
          </w:p>
        </w:tc>
        <w:tc>
          <w:tcPr>
            <w:tcW w:w="25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2,423,500.67</w:t>
            </w:r>
          </w:p>
        </w:tc>
      </w:tr>
      <w:tr>
        <w:trPr>
          <w:trHeight w:val="403" w:hRule="exact"/>
        </w:trPr>
        <w:tc>
          <w:tcPr>
            <w:tcW w:w="27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北京久安建设投资集团有限公司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19,344,162.25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4" w:right="0"/>
              <w:jc w:val="left"/>
              <w:rPr>
                <w:rFonts w:ascii="Times New Roman" w:hAnsi="Times New Roman" w:cs="Times New Roman" w:eastAsia="Times New Roman" w:hint="default"/>
                <w:sz w:val="18"/>
                <w:szCs w:val="18"/>
              </w:rPr>
            </w:pPr>
            <w:r>
              <w:rPr>
                <w:rFonts w:ascii="Times New Roman"/>
                <w:sz w:val="18"/>
              </w:rPr>
              <w:t>2.89%</w:t>
            </w:r>
          </w:p>
        </w:tc>
        <w:tc>
          <w:tcPr>
            <w:tcW w:w="25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2,257,881.82</w:t>
            </w:r>
          </w:p>
        </w:tc>
      </w:tr>
      <w:tr>
        <w:trPr>
          <w:trHeight w:val="401" w:hRule="exact"/>
        </w:trPr>
        <w:tc>
          <w:tcPr>
            <w:tcW w:w="27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河南石佛艺术公社有限责任公司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12,892,827.21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4" w:right="0"/>
              <w:jc w:val="left"/>
              <w:rPr>
                <w:rFonts w:ascii="Times New Roman" w:hAnsi="Times New Roman" w:cs="Times New Roman" w:eastAsia="Times New Roman" w:hint="default"/>
                <w:sz w:val="18"/>
                <w:szCs w:val="18"/>
              </w:rPr>
            </w:pPr>
            <w:r>
              <w:rPr>
                <w:rFonts w:ascii="Times New Roman"/>
                <w:sz w:val="18"/>
              </w:rPr>
              <w:t>1.93%</w:t>
            </w:r>
          </w:p>
        </w:tc>
        <w:tc>
          <w:tcPr>
            <w:tcW w:w="25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348,106.33</w:t>
            </w:r>
          </w:p>
        </w:tc>
      </w:tr>
      <w:tr>
        <w:trPr>
          <w:trHeight w:val="403" w:hRule="exact"/>
        </w:trPr>
        <w:tc>
          <w:tcPr>
            <w:tcW w:w="27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浙江石油化工有限公司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12,783,171.02</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4" w:right="0"/>
              <w:jc w:val="left"/>
              <w:rPr>
                <w:rFonts w:ascii="Times New Roman" w:hAnsi="Times New Roman" w:cs="Times New Roman" w:eastAsia="Times New Roman" w:hint="default"/>
                <w:sz w:val="18"/>
                <w:szCs w:val="18"/>
              </w:rPr>
            </w:pPr>
            <w:r>
              <w:rPr>
                <w:rFonts w:ascii="Times New Roman"/>
                <w:sz w:val="18"/>
              </w:rPr>
              <w:t>1.91%</w:t>
            </w:r>
          </w:p>
        </w:tc>
        <w:tc>
          <w:tcPr>
            <w:tcW w:w="25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669,838.16</w:t>
            </w:r>
          </w:p>
        </w:tc>
      </w:tr>
      <w:tr>
        <w:trPr>
          <w:trHeight w:val="401" w:hRule="exact"/>
        </w:trPr>
        <w:tc>
          <w:tcPr>
            <w:tcW w:w="272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河南朗格置业有限公司</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12,245,000.00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4" w:right="0"/>
              <w:jc w:val="left"/>
              <w:rPr>
                <w:rFonts w:ascii="Times New Roman" w:hAnsi="Times New Roman" w:cs="Times New Roman" w:eastAsia="Times New Roman" w:hint="default"/>
                <w:sz w:val="18"/>
                <w:szCs w:val="18"/>
              </w:rPr>
            </w:pPr>
            <w:r>
              <w:rPr>
                <w:rFonts w:ascii="Times New Roman"/>
                <w:sz w:val="18"/>
              </w:rPr>
              <w:t>1.83%</w:t>
            </w:r>
          </w:p>
        </w:tc>
        <w:tc>
          <w:tcPr>
            <w:tcW w:w="25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330,615.00</w:t>
            </w:r>
          </w:p>
        </w:tc>
      </w:tr>
      <w:tr>
        <w:trPr>
          <w:trHeight w:val="410" w:hRule="exact"/>
        </w:trPr>
        <w:tc>
          <w:tcPr>
            <w:tcW w:w="272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97,855,297.40</w:t>
            </w:r>
          </w:p>
        </w:tc>
        <w:tc>
          <w:tcPr>
            <w:tcW w:w="2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1001" w:right="0"/>
              <w:jc w:val="left"/>
              <w:rPr>
                <w:rFonts w:ascii="Times New Roman" w:hAnsi="Times New Roman" w:cs="Times New Roman" w:eastAsia="Times New Roman" w:hint="default"/>
                <w:sz w:val="18"/>
                <w:szCs w:val="18"/>
              </w:rPr>
            </w:pPr>
            <w:r>
              <w:rPr>
                <w:rFonts w:ascii="Times New Roman"/>
                <w:sz w:val="18"/>
              </w:rPr>
              <w:t>14.63%</w:t>
            </w:r>
          </w:p>
        </w:tc>
        <w:tc>
          <w:tcPr>
            <w:tcW w:w="2564" w:type="dxa"/>
            <w:tcBorders>
              <w:top w:val="single" w:sz="4" w:space="0" w:color="000000"/>
              <w:left w:val="single" w:sz="4" w:space="0" w:color="000000"/>
              <w:bottom w:val="single" w:sz="12" w:space="0" w:color="000000"/>
              <w:right w:val="single" w:sz="12" w:space="0" w:color="000000"/>
            </w:tcBorders>
            <w:shd w:val="clear" w:color="auto" w:fill="D2D2D2"/>
          </w:tcPr>
          <w:p>
            <w:pPr/>
          </w:p>
        </w:tc>
      </w:tr>
    </w:tbl>
    <w:p>
      <w:pPr>
        <w:spacing w:line="240" w:lineRule="auto" w:before="6"/>
        <w:rPr>
          <w:rFonts w:ascii="宋体" w:hAnsi="宋体" w:cs="宋体" w:eastAsia="宋体" w:hint="default"/>
          <w:sz w:val="19"/>
          <w:szCs w:val="19"/>
        </w:rPr>
      </w:pPr>
    </w:p>
    <w:p>
      <w:pPr>
        <w:pStyle w:val="Heading4"/>
        <w:spacing w:line="240" w:lineRule="auto" w:before="36"/>
        <w:ind w:right="0"/>
        <w:jc w:val="left"/>
        <w:rPr>
          <w:b w:val="0"/>
          <w:bCs w:val="0"/>
        </w:rPr>
      </w:pPr>
      <w:bookmarkStart w:name="5、应收款项融资" w:id="230"/>
      <w:bookmarkEnd w:id="230"/>
      <w:r>
        <w:rPr>
          <w:b w:val="0"/>
          <w:bCs w:val="0"/>
        </w:rPr>
      </w:r>
      <w:r>
        <w:rPr>
          <w:rFonts w:ascii="Times New Roman" w:hAnsi="Times New Roman" w:cs="Times New Roman" w:eastAsia="Times New Roman" w:hint="default"/>
        </w:rPr>
        <w:t>5</w:t>
      </w:r>
      <w:r>
        <w:rPr/>
        <w:t>、应收款项融资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8"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7"/>
              <w:ind w:right="1430"/>
              <w:jc w:val="right"/>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7"/>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16,908,920.00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21,582,608.19</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right="1430"/>
              <w:jc w:val="righ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16,908,920.00</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21,582,608.19</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60"/>
        <w:ind w:right="1126" w:firstLine="420"/>
        <w:jc w:val="both"/>
      </w:pPr>
      <w:r>
        <w:rPr>
          <w:spacing w:val="-2"/>
        </w:rPr>
        <w:t>公司持有票据具有收取现金流量和出售的双重目的形成的应收款项融资，由于票据期限较短，账面价</w:t>
      </w:r>
      <w:r>
        <w:rPr>
          <w:w w:val="100"/>
        </w:rPr>
        <w:t> </w:t>
      </w:r>
      <w:r>
        <w:rPr>
          <w:spacing w:val="-2"/>
        </w:rPr>
        <w:t>值代表了对公允价值的最佳估计，以账面价值作为其公允价值，本期未发生变化。应收款项融资本期较上</w:t>
      </w:r>
      <w:r>
        <w:rPr>
          <w:spacing w:val="-43"/>
        </w:rPr>
        <w:t> </w:t>
      </w:r>
      <w:r>
        <w:rPr>
          <w:spacing w:val="-43"/>
        </w:rPr>
      </w:r>
      <w:r>
        <w:rPr/>
        <w:t>期减少</w:t>
      </w:r>
      <w:r>
        <w:rPr>
          <w:rFonts w:ascii="Times New Roman" w:hAnsi="Times New Roman" w:cs="Times New Roman" w:eastAsia="Times New Roman" w:hint="default"/>
        </w:rPr>
        <w:t>4,673,688.19</w:t>
      </w:r>
      <w:r>
        <w:rPr/>
        <w:t>元。</w:t>
      </w:r>
    </w:p>
    <w:p>
      <w:pPr>
        <w:spacing w:line="235"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如是按照预期信用损失一般模型计提应收款项融资减值准备，请参照其他应收款的披露方式披露减值准备的相关信息：</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6、预付款项" w:id="231"/>
      <w:bookmarkEnd w:id="231"/>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32"/>
      <w:bookmarkEnd w:id="23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19"/>
        <w:gridCol w:w="1953"/>
        <w:gridCol w:w="1940"/>
        <w:gridCol w:w="1940"/>
        <w:gridCol w:w="1939"/>
      </w:tblGrid>
      <w:tr>
        <w:trPr>
          <w:trHeight w:val="215" w:hRule="exact"/>
        </w:trPr>
        <w:tc>
          <w:tcPr>
            <w:tcW w:w="1919"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893"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47"/>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9"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3893" w:type="dxa"/>
            <w:gridSpan w:val="2"/>
            <w:vMerge/>
            <w:tcBorders>
              <w:left w:val="single" w:sz="4" w:space="0" w:color="000000"/>
              <w:bottom w:val="single" w:sz="4" w:space="0" w:color="000000"/>
              <w:right w:val="single" w:sz="4" w:space="0" w:color="000000"/>
            </w:tcBorders>
            <w:shd w:val="clear" w:color="auto" w:fill="D2D2D2"/>
          </w:tcPr>
          <w:p>
            <w:pPr/>
          </w:p>
        </w:tc>
        <w:tc>
          <w:tcPr>
            <w:tcW w:w="3879" w:type="dxa"/>
            <w:gridSpan w:val="2"/>
            <w:vMerge/>
            <w:tcBorders>
              <w:left w:val="single" w:sz="4" w:space="0" w:color="000000"/>
              <w:bottom w:val="single" w:sz="4" w:space="0" w:color="000000"/>
              <w:right w:val="single" w:sz="12" w:space="0" w:color="000000"/>
            </w:tcBorders>
            <w:shd w:val="clear" w:color="auto" w:fill="D2D2D2"/>
          </w:tcPr>
          <w:p>
            <w:pPr/>
          </w:p>
        </w:tc>
      </w:tr>
      <w:tr>
        <w:trPr>
          <w:trHeight w:val="199" w:hRule="exact"/>
        </w:trPr>
        <w:tc>
          <w:tcPr>
            <w:tcW w:w="1919" w:type="dxa"/>
            <w:vMerge/>
            <w:tcBorders>
              <w:left w:val="single" w:sz="12" w:space="0" w:color="000000"/>
              <w:bottom w:val="nil" w:sz="6" w:space="0" w:color="auto"/>
              <w:right w:val="single" w:sz="4" w:space="0" w:color="000000"/>
            </w:tcBorders>
            <w:shd w:val="clear" w:color="auto" w:fill="D2D2D2"/>
          </w:tcPr>
          <w:p>
            <w:pPr/>
          </w:p>
        </w:tc>
        <w:tc>
          <w:tcPr>
            <w:tcW w:w="19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9"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9" w:type="dxa"/>
            <w:tcBorders>
              <w:top w:val="nil" w:sz="6" w:space="0" w:color="auto"/>
              <w:left w:val="single" w:sz="12" w:space="0" w:color="000000"/>
              <w:bottom w:val="single" w:sz="4" w:space="0" w:color="000000"/>
              <w:right w:val="single" w:sz="4" w:space="0" w:color="000000"/>
            </w:tcBorders>
            <w:shd w:val="clear" w:color="auto" w:fill="D2D2D2"/>
          </w:tcPr>
          <w:p>
            <w:pPr/>
          </w:p>
        </w:tc>
        <w:tc>
          <w:tcPr>
            <w:tcW w:w="1953"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35,301,942.48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70.93%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145,144,179.36</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96.35%</w:t>
            </w:r>
          </w:p>
        </w:tc>
      </w:tr>
      <w:tr>
        <w:trPr>
          <w:trHeight w:val="401"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10,488,904.39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2,220,749.71</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1.47%</w:t>
            </w:r>
          </w:p>
        </w:tc>
      </w:tr>
      <w:tr>
        <w:trPr>
          <w:trHeight w:val="403"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938,258.69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507,730.29</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0.34%</w:t>
            </w:r>
          </w:p>
        </w:tc>
      </w:tr>
      <w:tr>
        <w:trPr>
          <w:trHeight w:val="401"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3,043,179.20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6.11%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2,770,133.38</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1.84%</w:t>
            </w:r>
          </w:p>
        </w:tc>
      </w:tr>
      <w:tr>
        <w:trPr>
          <w:trHeight w:val="410" w:hRule="exact"/>
        </w:trPr>
        <w:tc>
          <w:tcPr>
            <w:tcW w:w="191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9" w:space="0" w:color="D2D2D2"/>
              <w:bottom w:val="single" w:sz="12" w:space="0" w:color="000000"/>
              <w:right w:val="single" w:sz="10" w:space="0" w:color="D2D2D2"/>
            </w:tcBorders>
          </w:tcPr>
          <w:p>
            <w:pPr>
              <w:pStyle w:val="TableParagraph"/>
              <w:spacing w:line="240" w:lineRule="auto" w:before="67"/>
              <w:ind w:right="12"/>
              <w:jc w:val="right"/>
              <w:rPr>
                <w:rFonts w:ascii="Times New Roman" w:hAnsi="Times New Roman" w:cs="Times New Roman" w:eastAsia="Times New Roman" w:hint="default"/>
                <w:sz w:val="12"/>
                <w:szCs w:val="12"/>
              </w:rPr>
            </w:pPr>
            <w:r>
              <w:rPr>
                <w:rFonts w:ascii="Times New Roman"/>
                <w:spacing w:val="-1"/>
                <w:sz w:val="18"/>
              </w:rPr>
              <w:t>49,772,284.76</w:t>
            </w:r>
            <w:r>
              <w:rPr>
                <w:rFonts w:ascii="Times New Roman"/>
                <w:color w:val="FF0000"/>
                <w:spacing w:val="-1"/>
                <w:position w:val="8"/>
                <w:sz w:val="12"/>
              </w:rPr>
              <w:t>1</w:t>
            </w:r>
            <w:r>
              <w:rPr>
                <w:rFonts w:ascii="Times New Roman"/>
                <w:spacing w:val="-1"/>
                <w:sz w:val="12"/>
              </w:rPr>
            </w:r>
          </w:p>
        </w:tc>
        <w:tc>
          <w:tcPr>
            <w:tcW w:w="194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40" w:type="dxa"/>
            <w:tcBorders>
              <w:top w:val="single" w:sz="4" w:space="0" w:color="000000"/>
              <w:left w:val="single" w:sz="13" w:space="0" w:color="D2D2D2"/>
              <w:bottom w:val="single" w:sz="12"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150,642,792.74</w:t>
            </w:r>
          </w:p>
        </w:tc>
        <w:tc>
          <w:tcPr>
            <w:tcW w:w="1939"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152" w:right="391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预付账款较年初减少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66.96%</w:t>
      </w:r>
      <w:r>
        <w:rPr>
          <w:rFonts w:ascii="宋体" w:hAnsi="宋体" w:cs="宋体" w:eastAsia="宋体" w:hint="default"/>
          <w:sz w:val="18"/>
          <w:szCs w:val="18"/>
        </w:rPr>
        <w:t>，主要系报告期公司智慧市政项目按期结算所致。 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tbl>
      <w:tblPr>
        <w:tblW w:w="0" w:type="auto"/>
        <w:jc w:val="left"/>
        <w:tblInd w:w="123" w:type="dxa"/>
        <w:tblLayout w:type="fixed"/>
        <w:tblCellMar>
          <w:top w:w="0" w:type="dxa"/>
          <w:left w:w="0" w:type="dxa"/>
          <w:bottom w:w="0" w:type="dxa"/>
          <w:right w:w="0" w:type="dxa"/>
        </w:tblCellMar>
        <w:tblLook w:val="01E0"/>
      </w:tblPr>
      <w:tblGrid>
        <w:gridCol w:w="1966"/>
        <w:gridCol w:w="2161"/>
        <w:gridCol w:w="1774"/>
        <w:gridCol w:w="1966"/>
        <w:gridCol w:w="1802"/>
      </w:tblGrid>
      <w:tr>
        <w:trPr>
          <w:trHeight w:val="338" w:hRule="exact"/>
        </w:trPr>
        <w:tc>
          <w:tcPr>
            <w:tcW w:w="1966"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left="612" w:right="0"/>
              <w:jc w:val="left"/>
              <w:rPr>
                <w:rFonts w:ascii="宋体" w:hAnsi="宋体" w:cs="宋体" w:eastAsia="宋体" w:hint="default"/>
                <w:sz w:val="18"/>
                <w:szCs w:val="18"/>
              </w:rPr>
            </w:pPr>
            <w:r>
              <w:rPr>
                <w:rFonts w:ascii="宋体" w:hAnsi="宋体" w:cs="宋体" w:eastAsia="宋体" w:hint="default"/>
                <w:sz w:val="18"/>
                <w:szCs w:val="18"/>
              </w:rPr>
              <w:t>债权单位</w:t>
            </w:r>
          </w:p>
        </w:tc>
        <w:tc>
          <w:tcPr>
            <w:tcW w:w="2161"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715" w:right="0"/>
              <w:jc w:val="left"/>
              <w:rPr>
                <w:rFonts w:ascii="宋体" w:hAnsi="宋体" w:cs="宋体" w:eastAsia="宋体" w:hint="default"/>
                <w:sz w:val="18"/>
                <w:szCs w:val="18"/>
              </w:rPr>
            </w:pPr>
            <w:r>
              <w:rPr>
                <w:rFonts w:ascii="宋体" w:hAnsi="宋体" w:cs="宋体" w:eastAsia="宋体" w:hint="default"/>
                <w:sz w:val="18"/>
                <w:szCs w:val="18"/>
              </w:rPr>
              <w:t>债务单位</w:t>
            </w:r>
          </w:p>
        </w:tc>
        <w:tc>
          <w:tcPr>
            <w:tcW w:w="1774"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66"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02"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0"/>
              <w:ind w:left="448"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5" w:hRule="exact"/>
        </w:trPr>
        <w:tc>
          <w:tcPr>
            <w:tcW w:w="196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2"/>
              <w:ind w:right="0"/>
              <w:jc w:val="left"/>
              <w:rPr>
                <w:rFonts w:ascii="宋体" w:hAnsi="宋体" w:cs="宋体" w:eastAsia="宋体" w:hint="default"/>
                <w:sz w:val="18"/>
                <w:szCs w:val="18"/>
              </w:rPr>
            </w:pPr>
            <w:r>
              <w:rPr>
                <w:rFonts w:ascii="宋体" w:hAnsi="宋体" w:cs="宋体" w:eastAsia="宋体" w:hint="default"/>
                <w:sz w:val="18"/>
                <w:szCs w:val="18"/>
              </w:rPr>
              <w:t>高新热力</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河南国元实业有限公司</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
              <w:jc w:val="right"/>
              <w:rPr>
                <w:rFonts w:ascii="宋体" w:hAnsi="宋体" w:cs="宋体" w:eastAsia="宋体" w:hint="default"/>
                <w:sz w:val="18"/>
                <w:szCs w:val="18"/>
              </w:rPr>
            </w:pPr>
            <w:r>
              <w:rPr>
                <w:rFonts w:ascii="宋体"/>
                <w:spacing w:val="-1"/>
                <w:sz w:val="18"/>
              </w:rPr>
              <w:t>6,938,000.00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80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2"/>
              <w:ind w:left="7" w:right="0"/>
              <w:jc w:val="left"/>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53" w:hRule="exact"/>
        </w:trPr>
        <w:tc>
          <w:tcPr>
            <w:tcW w:w="196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w:t>
            </w:r>
          </w:p>
        </w:tc>
        <w:tc>
          <w:tcPr>
            <w:tcW w:w="17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6,938,000.00</w:t>
            </w:r>
          </w:p>
        </w:tc>
        <w:tc>
          <w:tcPr>
            <w:tcW w:w="19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w:t>
            </w:r>
          </w:p>
        </w:tc>
        <w:tc>
          <w:tcPr>
            <w:tcW w:w="180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20"/>
          <w:szCs w:val="20"/>
        </w:rPr>
      </w:pPr>
    </w:p>
    <w:p>
      <w:pPr>
        <w:pStyle w:val="Heading4"/>
        <w:spacing w:line="240" w:lineRule="auto" w:before="36"/>
        <w:ind w:right="0"/>
        <w:jc w:val="left"/>
        <w:rPr>
          <w:b w:val="0"/>
          <w:bCs w:val="0"/>
        </w:rPr>
      </w:pPr>
      <w:bookmarkStart w:name="（2）按预付对象归集的期末余额前五名的预付款情况" w:id="233"/>
      <w:bookmarkEnd w:id="23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4837"/>
        <w:gridCol w:w="2199"/>
        <w:gridCol w:w="2633"/>
      </w:tblGrid>
      <w:tr>
        <w:trPr>
          <w:trHeight w:val="338" w:hRule="exact"/>
        </w:trPr>
        <w:tc>
          <w:tcPr>
            <w:tcW w:w="4837"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99"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33"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0"/>
              <w:ind w:left="2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占预付款项总额的比例</w:t>
            </w:r>
            <w:r>
              <w:rPr>
                <w:rFonts w:ascii="Times New Roman" w:hAnsi="Times New Roman" w:cs="Times New Roman" w:eastAsia="Times New Roman" w:hint="default"/>
                <w:sz w:val="18"/>
                <w:szCs w:val="18"/>
              </w:rPr>
              <w:t>(%)</w:t>
            </w:r>
          </w:p>
        </w:tc>
      </w:tr>
      <w:tr>
        <w:trPr>
          <w:trHeight w:val="355" w:hRule="exact"/>
        </w:trPr>
        <w:tc>
          <w:tcPr>
            <w:tcW w:w="4837" w:type="dxa"/>
            <w:tcBorders>
              <w:top w:val="single" w:sz="8" w:space="0" w:color="000000"/>
              <w:left w:val="single" w:sz="12" w:space="0" w:color="000000"/>
              <w:bottom w:val="single" w:sz="4" w:space="0" w:color="000000"/>
              <w:right w:val="single" w:sz="4" w:space="0" w:color="000000"/>
            </w:tcBorders>
          </w:tcPr>
          <w:p>
            <w:pPr>
              <w:pStyle w:val="TableParagraph"/>
              <w:spacing w:line="240" w:lineRule="auto" w:before="27"/>
              <w:ind w:right="0"/>
              <w:jc w:val="left"/>
              <w:rPr>
                <w:rFonts w:ascii="宋体" w:hAnsi="宋体" w:cs="宋体" w:eastAsia="宋体" w:hint="default"/>
                <w:sz w:val="18"/>
                <w:szCs w:val="18"/>
              </w:rPr>
            </w:pPr>
            <w:r>
              <w:rPr>
                <w:rFonts w:ascii="宋体" w:hAnsi="宋体" w:cs="宋体" w:eastAsia="宋体" w:hint="default"/>
                <w:sz w:val="18"/>
                <w:szCs w:val="18"/>
              </w:rPr>
              <w:t>郑州泰祥热电股份有限公司</w:t>
            </w:r>
          </w:p>
        </w:tc>
        <w:tc>
          <w:tcPr>
            <w:tcW w:w="219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9"/>
              <w:ind w:right="2"/>
              <w:jc w:val="right"/>
              <w:rPr>
                <w:rFonts w:ascii="Times New Roman" w:hAnsi="Times New Roman" w:cs="Times New Roman" w:eastAsia="Times New Roman" w:hint="default"/>
                <w:sz w:val="18"/>
                <w:szCs w:val="18"/>
              </w:rPr>
            </w:pPr>
            <w:r>
              <w:rPr>
                <w:rFonts w:ascii="Times New Roman"/>
                <w:spacing w:val="-1"/>
                <w:sz w:val="18"/>
              </w:rPr>
              <w:t>11,828,045.00</w:t>
            </w:r>
          </w:p>
        </w:tc>
        <w:tc>
          <w:tcPr>
            <w:tcW w:w="2633" w:type="dxa"/>
            <w:tcBorders>
              <w:top w:val="single" w:sz="8" w:space="0" w:color="000000"/>
              <w:left w:val="single" w:sz="4" w:space="0" w:color="000000"/>
              <w:bottom w:val="single" w:sz="4" w:space="0" w:color="000000"/>
              <w:right w:val="single" w:sz="12" w:space="0" w:color="000000"/>
            </w:tcBorders>
          </w:tcPr>
          <w:p>
            <w:pPr>
              <w:pStyle w:val="TableParagraph"/>
              <w:spacing w:line="240" w:lineRule="auto" w:before="69"/>
              <w:ind w:right="-6"/>
              <w:jc w:val="right"/>
              <w:rPr>
                <w:rFonts w:ascii="Times New Roman" w:hAnsi="Times New Roman" w:cs="Times New Roman" w:eastAsia="Times New Roman" w:hint="default"/>
                <w:sz w:val="18"/>
                <w:szCs w:val="18"/>
              </w:rPr>
            </w:pPr>
            <w:r>
              <w:rPr>
                <w:rFonts w:ascii="Times New Roman"/>
                <w:sz w:val="18"/>
              </w:rPr>
              <w:t>23.76</w:t>
            </w:r>
          </w:p>
        </w:tc>
      </w:tr>
      <w:tr>
        <w:trPr>
          <w:trHeight w:val="343" w:hRule="exact"/>
        </w:trPr>
        <w:tc>
          <w:tcPr>
            <w:tcW w:w="4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河南国元实业有限公司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6,938,000.00</w:t>
            </w:r>
          </w:p>
        </w:tc>
        <w:tc>
          <w:tcPr>
            <w:tcW w:w="26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13.94</w:t>
            </w:r>
          </w:p>
        </w:tc>
      </w:tr>
      <w:tr>
        <w:trPr>
          <w:trHeight w:val="341" w:hRule="exact"/>
        </w:trPr>
        <w:tc>
          <w:tcPr>
            <w:tcW w:w="4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8"/>
              <w:ind w:right="0"/>
              <w:jc w:val="left"/>
              <w:rPr>
                <w:rFonts w:ascii="宋体" w:hAnsi="宋体" w:cs="宋体" w:eastAsia="宋体" w:hint="default"/>
                <w:sz w:val="18"/>
                <w:szCs w:val="18"/>
              </w:rPr>
            </w:pPr>
            <w:r>
              <w:rPr>
                <w:rFonts w:ascii="宋体" w:hAnsi="宋体" w:cs="宋体" w:eastAsia="宋体" w:hint="default"/>
                <w:sz w:val="18"/>
                <w:szCs w:val="18"/>
              </w:rPr>
              <w:t>河南众盛市政工程有限公司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2,894,924.16</w:t>
            </w:r>
          </w:p>
        </w:tc>
        <w:tc>
          <w:tcPr>
            <w:tcW w:w="26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5.82</w:t>
            </w:r>
          </w:p>
        </w:tc>
      </w:tr>
      <w:tr>
        <w:trPr>
          <w:trHeight w:val="343" w:hRule="exact"/>
        </w:trPr>
        <w:tc>
          <w:tcPr>
            <w:tcW w:w="4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郑州万通宏泰钢管有限公司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2,641,008.43</w:t>
            </w:r>
          </w:p>
        </w:tc>
        <w:tc>
          <w:tcPr>
            <w:tcW w:w="26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5.31</w:t>
            </w:r>
          </w:p>
        </w:tc>
      </w:tr>
      <w:tr>
        <w:trPr>
          <w:trHeight w:val="341" w:hRule="exact"/>
        </w:trPr>
        <w:tc>
          <w:tcPr>
            <w:tcW w:w="4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深圳恒通源水处理科技有限公司</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1,330,000.00</w:t>
            </w:r>
          </w:p>
        </w:tc>
        <w:tc>
          <w:tcPr>
            <w:tcW w:w="26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2.67</w:t>
            </w:r>
          </w:p>
        </w:tc>
      </w:tr>
      <w:tr>
        <w:trPr>
          <w:trHeight w:val="353" w:hRule="exact"/>
        </w:trPr>
        <w:tc>
          <w:tcPr>
            <w:tcW w:w="483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25,631,977.59</w:t>
            </w:r>
          </w:p>
        </w:tc>
        <w:tc>
          <w:tcPr>
            <w:tcW w:w="26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51.50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0"/>
        <w:jc w:val="left"/>
        <w:rPr>
          <w:b w:val="0"/>
          <w:bCs w:val="0"/>
        </w:rPr>
      </w:pPr>
      <w:bookmarkStart w:name="7、其他应收款" w:id="234"/>
      <w:bookmarkEnd w:id="234"/>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3213"/>
        <w:gridCol w:w="3244"/>
        <w:gridCol w:w="3233"/>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44,903,968.25</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71,735,801.57</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6,557,713.64</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109,54,618.19</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pacing w:val="-1"/>
                <w:sz w:val="18"/>
              </w:rPr>
              <w:t>38,346,254.61</w:t>
            </w:r>
            <w:r>
              <w:rPr>
                <w:rFonts w:ascii="Times New Roman"/>
                <w:color w:val="FF0000"/>
                <w:spacing w:val="-1"/>
                <w:position w:val="8"/>
                <w:sz w:val="12"/>
              </w:rPr>
              <w:t>1</w:t>
            </w:r>
            <w:r>
              <w:rPr>
                <w:rFonts w:ascii="Times New Roman"/>
                <w:spacing w:val="-1"/>
                <w:sz w:val="12"/>
              </w:rPr>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60,781,183.38</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其他应收款较年初减少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36.91%</w:t>
      </w:r>
      <w:r>
        <w:rPr>
          <w:rFonts w:ascii="宋体" w:hAnsi="宋体" w:cs="宋体" w:eastAsia="宋体" w:hint="default"/>
          <w:sz w:val="18"/>
          <w:szCs w:val="18"/>
        </w:rPr>
        <w:t>，主要系报告期收到业绩补偿款所致。</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1）其他应收款" w:id="235"/>
      <w:bookmarkEnd w:id="235"/>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按款项性质分类情况" w:id="236"/>
      <w:bookmarkEnd w:id="236"/>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07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107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6,102,676.25</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6,689,232.83</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20,906,847.71</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22,437,648.54</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应收代垫职工款项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1,117,150.00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1,487,922.77</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3,425,400.00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3,613,264.05</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3233" w:type="dxa"/>
            <w:tcBorders>
              <w:top w:val="single" w:sz="4" w:space="0" w:color="000000"/>
              <w:left w:val="single" w:sz="4" w:space="0" w:color="000000"/>
              <w:bottom w:val="single" w:sz="4" w:space="0" w:color="000000"/>
              <w:right w:val="single" w:sz="4" w:space="0" w:color="000000"/>
            </w:tcBorders>
          </w:tcPr>
          <w:p>
            <w:pP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26,508,432.53</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13,351,894.29</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10,999,300.85</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-6,557,713.64</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-10,954,618.19</w:t>
            </w:r>
          </w:p>
        </w:tc>
      </w:tr>
      <w:tr>
        <w:trPr>
          <w:trHeight w:val="411"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38,346,254.61</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60,781,183.38</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坏账准备计提情况" w:id="237"/>
      <w:bookmarkEnd w:id="23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24"/>
        <w:gridCol w:w="1682"/>
        <w:gridCol w:w="2129"/>
        <w:gridCol w:w="2127"/>
        <w:gridCol w:w="1829"/>
      </w:tblGrid>
      <w:tr>
        <w:trPr>
          <w:trHeight w:val="412" w:hRule="exact"/>
        </w:trPr>
        <w:tc>
          <w:tcPr>
            <w:tcW w:w="1924"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68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8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2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2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698"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29"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350" w:hRule="exact"/>
        </w:trPr>
        <w:tc>
          <w:tcPr>
            <w:tcW w:w="1924"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82"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72" w:right="62" w:hanging="49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1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29" w:type="dxa"/>
            <w:tcBorders>
              <w:top w:val="nil" w:sz="6" w:space="0" w:color="auto"/>
              <w:left w:val="single" w:sz="4" w:space="0" w:color="000000"/>
              <w:bottom w:val="nil" w:sz="6" w:space="0" w:color="auto"/>
              <w:right w:val="single" w:sz="12" w:space="0" w:color="000000"/>
            </w:tcBorders>
            <w:shd w:val="clear" w:color="auto" w:fill="D2D2D2"/>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24" w:type="dxa"/>
            <w:tcBorders>
              <w:top w:val="nil" w:sz="6" w:space="0" w:color="auto"/>
              <w:left w:val="single" w:sz="12" w:space="0" w:color="000000"/>
              <w:bottom w:val="single" w:sz="4" w:space="0" w:color="000000"/>
              <w:right w:val="single" w:sz="4" w:space="0" w:color="000000"/>
            </w:tcBorders>
            <w:shd w:val="clear" w:color="auto" w:fill="D2D2D2"/>
          </w:tcPr>
          <w:p>
            <w:pPr/>
          </w:p>
        </w:tc>
        <w:tc>
          <w:tcPr>
            <w:tcW w:w="1682" w:type="dxa"/>
            <w:vMerge/>
            <w:tcBorders>
              <w:left w:val="single" w:sz="4" w:space="0" w:color="000000"/>
              <w:bottom w:val="single" w:sz="4" w:space="0" w:color="000000"/>
              <w:right w:val="single" w:sz="4" w:space="0" w:color="000000"/>
            </w:tcBorders>
            <w:shd w:val="clear" w:color="auto" w:fill="D2D2D2"/>
          </w:tcPr>
          <w:p>
            <w:pPr/>
          </w:p>
        </w:tc>
        <w:tc>
          <w:tcPr>
            <w:tcW w:w="2129"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829"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3" w:hRule="exact"/>
        </w:trPr>
        <w:tc>
          <w:tcPr>
            <w:tcW w:w="19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10,354,618.19</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8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10,954,618.19</w:t>
            </w:r>
          </w:p>
        </w:tc>
      </w:tr>
      <w:tr>
        <w:trPr>
          <w:trHeight w:val="161" w:hRule="exact"/>
        </w:trPr>
        <w:tc>
          <w:tcPr>
            <w:tcW w:w="1924" w:type="dxa"/>
            <w:vMerge w:val="restart"/>
            <w:tcBorders>
              <w:top w:val="single" w:sz="4" w:space="0" w:color="000000"/>
              <w:left w:val="single" w:sz="12" w:space="0" w:color="000000"/>
              <w:right w:val="single" w:sz="4" w:space="0" w:color="000000"/>
            </w:tcBorders>
            <w:shd w:val="clear" w:color="auto" w:fill="D2D2D2"/>
          </w:tcPr>
          <w:p>
            <w:pPr>
              <w:pStyle w:val="TableParagraph"/>
              <w:spacing w:line="297" w:lineRule="auto" w:before="49"/>
              <w:ind w:left="7"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29"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391" w:hRule="exact"/>
        </w:trPr>
        <w:tc>
          <w:tcPr>
            <w:tcW w:w="1924" w:type="dxa"/>
            <w:vMerge/>
            <w:tcBorders>
              <w:left w:val="single" w:sz="12" w:space="0" w:color="000000"/>
              <w:right w:val="single" w:sz="4" w:space="0" w:color="000000"/>
            </w:tcBorders>
            <w:shd w:val="clear" w:color="auto" w:fill="D2D2D2"/>
          </w:tcPr>
          <w:p>
            <w:pPr/>
          </w:p>
        </w:tc>
        <w:tc>
          <w:tcPr>
            <w:tcW w:w="1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29" w:type="dxa"/>
            <w:tcBorders>
              <w:top w:val="nil" w:sz="6" w:space="0" w:color="auto"/>
              <w:left w:val="single" w:sz="4" w:space="0" w:color="000000"/>
              <w:bottom w:val="nil" w:sz="6" w:space="0" w:color="auto"/>
              <w:right w:val="single" w:sz="12" w:space="0" w:color="000000"/>
            </w:tcBorders>
            <w:shd w:val="clear" w:color="auto" w:fill="D2D2D2"/>
          </w:tcPr>
          <w:p>
            <w:pPr>
              <w:pStyle w:val="TableParagraph"/>
              <w:spacing w:line="240" w:lineRule="auto" w:before="91"/>
              <w:ind w:left="7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24" w:type="dxa"/>
            <w:vMerge/>
            <w:tcBorders>
              <w:left w:val="single" w:sz="12" w:space="0" w:color="000000"/>
              <w:bottom w:val="single" w:sz="4" w:space="0" w:color="000000"/>
              <w:right w:val="single" w:sz="4" w:space="0" w:color="000000"/>
            </w:tcBorders>
            <w:shd w:val="clear" w:color="auto" w:fill="D2D2D2"/>
          </w:tcPr>
          <w:p>
            <w:pPr/>
          </w:p>
        </w:tc>
        <w:tc>
          <w:tcPr>
            <w:tcW w:w="1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29"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3" w:hRule="exact"/>
        </w:trPr>
        <w:tc>
          <w:tcPr>
            <w:tcW w:w="19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-3,796,904.55</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-3,796,904.55</w:t>
            </w:r>
          </w:p>
        </w:tc>
      </w:tr>
      <w:tr>
        <w:trPr>
          <w:trHeight w:val="401" w:hRule="exact"/>
        </w:trPr>
        <w:tc>
          <w:tcPr>
            <w:tcW w:w="19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82" w:type="dxa"/>
            <w:tcBorders>
              <w:top w:val="single" w:sz="4" w:space="0" w:color="000000"/>
              <w:left w:val="single" w:sz="10" w:space="0" w:color="D2D2D2"/>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8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10" w:hRule="exact"/>
        </w:trPr>
        <w:tc>
          <w:tcPr>
            <w:tcW w:w="192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82"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6,557,713.64</w:t>
            </w:r>
          </w:p>
        </w:tc>
        <w:tc>
          <w:tcPr>
            <w:tcW w:w="2129" w:type="dxa"/>
            <w:tcBorders>
              <w:top w:val="single" w:sz="4" w:space="0" w:color="000000"/>
              <w:left w:val="single" w:sz="4" w:space="0" w:color="000000"/>
              <w:bottom w:val="single" w:sz="12" w:space="0" w:color="000000"/>
              <w:right w:val="single" w:sz="4" w:space="0" w:color="000000"/>
            </w:tcBorders>
          </w:tcPr>
          <w:p>
            <w:pPr/>
          </w:p>
        </w:tc>
        <w:tc>
          <w:tcPr>
            <w:tcW w:w="2127" w:type="dxa"/>
            <w:tcBorders>
              <w:top w:val="single" w:sz="4" w:space="0" w:color="000000"/>
              <w:left w:val="single" w:sz="4" w:space="0" w:color="000000"/>
              <w:bottom w:val="single" w:sz="12" w:space="0" w:color="000000"/>
              <w:right w:val="single" w:sz="4" w:space="0" w:color="000000"/>
            </w:tcBorders>
          </w:tcPr>
          <w:p>
            <w:pPr/>
          </w:p>
        </w:tc>
        <w:tc>
          <w:tcPr>
            <w:tcW w:w="182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6,557,713.64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51"/>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8"/>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4831"/>
        <w:gridCol w:w="4860"/>
      </w:tblGrid>
      <w:tr>
        <w:trPr>
          <w:trHeight w:val="412" w:hRule="exact"/>
        </w:trPr>
        <w:tc>
          <w:tcPr>
            <w:tcW w:w="48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486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2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21,207,373.40</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10,675,475.31</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7,567,357.84</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5,453,761.70</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1,618,190.30</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288,965.29</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3,546,606.11</w:t>
            </w:r>
          </w:p>
        </w:tc>
      </w:tr>
      <w:tr>
        <w:trPr>
          <w:trHeight w:val="410" w:hRule="exact"/>
        </w:trPr>
        <w:tc>
          <w:tcPr>
            <w:tcW w:w="48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60" w:type="dxa"/>
            <w:tcBorders>
              <w:top w:val="single" w:sz="4" w:space="0" w:color="000000"/>
              <w:left w:val="single" w:sz="12" w:space="0" w:color="D2D2D2"/>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44,903,968.25</w:t>
            </w:r>
          </w:p>
        </w:tc>
      </w:tr>
    </w:tbl>
    <w:p>
      <w:pPr>
        <w:spacing w:line="240" w:lineRule="auto" w:before="6"/>
        <w:rPr>
          <w:rFonts w:ascii="宋体" w:hAnsi="宋体" w:cs="宋体" w:eastAsia="宋体" w:hint="default"/>
          <w:sz w:val="19"/>
          <w:szCs w:val="19"/>
        </w:rPr>
      </w:pPr>
    </w:p>
    <w:p>
      <w:pPr>
        <w:pStyle w:val="Heading4"/>
        <w:spacing w:line="240" w:lineRule="auto" w:before="36"/>
        <w:ind w:right="0"/>
        <w:jc w:val="left"/>
        <w:rPr>
          <w:b w:val="0"/>
          <w:bCs w:val="0"/>
        </w:rPr>
      </w:pPr>
      <w:bookmarkStart w:name="3）本期计提、收回或转回的坏账准备情况" w:id="238"/>
      <w:bookmarkEnd w:id="238"/>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45"/>
        <w:gridCol w:w="1359"/>
        <w:gridCol w:w="1478"/>
        <w:gridCol w:w="1613"/>
        <w:gridCol w:w="1354"/>
        <w:gridCol w:w="2149"/>
      </w:tblGrid>
      <w:tr>
        <w:trPr>
          <w:trHeight w:val="413" w:hRule="exact"/>
        </w:trPr>
        <w:tc>
          <w:tcPr>
            <w:tcW w:w="1745"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类别</w:t>
            </w:r>
          </w:p>
        </w:tc>
        <w:tc>
          <w:tcPr>
            <w:tcW w:w="1359"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445"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2149"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745" w:type="dxa"/>
            <w:vMerge/>
            <w:tcBorders>
              <w:left w:val="single" w:sz="12" w:space="0" w:color="000000"/>
              <w:bottom w:val="single" w:sz="4" w:space="0" w:color="000000"/>
              <w:right w:val="single" w:sz="4" w:space="0" w:color="000000"/>
            </w:tcBorders>
            <w:shd w:val="clear" w:color="auto" w:fill="D2D2D2"/>
          </w:tcPr>
          <w:p>
            <w:pPr/>
          </w:p>
        </w:tc>
        <w:tc>
          <w:tcPr>
            <w:tcW w:w="1359" w:type="dxa"/>
            <w:vMerge/>
            <w:tcBorders>
              <w:left w:val="single" w:sz="4" w:space="0" w:color="000000"/>
              <w:bottom w:val="single" w:sz="4" w:space="0" w:color="000000"/>
              <w:right w:val="single" w:sz="4" w:space="0" w:color="000000"/>
            </w:tcBorders>
            <w:shd w:val="clear" w:color="auto" w:fill="D2D2D2"/>
          </w:tcPr>
          <w:p>
            <w:pPr/>
          </w:p>
        </w:tc>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2149" w:type="dxa"/>
            <w:vMerge/>
            <w:tcBorders>
              <w:left w:val="single" w:sz="4" w:space="0" w:color="000000"/>
              <w:bottom w:val="single" w:sz="4" w:space="0" w:color="000000"/>
              <w:right w:val="single" w:sz="12" w:space="0" w:color="000000"/>
            </w:tcBorders>
            <w:shd w:val="clear" w:color="auto" w:fill="D2D2D2"/>
          </w:tcPr>
          <w:p>
            <w:pPr/>
          </w:p>
        </w:tc>
      </w:tr>
      <w:tr>
        <w:trPr>
          <w:trHeight w:val="401" w:hRule="exact"/>
        </w:trPr>
        <w:tc>
          <w:tcPr>
            <w:tcW w:w="174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按信用风险组合计提</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10,954,618.19</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-3,796,904.55</w:t>
            </w:r>
          </w:p>
        </w:tc>
        <w:tc>
          <w:tcPr>
            <w:tcW w:w="1613"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600,000.00</w:t>
            </w:r>
          </w:p>
        </w:tc>
        <w:tc>
          <w:tcPr>
            <w:tcW w:w="21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6,557,713.64</w:t>
            </w:r>
          </w:p>
        </w:tc>
      </w:tr>
      <w:tr>
        <w:trPr>
          <w:trHeight w:val="410" w:hRule="exact"/>
        </w:trPr>
        <w:tc>
          <w:tcPr>
            <w:tcW w:w="174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10,954,618.19</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-3,796,904.55</w:t>
            </w:r>
          </w:p>
        </w:tc>
        <w:tc>
          <w:tcPr>
            <w:tcW w:w="1613" w:type="dxa"/>
            <w:tcBorders>
              <w:top w:val="single" w:sz="4" w:space="0" w:color="000000"/>
              <w:left w:val="single" w:sz="4" w:space="0" w:color="000000"/>
              <w:bottom w:val="single" w:sz="12" w:space="0" w:color="000000"/>
              <w:right w:val="single" w:sz="4" w:space="0" w:color="000000"/>
            </w:tcBorders>
          </w:tcPr>
          <w:p>
            <w:pPr/>
          </w:p>
        </w:tc>
        <w:tc>
          <w:tcPr>
            <w:tcW w:w="13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600,000.00</w:t>
            </w:r>
          </w:p>
        </w:tc>
        <w:tc>
          <w:tcPr>
            <w:tcW w:w="214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6,557,713.64</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4）按欠款方归集的期末余额前五名的其他应收款情况" w:id="239"/>
      <w:bookmarkEnd w:id="239"/>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64"/>
        <w:gridCol w:w="1277"/>
        <w:gridCol w:w="1277"/>
        <w:gridCol w:w="1044"/>
        <w:gridCol w:w="1618"/>
        <w:gridCol w:w="1618"/>
      </w:tblGrid>
      <w:tr>
        <w:trPr>
          <w:trHeight w:val="725" w:hRule="exact"/>
        </w:trPr>
        <w:tc>
          <w:tcPr>
            <w:tcW w:w="286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83" w:right="82"/>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沈阳赛斯特科技发展有限公司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4,500,267.00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c>
          <w:tcPr>
            <w:tcW w:w="16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450,026.70</w:t>
            </w:r>
          </w:p>
        </w:tc>
      </w:tr>
      <w:tr>
        <w:trPr>
          <w:trHeight w:val="401"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郑州齐裕建筑工程有限公司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8.91%</w:t>
            </w:r>
          </w:p>
        </w:tc>
        <w:tc>
          <w:tcPr>
            <w:tcW w:w="16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3"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郑州高新梧桐水务有限公司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3,425,400.00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7.63%</w:t>
            </w:r>
          </w:p>
        </w:tc>
        <w:tc>
          <w:tcPr>
            <w:tcW w:w="161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8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中共河南省委办公厅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1,931,030.00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4.30%</w:t>
            </w:r>
          </w:p>
        </w:tc>
        <w:tc>
          <w:tcPr>
            <w:tcW w:w="16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346,376.50</w:t>
            </w:r>
          </w:p>
        </w:tc>
      </w:tr>
      <w:tr>
        <w:trPr>
          <w:trHeight w:val="403" w:hRule="exact"/>
        </w:trPr>
        <w:tc>
          <w:tcPr>
            <w:tcW w:w="2864" w:type="dxa"/>
            <w:tcBorders>
              <w:top w:val="single" w:sz="4" w:space="0" w:color="000000"/>
              <w:left w:val="single" w:sz="12" w:space="0" w:color="000000"/>
              <w:bottom w:val="single" w:sz="4" w:space="0" w:color="000000"/>
              <w:right w:val="single" w:sz="13" w:space="0" w:color="FFFFFF"/>
            </w:tcBorders>
          </w:tcPr>
          <w:p>
            <w:pPr>
              <w:pStyle w:val="TableParagraph"/>
              <w:spacing w:line="240" w:lineRule="auto" w:before="49"/>
              <w:ind w:left="14" w:right="-62"/>
              <w:jc w:val="left"/>
              <w:rPr>
                <w:rFonts w:ascii="宋体" w:hAnsi="宋体" w:cs="宋体" w:eastAsia="宋体" w:hint="default"/>
                <w:sz w:val="18"/>
                <w:szCs w:val="18"/>
              </w:rPr>
            </w:pPr>
            <w:r>
              <w:rPr>
                <w:rFonts w:ascii="宋体" w:hAnsi="宋体" w:cs="宋体" w:eastAsia="宋体" w:hint="default"/>
                <w:sz w:val="18"/>
                <w:szCs w:val="18"/>
              </w:rPr>
              <w:t>郑州高新区管委会（会计服务中心）</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政府保证金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2.43%</w:t>
            </w:r>
          </w:p>
        </w:tc>
        <w:tc>
          <w:tcPr>
            <w:tcW w:w="1618" w:type="dxa"/>
            <w:tcBorders>
              <w:top w:val="single" w:sz="4" w:space="0" w:color="000000"/>
              <w:left w:val="single" w:sz="4" w:space="0" w:color="000000"/>
              <w:bottom w:val="single" w:sz="4" w:space="0" w:color="000000"/>
              <w:right w:val="single" w:sz="12" w:space="0" w:color="000000"/>
            </w:tcBorders>
          </w:tcPr>
          <w:p>
            <w:pPr/>
          </w:p>
        </w:tc>
      </w:tr>
      <w:tr>
        <w:trPr>
          <w:trHeight w:val="411" w:hRule="exact"/>
        </w:trPr>
        <w:tc>
          <w:tcPr>
            <w:tcW w:w="286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12" w:space="0" w:color="D2D2D2"/>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14,946,697.00</w:t>
            </w:r>
          </w:p>
        </w:tc>
        <w:tc>
          <w:tcPr>
            <w:tcW w:w="104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33.29%</w:t>
            </w:r>
          </w:p>
        </w:tc>
        <w:tc>
          <w:tcPr>
            <w:tcW w:w="16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1,596,403.20</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8、存货" w:id="240"/>
      <w:bookmarkEnd w:id="240"/>
      <w:r>
        <w:rPr>
          <w:b w:val="0"/>
          <w:bCs w:val="0"/>
        </w:rPr>
      </w:r>
      <w:r>
        <w:rPr>
          <w:rFonts w:ascii="Times New Roman" w:hAnsi="Times New Roman" w:cs="Times New Roman" w:eastAsia="Times New Roman" w:hint="default"/>
        </w:rPr>
        <w:t>8</w:t>
      </w:r>
      <w:r>
        <w:rPr/>
        <w:t>、存货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1）存货分类" w:id="241"/>
      <w:bookmarkEnd w:id="24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571"/>
        <w:gridCol w:w="1199"/>
        <w:gridCol w:w="1385"/>
        <w:gridCol w:w="1383"/>
        <w:gridCol w:w="1385"/>
        <w:gridCol w:w="1385"/>
        <w:gridCol w:w="1382"/>
      </w:tblGrid>
      <w:tr>
        <w:trPr>
          <w:trHeight w:val="215" w:hRule="exact"/>
        </w:trPr>
        <w:tc>
          <w:tcPr>
            <w:tcW w:w="1571"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967" w:type="dxa"/>
            <w:gridSpan w:val="3"/>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53" w:type="dxa"/>
            <w:gridSpan w:val="3"/>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571"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967" w:type="dxa"/>
            <w:gridSpan w:val="3"/>
            <w:vMerge/>
            <w:tcBorders>
              <w:left w:val="single" w:sz="4" w:space="0" w:color="000000"/>
              <w:bottom w:val="single" w:sz="4" w:space="0" w:color="000000"/>
              <w:right w:val="single" w:sz="4" w:space="0" w:color="000000"/>
            </w:tcBorders>
            <w:shd w:val="clear" w:color="auto" w:fill="D2D2D2"/>
          </w:tcPr>
          <w:p>
            <w:pPr/>
          </w:p>
        </w:tc>
        <w:tc>
          <w:tcPr>
            <w:tcW w:w="4153" w:type="dxa"/>
            <w:gridSpan w:val="3"/>
            <w:vMerge/>
            <w:tcBorders>
              <w:left w:val="single" w:sz="4" w:space="0" w:color="000000"/>
              <w:bottom w:val="single" w:sz="4" w:space="0" w:color="000000"/>
              <w:right w:val="single" w:sz="12" w:space="0" w:color="000000"/>
            </w:tcBorders>
            <w:shd w:val="clear" w:color="auto" w:fill="D2D2D2"/>
          </w:tcPr>
          <w:p>
            <w:pPr/>
          </w:p>
        </w:tc>
      </w:tr>
      <w:tr>
        <w:trPr>
          <w:trHeight w:val="202" w:hRule="exact"/>
        </w:trPr>
        <w:tc>
          <w:tcPr>
            <w:tcW w:w="1571" w:type="dxa"/>
            <w:vMerge/>
            <w:tcBorders>
              <w:left w:val="single" w:sz="12" w:space="0" w:color="000000"/>
              <w:bottom w:val="nil" w:sz="6" w:space="0" w:color="auto"/>
              <w:right w:val="single" w:sz="4" w:space="0" w:color="000000"/>
            </w:tcBorders>
            <w:shd w:val="clear" w:color="auto" w:fill="D2D2D2"/>
          </w:tcPr>
          <w:p>
            <w:pPr/>
          </w:p>
        </w:tc>
        <w:tc>
          <w:tcPr>
            <w:tcW w:w="1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82"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71" w:type="dxa"/>
            <w:tcBorders>
              <w:top w:val="nil" w:sz="6" w:space="0" w:color="auto"/>
              <w:left w:val="single" w:sz="12" w:space="0" w:color="000000"/>
              <w:bottom w:val="single" w:sz="4" w:space="0" w:color="000000"/>
              <w:right w:val="single" w:sz="4" w:space="0" w:color="000000"/>
            </w:tcBorders>
            <w:shd w:val="clear" w:color="auto" w:fill="D2D2D2"/>
          </w:tcPr>
          <w:p>
            <w:pPr/>
          </w:p>
        </w:tc>
        <w:tc>
          <w:tcPr>
            <w:tcW w:w="1199"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3"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2" w:type="dxa"/>
            <w:vMerge/>
            <w:tcBorders>
              <w:left w:val="single" w:sz="4" w:space="0" w:color="000000"/>
              <w:bottom w:val="single" w:sz="4" w:space="0" w:color="000000"/>
              <w:right w:val="single" w:sz="12" w:space="0" w:color="000000"/>
            </w:tcBorders>
            <w:shd w:val="clear" w:color="auto" w:fill="D2D2D2"/>
          </w:tcPr>
          <w:p>
            <w:pPr/>
          </w:p>
        </w:tc>
      </w:tr>
      <w:tr>
        <w:trPr>
          <w:trHeight w:val="401" w:hRule="exact"/>
        </w:trPr>
        <w:tc>
          <w:tcPr>
            <w:tcW w:w="157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1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58,336,226.21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1,098,878.11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57,237,348.10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51,797,501.81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51,797,501.81</w:t>
            </w:r>
          </w:p>
        </w:tc>
      </w:tr>
      <w:tr>
        <w:trPr>
          <w:trHeight w:val="403" w:hRule="exact"/>
        </w:trPr>
        <w:tc>
          <w:tcPr>
            <w:tcW w:w="157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1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135,711,762.06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1,056,360.49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134,655,401.57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123,399,716.62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123,399,716.62</w:t>
            </w:r>
          </w:p>
        </w:tc>
      </w:tr>
      <w:tr>
        <w:trPr>
          <w:trHeight w:val="401" w:hRule="exact"/>
        </w:trPr>
        <w:tc>
          <w:tcPr>
            <w:tcW w:w="157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1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45,610,881.34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3,197,729.55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42,413,151.79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43,172,537.87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43,172,537.87</w:t>
            </w:r>
          </w:p>
        </w:tc>
      </w:tr>
      <w:tr>
        <w:trPr>
          <w:trHeight w:val="715" w:hRule="exact"/>
        </w:trPr>
        <w:tc>
          <w:tcPr>
            <w:tcW w:w="157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102"/>
              <w:jc w:val="left"/>
              <w:rPr>
                <w:rFonts w:ascii="宋体" w:hAnsi="宋体" w:cs="宋体" w:eastAsia="宋体" w:hint="default"/>
                <w:sz w:val="18"/>
                <w:szCs w:val="18"/>
              </w:rPr>
            </w:pPr>
            <w:r>
              <w:rPr>
                <w:rFonts w:ascii="宋体" w:hAnsi="宋体" w:cs="宋体" w:eastAsia="宋体" w:hint="default"/>
                <w:sz w:val="18"/>
                <w:szCs w:val="18"/>
              </w:rPr>
              <w:t>建造合同形成的已 完工未结算资产</w:t>
            </w:r>
          </w:p>
        </w:tc>
        <w:tc>
          <w:tcPr>
            <w:tcW w:w="11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181,236,860.36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181,236,860.36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188,862,297.27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188,862,297.27</w:t>
            </w:r>
          </w:p>
        </w:tc>
      </w:tr>
      <w:tr>
        <w:trPr>
          <w:trHeight w:val="401" w:hRule="exact"/>
        </w:trPr>
        <w:tc>
          <w:tcPr>
            <w:tcW w:w="157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786,974.17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26,504.09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760,470.08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675,791.68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675,791.68</w:t>
            </w:r>
          </w:p>
        </w:tc>
      </w:tr>
      <w:tr>
        <w:trPr>
          <w:trHeight w:val="410" w:hRule="exact"/>
        </w:trPr>
        <w:tc>
          <w:tcPr>
            <w:tcW w:w="157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421,682,704.14</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5,379,472.24</w:t>
            </w:r>
          </w:p>
        </w:tc>
        <w:tc>
          <w:tcPr>
            <w:tcW w:w="13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416,303,231.90</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407,907,845.25</w:t>
            </w:r>
          </w:p>
        </w:tc>
        <w:tc>
          <w:tcPr>
            <w:tcW w:w="1385" w:type="dxa"/>
            <w:tcBorders>
              <w:top w:val="single" w:sz="4" w:space="0" w:color="000000"/>
              <w:left w:val="single" w:sz="4" w:space="0" w:color="000000"/>
              <w:bottom w:val="single" w:sz="12" w:space="0" w:color="000000"/>
              <w:right w:val="single" w:sz="4" w:space="0" w:color="000000"/>
            </w:tcBorders>
          </w:tcPr>
          <w:p>
            <w:pPr/>
          </w:p>
        </w:tc>
        <w:tc>
          <w:tcPr>
            <w:tcW w:w="13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407,907,845.25</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存货跌价准备" w:id="242"/>
      <w:bookmarkEnd w:id="24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88"/>
        <w:gridCol w:w="1388"/>
        <w:gridCol w:w="1385"/>
        <w:gridCol w:w="1385"/>
        <w:gridCol w:w="1382"/>
        <w:gridCol w:w="1385"/>
        <w:gridCol w:w="1385"/>
      </w:tblGrid>
      <w:tr>
        <w:trPr>
          <w:trHeight w:val="216" w:hRule="exact"/>
        </w:trPr>
        <w:tc>
          <w:tcPr>
            <w:tcW w:w="1388"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388" w:type="dxa"/>
            <w:tcBorders>
              <w:top w:val="single" w:sz="12" w:space="0" w:color="000000"/>
              <w:left w:val="single" w:sz="4" w:space="0" w:color="000000"/>
              <w:bottom w:val="nil" w:sz="6" w:space="0" w:color="auto"/>
              <w:right w:val="single" w:sz="4" w:space="0" w:color="000000"/>
            </w:tcBorders>
            <w:shd w:val="clear" w:color="auto" w:fill="D2D2D2"/>
          </w:tcPr>
          <w:p>
            <w:pPr/>
          </w:p>
        </w:tc>
        <w:tc>
          <w:tcPr>
            <w:tcW w:w="2770"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left="8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68"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1"/>
              <w:ind w:left="83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85"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88"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3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70" w:type="dxa"/>
            <w:gridSpan w:val="2"/>
            <w:vMerge/>
            <w:tcBorders>
              <w:left w:val="single" w:sz="4" w:space="0" w:color="000000"/>
              <w:bottom w:val="single" w:sz="4" w:space="0" w:color="000000"/>
              <w:right w:val="single" w:sz="4" w:space="0" w:color="000000"/>
            </w:tcBorders>
            <w:shd w:val="clear" w:color="auto" w:fill="D2D2D2"/>
          </w:tcPr>
          <w:p>
            <w:pPr/>
          </w:p>
        </w:tc>
        <w:tc>
          <w:tcPr>
            <w:tcW w:w="2768"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right w:val="single" w:sz="12" w:space="0" w:color="000000"/>
            </w:tcBorders>
            <w:shd w:val="clear" w:color="auto" w:fill="D2D2D2"/>
          </w:tcPr>
          <w:p>
            <w:pPr/>
          </w:p>
        </w:tc>
      </w:tr>
      <w:tr>
        <w:trPr>
          <w:trHeight w:val="202" w:hRule="exact"/>
        </w:trPr>
        <w:tc>
          <w:tcPr>
            <w:tcW w:w="1388" w:type="dxa"/>
            <w:vMerge/>
            <w:tcBorders>
              <w:left w:val="single" w:sz="12" w:space="0" w:color="000000"/>
              <w:bottom w:val="nil" w:sz="6" w:space="0" w:color="auto"/>
              <w:right w:val="single" w:sz="4" w:space="0" w:color="000000"/>
            </w:tcBorders>
            <w:shd w:val="clear" w:color="auto" w:fill="D2D2D2"/>
          </w:tcPr>
          <w:p>
            <w:pPr/>
          </w:p>
        </w:tc>
        <w:tc>
          <w:tcPr>
            <w:tcW w:w="1388" w:type="dxa"/>
            <w:vMerge/>
            <w:tcBorders>
              <w:left w:val="single" w:sz="4" w:space="0" w:color="000000"/>
              <w:bottom w:val="nil" w:sz="6" w:space="0" w:color="auto"/>
              <w:right w:val="single" w:sz="4" w:space="0" w:color="000000"/>
            </w:tcBorders>
            <w:shd w:val="clear" w:color="auto" w:fill="D2D2D2"/>
          </w:tcPr>
          <w:p>
            <w:pP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85" w:type="dxa"/>
            <w:vMerge/>
            <w:tcBorders>
              <w:left w:val="single" w:sz="4" w:space="0" w:color="000000"/>
              <w:right w:val="single" w:sz="12" w:space="0" w:color="000000"/>
            </w:tcBorders>
            <w:shd w:val="clear" w:color="auto" w:fill="D2D2D2"/>
          </w:tcPr>
          <w:p>
            <w:pPr/>
          </w:p>
        </w:tc>
      </w:tr>
      <w:tr>
        <w:trPr>
          <w:trHeight w:val="206" w:hRule="exact"/>
        </w:trPr>
        <w:tc>
          <w:tcPr>
            <w:tcW w:w="1388" w:type="dxa"/>
            <w:tcBorders>
              <w:top w:val="nil" w:sz="6" w:space="0" w:color="auto"/>
              <w:left w:val="single" w:sz="12" w:space="0" w:color="000000"/>
              <w:bottom w:val="single" w:sz="4" w:space="0" w:color="000000"/>
              <w:right w:val="single" w:sz="4" w:space="0" w:color="000000"/>
            </w:tcBorders>
            <w:shd w:val="clear" w:color="auto" w:fill="D2D2D2"/>
          </w:tcPr>
          <w:p>
            <w:pPr/>
          </w:p>
        </w:tc>
        <w:tc>
          <w:tcPr>
            <w:tcW w:w="1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2"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12" w:space="0" w:color="000000"/>
            </w:tcBorders>
            <w:shd w:val="clear" w:color="auto" w:fill="D2D2D2"/>
          </w:tcPr>
          <w:p>
            <w:pPr/>
          </w:p>
        </w:tc>
      </w:tr>
      <w:tr>
        <w:trPr>
          <w:trHeight w:val="401" w:hRule="exact"/>
        </w:trPr>
        <w:tc>
          <w:tcPr>
            <w:tcW w:w="1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8"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1,098,878.11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1,098,878.11</w:t>
            </w:r>
          </w:p>
        </w:tc>
      </w:tr>
      <w:tr>
        <w:trPr>
          <w:trHeight w:val="403" w:hRule="exact"/>
        </w:trPr>
        <w:tc>
          <w:tcPr>
            <w:tcW w:w="1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8"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1,056,360.49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1,056,360.49</w:t>
            </w:r>
          </w:p>
        </w:tc>
      </w:tr>
      <w:tr>
        <w:trPr>
          <w:trHeight w:val="401" w:hRule="exact"/>
        </w:trPr>
        <w:tc>
          <w:tcPr>
            <w:tcW w:w="13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8"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3,197,729.55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3,197,729.55</w:t>
            </w:r>
          </w:p>
        </w:tc>
      </w:tr>
      <w:tr>
        <w:trPr>
          <w:trHeight w:val="403" w:hRule="exact"/>
        </w:trPr>
        <w:tc>
          <w:tcPr>
            <w:tcW w:w="138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26,504.09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26,504.09</w:t>
            </w:r>
          </w:p>
        </w:tc>
      </w:tr>
      <w:tr>
        <w:trPr>
          <w:trHeight w:val="410" w:hRule="exact"/>
        </w:trPr>
        <w:tc>
          <w:tcPr>
            <w:tcW w:w="13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8"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5,379,472.24</w:t>
            </w:r>
          </w:p>
        </w:tc>
        <w:tc>
          <w:tcPr>
            <w:tcW w:w="1385" w:type="dxa"/>
            <w:tcBorders>
              <w:top w:val="single" w:sz="4" w:space="0" w:color="000000"/>
              <w:left w:val="single" w:sz="4" w:space="0" w:color="000000"/>
              <w:bottom w:val="single" w:sz="12" w:space="0" w:color="000000"/>
              <w:right w:val="single" w:sz="4" w:space="0" w:color="000000"/>
            </w:tcBorders>
          </w:tcPr>
          <w:p>
            <w:pPr/>
          </w:p>
        </w:tc>
        <w:tc>
          <w:tcPr>
            <w:tcW w:w="1382"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5,379,472.24</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存货期末余额含有借款费用资本化金额的说明" w:id="243"/>
      <w:bookmarkEnd w:id="24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44"/>
      <w:bookmarkEnd w:id="24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829"/>
        <w:gridCol w:w="4862"/>
      </w:tblGrid>
      <w:tr>
        <w:trPr>
          <w:trHeight w:val="412" w:hRule="exact"/>
        </w:trPr>
        <w:tc>
          <w:tcPr>
            <w:tcW w:w="482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486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7"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48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862"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247,264,271.55</w:t>
            </w:r>
          </w:p>
        </w:tc>
      </w:tr>
      <w:tr>
        <w:trPr>
          <w:trHeight w:val="401" w:hRule="exact"/>
        </w:trPr>
        <w:tc>
          <w:tcPr>
            <w:tcW w:w="48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862"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88,709,269.15</w:t>
            </w:r>
          </w:p>
        </w:tc>
      </w:tr>
      <w:tr>
        <w:trPr>
          <w:trHeight w:val="403" w:hRule="exact"/>
        </w:trPr>
        <w:tc>
          <w:tcPr>
            <w:tcW w:w="482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862"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154,736,680.34</w:t>
            </w:r>
          </w:p>
        </w:tc>
      </w:tr>
      <w:tr>
        <w:trPr>
          <w:trHeight w:val="410" w:hRule="exact"/>
        </w:trPr>
        <w:tc>
          <w:tcPr>
            <w:tcW w:w="482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862" w:type="dxa"/>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181,236,860.36</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9、其他流动资产" w:id="245"/>
      <w:bookmarkEnd w:id="245"/>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未抵扣增值税进项税额</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33,860,588.98</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27,738,091.95</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7,990,168.93</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10,294,106.73</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4,062,228.71</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231,522.97</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45,912,986.62</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38,263,721.65</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10、长期股权投资" w:id="246"/>
      <w:bookmarkEnd w:id="246"/>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13" w:hRule="exact"/>
        </w:trPr>
        <w:tc>
          <w:tcPr>
            <w:tcW w:w="797"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93"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2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12"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9573" w:type="dxa"/>
            <w:gridSpan w:val="1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5"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41"/>
              <w:jc w:val="both"/>
              <w:rPr>
                <w:rFonts w:ascii="宋体" w:hAnsi="宋体" w:cs="宋体" w:eastAsia="宋体" w:hint="default"/>
                <w:sz w:val="18"/>
                <w:szCs w:val="18"/>
              </w:rPr>
            </w:pPr>
            <w:r>
              <w:rPr>
                <w:rFonts w:ascii="宋体" w:hAnsi="宋体" w:cs="宋体" w:eastAsia="宋体" w:hint="default"/>
                <w:sz w:val="18"/>
                <w:szCs w:val="18"/>
              </w:rPr>
              <w:t>郑州高新 梧桐水务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51,552,39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2,559,445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54,111,84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3.59</w:t>
            </w:r>
          </w:p>
        </w:tc>
        <w:tc>
          <w:tcPr>
            <w:tcW w:w="797" w:type="dxa"/>
            <w:tcBorders>
              <w:top w:val="single" w:sz="4" w:space="0" w:color="000000"/>
              <w:left w:val="single" w:sz="4" w:space="0" w:color="000000"/>
              <w:bottom w:val="single" w:sz="4" w:space="0" w:color="000000"/>
              <w:right w:val="single" w:sz="12" w:space="0" w:color="000000"/>
            </w:tcBorders>
          </w:tcPr>
          <w:p>
            <w:pPr/>
          </w:p>
        </w:tc>
      </w:tr>
      <w:tr>
        <w:trPr>
          <w:trHeight w:val="161" w:hRule="exact"/>
        </w:trPr>
        <w:tc>
          <w:tcPr>
            <w:tcW w:w="797" w:type="dxa"/>
            <w:tcBorders>
              <w:top w:val="single" w:sz="4" w:space="0" w:color="000000"/>
              <w:left w:val="single" w:sz="12"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51,552,39</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8.54</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2,559,445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54,111,84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3.59</w:t>
            </w:r>
          </w:p>
        </w:tc>
        <w:tc>
          <w:tcPr>
            <w:tcW w:w="797" w:type="dxa"/>
            <w:vMerge w:val="restart"/>
            <w:tcBorders>
              <w:top w:val="single" w:sz="4" w:space="0" w:color="000000"/>
              <w:left w:val="single" w:sz="4" w:space="0" w:color="000000"/>
              <w:right w:val="single" w:sz="12" w:space="0" w:color="000000"/>
            </w:tcBorders>
          </w:tcPr>
          <w:p>
            <w:pPr/>
          </w:p>
        </w:tc>
      </w:tr>
      <w:tr>
        <w:trPr>
          <w:trHeight w:val="394" w:hRule="exact"/>
        </w:trPr>
        <w:tc>
          <w:tcPr>
            <w:tcW w:w="797"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tcBorders>
              <w:left w:val="single" w:sz="10"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12" w:space="0" w:color="000000"/>
            </w:tcBorders>
          </w:tcPr>
          <w:p>
            <w:pPr/>
          </w:p>
        </w:tc>
      </w:tr>
      <w:tr>
        <w:trPr>
          <w:trHeight w:val="161" w:hRule="exact"/>
        </w:trPr>
        <w:tc>
          <w:tcPr>
            <w:tcW w:w="797" w:type="dxa"/>
            <w:tcBorders>
              <w:top w:val="nil" w:sz="6" w:space="0" w:color="auto"/>
              <w:left w:val="single" w:sz="12"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12" w:space="0" w:color="000000"/>
            </w:tcBorders>
          </w:tcPr>
          <w:p>
            <w:pPr/>
          </w:p>
        </w:tc>
      </w:tr>
      <w:tr>
        <w:trPr>
          <w:trHeight w:val="401" w:hRule="exact"/>
        </w:trPr>
        <w:tc>
          <w:tcPr>
            <w:tcW w:w="9573" w:type="dxa"/>
            <w:gridSpan w:val="1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41"/>
              <w:jc w:val="both"/>
              <w:rPr>
                <w:rFonts w:ascii="宋体" w:hAnsi="宋体" w:cs="宋体" w:eastAsia="宋体" w:hint="default"/>
                <w:sz w:val="18"/>
                <w:szCs w:val="18"/>
              </w:rPr>
            </w:pPr>
            <w:r>
              <w:rPr>
                <w:rFonts w:ascii="宋体" w:hAnsi="宋体" w:cs="宋体" w:eastAsia="宋体" w:hint="default"/>
                <w:sz w:val="18"/>
                <w:szCs w:val="18"/>
              </w:rPr>
              <w:t>河南中盾 云安信息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6,463,207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3,235,931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9,699,138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12" w:space="0" w:color="000000"/>
            </w:tcBorders>
          </w:tcPr>
          <w:p>
            <w:pPr/>
          </w:p>
        </w:tc>
      </w:tr>
      <w:tr>
        <w:trPr>
          <w:trHeight w:val="1337" w:hRule="exact"/>
        </w:trPr>
        <w:tc>
          <w:tcPr>
            <w:tcW w:w="797"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41"/>
              <w:jc w:val="both"/>
              <w:rPr>
                <w:rFonts w:ascii="宋体" w:hAnsi="宋体" w:cs="宋体" w:eastAsia="宋体" w:hint="default"/>
                <w:sz w:val="18"/>
                <w:szCs w:val="18"/>
              </w:rPr>
            </w:pPr>
            <w:r>
              <w:rPr>
                <w:rFonts w:ascii="宋体" w:hAnsi="宋体" w:cs="宋体" w:eastAsia="宋体" w:hint="default"/>
                <w:sz w:val="18"/>
                <w:szCs w:val="18"/>
              </w:rPr>
              <w:t>泰瑞数创 科技（北 京）有限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37,826,29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3,498,008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2,802,767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44,127,07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1.68</w:t>
            </w:r>
          </w:p>
        </w:tc>
        <w:tc>
          <w:tcPr>
            <w:tcW w:w="797"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79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44,289,50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3.40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6,733,939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2,802,767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53,826,21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0.52</w:t>
            </w:r>
          </w:p>
        </w:tc>
        <w:tc>
          <w:tcPr>
            <w:tcW w:w="797" w:type="dxa"/>
            <w:tcBorders>
              <w:top w:val="single" w:sz="4" w:space="0" w:color="000000"/>
              <w:left w:val="single" w:sz="4" w:space="0" w:color="000000"/>
              <w:bottom w:val="single" w:sz="4" w:space="0" w:color="000000"/>
              <w:right w:val="single" w:sz="12" w:space="0" w:color="000000"/>
            </w:tcBorders>
          </w:tcPr>
          <w:p>
            <w:pPr/>
          </w:p>
        </w:tc>
      </w:tr>
      <w:tr>
        <w:trPr>
          <w:trHeight w:val="722" w:hRule="exact"/>
        </w:trPr>
        <w:tc>
          <w:tcPr>
            <w:tcW w:w="79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95,841,90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1.94</w:t>
            </w:r>
          </w:p>
        </w:tc>
        <w:tc>
          <w:tcPr>
            <w:tcW w:w="797" w:type="dxa"/>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4" w:space="0" w:color="000000"/>
            </w:tcBorders>
          </w:tcPr>
          <w:p>
            <w:pP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9,293,385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12" w:space="0" w:color="000000"/>
              <w:right w:val="single" w:sz="4" w:space="0" w:color="000000"/>
            </w:tcBorders>
          </w:tcPr>
          <w:p>
            <w:pPr/>
          </w:p>
        </w:tc>
        <w:tc>
          <w:tcPr>
            <w:tcW w:w="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2,802,767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12" w:space="0" w:color="000000"/>
              <w:right w:val="single" w:sz="4" w:space="0" w:color="000000"/>
            </w:tcBorders>
          </w:tcPr>
          <w:p>
            <w:pPr/>
          </w:p>
        </w:tc>
        <w:tc>
          <w:tcPr>
            <w:tcW w:w="799" w:type="dxa"/>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4" w:space="0" w:color="000000"/>
            </w:tcBorders>
          </w:tcPr>
          <w:p>
            <w:pP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107,938,0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54.11</w:t>
            </w:r>
          </w:p>
        </w:tc>
        <w:tc>
          <w:tcPr>
            <w:tcW w:w="797"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11、其他权益工具投资" w:id="247"/>
      <w:bookmarkEnd w:id="247"/>
      <w:r>
        <w:rPr>
          <w:b w:val="0"/>
          <w:bCs w:val="0"/>
        </w:rPr>
      </w:r>
      <w:r>
        <w:rPr>
          <w:rFonts w:ascii="Times New Roman" w:hAnsi="Times New Roman" w:cs="Times New Roman" w:eastAsia="Times New Roman" w:hint="default"/>
        </w:rPr>
        <w:t>11</w:t>
      </w:r>
      <w:r>
        <w:rPr/>
        <w:t>、其他权益工具投资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230"/>
        <w:gridCol w:w="3233"/>
        <w:gridCol w:w="3226"/>
      </w:tblGrid>
      <w:tr>
        <w:trPr>
          <w:trHeight w:val="406" w:hRule="exact"/>
        </w:trPr>
        <w:tc>
          <w:tcPr>
            <w:tcW w:w="3230"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34"/>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26"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34"/>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413" w:hRule="exact"/>
        </w:trPr>
        <w:tc>
          <w:tcPr>
            <w:tcW w:w="323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河南开云信息技术有限公司</w:t>
            </w:r>
          </w:p>
        </w:tc>
        <w:tc>
          <w:tcPr>
            <w:tcW w:w="32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5,000,001.00</w:t>
            </w:r>
          </w:p>
        </w:tc>
        <w:tc>
          <w:tcPr>
            <w:tcW w:w="323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5,000,001.00</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郑州易度传感技术有限公司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390,000.00</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河南华夏海纳创业投资集团有限公司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3231" w:type="dxa"/>
            <w:tcBorders>
              <w:top w:val="single" w:sz="4" w:space="0" w:color="000000"/>
              <w:left w:val="single" w:sz="12" w:space="0" w:color="000000"/>
              <w:bottom w:val="single" w:sz="4" w:space="0" w:color="000000"/>
              <w:right w:val="single" w:sz="13" w:space="0" w:color="FFFFFF"/>
            </w:tcBorders>
          </w:tcPr>
          <w:p>
            <w:pPr>
              <w:pStyle w:val="TableParagraph"/>
              <w:spacing w:line="240" w:lineRule="auto" w:before="49"/>
              <w:ind w:left="14" w:right="-55"/>
              <w:jc w:val="left"/>
              <w:rPr>
                <w:rFonts w:ascii="宋体" w:hAnsi="宋体" w:cs="宋体" w:eastAsia="宋体" w:hint="default"/>
                <w:sz w:val="18"/>
                <w:szCs w:val="18"/>
              </w:rPr>
            </w:pPr>
            <w:r>
              <w:rPr>
                <w:rFonts w:ascii="宋体" w:hAnsi="宋体" w:cs="宋体" w:eastAsia="宋体" w:hint="default"/>
                <w:sz w:val="18"/>
                <w:szCs w:val="18"/>
              </w:rPr>
              <w:t>国仪投资（深圳）合伙企业（有限合伙）</w:t>
            </w:r>
          </w:p>
        </w:tc>
        <w:tc>
          <w:tcPr>
            <w:tcW w:w="323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河南汉威粮安科技有限公司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510,000.00</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上海芯物科技有限公司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上海戴维蓝普传感技术有限公司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徐州旭海光电科技有限公司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23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中水智慧水务科技（北京）有限公司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233" w:type="dxa"/>
            <w:tcBorders>
              <w:top w:val="single" w:sz="4" w:space="0" w:color="000000"/>
              <w:left w:val="single" w:sz="4" w:space="0" w:color="000000"/>
              <w:bottom w:val="single" w:sz="4" w:space="0" w:color="000000"/>
              <w:right w:val="single" w:sz="12" w:space="0" w:color="000000"/>
            </w:tcBorders>
          </w:tcPr>
          <w:p>
            <w:pPr/>
          </w:p>
        </w:tc>
      </w:tr>
      <w:tr>
        <w:trPr>
          <w:trHeight w:val="411"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48,100,001.00</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38,100,001.00</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12、投资性房地产" w:id="248"/>
      <w:bookmarkEnd w:id="248"/>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49"/>
      <w:bookmarkEnd w:id="24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50"/>
        <w:gridCol w:w="1699"/>
        <w:gridCol w:w="1560"/>
        <w:gridCol w:w="1561"/>
        <w:gridCol w:w="1728"/>
      </w:tblGrid>
      <w:tr>
        <w:trPr>
          <w:trHeight w:val="412" w:hRule="exact"/>
        </w:trPr>
        <w:tc>
          <w:tcPr>
            <w:tcW w:w="315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69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6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2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99"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223,666,169.92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223,666,169.92</w:t>
            </w:r>
          </w:p>
        </w:tc>
      </w:tr>
      <w:tr>
        <w:trPr>
          <w:trHeight w:val="403"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117,744,577.62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117,744,577.62</w:t>
            </w:r>
          </w:p>
        </w:tc>
      </w:tr>
      <w:tr>
        <w:trPr>
          <w:trHeight w:val="401"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699"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6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117,744,577.62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117,744,577.62</w:t>
            </w:r>
          </w:p>
        </w:tc>
      </w:tr>
      <w:tr>
        <w:trPr>
          <w:trHeight w:val="401"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699"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11,698,497.92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11,698,497.92</w:t>
            </w:r>
          </w:p>
        </w:tc>
      </w:tr>
      <w:tr>
        <w:trPr>
          <w:trHeight w:val="401"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99"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699" w:type="dxa"/>
            <w:tcBorders>
              <w:top w:val="single" w:sz="4" w:space="0" w:color="000000"/>
              <w:left w:val="single" w:sz="9" w:space="0" w:color="D2D2D2"/>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15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）转固定资产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11,698,497.92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11,698,497.92</w:t>
            </w:r>
          </w:p>
        </w:tc>
      </w:tr>
      <w:tr>
        <w:trPr>
          <w:trHeight w:val="404" w:hRule="exact"/>
        </w:trPr>
        <w:tc>
          <w:tcPr>
            <w:tcW w:w="315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329,712,249.62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329,712,249.62</w:t>
            </w:r>
          </w:p>
        </w:tc>
      </w:tr>
      <w:tr>
        <w:trPr>
          <w:trHeight w:val="401" w:hRule="exact"/>
        </w:trPr>
        <w:tc>
          <w:tcPr>
            <w:tcW w:w="315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5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38,965,673.48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38,965,673.48</w:t>
            </w:r>
          </w:p>
        </w:tc>
      </w:tr>
      <w:tr>
        <w:trPr>
          <w:trHeight w:val="401" w:hRule="exact"/>
        </w:trPr>
        <w:tc>
          <w:tcPr>
            <w:tcW w:w="315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18,188,290.41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18,188,290.41</w:t>
            </w:r>
          </w:p>
        </w:tc>
      </w:tr>
      <w:tr>
        <w:trPr>
          <w:trHeight w:val="403" w:hRule="exact"/>
        </w:trPr>
        <w:tc>
          <w:tcPr>
            <w:tcW w:w="315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10,255,735.38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10,255,735.38</w:t>
            </w:r>
          </w:p>
        </w:tc>
      </w:tr>
      <w:tr>
        <w:trPr>
          <w:trHeight w:val="401" w:hRule="exact"/>
        </w:trPr>
        <w:tc>
          <w:tcPr>
            <w:tcW w:w="315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7,932,555.03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7,932,555.03</w:t>
            </w:r>
          </w:p>
        </w:tc>
      </w:tr>
      <w:tr>
        <w:trPr>
          <w:trHeight w:val="410" w:hRule="exact"/>
        </w:trPr>
        <w:tc>
          <w:tcPr>
            <w:tcW w:w="3150"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49"/>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3,011,053.76</w:t>
            </w:r>
          </w:p>
        </w:tc>
        <w:tc>
          <w:tcPr>
            <w:tcW w:w="1560" w:type="dxa"/>
            <w:tcBorders>
              <w:top w:val="single" w:sz="4" w:space="0" w:color="000000"/>
              <w:left w:val="single" w:sz="4" w:space="0" w:color="000000"/>
              <w:bottom w:val="single" w:sz="12" w:space="0" w:color="000000"/>
              <w:right w:val="single" w:sz="4" w:space="0" w:color="000000"/>
            </w:tcBorders>
          </w:tcPr>
          <w:p>
            <w:pPr/>
          </w:p>
        </w:tc>
        <w:tc>
          <w:tcPr>
            <w:tcW w:w="1561" w:type="dxa"/>
            <w:tcBorders>
              <w:top w:val="single" w:sz="4" w:space="0" w:color="000000"/>
              <w:left w:val="single" w:sz="4" w:space="0" w:color="000000"/>
              <w:bottom w:val="single" w:sz="12" w:space="0" w:color="000000"/>
              <w:right w:val="single" w:sz="4" w:space="0" w:color="000000"/>
            </w:tcBorders>
          </w:tcPr>
          <w:p>
            <w:pPr/>
          </w:p>
        </w:tc>
        <w:tc>
          <w:tcPr>
            <w:tcW w:w="172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3,011,053.76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3149"/>
        <w:gridCol w:w="1699"/>
        <w:gridCol w:w="1560"/>
        <w:gridCol w:w="1561"/>
        <w:gridCol w:w="1728"/>
      </w:tblGrid>
      <w:tr>
        <w:trPr>
          <w:trHeight w:val="413" w:hRule="exact"/>
        </w:trPr>
        <w:tc>
          <w:tcPr>
            <w:tcW w:w="3149"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99" w:type="dxa"/>
            <w:tcBorders>
              <w:top w:val="single" w:sz="12" w:space="0" w:color="000000"/>
              <w:left w:val="single" w:sz="4" w:space="0" w:color="000000"/>
              <w:bottom w:val="single" w:sz="4" w:space="0" w:color="000000"/>
              <w:right w:val="single" w:sz="4" w:space="0" w:color="000000"/>
            </w:tcBorders>
          </w:tcPr>
          <w:p>
            <w:pPr/>
          </w:p>
        </w:tc>
        <w:tc>
          <w:tcPr>
            <w:tcW w:w="1560" w:type="dxa"/>
            <w:tcBorders>
              <w:top w:val="single" w:sz="12" w:space="0" w:color="000000"/>
              <w:left w:val="single" w:sz="4" w:space="0" w:color="000000"/>
              <w:bottom w:val="single" w:sz="4" w:space="0" w:color="000000"/>
              <w:right w:val="single" w:sz="4" w:space="0" w:color="000000"/>
            </w:tcBorders>
          </w:tcPr>
          <w:p>
            <w:pPr/>
          </w:p>
        </w:tc>
        <w:tc>
          <w:tcPr>
            <w:tcW w:w="1561" w:type="dxa"/>
            <w:tcBorders>
              <w:top w:val="single" w:sz="12" w:space="0" w:color="000000"/>
              <w:left w:val="single" w:sz="4" w:space="0" w:color="000000"/>
              <w:bottom w:val="single" w:sz="4" w:space="0" w:color="000000"/>
              <w:right w:val="single" w:sz="4" w:space="0" w:color="000000"/>
            </w:tcBorders>
          </w:tcPr>
          <w:p>
            <w:pPr/>
          </w:p>
        </w:tc>
        <w:tc>
          <w:tcPr>
            <w:tcW w:w="1728"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31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4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）转入固定资产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3,011,053.76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3,011,053.76</w:t>
            </w:r>
          </w:p>
        </w:tc>
      </w:tr>
      <w:tr>
        <w:trPr>
          <w:trHeight w:val="401" w:hRule="exact"/>
        </w:trPr>
        <w:tc>
          <w:tcPr>
            <w:tcW w:w="31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54,142,910.13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54,142,910.13</w:t>
            </w:r>
          </w:p>
        </w:tc>
      </w:tr>
      <w:tr>
        <w:trPr>
          <w:trHeight w:val="403" w:hRule="exact"/>
        </w:trPr>
        <w:tc>
          <w:tcPr>
            <w:tcW w:w="31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1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1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1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1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14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275,569,339.49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7"/>
              <w:ind w:right="11"/>
              <w:jc w:val="right"/>
              <w:rPr>
                <w:rFonts w:ascii="Times New Roman" w:hAnsi="Times New Roman" w:cs="Times New Roman" w:eastAsia="Times New Roman" w:hint="default"/>
                <w:sz w:val="12"/>
                <w:szCs w:val="12"/>
              </w:rPr>
            </w:pPr>
            <w:r>
              <w:rPr>
                <w:rFonts w:ascii="Times New Roman"/>
                <w:spacing w:val="-1"/>
                <w:sz w:val="18"/>
              </w:rPr>
              <w:t>275,569,339.49</w:t>
            </w:r>
            <w:r>
              <w:rPr>
                <w:rFonts w:ascii="Times New Roman"/>
                <w:color w:val="FF0000"/>
                <w:spacing w:val="-1"/>
                <w:position w:val="8"/>
                <w:sz w:val="12"/>
              </w:rPr>
              <w:t>1</w:t>
            </w:r>
            <w:r>
              <w:rPr>
                <w:rFonts w:ascii="Times New Roman"/>
                <w:spacing w:val="-1"/>
                <w:sz w:val="12"/>
              </w:rPr>
            </w:r>
          </w:p>
        </w:tc>
      </w:tr>
      <w:tr>
        <w:trPr>
          <w:trHeight w:val="410" w:hRule="exact"/>
        </w:trPr>
        <w:tc>
          <w:tcPr>
            <w:tcW w:w="314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184,700,496.44</w:t>
            </w:r>
          </w:p>
        </w:tc>
        <w:tc>
          <w:tcPr>
            <w:tcW w:w="1560" w:type="dxa"/>
            <w:tcBorders>
              <w:top w:val="single" w:sz="4" w:space="0" w:color="000000"/>
              <w:left w:val="single" w:sz="4" w:space="0" w:color="000000"/>
              <w:bottom w:val="single" w:sz="12" w:space="0" w:color="000000"/>
              <w:right w:val="single" w:sz="4" w:space="0" w:color="000000"/>
            </w:tcBorders>
          </w:tcPr>
          <w:p>
            <w:pPr/>
          </w:p>
        </w:tc>
        <w:tc>
          <w:tcPr>
            <w:tcW w:w="1561" w:type="dxa"/>
            <w:tcBorders>
              <w:top w:val="single" w:sz="4" w:space="0" w:color="000000"/>
              <w:left w:val="single" w:sz="4" w:space="0" w:color="000000"/>
              <w:bottom w:val="single" w:sz="12" w:space="0" w:color="000000"/>
              <w:right w:val="single" w:sz="4" w:space="0" w:color="000000"/>
            </w:tcBorders>
          </w:tcPr>
          <w:p>
            <w:pPr/>
          </w:p>
        </w:tc>
        <w:tc>
          <w:tcPr>
            <w:tcW w:w="172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184,700,496.44</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投资性房地产较年初增加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49.20%</w:t>
      </w:r>
      <w:r>
        <w:rPr>
          <w:rFonts w:ascii="宋体" w:hAnsi="宋体" w:cs="宋体" w:eastAsia="宋体" w:hint="default"/>
          <w:sz w:val="18"/>
          <w:szCs w:val="18"/>
        </w:rPr>
        <w:t>，主要系报告期内固定资产转入投资性房地产所致。</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未办妥产权证书的投资性房地产情况" w:id="250"/>
      <w:bookmarkEnd w:id="250"/>
      <w:r>
        <w:rPr>
          <w:b w:val="0"/>
          <w:bCs w:val="0"/>
        </w:rPr>
      </w:r>
      <w:r>
        <w:rPr/>
        <w:t>（</w:t>
      </w:r>
      <w:r>
        <w:rPr>
          <w:rFonts w:ascii="Times New Roman" w:hAnsi="Times New Roman" w:cs="Times New Roman" w:eastAsia="Times New Roman" w:hint="default"/>
        </w:rPr>
        <w:t>2</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801"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河南物联网科技产业园</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152,764,614.76</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嘉园环保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厂房</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16,084,034.46</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百隆工程办公楼</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8,279,772.22</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13、固定资产" w:id="251"/>
      <w:bookmarkEnd w:id="251"/>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4"/>
        <w:gridCol w:w="3233"/>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888,345,459.02</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857,714,936.00</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888,345,459.02</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857,714,936.00</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1）固定资产情况" w:id="252"/>
      <w:bookmarkEnd w:id="25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1384"/>
        <w:gridCol w:w="1388"/>
        <w:gridCol w:w="1385"/>
        <w:gridCol w:w="1385"/>
        <w:gridCol w:w="1385"/>
        <w:gridCol w:w="1385"/>
        <w:gridCol w:w="1385"/>
      </w:tblGrid>
      <w:tr>
        <w:trPr>
          <w:trHeight w:val="406" w:hRule="exact"/>
        </w:trPr>
        <w:tc>
          <w:tcPr>
            <w:tcW w:w="1384"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3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38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4"/>
              <w:ind w:left="23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85"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4"/>
              <w:ind w:left="32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85"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4"/>
              <w:ind w:left="3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85"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4"/>
              <w:ind w:left="328" w:right="0"/>
              <w:jc w:val="left"/>
              <w:rPr>
                <w:rFonts w:ascii="宋体" w:hAnsi="宋体" w:cs="宋体" w:eastAsia="宋体" w:hint="default"/>
                <w:sz w:val="18"/>
                <w:szCs w:val="18"/>
              </w:rPr>
            </w:pPr>
            <w:r>
              <w:rPr>
                <w:rFonts w:ascii="宋体" w:hAnsi="宋体" w:cs="宋体" w:eastAsia="宋体" w:hint="default"/>
                <w:sz w:val="18"/>
                <w:szCs w:val="18"/>
              </w:rPr>
              <w:t>管道沟槽</w:t>
            </w:r>
          </w:p>
        </w:tc>
        <w:tc>
          <w:tcPr>
            <w:tcW w:w="1385"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4"/>
              <w:ind w:left="32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85"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34"/>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384"/>
        <w:gridCol w:w="1388"/>
        <w:gridCol w:w="1385"/>
        <w:gridCol w:w="1385"/>
        <w:gridCol w:w="1385"/>
        <w:gridCol w:w="1385"/>
        <w:gridCol w:w="1385"/>
      </w:tblGrid>
      <w:tr>
        <w:trPr>
          <w:trHeight w:val="413" w:hRule="exact"/>
        </w:trPr>
        <w:tc>
          <w:tcPr>
            <w:tcW w:w="138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88"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417,744,254.62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127,207,376.07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26,115,815.85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478,823,463.10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52,669,730.07</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1,102,560,639.71</w:t>
            </w:r>
          </w:p>
        </w:tc>
      </w:tr>
      <w:tr>
        <w:trPr>
          <w:trHeight w:val="715"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64,118,149.67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49,240,604.02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947,617.55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100,414,864.54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2,582,315.38</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217,303,551.16</w:t>
            </w: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5,475,916.57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11,560,689.47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843,258.76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451,328.79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2,432,121.35</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20,763,314.94</w:t>
            </w:r>
          </w:p>
        </w:tc>
      </w:tr>
      <w:tr>
        <w:trPr>
          <w:trHeight w:val="715"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17" w:firstLine="35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46,943,735.18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36,378,732.92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99,963,535.75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183,286,003.85</w:t>
            </w: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17" w:firstLine="35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1,301,181.63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104,358.79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150,194.03</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1,555,734.45</w:t>
            </w:r>
          </w:p>
        </w:tc>
      </w:tr>
      <w:tr>
        <w:trPr>
          <w:trHeight w:val="716"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86" w:firstLine="6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）投 资性房地产转入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11,698,497.92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11,698,497.92</w:t>
            </w: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112,822,664.50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1,738,550.58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1,557,902.28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617,606.14</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116,736,723.50</w:t>
            </w:r>
          </w:p>
        </w:tc>
      </w:tr>
      <w:tr>
        <w:trPr>
          <w:trHeight w:val="715"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17" w:firstLine="35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1,738,550.58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1,557,902.28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617,606.14</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3,914,059.00</w:t>
            </w: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17" w:firstLine="54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）转入</w:t>
            </w:r>
            <w:r>
              <w:rPr>
                <w:rFonts w:ascii="宋体" w:hAnsi="宋体" w:cs="宋体" w:eastAsia="宋体" w:hint="default"/>
                <w:sz w:val="18"/>
                <w:szCs w:val="18"/>
              </w:rPr>
              <w:t> 投资性房地产</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112,822,664.50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112,822,664.50</w:t>
            </w: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369,039,739.79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174,709,429.51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25,505,531.12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579,238,327.64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54,634,439.31</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1,203,127,467.37</w:t>
            </w: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70,015,943.70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34,196,917.39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14,149,356.14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91,369,001.18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35,114,485.30</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244,845,703.71</w:t>
            </w: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19,595,157.71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17,585,638.10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2,549,100.71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33,571,152.99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7,562,286.60</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80,863,336.11</w:t>
            </w: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16,584,103.95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17,067,405.98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2,444,741.92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33,571,152.99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7,423,234.43</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77,090,639.27</w:t>
            </w: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）合并</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518,232.12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104,358.79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139,052.17</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761,643.08</w:t>
            </w:r>
          </w:p>
        </w:tc>
      </w:tr>
      <w:tr>
        <w:trPr>
          <w:trHeight w:val="715"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17" w:firstLine="54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）投资</w:t>
            </w:r>
            <w:r>
              <w:rPr>
                <w:rFonts w:ascii="宋体" w:hAnsi="宋体" w:cs="宋体" w:eastAsia="宋体" w:hint="default"/>
                <w:sz w:val="18"/>
                <w:szCs w:val="18"/>
              </w:rPr>
              <w:t> 性房地产转入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3,011,053.76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3,011,053.76</w:t>
            </w: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7,932,555.03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1,108,582.97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1,377,398.06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508,495.41</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10,927,031.47</w:t>
            </w:r>
          </w:p>
        </w:tc>
      </w:tr>
      <w:tr>
        <w:trPr>
          <w:trHeight w:val="716"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17" w:firstLine="35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1,108,582.97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1,377,398.06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508,495.41</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2,994,476.44</w:t>
            </w: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86" w:firstLine="6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 投资性房地产</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7,932,555.03</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7,932,555.03</w:t>
            </w: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81,678,546.38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50,673,972.52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15,321,058.79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124,940,154.17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42,168,276.49</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314,782,008.35</w:t>
            </w: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138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8"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384"/>
        <w:gridCol w:w="1388"/>
        <w:gridCol w:w="1385"/>
        <w:gridCol w:w="1385"/>
        <w:gridCol w:w="1385"/>
        <w:gridCol w:w="1385"/>
        <w:gridCol w:w="1385"/>
      </w:tblGrid>
      <w:tr>
        <w:trPr>
          <w:trHeight w:val="725" w:hRule="exact"/>
        </w:trPr>
        <w:tc>
          <w:tcPr>
            <w:tcW w:w="138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88"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17" w:firstLine="35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287,361,193.41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124,035,456.99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10,184,472.33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454,298,173.47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12,466,162.82</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888,345,459.02</w:t>
            </w:r>
          </w:p>
        </w:tc>
      </w:tr>
      <w:tr>
        <w:trPr>
          <w:trHeight w:val="722" w:hRule="exact"/>
        </w:trPr>
        <w:tc>
          <w:tcPr>
            <w:tcW w:w="138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347,728,310.92</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93,010,458.68</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11,966,459.71</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387,454,461.92</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17,555,244.77</w:t>
            </w: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857,714,936.00</w:t>
            </w: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0"/>
        <w:jc w:val="left"/>
        <w:rPr>
          <w:b w:val="0"/>
          <w:bCs w:val="0"/>
        </w:rPr>
      </w:pPr>
      <w:bookmarkStart w:name="14、在建工程" w:id="253"/>
      <w:bookmarkEnd w:id="253"/>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4"/>
        <w:gridCol w:w="3233"/>
      </w:tblGrid>
      <w:tr>
        <w:trPr>
          <w:trHeight w:val="409"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368,089,906.23</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225,049,799.70</w:t>
            </w:r>
          </w:p>
        </w:tc>
      </w:tr>
      <w:tr>
        <w:trPr>
          <w:trHeight w:val="411"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pacing w:val="-1"/>
                <w:sz w:val="18"/>
              </w:rPr>
              <w:t>368,089,906.23</w:t>
            </w:r>
            <w:r>
              <w:rPr>
                <w:rFonts w:ascii="Times New Roman"/>
                <w:color w:val="FF0000"/>
                <w:spacing w:val="-1"/>
                <w:position w:val="8"/>
                <w:sz w:val="12"/>
              </w:rPr>
              <w:t>1</w:t>
            </w:r>
            <w:r>
              <w:rPr>
                <w:rFonts w:ascii="Times New Roman"/>
                <w:spacing w:val="-1"/>
                <w:sz w:val="12"/>
              </w:rPr>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225,049,799.70</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在建工程较年初增加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63.56%</w:t>
      </w:r>
      <w:r>
        <w:rPr>
          <w:rFonts w:ascii="宋体" w:hAnsi="宋体" w:cs="宋体" w:eastAsia="宋体" w:hint="default"/>
          <w:sz w:val="18"/>
          <w:szCs w:val="18"/>
        </w:rPr>
        <w:t>，主要系报告期投资建设管网等长期资产所致。</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1）在建工程情况" w:id="254"/>
      <w:bookmarkEnd w:id="25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388"/>
        <w:gridCol w:w="1388"/>
        <w:gridCol w:w="1385"/>
        <w:gridCol w:w="1385"/>
        <w:gridCol w:w="1382"/>
        <w:gridCol w:w="1385"/>
        <w:gridCol w:w="1385"/>
      </w:tblGrid>
      <w:tr>
        <w:trPr>
          <w:trHeight w:val="398" w:hRule="exact"/>
        </w:trPr>
        <w:tc>
          <w:tcPr>
            <w:tcW w:w="1388"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158"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53"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88" w:type="dxa"/>
            <w:vMerge/>
            <w:tcBorders>
              <w:left w:val="single" w:sz="12" w:space="0" w:color="000000"/>
              <w:bottom w:val="single" w:sz="4" w:space="0" w:color="000000"/>
              <w:right w:val="single" w:sz="4" w:space="0" w:color="000000"/>
            </w:tcBorders>
            <w:shd w:val="clear" w:color="auto" w:fill="D2D2D2"/>
          </w:tcPr>
          <w:p>
            <w:pP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5"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管网及配套</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274,472,788.92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274,472,788.92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153,720,378.29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153,720,378.29</w:t>
            </w:r>
          </w:p>
        </w:tc>
      </w:tr>
      <w:tr>
        <w:trPr>
          <w:trHeight w:val="713"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93"/>
              <w:jc w:val="left"/>
              <w:rPr>
                <w:rFonts w:ascii="宋体" w:hAnsi="宋体" w:cs="宋体" w:eastAsia="宋体" w:hint="default"/>
                <w:sz w:val="18"/>
                <w:szCs w:val="18"/>
              </w:rPr>
            </w:pPr>
            <w:r>
              <w:rPr>
                <w:rFonts w:ascii="宋体" w:hAnsi="宋体" w:cs="宋体" w:eastAsia="宋体" w:hint="default"/>
                <w:sz w:val="18"/>
                <w:szCs w:val="18"/>
              </w:rPr>
              <w:t>物联网产业园三 期</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42,773,143.49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42,773,143.49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2,034,828.22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2,034,828.22</w:t>
            </w:r>
          </w:p>
        </w:tc>
      </w:tr>
      <w:tr>
        <w:trPr>
          <w:trHeight w:val="403"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上海房屋装修</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11,540,798.55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11,540,798.55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4,768,585.79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4,768,585.79</w:t>
            </w:r>
          </w:p>
        </w:tc>
      </w:tr>
      <w:tr>
        <w:trPr>
          <w:trHeight w:val="1025"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93"/>
              <w:jc w:val="both"/>
              <w:rPr>
                <w:rFonts w:ascii="宋体" w:hAnsi="宋体" w:cs="宋体" w:eastAsia="宋体" w:hint="default"/>
                <w:sz w:val="18"/>
                <w:szCs w:val="18"/>
              </w:rPr>
            </w:pPr>
            <w:r>
              <w:rPr>
                <w:rFonts w:ascii="宋体" w:hAnsi="宋体" w:cs="宋体" w:eastAsia="宋体" w:hint="default"/>
                <w:sz w:val="18"/>
                <w:szCs w:val="18"/>
              </w:rPr>
              <w:t>郑州高新梧桐水 务有限公司水厂 二期改造工程</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9,852,466.39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9,852,466.39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6,639,501.18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6,639,501.18</w:t>
            </w:r>
          </w:p>
        </w:tc>
      </w:tr>
      <w:tr>
        <w:trPr>
          <w:trHeight w:val="403"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智慧水务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9,009,973.05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9,009,973.05</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722" w:hRule="exact"/>
        </w:trPr>
        <w:tc>
          <w:tcPr>
            <w:tcW w:w="1388" w:type="dxa"/>
            <w:tcBorders>
              <w:top w:val="single" w:sz="4" w:space="0" w:color="000000"/>
              <w:left w:val="single" w:sz="12" w:space="0" w:color="000000"/>
              <w:bottom w:val="single" w:sz="12" w:space="0" w:color="000000"/>
              <w:right w:val="single" w:sz="4" w:space="0" w:color="000000"/>
            </w:tcBorders>
          </w:tcPr>
          <w:p>
            <w:pPr>
              <w:pStyle w:val="TableParagraph"/>
              <w:spacing w:line="314" w:lineRule="auto" w:before="49"/>
              <w:ind w:left="14" w:right="93"/>
              <w:jc w:val="left"/>
              <w:rPr>
                <w:rFonts w:ascii="宋体" w:hAnsi="宋体" w:cs="宋体" w:eastAsia="宋体" w:hint="default"/>
                <w:sz w:val="18"/>
                <w:szCs w:val="18"/>
              </w:rPr>
            </w:pPr>
            <w:r>
              <w:rPr>
                <w:rFonts w:ascii="宋体" w:hAnsi="宋体" w:cs="宋体" w:eastAsia="宋体" w:hint="default"/>
                <w:sz w:val="18"/>
                <w:szCs w:val="18"/>
              </w:rPr>
              <w:t>嘉园环保厂房建 设</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5,933,558.12</w:t>
            </w: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5,933,558.12</w:t>
            </w: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5,614,755.75</w:t>
            </w: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5,614,755.75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124.940002pt;margin-top:73.559982pt;width:68.95pt;height:27.95pt;mso-position-horizontal-relative:page;mso-position-vertical-relative:page;z-index:-1121176" coordorigin="2499,1471" coordsize="1379,559">
            <v:group style="position:absolute;left:2499;top:1471;width:1379;height:154" coordorigin="2499,1471" coordsize="1379,154">
              <v:shape style="position:absolute;left:2499;top:1471;width:1379;height:154" coordorigin="2499,1471" coordsize="1379,154" path="m2499,1625l3877,1625,3877,1471,2499,1471,2499,1625xe" filled="true" fillcolor="#ffffff" stroked="false">
                <v:path arrowok="t"/>
                <v:fill type="solid"/>
              </v:shape>
            </v:group>
            <v:group style="position:absolute;left:2510;top:1625;width:2;height:395" coordorigin="2510,1625" coordsize="2,395">
              <v:shape style="position:absolute;left:2510;top:1625;width:2;height:395" coordorigin="2510,1625" coordsize="0,395" path="m2510,1625l2510,2019e" filled="false" stroked="true" strokeweight="1.08pt" strokecolor="#ffffff">
                <v:path arrowok="t"/>
              </v:shape>
            </v:group>
            <v:group style="position:absolute;left:2520;top:1625;width:1333;height:395" coordorigin="2520,1625" coordsize="1333,395">
              <v:shape style="position:absolute;left:2520;top:1625;width:1333;height:395" coordorigin="2520,1625" coordsize="1333,395" path="m2520,2019l3853,2019,3853,1625,2520,1625,2520,2019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388"/>
        <w:gridCol w:w="239"/>
        <w:gridCol w:w="1149"/>
        <w:gridCol w:w="1385"/>
        <w:gridCol w:w="1385"/>
        <w:gridCol w:w="1382"/>
        <w:gridCol w:w="1385"/>
        <w:gridCol w:w="1385"/>
      </w:tblGrid>
      <w:tr>
        <w:trPr>
          <w:trHeight w:val="725" w:hRule="exact"/>
        </w:trPr>
        <w:tc>
          <w:tcPr>
            <w:tcW w:w="1388" w:type="dxa"/>
            <w:tcBorders>
              <w:top w:val="single" w:sz="12" w:space="0" w:color="000000"/>
              <w:left w:val="single" w:sz="12" w:space="0" w:color="000000"/>
              <w:bottom w:val="single" w:sz="4" w:space="0" w:color="000000"/>
              <w:right w:val="single" w:sz="4" w:space="0" w:color="000000"/>
            </w:tcBorders>
          </w:tcPr>
          <w:p>
            <w:pPr>
              <w:pStyle w:val="TableParagraph"/>
              <w:spacing w:line="316" w:lineRule="auto" w:before="51"/>
              <w:ind w:left="14" w:right="111"/>
              <w:jc w:val="left"/>
              <w:rPr>
                <w:rFonts w:ascii="宋体" w:hAnsi="宋体" w:cs="宋体" w:eastAsia="宋体" w:hint="default"/>
                <w:sz w:val="18"/>
                <w:szCs w:val="18"/>
              </w:rPr>
            </w:pPr>
            <w:r>
              <w:rPr>
                <w:rFonts w:ascii="宋体" w:hAnsi="宋体" w:cs="宋体" w:eastAsia="宋体" w:hint="default"/>
                <w:spacing w:val="-3"/>
                <w:sz w:val="18"/>
                <w:szCs w:val="18"/>
              </w:rPr>
              <w:t>智慧热力（三期</w:t>
            </w:r>
            <w:r>
              <w:rPr>
                <w:rFonts w:ascii="宋体" w:hAnsi="宋体" w:cs="宋体" w:eastAsia="宋体" w:hint="default"/>
                <w:sz w:val="18"/>
                <w:szCs w:val="18"/>
              </w:rPr>
              <w:t> 项目</w:t>
            </w:r>
          </w:p>
        </w:tc>
        <w:tc>
          <w:tcPr>
            <w:tcW w:w="23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4,481,543.29</w:t>
            </w: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4,481,543.29</w:t>
            </w:r>
          </w:p>
        </w:tc>
        <w:tc>
          <w:tcPr>
            <w:tcW w:w="1382"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12" w:space="0" w:color="000000"/>
            </w:tcBorders>
          </w:tcPr>
          <w:p>
            <w:pPr/>
          </w:p>
        </w:tc>
      </w:tr>
      <w:tr>
        <w:trPr>
          <w:trHeight w:val="713"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93"/>
              <w:jc w:val="left"/>
              <w:rPr>
                <w:rFonts w:ascii="宋体" w:hAnsi="宋体" w:cs="宋体" w:eastAsia="宋体" w:hint="default"/>
                <w:sz w:val="18"/>
                <w:szCs w:val="18"/>
              </w:rPr>
            </w:pPr>
            <w:r>
              <w:rPr>
                <w:rFonts w:ascii="宋体" w:hAnsi="宋体" w:cs="宋体" w:eastAsia="宋体" w:hint="default"/>
                <w:sz w:val="18"/>
                <w:szCs w:val="18"/>
              </w:rPr>
              <w:t>供水应急抢险抢 修基地</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2,934,622.87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2,934,622.87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800,106.56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800,106.56</w:t>
            </w:r>
          </w:p>
        </w:tc>
      </w:tr>
      <w:tr>
        <w:trPr>
          <w:trHeight w:val="403"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汉威云平台</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0" w:right="0"/>
              <w:jc w:val="left"/>
              <w:rPr>
                <w:rFonts w:ascii="Times New Roman" w:hAnsi="Times New Roman" w:cs="Times New Roman" w:eastAsia="Times New Roman" w:hint="default"/>
                <w:sz w:val="18"/>
                <w:szCs w:val="18"/>
              </w:rPr>
            </w:pPr>
            <w:r>
              <w:rPr>
                <w:rFonts w:ascii="Times New Roman"/>
                <w:sz w:val="18"/>
              </w:rPr>
              <w:t>2,505,714.54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2,505,714.54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2,337,572.94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2,337,572.94</w:t>
            </w:r>
          </w:p>
        </w:tc>
      </w:tr>
      <w:tr>
        <w:trPr>
          <w:trHeight w:val="401"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智慧平台</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0" w:right="0"/>
              <w:jc w:val="left"/>
              <w:rPr>
                <w:rFonts w:ascii="Times New Roman" w:hAnsi="Times New Roman" w:cs="Times New Roman" w:eastAsia="Times New Roman" w:hint="default"/>
                <w:sz w:val="18"/>
                <w:szCs w:val="18"/>
              </w:rPr>
            </w:pPr>
            <w:r>
              <w:rPr>
                <w:rFonts w:ascii="Times New Roman"/>
                <w:sz w:val="18"/>
              </w:rPr>
              <w:t>1,425,850.52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1,425,850.52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910,251.81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910,251.81</w:t>
            </w:r>
          </w:p>
        </w:tc>
      </w:tr>
      <w:tr>
        <w:trPr>
          <w:trHeight w:val="715"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93"/>
              <w:jc w:val="left"/>
              <w:rPr>
                <w:rFonts w:ascii="宋体" w:hAnsi="宋体" w:cs="宋体" w:eastAsia="宋体" w:hint="default"/>
                <w:sz w:val="18"/>
                <w:szCs w:val="18"/>
              </w:rPr>
            </w:pPr>
            <w:r>
              <w:rPr>
                <w:rFonts w:ascii="宋体" w:hAnsi="宋体" w:cs="宋体" w:eastAsia="宋体" w:hint="default"/>
                <w:sz w:val="18"/>
                <w:szCs w:val="18"/>
              </w:rPr>
              <w:t>物联网产业园二 期</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30,871,292.80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30,871,292.80</w:t>
            </w:r>
          </w:p>
        </w:tc>
      </w:tr>
      <w:tr>
        <w:trPr>
          <w:trHeight w:val="713"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93"/>
              <w:jc w:val="left"/>
              <w:rPr>
                <w:rFonts w:ascii="宋体" w:hAnsi="宋体" w:cs="宋体" w:eastAsia="宋体" w:hint="default"/>
                <w:sz w:val="18"/>
                <w:szCs w:val="18"/>
              </w:rPr>
            </w:pPr>
            <w:r>
              <w:rPr>
                <w:rFonts w:ascii="宋体" w:hAnsi="宋体" w:cs="宋体" w:eastAsia="宋体" w:hint="default"/>
                <w:sz w:val="18"/>
                <w:szCs w:val="18"/>
              </w:rPr>
              <w:t>智慧供热二期建 设项目</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8,784,976.62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8,784,976.62</w:t>
            </w:r>
          </w:p>
        </w:tc>
      </w:tr>
      <w:tr>
        <w:trPr>
          <w:trHeight w:val="404"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388"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5,465,058.56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5,465,058.56</w:t>
            </w:r>
          </w:p>
        </w:tc>
      </w:tr>
      <w:tr>
        <w:trPr>
          <w:trHeight w:val="401" w:hRule="exact"/>
        </w:trPr>
        <w:tc>
          <w:tcPr>
            <w:tcW w:w="13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其他合计</w:t>
            </w:r>
          </w:p>
        </w:tc>
        <w:tc>
          <w:tcPr>
            <w:tcW w:w="1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0" w:right="0"/>
              <w:jc w:val="left"/>
              <w:rPr>
                <w:rFonts w:ascii="Times New Roman" w:hAnsi="Times New Roman" w:cs="Times New Roman" w:eastAsia="Times New Roman" w:hint="default"/>
                <w:sz w:val="18"/>
                <w:szCs w:val="18"/>
              </w:rPr>
            </w:pPr>
            <w:r>
              <w:rPr>
                <w:rFonts w:ascii="Times New Roman"/>
                <w:sz w:val="18"/>
              </w:rPr>
              <w:t>3,159,446.49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3,159,446.49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3,102,491.18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3,102,491.18</w:t>
            </w:r>
          </w:p>
        </w:tc>
      </w:tr>
      <w:tr>
        <w:trPr>
          <w:trHeight w:val="410" w:hRule="exact"/>
        </w:trPr>
        <w:tc>
          <w:tcPr>
            <w:tcW w:w="13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8"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368,089,906.23</w:t>
            </w: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368,089,906.23</w:t>
            </w: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225,049,799.70</w:t>
            </w: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225,049,799.70</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重要在建工程项目本期变动情况" w:id="255"/>
      <w:bookmarkEnd w:id="25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47" w:hRule="exact"/>
        </w:trPr>
        <w:tc>
          <w:tcPr>
            <w:tcW w:w="73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2"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3"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5" w:hRule="exact"/>
        </w:trPr>
        <w:tc>
          <w:tcPr>
            <w:tcW w:w="732"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51"/>
              <w:ind w:left="14" w:right="156"/>
              <w:jc w:val="left"/>
              <w:rPr>
                <w:rFonts w:ascii="宋体" w:hAnsi="宋体" w:cs="宋体" w:eastAsia="宋体" w:hint="default"/>
                <w:sz w:val="18"/>
                <w:szCs w:val="18"/>
              </w:rPr>
            </w:pPr>
            <w:r>
              <w:rPr>
                <w:rFonts w:ascii="宋体" w:hAnsi="宋体" w:cs="宋体" w:eastAsia="宋体" w:hint="default"/>
                <w:sz w:val="18"/>
                <w:szCs w:val="18"/>
              </w:rPr>
              <w:t>管网及 配套</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627,490,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153,720,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378.29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220,686,</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914.16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99,934,5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03.53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274,472,</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788.92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59.73%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60.00%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22" w:hRule="exact"/>
        </w:trPr>
        <w:tc>
          <w:tcPr>
            <w:tcW w:w="73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627,490,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153,720,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378.29</w:t>
            </w:r>
          </w:p>
        </w:tc>
        <w:tc>
          <w:tcPr>
            <w:tcW w:w="7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220,686,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914.16</w:t>
            </w:r>
          </w:p>
        </w:tc>
        <w:tc>
          <w:tcPr>
            <w:tcW w:w="7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99,934,5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03.53</w:t>
            </w:r>
          </w:p>
        </w:tc>
        <w:tc>
          <w:tcPr>
            <w:tcW w:w="734" w:type="dxa"/>
            <w:tcBorders>
              <w:top w:val="single" w:sz="4" w:space="0" w:color="000000"/>
              <w:left w:val="single" w:sz="4" w:space="0" w:color="000000"/>
              <w:bottom w:val="single" w:sz="12" w:space="0" w:color="000000"/>
              <w:right w:val="single" w:sz="4" w:space="0" w:color="000000"/>
            </w:tcBorders>
          </w:tcPr>
          <w:p>
            <w:pPr/>
          </w:p>
        </w:tc>
        <w:tc>
          <w:tcPr>
            <w:tcW w:w="7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274,472,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788.92</w:t>
            </w:r>
          </w:p>
        </w:tc>
        <w:tc>
          <w:tcPr>
            <w:tcW w:w="73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12" w:space="0" w:color="000000"/>
              <w:right w:val="single" w:sz="4" w:space="0" w:color="000000"/>
            </w:tcBorders>
          </w:tcPr>
          <w:p>
            <w:pPr/>
          </w:p>
        </w:tc>
        <w:tc>
          <w:tcPr>
            <w:tcW w:w="737" w:type="dxa"/>
            <w:tcBorders>
              <w:top w:val="single" w:sz="4" w:space="0" w:color="000000"/>
              <w:left w:val="single" w:sz="4" w:space="0" w:color="000000"/>
              <w:bottom w:val="single" w:sz="12" w:space="0" w:color="000000"/>
              <w:right w:val="single" w:sz="4" w:space="0" w:color="000000"/>
            </w:tcBorders>
          </w:tcPr>
          <w:p>
            <w:pPr/>
          </w:p>
        </w:tc>
        <w:tc>
          <w:tcPr>
            <w:tcW w:w="734" w:type="dxa"/>
            <w:tcBorders>
              <w:top w:val="single" w:sz="4" w:space="0" w:color="000000"/>
              <w:left w:val="single" w:sz="4" w:space="0" w:color="000000"/>
              <w:bottom w:val="single" w:sz="12" w:space="0" w:color="000000"/>
              <w:right w:val="single" w:sz="4" w:space="0" w:color="000000"/>
            </w:tcBorders>
          </w:tcPr>
          <w:p>
            <w:pPr/>
          </w:p>
        </w:tc>
        <w:tc>
          <w:tcPr>
            <w:tcW w:w="737"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15、无形资产" w:id="256"/>
      <w:bookmarkEnd w:id="256"/>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57"/>
      <w:bookmarkEnd w:id="25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67"/>
        <w:gridCol w:w="1399"/>
        <w:gridCol w:w="1385"/>
        <w:gridCol w:w="1385"/>
        <w:gridCol w:w="1385"/>
        <w:gridCol w:w="1385"/>
        <w:gridCol w:w="1385"/>
      </w:tblGrid>
      <w:tr>
        <w:trPr>
          <w:trHeight w:val="410" w:hRule="exact"/>
        </w:trPr>
        <w:tc>
          <w:tcPr>
            <w:tcW w:w="13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9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5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1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37"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38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8"/>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9"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33" w:right="0"/>
              <w:jc w:val="left"/>
              <w:rPr>
                <w:rFonts w:ascii="Times New Roman" w:hAnsi="Times New Roman" w:cs="Times New Roman" w:eastAsia="Times New Roman" w:hint="default"/>
                <w:sz w:val="18"/>
                <w:szCs w:val="18"/>
              </w:rPr>
            </w:pPr>
            <w:r>
              <w:rPr>
                <w:rFonts w:ascii="Times New Roman"/>
                <w:sz w:val="18"/>
              </w:rPr>
              <w:t>143,194,686.97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59,357,902.26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23,599,386.92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24,164,215.92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7" w:right="0"/>
              <w:jc w:val="left"/>
              <w:rPr>
                <w:rFonts w:ascii="Times New Roman" w:hAnsi="Times New Roman" w:cs="Times New Roman" w:eastAsia="Times New Roman" w:hint="default"/>
                <w:sz w:val="18"/>
                <w:szCs w:val="18"/>
              </w:rPr>
            </w:pPr>
            <w:r>
              <w:rPr>
                <w:rFonts w:ascii="Times New Roman"/>
                <w:sz w:val="18"/>
              </w:rPr>
              <w:t>447,052,491.39</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697,368,683.46</w:t>
            </w:r>
          </w:p>
        </w:tc>
      </w:tr>
      <w:tr>
        <w:trPr>
          <w:trHeight w:val="715"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99"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496,673.05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496,673.05</w:t>
            </w:r>
          </w:p>
        </w:tc>
      </w:tr>
      <w:tr>
        <w:trPr>
          <w:trHeight w:val="410" w:hRule="exact"/>
        </w:trPr>
        <w:tc>
          <w:tcPr>
            <w:tcW w:w="13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9" w:type="dxa"/>
            <w:tcBorders>
              <w:top w:val="single" w:sz="4" w:space="0" w:color="000000"/>
              <w:left w:val="single" w:sz="10" w:space="0" w:color="D2D2D2"/>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496,673.05</w:t>
            </w: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496,673.05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384"/>
        <w:gridCol w:w="1388"/>
        <w:gridCol w:w="1385"/>
        <w:gridCol w:w="1385"/>
        <w:gridCol w:w="1385"/>
        <w:gridCol w:w="1385"/>
        <w:gridCol w:w="1385"/>
      </w:tblGrid>
      <w:tr>
        <w:trPr>
          <w:trHeight w:val="725" w:hRule="exact"/>
        </w:trPr>
        <w:tc>
          <w:tcPr>
            <w:tcW w:w="138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1"/>
              <w:ind w:left="1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88"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12" w:space="0" w:color="000000"/>
            </w:tcBorders>
          </w:tcPr>
          <w:p>
            <w:pP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13" w:right="17" w:firstLine="5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143,194,686.97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59,357,902.26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23,599,386.92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24,660,888.97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447,052,491.39</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697,865,356.51</w:t>
            </w: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13,563,299.64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38,372,100.05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12,217,506.94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10,499,996.50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77,626,465.75</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152,279,368.88</w:t>
            </w: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2,503,468.15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5,045,510.53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3,901,636.82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4,461,697.99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20,571,468.84</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36,483,782.33</w:t>
            </w: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2,503,468.15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5,045,510.53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3,901,636.82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4,461,697.99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20,571,468.84</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36,483,782.33</w:t>
            </w: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16,066,767.79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43,417,610.58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16,119,143.76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14,961,694.49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98,197,934.59</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188,763,151.21</w:t>
            </w: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三、账面价值</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127,127,919.18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15,940,291.68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7,480,243.16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9,699,194.48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348,854,556.80</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509,102,205.30</w:t>
            </w:r>
          </w:p>
        </w:tc>
      </w:tr>
      <w:tr>
        <w:trPr>
          <w:trHeight w:val="722" w:hRule="exact"/>
        </w:trPr>
        <w:tc>
          <w:tcPr>
            <w:tcW w:w="138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13"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129,631,387.33</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20,985,802.21</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11,381,879.98</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13,664,219.42</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369,426,025.64</w:t>
            </w: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545,089,314.58</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16、开发支出" w:id="258"/>
      <w:bookmarkEnd w:id="258"/>
      <w:r>
        <w:rPr>
          <w:b w:val="0"/>
          <w:bCs w:val="0"/>
        </w:rPr>
      </w:r>
      <w:r>
        <w:rPr>
          <w:rFonts w:ascii="Times New Roman" w:hAnsi="Times New Roman" w:cs="Times New Roman" w:eastAsia="Times New Roman" w:hint="default"/>
        </w:rPr>
        <w:t>16</w:t>
      </w:r>
      <w:r>
        <w:rPr/>
        <w:t>、开发支出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221"/>
        <w:gridCol w:w="1028"/>
        <w:gridCol w:w="1181"/>
        <w:gridCol w:w="1018"/>
        <w:gridCol w:w="1018"/>
        <w:gridCol w:w="1018"/>
        <w:gridCol w:w="1181"/>
        <w:gridCol w:w="1018"/>
        <w:gridCol w:w="1008"/>
      </w:tblGrid>
      <w:tr>
        <w:trPr>
          <w:trHeight w:val="413" w:hRule="exact"/>
        </w:trPr>
        <w:tc>
          <w:tcPr>
            <w:tcW w:w="1221"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028" w:type="dxa"/>
            <w:tcBorders>
              <w:top w:val="single" w:sz="12" w:space="0" w:color="000000"/>
              <w:left w:val="single" w:sz="4" w:space="0" w:color="000000"/>
              <w:bottom w:val="nil" w:sz="6" w:space="0" w:color="auto"/>
              <w:right w:val="single" w:sz="4" w:space="0" w:color="000000"/>
            </w:tcBorders>
            <w:shd w:val="clear" w:color="auto" w:fill="D2D2D2"/>
          </w:tcPr>
          <w:p>
            <w:pPr/>
          </w:p>
        </w:tc>
        <w:tc>
          <w:tcPr>
            <w:tcW w:w="3217"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17"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08"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61" w:hRule="exact"/>
        </w:trPr>
        <w:tc>
          <w:tcPr>
            <w:tcW w:w="1221"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0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5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8"/>
              <w:ind w:left="13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221" w:type="dxa"/>
            <w:vMerge/>
            <w:tcBorders>
              <w:left w:val="single" w:sz="12" w:space="0" w:color="000000"/>
              <w:bottom w:val="nil" w:sz="6" w:space="0" w:color="auto"/>
              <w:right w:val="single" w:sz="4" w:space="0" w:color="000000"/>
            </w:tcBorders>
            <w:shd w:val="clear" w:color="auto" w:fill="D2D2D2"/>
          </w:tcPr>
          <w:p>
            <w:pPr/>
          </w:p>
        </w:tc>
        <w:tc>
          <w:tcPr>
            <w:tcW w:w="1028"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0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8" w:type="dxa"/>
            <w:vMerge w:val="restart"/>
            <w:tcBorders>
              <w:top w:val="nil" w:sz="6" w:space="0" w:color="auto"/>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018" w:type="dxa"/>
            <w:vMerge w:val="restart"/>
            <w:tcBorders>
              <w:top w:val="nil" w:sz="6" w:space="0" w:color="auto"/>
              <w:left w:val="single" w:sz="4" w:space="0" w:color="000000"/>
              <w:right w:val="single" w:sz="4" w:space="0" w:color="000000"/>
            </w:tcBorders>
            <w:shd w:val="clear" w:color="auto" w:fill="D2D2D2"/>
          </w:tcPr>
          <w:p>
            <w:pPr/>
          </w:p>
        </w:tc>
        <w:tc>
          <w:tcPr>
            <w:tcW w:w="1008" w:type="dxa"/>
            <w:vMerge/>
            <w:tcBorders>
              <w:left w:val="single" w:sz="4" w:space="0" w:color="000000"/>
              <w:bottom w:val="nil" w:sz="6" w:space="0" w:color="auto"/>
              <w:right w:val="single" w:sz="12" w:space="0" w:color="000000"/>
            </w:tcBorders>
            <w:shd w:val="clear" w:color="auto" w:fill="D2D2D2"/>
          </w:tcPr>
          <w:p>
            <w:pPr/>
          </w:p>
        </w:tc>
      </w:tr>
      <w:tr>
        <w:trPr>
          <w:trHeight w:val="202" w:hRule="exact"/>
        </w:trPr>
        <w:tc>
          <w:tcPr>
            <w:tcW w:w="1221" w:type="dxa"/>
            <w:vMerge w:val="restart"/>
            <w:tcBorders>
              <w:top w:val="nil" w:sz="6" w:space="0" w:color="auto"/>
              <w:left w:val="single" w:sz="12" w:space="0" w:color="000000"/>
              <w:right w:val="single" w:sz="4" w:space="0" w:color="000000"/>
            </w:tcBorders>
            <w:shd w:val="clear" w:color="auto" w:fill="D2D2D2"/>
          </w:tcPr>
          <w:p>
            <w:pPr/>
          </w:p>
        </w:tc>
        <w:tc>
          <w:tcPr>
            <w:tcW w:w="1028"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18" w:type="dxa"/>
            <w:vMerge/>
            <w:tcBorders>
              <w:left w:val="single" w:sz="4" w:space="0" w:color="000000"/>
              <w:bottom w:val="nil" w:sz="6" w:space="0" w:color="auto"/>
              <w:right w:val="single" w:sz="4" w:space="0" w:color="000000"/>
            </w:tcBorders>
            <w:shd w:val="clear" w:color="auto" w:fill="D2D2D2"/>
          </w:tcPr>
          <w:p>
            <w:pPr/>
          </w:p>
        </w:tc>
        <w:tc>
          <w:tcPr>
            <w:tcW w:w="1018" w:type="dxa"/>
            <w:vMerge/>
            <w:tcBorders>
              <w:left w:val="single" w:sz="4" w:space="0" w:color="000000"/>
              <w:bottom w:val="nil" w:sz="6" w:space="0" w:color="auto"/>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18"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nil" w:sz="6" w:space="0" w:color="auto"/>
              <w:left w:val="single" w:sz="4" w:space="0" w:color="000000"/>
              <w:right w:val="single" w:sz="12" w:space="0" w:color="000000"/>
            </w:tcBorders>
            <w:shd w:val="clear" w:color="auto" w:fill="D2D2D2"/>
          </w:tcPr>
          <w:p>
            <w:pPr/>
          </w:p>
        </w:tc>
      </w:tr>
      <w:tr>
        <w:trPr>
          <w:trHeight w:val="161" w:hRule="exact"/>
        </w:trPr>
        <w:tc>
          <w:tcPr>
            <w:tcW w:w="1221" w:type="dxa"/>
            <w:vMerge/>
            <w:tcBorders>
              <w:left w:val="single" w:sz="12"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12" w:space="0" w:color="000000"/>
            </w:tcBorders>
            <w:shd w:val="clear" w:color="auto" w:fill="D2D2D2"/>
          </w:tcPr>
          <w:p>
            <w:pPr/>
          </w:p>
        </w:tc>
      </w:tr>
      <w:tr>
        <w:trPr>
          <w:trHeight w:val="713" w:hRule="exact"/>
        </w:trPr>
        <w:tc>
          <w:tcPr>
            <w:tcW w:w="122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49"/>
              <w:ind w:left="7" w:right="112"/>
              <w:jc w:val="left"/>
              <w:rPr>
                <w:rFonts w:ascii="宋体" w:hAnsi="宋体" w:cs="宋体" w:eastAsia="宋体" w:hint="default"/>
                <w:sz w:val="18"/>
                <w:szCs w:val="18"/>
              </w:rPr>
            </w:pPr>
            <w:r>
              <w:rPr>
                <w:rFonts w:ascii="宋体" w:hAnsi="宋体" w:cs="宋体" w:eastAsia="宋体" w:hint="default"/>
                <w:sz w:val="18"/>
                <w:szCs w:val="18"/>
              </w:rPr>
              <w:t>工业互联网平 台</w:t>
            </w:r>
          </w:p>
        </w:tc>
        <w:tc>
          <w:tcPr>
            <w:tcW w:w="1028" w:type="dxa"/>
            <w:tcBorders>
              <w:top w:val="single" w:sz="4" w:space="0" w:color="000000"/>
              <w:left w:val="single" w:sz="12" w:space="0" w:color="D2D2D2"/>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13,486,575.40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13,486,575.40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22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112"/>
              <w:jc w:val="both"/>
              <w:rPr>
                <w:rFonts w:ascii="宋体" w:hAnsi="宋体" w:cs="宋体" w:eastAsia="宋体" w:hint="default"/>
                <w:sz w:val="18"/>
                <w:szCs w:val="18"/>
              </w:rPr>
            </w:pPr>
            <w:r>
              <w:rPr>
                <w:rFonts w:ascii="宋体" w:hAnsi="宋体" w:cs="宋体" w:eastAsia="宋体" w:hint="default"/>
                <w:sz w:val="18"/>
                <w:szCs w:val="18"/>
              </w:rPr>
              <w:t>智慧城市管控 一体化云平台 研发</w:t>
            </w:r>
          </w:p>
        </w:tc>
        <w:tc>
          <w:tcPr>
            <w:tcW w:w="1028" w:type="dxa"/>
            <w:tcBorders>
              <w:top w:val="single" w:sz="4" w:space="0" w:color="000000"/>
              <w:left w:val="single" w:sz="12" w:space="0" w:color="D2D2D2"/>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8,312,114.63</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8,312,114.63</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22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49"/>
              <w:ind w:left="7" w:right="112"/>
              <w:jc w:val="left"/>
              <w:rPr>
                <w:rFonts w:ascii="宋体" w:hAnsi="宋体" w:cs="宋体" w:eastAsia="宋体" w:hint="default"/>
                <w:sz w:val="18"/>
                <w:szCs w:val="18"/>
              </w:rPr>
            </w:pPr>
            <w:r>
              <w:rPr>
                <w:rFonts w:ascii="宋体" w:hAnsi="宋体" w:cs="宋体" w:eastAsia="宋体" w:hint="default"/>
                <w:sz w:val="18"/>
                <w:szCs w:val="18"/>
              </w:rPr>
              <w:t>网格化水质多 参数检测系统</w:t>
            </w:r>
          </w:p>
        </w:tc>
        <w:tc>
          <w:tcPr>
            <w:tcW w:w="1028" w:type="dxa"/>
            <w:tcBorders>
              <w:top w:val="single" w:sz="4" w:space="0" w:color="000000"/>
              <w:left w:val="single" w:sz="12" w:space="0" w:color="D2D2D2"/>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6,865,820.69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center"/>
              <w:rPr>
                <w:rFonts w:ascii="Times New Roman" w:hAnsi="Times New Roman" w:cs="Times New Roman" w:eastAsia="Times New Roman" w:hint="default"/>
                <w:sz w:val="18"/>
                <w:szCs w:val="18"/>
              </w:rPr>
            </w:pPr>
            <w:r>
              <w:rPr>
                <w:rFonts w:ascii="Times New Roman"/>
                <w:sz w:val="18"/>
              </w:rPr>
              <w:t>6,865,820.69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238"/>
        <w:gridCol w:w="1018"/>
        <w:gridCol w:w="1181"/>
        <w:gridCol w:w="1018"/>
        <w:gridCol w:w="1018"/>
        <w:gridCol w:w="1018"/>
        <w:gridCol w:w="1181"/>
        <w:gridCol w:w="1018"/>
        <w:gridCol w:w="1008"/>
      </w:tblGrid>
      <w:tr>
        <w:trPr>
          <w:trHeight w:val="713"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49"/>
              <w:ind w:left="13" w:right="123"/>
              <w:jc w:val="left"/>
              <w:rPr>
                <w:rFonts w:ascii="宋体" w:hAnsi="宋体" w:cs="宋体" w:eastAsia="宋体" w:hint="default"/>
                <w:sz w:val="18"/>
                <w:szCs w:val="18"/>
              </w:rPr>
            </w:pPr>
            <w:r>
              <w:rPr>
                <w:rFonts w:ascii="宋体" w:hAnsi="宋体" w:cs="宋体" w:eastAsia="宋体" w:hint="default"/>
                <w:sz w:val="18"/>
                <w:szCs w:val="18"/>
              </w:rPr>
              <w:t>换热站运行分 析系统</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5,522,442.57</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5,522,442.57</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13" w:right="123"/>
              <w:jc w:val="left"/>
              <w:rPr>
                <w:rFonts w:ascii="宋体" w:hAnsi="宋体" w:cs="宋体" w:eastAsia="宋体" w:hint="default"/>
                <w:sz w:val="18"/>
                <w:szCs w:val="18"/>
              </w:rPr>
            </w:pPr>
            <w:r>
              <w:rPr>
                <w:rFonts w:ascii="宋体" w:hAnsi="宋体" w:cs="宋体" w:eastAsia="宋体" w:hint="default"/>
                <w:sz w:val="18"/>
                <w:szCs w:val="18"/>
              </w:rPr>
              <w:t>红外热电堆传 感器研发</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5,133,695.52</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5,133,695.52</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123"/>
              <w:jc w:val="both"/>
              <w:rPr>
                <w:rFonts w:ascii="宋体" w:hAnsi="宋体" w:cs="宋体" w:eastAsia="宋体" w:hint="default"/>
                <w:sz w:val="18"/>
                <w:szCs w:val="18"/>
              </w:rPr>
            </w:pPr>
            <w:r>
              <w:rPr>
                <w:rFonts w:ascii="宋体" w:hAnsi="宋体" w:cs="宋体" w:eastAsia="宋体" w:hint="default"/>
                <w:sz w:val="18"/>
                <w:szCs w:val="18"/>
              </w:rPr>
              <w:t>中威安全生产 智能化监管平 台</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5,004,952.12</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5,004,952.12</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13" w:right="123"/>
              <w:jc w:val="left"/>
              <w:rPr>
                <w:rFonts w:ascii="宋体" w:hAnsi="宋体" w:cs="宋体" w:eastAsia="宋体" w:hint="default"/>
                <w:sz w:val="18"/>
                <w:szCs w:val="18"/>
              </w:rPr>
            </w:pPr>
            <w:r>
              <w:rPr>
                <w:rFonts w:ascii="宋体" w:hAnsi="宋体" w:cs="宋体" w:eastAsia="宋体" w:hint="default"/>
                <w:sz w:val="18"/>
                <w:szCs w:val="18"/>
              </w:rPr>
              <w:t>二次网末端调 节控制系统</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4,938,776.34</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4,938,776.34</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49"/>
              <w:ind w:left="13" w:right="123"/>
              <w:jc w:val="both"/>
              <w:rPr>
                <w:rFonts w:ascii="宋体" w:hAnsi="宋体" w:cs="宋体" w:eastAsia="宋体" w:hint="default"/>
                <w:sz w:val="18"/>
                <w:szCs w:val="18"/>
              </w:rPr>
            </w:pPr>
            <w:r>
              <w:rPr>
                <w:rFonts w:ascii="宋体" w:hAnsi="宋体" w:cs="宋体" w:eastAsia="宋体" w:hint="default"/>
                <w:sz w:val="18"/>
                <w:szCs w:val="18"/>
              </w:rPr>
              <w:t>便携式乙烷辨 识仪及巡检系 统</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3,462,534.61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3,462,534.61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13" w:right="123"/>
              <w:jc w:val="left"/>
              <w:rPr>
                <w:rFonts w:ascii="宋体" w:hAnsi="宋体" w:cs="宋体" w:eastAsia="宋体" w:hint="default"/>
                <w:sz w:val="18"/>
                <w:szCs w:val="18"/>
              </w:rPr>
            </w:pPr>
            <w:r>
              <w:rPr>
                <w:rFonts w:ascii="宋体" w:hAnsi="宋体" w:cs="宋体" w:eastAsia="宋体" w:hint="default"/>
                <w:sz w:val="18"/>
                <w:szCs w:val="18"/>
              </w:rPr>
              <w:t>车载甲烷遥测 系统</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3,335,019.38</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3,335,019.38</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9" w:lineRule="auto" w:before="49"/>
              <w:ind w:left="13" w:right="123"/>
              <w:jc w:val="both"/>
              <w:rPr>
                <w:rFonts w:ascii="宋体" w:hAnsi="宋体" w:cs="宋体" w:eastAsia="宋体" w:hint="default"/>
                <w:sz w:val="18"/>
                <w:szCs w:val="18"/>
              </w:rPr>
            </w:pPr>
            <w:r>
              <w:rPr>
                <w:rFonts w:ascii="宋体" w:hAnsi="宋体" w:cs="宋体" w:eastAsia="宋体" w:hint="default"/>
                <w:sz w:val="18"/>
                <w:szCs w:val="18"/>
              </w:rPr>
              <w:t>低浓度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VOCs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吸附浓缩燃烧 组合净化技术</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3,091,971.18</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3,091,971.18</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7" w:lineRule="auto" w:before="51"/>
              <w:ind w:left="13" w:right="123"/>
              <w:jc w:val="both"/>
              <w:rPr>
                <w:rFonts w:ascii="宋体" w:hAnsi="宋体" w:cs="宋体" w:eastAsia="宋体" w:hint="default"/>
                <w:sz w:val="18"/>
                <w:szCs w:val="18"/>
              </w:rPr>
            </w:pPr>
            <w:r>
              <w:rPr>
                <w:rFonts w:ascii="宋体" w:hAnsi="宋体" w:cs="宋体" w:eastAsia="宋体" w:hint="default"/>
                <w:sz w:val="18"/>
                <w:szCs w:val="18"/>
              </w:rPr>
              <w:t>全固态电化学 </w:t>
            </w:r>
            <w:r>
              <w:rPr>
                <w:rFonts w:ascii="Times New Roman" w:hAnsi="Times New Roman" w:cs="Times New Roman" w:eastAsia="Times New Roman" w:hint="default"/>
                <w:sz w:val="18"/>
                <w:szCs w:val="18"/>
              </w:rPr>
              <w:t>VOCs </w:t>
            </w:r>
            <w:r>
              <w:rPr>
                <w:rFonts w:ascii="宋体" w:hAnsi="宋体" w:cs="宋体" w:eastAsia="宋体" w:hint="default"/>
                <w:sz w:val="18"/>
                <w:szCs w:val="18"/>
              </w:rPr>
              <w:t>传感器 研发及产业化</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2,619,348.71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2,619,348.71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49"/>
              <w:ind w:left="13" w:right="123"/>
              <w:jc w:val="left"/>
              <w:rPr>
                <w:rFonts w:ascii="宋体" w:hAnsi="宋体" w:cs="宋体" w:eastAsia="宋体" w:hint="default"/>
                <w:sz w:val="18"/>
                <w:szCs w:val="18"/>
              </w:rPr>
            </w:pPr>
            <w:r>
              <w:rPr>
                <w:rFonts w:ascii="宋体" w:hAnsi="宋体" w:cs="宋体" w:eastAsia="宋体" w:hint="default"/>
                <w:sz w:val="18"/>
                <w:szCs w:val="18"/>
              </w:rPr>
              <w:t>智慧工厂气体 安全检测系统</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2,588,306.99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2,588,306.99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13" w:right="123"/>
              <w:jc w:val="left"/>
              <w:rPr>
                <w:rFonts w:ascii="宋体" w:hAnsi="宋体" w:cs="宋体" w:eastAsia="宋体" w:hint="default"/>
                <w:sz w:val="18"/>
                <w:szCs w:val="18"/>
              </w:rPr>
            </w:pPr>
            <w:r>
              <w:rPr>
                <w:rFonts w:ascii="宋体" w:hAnsi="宋体" w:cs="宋体" w:eastAsia="宋体" w:hint="default"/>
                <w:sz w:val="18"/>
                <w:szCs w:val="18"/>
              </w:rPr>
              <w:t>氨氮水质传感 器研发</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2,556,430.55</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2,556,430.55</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转轮项目</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2,490,871.67</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2,490,871.67</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13" w:right="123"/>
              <w:jc w:val="left"/>
              <w:rPr>
                <w:rFonts w:ascii="宋体" w:hAnsi="宋体" w:cs="宋体" w:eastAsia="宋体" w:hint="default"/>
                <w:sz w:val="18"/>
                <w:szCs w:val="18"/>
              </w:rPr>
            </w:pPr>
            <w:r>
              <w:rPr>
                <w:rFonts w:ascii="宋体" w:hAnsi="宋体" w:cs="宋体" w:eastAsia="宋体" w:hint="default"/>
                <w:sz w:val="18"/>
                <w:szCs w:val="18"/>
              </w:rPr>
              <w:t>激光甲烷传感 器</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2,441,080.07</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2,441,080.07</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123"/>
              <w:jc w:val="both"/>
              <w:rPr>
                <w:rFonts w:ascii="宋体" w:hAnsi="宋体" w:cs="宋体" w:eastAsia="宋体" w:hint="default"/>
                <w:sz w:val="18"/>
                <w:szCs w:val="18"/>
              </w:rPr>
            </w:pPr>
            <w:r>
              <w:rPr>
                <w:rFonts w:ascii="宋体" w:hAnsi="宋体" w:cs="宋体" w:eastAsia="宋体" w:hint="default"/>
                <w:sz w:val="18"/>
                <w:szCs w:val="18"/>
              </w:rPr>
              <w:t>焚烧厂渗滤液 软化预处理及 装备研发</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2,383,309.90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2,383,309.90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123"/>
              <w:jc w:val="both"/>
              <w:rPr>
                <w:rFonts w:ascii="宋体" w:hAnsi="宋体" w:cs="宋体" w:eastAsia="宋体" w:hint="default"/>
                <w:sz w:val="18"/>
                <w:szCs w:val="18"/>
              </w:rPr>
            </w:pPr>
            <w:r>
              <w:rPr>
                <w:rFonts w:ascii="宋体" w:hAnsi="宋体" w:cs="宋体" w:eastAsia="宋体" w:hint="default"/>
                <w:sz w:val="18"/>
                <w:szCs w:val="18"/>
              </w:rPr>
              <w:t>基于安全可靠 的电子公文系 统</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2,324,615.05</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2,324,615.05</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荧光氧传感器</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2,257,557.90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2,257,557.90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123"/>
              <w:jc w:val="both"/>
              <w:rPr>
                <w:rFonts w:ascii="宋体" w:hAnsi="宋体" w:cs="宋体" w:eastAsia="宋体" w:hint="default"/>
                <w:sz w:val="18"/>
                <w:szCs w:val="18"/>
              </w:rPr>
            </w:pPr>
            <w:r>
              <w:rPr>
                <w:rFonts w:ascii="宋体" w:hAnsi="宋体" w:cs="宋体" w:eastAsia="宋体" w:hint="default"/>
                <w:sz w:val="18"/>
                <w:szCs w:val="18"/>
              </w:rPr>
              <w:t>感烟感温一氧 化碳复合报警 器</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2,230,354.22</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2,230,354.22</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123"/>
              <w:jc w:val="left"/>
              <w:rPr>
                <w:rFonts w:ascii="宋体" w:hAnsi="宋体" w:cs="宋体" w:eastAsia="宋体" w:hint="default"/>
                <w:sz w:val="18"/>
                <w:szCs w:val="18"/>
              </w:rPr>
            </w:pPr>
            <w:r>
              <w:rPr>
                <w:rFonts w:ascii="宋体" w:hAnsi="宋体" w:cs="宋体" w:eastAsia="宋体" w:hint="default"/>
                <w:sz w:val="18"/>
                <w:szCs w:val="18"/>
              </w:rPr>
              <w:t>新一代系列气 体探测器</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2,199,884.01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2,199,884.01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238"/>
        <w:gridCol w:w="1018"/>
        <w:gridCol w:w="1181"/>
        <w:gridCol w:w="1018"/>
        <w:gridCol w:w="1018"/>
        <w:gridCol w:w="1018"/>
        <w:gridCol w:w="1181"/>
        <w:gridCol w:w="1018"/>
        <w:gridCol w:w="1008"/>
      </w:tblGrid>
      <w:tr>
        <w:trPr>
          <w:trHeight w:val="102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49"/>
              <w:ind w:left="13" w:right="123"/>
              <w:jc w:val="both"/>
              <w:rPr>
                <w:rFonts w:ascii="宋体" w:hAnsi="宋体" w:cs="宋体" w:eastAsia="宋体" w:hint="default"/>
                <w:sz w:val="18"/>
                <w:szCs w:val="18"/>
              </w:rPr>
            </w:pPr>
            <w:r>
              <w:rPr>
                <w:rFonts w:ascii="宋体" w:hAnsi="宋体" w:cs="宋体" w:eastAsia="宋体" w:hint="default"/>
                <w:sz w:val="18"/>
                <w:szCs w:val="18"/>
              </w:rPr>
              <w:t>垃圾渗滤液厌 氧氨氧化技术 研发</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2,116,763.18</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2,116,763.18</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123"/>
              <w:jc w:val="both"/>
              <w:rPr>
                <w:rFonts w:ascii="宋体" w:hAnsi="宋体" w:cs="宋体" w:eastAsia="宋体" w:hint="default"/>
                <w:sz w:val="18"/>
                <w:szCs w:val="18"/>
              </w:rPr>
            </w:pPr>
            <w:r>
              <w:rPr>
                <w:rFonts w:ascii="宋体" w:hAnsi="宋体" w:cs="宋体" w:eastAsia="宋体" w:hint="default"/>
                <w:sz w:val="18"/>
                <w:szCs w:val="18"/>
              </w:rPr>
              <w:t>基于大数据的 城市供水专题 应用研究</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2,034,933.60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2,034,933.60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123"/>
              <w:jc w:val="both"/>
              <w:rPr>
                <w:rFonts w:ascii="宋体" w:hAnsi="宋体" w:cs="宋体" w:eastAsia="宋体" w:hint="default"/>
                <w:sz w:val="18"/>
                <w:szCs w:val="18"/>
              </w:rPr>
            </w:pPr>
            <w:r>
              <w:rPr>
                <w:rFonts w:ascii="宋体" w:hAnsi="宋体" w:cs="宋体" w:eastAsia="宋体" w:hint="default"/>
                <w:sz w:val="18"/>
                <w:szCs w:val="18"/>
              </w:rPr>
              <w:t>城市压力管道 爆管风险评价 和预警研究</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1,957,241.96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1,957,241.96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13" w:right="123"/>
              <w:jc w:val="left"/>
              <w:rPr>
                <w:rFonts w:ascii="宋体" w:hAnsi="宋体" w:cs="宋体" w:eastAsia="宋体" w:hint="default"/>
                <w:sz w:val="18"/>
                <w:szCs w:val="18"/>
              </w:rPr>
            </w:pPr>
            <w:r>
              <w:rPr>
                <w:rFonts w:ascii="宋体" w:hAnsi="宋体" w:cs="宋体" w:eastAsia="宋体" w:hint="default"/>
                <w:sz w:val="18"/>
                <w:szCs w:val="18"/>
              </w:rPr>
              <w:t>智慧水务一体 化平台研究</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1,701,291.46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1,701,291.46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123"/>
              <w:jc w:val="left"/>
              <w:rPr>
                <w:rFonts w:ascii="宋体" w:hAnsi="宋体" w:cs="宋体" w:eastAsia="宋体" w:hint="default"/>
                <w:sz w:val="18"/>
                <w:szCs w:val="18"/>
              </w:rPr>
            </w:pPr>
            <w:r>
              <w:rPr>
                <w:rFonts w:ascii="宋体" w:hAnsi="宋体" w:cs="宋体" w:eastAsia="宋体" w:hint="default"/>
                <w:sz w:val="18"/>
                <w:szCs w:val="18"/>
              </w:rPr>
              <w:t>厂站智能应用 研究</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1,627,268.63</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1,627,268.63</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13" w:right="123"/>
              <w:jc w:val="left"/>
              <w:rPr>
                <w:rFonts w:ascii="宋体" w:hAnsi="宋体" w:cs="宋体" w:eastAsia="宋体" w:hint="default"/>
                <w:sz w:val="18"/>
                <w:szCs w:val="18"/>
              </w:rPr>
            </w:pPr>
            <w:r>
              <w:rPr>
                <w:rFonts w:ascii="宋体" w:hAnsi="宋体" w:cs="宋体" w:eastAsia="宋体" w:hint="default"/>
                <w:sz w:val="18"/>
                <w:szCs w:val="18"/>
              </w:rPr>
              <w:t>中威园企公共 服务平台</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1,575,176.96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1,575,176.96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123"/>
              <w:jc w:val="both"/>
              <w:rPr>
                <w:rFonts w:ascii="宋体" w:hAnsi="宋体" w:cs="宋体" w:eastAsia="宋体" w:hint="default"/>
                <w:sz w:val="18"/>
                <w:szCs w:val="18"/>
              </w:rPr>
            </w:pPr>
            <w:r>
              <w:rPr>
                <w:rFonts w:ascii="宋体" w:hAnsi="宋体" w:cs="宋体" w:eastAsia="宋体" w:hint="default"/>
                <w:sz w:val="18"/>
                <w:szCs w:val="18"/>
              </w:rPr>
              <w:t>柔性纳米微压 力传感器的研 发</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1,502,692.14</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1,502,692.14</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3"/>
              <w:ind w:left="13" w:right="0"/>
              <w:jc w:val="left"/>
              <w:rPr>
                <w:rFonts w:ascii="Times New Roman" w:hAnsi="Times New Roman" w:cs="Times New Roman" w:eastAsia="Times New Roman" w:hint="default"/>
                <w:sz w:val="18"/>
                <w:szCs w:val="18"/>
              </w:rPr>
            </w:pPr>
            <w:r>
              <w:rPr>
                <w:rFonts w:ascii="Times New Roman"/>
                <w:sz w:val="18"/>
              </w:rPr>
              <w:t>HGDS1000PLC</w:t>
            </w:r>
          </w:p>
          <w:p>
            <w:pPr>
              <w:pStyle w:val="TableParagraph"/>
              <w:spacing w:line="240" w:lineRule="auto" w:before="60"/>
              <w:ind w:left="13" w:right="0"/>
              <w:jc w:val="left"/>
              <w:rPr>
                <w:rFonts w:ascii="宋体" w:hAnsi="宋体" w:cs="宋体" w:eastAsia="宋体" w:hint="default"/>
                <w:sz w:val="18"/>
                <w:szCs w:val="18"/>
              </w:rPr>
            </w:pPr>
            <w:r>
              <w:rPr>
                <w:rFonts w:ascii="宋体" w:hAnsi="宋体" w:cs="宋体" w:eastAsia="宋体" w:hint="default"/>
                <w:sz w:val="18"/>
                <w:szCs w:val="18"/>
              </w:rPr>
              <w:t>安全监控系统</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1,491,433.03</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1,491,433.03</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49"/>
              <w:ind w:left="13" w:right="123"/>
              <w:jc w:val="both"/>
              <w:rPr>
                <w:rFonts w:ascii="宋体" w:hAnsi="宋体" w:cs="宋体" w:eastAsia="宋体" w:hint="default"/>
                <w:sz w:val="18"/>
                <w:szCs w:val="18"/>
              </w:rPr>
            </w:pPr>
            <w:r>
              <w:rPr>
                <w:rFonts w:ascii="宋体" w:hAnsi="宋体" w:cs="宋体" w:eastAsia="宋体" w:hint="default"/>
                <w:sz w:val="18"/>
                <w:szCs w:val="18"/>
              </w:rPr>
              <w:t>一种高浓度有 机废气的处理 装置</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1,488,915.40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1,488,915.40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123"/>
              <w:jc w:val="both"/>
              <w:rPr>
                <w:rFonts w:ascii="宋体" w:hAnsi="宋体" w:cs="宋体" w:eastAsia="宋体" w:hint="default"/>
                <w:sz w:val="18"/>
                <w:szCs w:val="18"/>
              </w:rPr>
            </w:pPr>
            <w:r>
              <w:rPr>
                <w:rFonts w:ascii="宋体" w:hAnsi="宋体" w:cs="宋体" w:eastAsia="宋体" w:hint="default"/>
                <w:sz w:val="18"/>
                <w:szCs w:val="18"/>
              </w:rPr>
              <w:t>垃圾渗滤液处 理工艺设备开 发</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1,415,174.17</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1,415,174.17</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123"/>
              <w:jc w:val="both"/>
              <w:rPr>
                <w:rFonts w:ascii="宋体" w:hAnsi="宋体" w:cs="宋体" w:eastAsia="宋体" w:hint="default"/>
                <w:sz w:val="18"/>
                <w:szCs w:val="18"/>
              </w:rPr>
            </w:pPr>
            <w:r>
              <w:rPr>
                <w:rFonts w:ascii="宋体" w:hAnsi="宋体" w:cs="宋体" w:eastAsia="宋体" w:hint="default"/>
                <w:sz w:val="18"/>
                <w:szCs w:val="18"/>
              </w:rPr>
              <w:t>沸石转筒吸附 浓缩耦合氧化 工艺设备</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1,187,452.62</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1,187,452.62</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13" w:right="123"/>
              <w:jc w:val="left"/>
              <w:rPr>
                <w:rFonts w:ascii="宋体" w:hAnsi="宋体" w:cs="宋体" w:eastAsia="宋体" w:hint="default"/>
                <w:sz w:val="18"/>
                <w:szCs w:val="18"/>
              </w:rPr>
            </w:pPr>
            <w:r>
              <w:rPr>
                <w:rFonts w:ascii="宋体" w:hAnsi="宋体" w:cs="宋体" w:eastAsia="宋体" w:hint="default"/>
                <w:sz w:val="18"/>
                <w:szCs w:val="18"/>
              </w:rPr>
              <w:t>政务移动办公 平台</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1,121,234.25</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1,121,234.25</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49"/>
              <w:ind w:left="13" w:right="123"/>
              <w:jc w:val="left"/>
              <w:rPr>
                <w:rFonts w:ascii="宋体" w:hAnsi="宋体" w:cs="宋体" w:eastAsia="宋体" w:hint="default"/>
                <w:sz w:val="18"/>
                <w:szCs w:val="18"/>
              </w:rPr>
            </w:pPr>
            <w:r>
              <w:rPr>
                <w:rFonts w:ascii="宋体" w:hAnsi="宋体" w:cs="宋体" w:eastAsia="宋体" w:hint="default"/>
                <w:sz w:val="18"/>
                <w:szCs w:val="18"/>
              </w:rPr>
              <w:t>光学粉尘传感 器</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1,098,628.91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1,098,628.91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123"/>
              <w:jc w:val="both"/>
              <w:rPr>
                <w:rFonts w:ascii="宋体" w:hAnsi="宋体" w:cs="宋体" w:eastAsia="宋体" w:hint="default"/>
                <w:sz w:val="18"/>
                <w:szCs w:val="18"/>
              </w:rPr>
            </w:pPr>
            <w:r>
              <w:rPr>
                <w:rFonts w:ascii="宋体" w:hAnsi="宋体" w:cs="宋体" w:eastAsia="宋体" w:hint="default"/>
                <w:sz w:val="18"/>
                <w:szCs w:val="18"/>
              </w:rPr>
              <w:t>垃圾渗滤液短 程硝化反硝化 技术研发</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1,076,660.30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1,076,660.30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123"/>
              <w:jc w:val="both"/>
              <w:rPr>
                <w:rFonts w:ascii="宋体" w:hAnsi="宋体" w:cs="宋体" w:eastAsia="宋体" w:hint="default"/>
                <w:sz w:val="18"/>
                <w:szCs w:val="18"/>
              </w:rPr>
            </w:pPr>
            <w:r>
              <w:rPr>
                <w:rFonts w:ascii="宋体" w:hAnsi="宋体" w:cs="宋体" w:eastAsia="宋体" w:hint="default"/>
                <w:sz w:val="18"/>
                <w:szCs w:val="18"/>
              </w:rPr>
              <w:t>二次供水精准 化控制系统的 开发</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1,039,235.84</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1,039,235.84</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238"/>
        <w:gridCol w:w="1018"/>
        <w:gridCol w:w="1181"/>
        <w:gridCol w:w="1018"/>
        <w:gridCol w:w="1018"/>
        <w:gridCol w:w="1018"/>
        <w:gridCol w:w="1181"/>
        <w:gridCol w:w="1018"/>
        <w:gridCol w:w="1008"/>
      </w:tblGrid>
      <w:tr>
        <w:trPr>
          <w:trHeight w:val="1025"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49"/>
              <w:ind w:left="13" w:right="123"/>
              <w:jc w:val="both"/>
              <w:rPr>
                <w:rFonts w:ascii="宋体" w:hAnsi="宋体" w:cs="宋体" w:eastAsia="宋体" w:hint="default"/>
                <w:sz w:val="18"/>
                <w:szCs w:val="18"/>
              </w:rPr>
            </w:pPr>
            <w:r>
              <w:rPr>
                <w:rFonts w:ascii="宋体" w:hAnsi="宋体" w:cs="宋体" w:eastAsia="宋体" w:hint="default"/>
                <w:sz w:val="18"/>
                <w:szCs w:val="18"/>
              </w:rPr>
              <w:t>管道分质供水 系统的组成及 设计的研发</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1,026,184.59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1,026,184.59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right="483"/>
              <w:jc w:val="right"/>
              <w:rPr>
                <w:rFonts w:ascii="宋体" w:hAnsi="宋体" w:cs="宋体" w:eastAsia="宋体" w:hint="default"/>
                <w:sz w:val="18"/>
                <w:szCs w:val="18"/>
              </w:rPr>
            </w:pPr>
            <w:r>
              <w:rPr>
                <w:rFonts w:ascii="宋体" w:hAnsi="宋体" w:cs="宋体" w:eastAsia="宋体" w:hint="default"/>
                <w:sz w:val="18"/>
                <w:szCs w:val="18"/>
              </w:rPr>
              <w:t>其他合计</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27,642,590.53</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27,642,590.53</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123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right="432"/>
              <w:jc w:val="right"/>
              <w:rPr>
                <w:rFonts w:ascii="宋体" w:hAnsi="宋体" w:cs="宋体" w:eastAsia="宋体" w:hint="default"/>
                <w:sz w:val="18"/>
                <w:szCs w:val="18"/>
              </w:rPr>
            </w:pPr>
            <w:r>
              <w:rPr>
                <w:rFonts w:ascii="宋体" w:hAnsi="宋体" w:cs="宋体" w:eastAsia="宋体" w:hint="default"/>
                <w:sz w:val="18"/>
                <w:szCs w:val="18"/>
              </w:rPr>
              <w:t>合计</w:t>
            </w:r>
          </w:p>
        </w:tc>
        <w:tc>
          <w:tcPr>
            <w:tcW w:w="1018" w:type="dxa"/>
            <w:tcBorders>
              <w:top w:val="single" w:sz="4" w:space="0" w:color="000000"/>
              <w:left w:val="single" w:sz="4" w:space="0" w:color="000000"/>
              <w:bottom w:val="single" w:sz="12" w:space="0" w:color="000000"/>
              <w:right w:val="single" w:sz="4" w:space="0" w:color="000000"/>
            </w:tcBorders>
          </w:tcPr>
          <w:p>
            <w:pP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134,348,539.08</w:t>
            </w:r>
          </w:p>
        </w:tc>
        <w:tc>
          <w:tcPr>
            <w:tcW w:w="1018" w:type="dxa"/>
            <w:tcBorders>
              <w:top w:val="single" w:sz="4" w:space="0" w:color="000000"/>
              <w:left w:val="single" w:sz="4" w:space="0" w:color="000000"/>
              <w:bottom w:val="single" w:sz="12" w:space="0" w:color="000000"/>
              <w:right w:val="single" w:sz="4" w:space="0" w:color="000000"/>
            </w:tcBorders>
          </w:tcPr>
          <w:p>
            <w:pPr/>
          </w:p>
        </w:tc>
        <w:tc>
          <w:tcPr>
            <w:tcW w:w="1018" w:type="dxa"/>
            <w:tcBorders>
              <w:top w:val="single" w:sz="4" w:space="0" w:color="000000"/>
              <w:left w:val="single" w:sz="4" w:space="0" w:color="000000"/>
              <w:bottom w:val="single" w:sz="12" w:space="0" w:color="000000"/>
              <w:right w:val="single" w:sz="4" w:space="0" w:color="000000"/>
            </w:tcBorders>
          </w:tcPr>
          <w:p>
            <w:pPr/>
          </w:p>
        </w:tc>
        <w:tc>
          <w:tcPr>
            <w:tcW w:w="1018" w:type="dxa"/>
            <w:tcBorders>
              <w:top w:val="single" w:sz="4" w:space="0" w:color="000000"/>
              <w:left w:val="single" w:sz="4" w:space="0" w:color="000000"/>
              <w:bottom w:val="single" w:sz="12" w:space="0" w:color="000000"/>
              <w:right w:val="single" w:sz="4" w:space="0" w:color="000000"/>
            </w:tcBorders>
          </w:tcPr>
          <w:p>
            <w:pP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134,348,539.08</w:t>
            </w:r>
          </w:p>
        </w:tc>
        <w:tc>
          <w:tcPr>
            <w:tcW w:w="1018" w:type="dxa"/>
            <w:tcBorders>
              <w:top w:val="single" w:sz="4" w:space="0" w:color="000000"/>
              <w:left w:val="single" w:sz="4" w:space="0" w:color="000000"/>
              <w:bottom w:val="single" w:sz="12" w:space="0" w:color="000000"/>
              <w:right w:val="single" w:sz="4" w:space="0" w:color="000000"/>
            </w:tcBorders>
          </w:tcPr>
          <w:p>
            <w:pPr/>
          </w:p>
        </w:tc>
        <w:tc>
          <w:tcPr>
            <w:tcW w:w="1008"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1"/>
        <w:rPr>
          <w:rFonts w:ascii="Times New Roman" w:hAnsi="Times New Roman" w:cs="Times New Roman" w:eastAsia="Times New Roman" w:hint="default"/>
          <w:sz w:val="22"/>
          <w:szCs w:val="22"/>
        </w:rPr>
      </w:pPr>
    </w:p>
    <w:p>
      <w:pPr>
        <w:pStyle w:val="Heading4"/>
        <w:spacing w:line="240" w:lineRule="auto" w:before="36"/>
        <w:ind w:right="0"/>
        <w:jc w:val="left"/>
        <w:rPr>
          <w:b w:val="0"/>
          <w:bCs w:val="0"/>
        </w:rPr>
      </w:pPr>
      <w:bookmarkStart w:name="17、商誉" w:id="259"/>
      <w:bookmarkEnd w:id="259"/>
      <w:r>
        <w:rPr>
          <w:b w:val="0"/>
          <w:bCs w:val="0"/>
        </w:rPr>
      </w:r>
      <w:r>
        <w:rPr>
          <w:rFonts w:ascii="Times New Roman" w:hAnsi="Times New Roman" w:cs="Times New Roman" w:eastAsia="Times New Roman" w:hint="default"/>
        </w:rPr>
        <w:t>17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60"/>
      <w:bookmarkEnd w:id="26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67"/>
        <w:gridCol w:w="1399"/>
        <w:gridCol w:w="1382"/>
        <w:gridCol w:w="1388"/>
        <w:gridCol w:w="1382"/>
        <w:gridCol w:w="1388"/>
        <w:gridCol w:w="1385"/>
      </w:tblGrid>
      <w:tr>
        <w:trPr>
          <w:trHeight w:val="326" w:hRule="exact"/>
        </w:trPr>
        <w:tc>
          <w:tcPr>
            <w:tcW w:w="1367" w:type="dxa"/>
            <w:vMerge w:val="restart"/>
            <w:tcBorders>
              <w:top w:val="single" w:sz="12" w:space="0" w:color="000000"/>
              <w:left w:val="single" w:sz="12" w:space="0" w:color="000000"/>
              <w:right w:val="single" w:sz="4" w:space="0" w:color="000000"/>
            </w:tcBorders>
            <w:shd w:val="clear" w:color="auto" w:fill="D2D2D2"/>
          </w:tcPr>
          <w:p>
            <w:pPr>
              <w:pStyle w:val="TableParagraph"/>
              <w:spacing w:line="316" w:lineRule="auto" w:before="48"/>
              <w:ind w:left="40" w:right="45"/>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99" w:type="dxa"/>
            <w:tcBorders>
              <w:top w:val="single" w:sz="12" w:space="0" w:color="000000"/>
              <w:left w:val="single" w:sz="4" w:space="0" w:color="000000"/>
              <w:bottom w:val="nil" w:sz="6" w:space="0" w:color="auto"/>
              <w:right w:val="single" w:sz="4" w:space="0" w:color="000000"/>
            </w:tcBorders>
            <w:shd w:val="clear" w:color="auto" w:fill="D2D2D2"/>
          </w:tcPr>
          <w:p>
            <w:pPr/>
          </w:p>
        </w:tc>
        <w:tc>
          <w:tcPr>
            <w:tcW w:w="2770"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70"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85"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42" w:hRule="exact"/>
        </w:trPr>
        <w:tc>
          <w:tcPr>
            <w:tcW w:w="1367" w:type="dxa"/>
            <w:vMerge/>
            <w:tcBorders>
              <w:left w:val="single" w:sz="12" w:space="0" w:color="000000"/>
              <w:right w:val="single" w:sz="4" w:space="0" w:color="000000"/>
            </w:tcBorders>
            <w:shd w:val="clear" w:color="auto" w:fill="D2D2D2"/>
          </w:tcPr>
          <w:p>
            <w:pPr/>
          </w:p>
        </w:tc>
        <w:tc>
          <w:tcPr>
            <w:tcW w:w="13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70" w:type="dxa"/>
            <w:gridSpan w:val="2"/>
            <w:vMerge/>
            <w:tcBorders>
              <w:left w:val="single" w:sz="4" w:space="0" w:color="000000"/>
              <w:bottom w:val="single" w:sz="4" w:space="0" w:color="000000"/>
              <w:right w:val="single" w:sz="4" w:space="0" w:color="000000"/>
            </w:tcBorders>
            <w:shd w:val="clear" w:color="auto" w:fill="D2D2D2"/>
          </w:tcPr>
          <w:p>
            <w:pPr/>
          </w:p>
        </w:tc>
        <w:tc>
          <w:tcPr>
            <w:tcW w:w="2770"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67" w:type="dxa"/>
            <w:vMerge/>
            <w:tcBorders>
              <w:left w:val="single" w:sz="12" w:space="0" w:color="000000"/>
              <w:right w:val="single" w:sz="4" w:space="0" w:color="000000"/>
            </w:tcBorders>
            <w:shd w:val="clear" w:color="auto" w:fill="D2D2D2"/>
          </w:tcPr>
          <w:p>
            <w:pPr/>
          </w:p>
        </w:tc>
        <w:tc>
          <w:tcPr>
            <w:tcW w:w="1399" w:type="dxa"/>
            <w:vMerge/>
            <w:tcBorders>
              <w:left w:val="single" w:sz="4" w:space="0" w:color="000000"/>
              <w:bottom w:val="nil" w:sz="6" w:space="0" w:color="auto"/>
              <w:right w:val="single" w:sz="4" w:space="0" w:color="000000"/>
            </w:tcBorders>
            <w:shd w:val="clear" w:color="auto" w:fill="D2D2D2"/>
          </w:tcPr>
          <w:p>
            <w:pPr/>
          </w:p>
        </w:tc>
        <w:tc>
          <w:tcPr>
            <w:tcW w:w="13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5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88" w:type="dxa"/>
            <w:vMerge w:val="restart"/>
            <w:tcBorders>
              <w:top w:val="single" w:sz="4" w:space="0" w:color="000000"/>
              <w:left w:val="single" w:sz="4" w:space="0" w:color="000000"/>
              <w:right w:val="single" w:sz="4" w:space="0" w:color="000000"/>
            </w:tcBorders>
            <w:shd w:val="clear" w:color="auto" w:fill="D2D2D2"/>
          </w:tcPr>
          <w:p>
            <w:pPr/>
          </w:p>
        </w:tc>
        <w:tc>
          <w:tcPr>
            <w:tcW w:w="13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88" w:type="dxa"/>
            <w:vMerge w:val="restart"/>
            <w:tcBorders>
              <w:top w:val="single" w:sz="4" w:space="0" w:color="000000"/>
              <w:left w:val="single" w:sz="4" w:space="0" w:color="000000"/>
              <w:right w:val="single" w:sz="4" w:space="0" w:color="000000"/>
            </w:tcBorders>
            <w:shd w:val="clear" w:color="auto" w:fill="D2D2D2"/>
          </w:tcPr>
          <w:p>
            <w:pPr/>
          </w:p>
        </w:tc>
        <w:tc>
          <w:tcPr>
            <w:tcW w:w="1385" w:type="dxa"/>
            <w:vMerge/>
            <w:tcBorders>
              <w:left w:val="single" w:sz="4" w:space="0" w:color="000000"/>
              <w:bottom w:val="nil" w:sz="6" w:space="0" w:color="auto"/>
              <w:right w:val="single" w:sz="12" w:space="0" w:color="000000"/>
            </w:tcBorders>
            <w:shd w:val="clear" w:color="auto" w:fill="D2D2D2"/>
          </w:tcPr>
          <w:p>
            <w:pPr/>
          </w:p>
        </w:tc>
      </w:tr>
      <w:tr>
        <w:trPr>
          <w:trHeight w:val="317" w:hRule="exact"/>
        </w:trPr>
        <w:tc>
          <w:tcPr>
            <w:tcW w:w="1367" w:type="dxa"/>
            <w:vMerge/>
            <w:tcBorders>
              <w:left w:val="single" w:sz="12" w:space="0" w:color="000000"/>
              <w:bottom w:val="single" w:sz="4" w:space="0" w:color="000000"/>
              <w:right w:val="single" w:sz="4" w:space="0" w:color="000000"/>
            </w:tcBorders>
            <w:shd w:val="clear" w:color="auto" w:fill="D2D2D2"/>
          </w:tcPr>
          <w:p>
            <w:pPr/>
          </w:p>
        </w:tc>
        <w:tc>
          <w:tcPr>
            <w:tcW w:w="1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2" w:type="dxa"/>
            <w:vMerge/>
            <w:tcBorders>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2" w:type="dxa"/>
            <w:vMerge/>
            <w:tcBorders>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1"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25,819,827.09</w:t>
            </w:r>
          </w:p>
        </w:tc>
        <w:tc>
          <w:tcPr>
            <w:tcW w:w="1382" w:type="dxa"/>
            <w:tcBorders>
              <w:top w:val="single" w:sz="45" w:space="0" w:color="D2D2D2"/>
              <w:left w:val="single" w:sz="4" w:space="0" w:color="000000"/>
              <w:bottom w:val="single" w:sz="4" w:space="0" w:color="000000"/>
              <w:right w:val="single" w:sz="4" w:space="0" w:color="000000"/>
            </w:tcBorders>
          </w:tcPr>
          <w:p>
            <w:pPr/>
          </w:p>
        </w:tc>
        <w:tc>
          <w:tcPr>
            <w:tcW w:w="1388" w:type="dxa"/>
            <w:tcBorders>
              <w:top w:val="single" w:sz="45" w:space="0" w:color="D2D2D2"/>
              <w:left w:val="single" w:sz="4" w:space="0" w:color="000000"/>
              <w:bottom w:val="single" w:sz="4" w:space="0" w:color="000000"/>
              <w:right w:val="single" w:sz="4" w:space="0" w:color="000000"/>
            </w:tcBorders>
          </w:tcPr>
          <w:p>
            <w:pPr/>
          </w:p>
        </w:tc>
        <w:tc>
          <w:tcPr>
            <w:tcW w:w="1382" w:type="dxa"/>
            <w:tcBorders>
              <w:top w:val="single" w:sz="45" w:space="0" w:color="D2D2D2"/>
              <w:left w:val="single" w:sz="4" w:space="0" w:color="000000"/>
              <w:bottom w:val="single" w:sz="4" w:space="0" w:color="000000"/>
              <w:right w:val="single" w:sz="4" w:space="0" w:color="000000"/>
            </w:tcBorders>
          </w:tcPr>
          <w:p>
            <w:pPr/>
          </w:p>
        </w:tc>
        <w:tc>
          <w:tcPr>
            <w:tcW w:w="1388" w:type="dxa"/>
            <w:tcBorders>
              <w:top w:val="single" w:sz="45" w:space="0" w:color="D2D2D2"/>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25,819,827.09</w:t>
            </w:r>
          </w:p>
        </w:tc>
      </w:tr>
      <w:tr>
        <w:trPr>
          <w:trHeight w:val="403"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8,089,254.51</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8,089,254.51</w:t>
            </w:r>
          </w:p>
        </w:tc>
      </w:tr>
      <w:tr>
        <w:trPr>
          <w:trHeight w:val="401"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222,690,686.33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222,690,686.33</w:t>
            </w:r>
          </w:p>
        </w:tc>
      </w:tr>
      <w:tr>
        <w:trPr>
          <w:trHeight w:val="403"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14,419,607.42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14,419,607.42</w:t>
            </w:r>
          </w:p>
        </w:tc>
      </w:tr>
      <w:tr>
        <w:trPr>
          <w:trHeight w:val="401"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高新供水</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1,131,181.30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1,131,181.30</w:t>
            </w:r>
          </w:p>
        </w:tc>
      </w:tr>
      <w:tr>
        <w:trPr>
          <w:trHeight w:val="403"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16,546,736.87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16,546,736.87</w:t>
            </w:r>
          </w:p>
        </w:tc>
      </w:tr>
      <w:tr>
        <w:trPr>
          <w:trHeight w:val="401"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16,485,863.87</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16,485,863.87</w:t>
            </w:r>
          </w:p>
        </w:tc>
      </w:tr>
      <w:tr>
        <w:trPr>
          <w:trHeight w:val="403"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和阳环境</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2,539,079.66</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2,539,079.66</w:t>
            </w:r>
          </w:p>
        </w:tc>
      </w:tr>
      <w:tr>
        <w:trPr>
          <w:trHeight w:val="401"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1,582,761.39</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1,582,761.39</w:t>
            </w:r>
          </w:p>
        </w:tc>
      </w:tr>
      <w:tr>
        <w:trPr>
          <w:trHeight w:val="403"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百隆工程</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35,701,881.83</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35,701,881.83</w:t>
            </w:r>
          </w:p>
        </w:tc>
      </w:tr>
      <w:tr>
        <w:trPr>
          <w:trHeight w:val="401"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高新热力</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62,204,126.28</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62,204,126.28</w:t>
            </w:r>
          </w:p>
        </w:tc>
      </w:tr>
      <w:tr>
        <w:trPr>
          <w:trHeight w:val="403"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6,284,914.80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6,284,914.80</w:t>
            </w:r>
          </w:p>
        </w:tc>
      </w:tr>
      <w:tr>
        <w:trPr>
          <w:trHeight w:val="401"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山西腾星</w:t>
            </w:r>
          </w:p>
        </w:tc>
        <w:tc>
          <w:tcPr>
            <w:tcW w:w="1399" w:type="dxa"/>
            <w:tcBorders>
              <w:top w:val="single" w:sz="4" w:space="0" w:color="000000"/>
              <w:left w:val="single" w:sz="10" w:space="0" w:color="D2D2D2"/>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30,349,772.64</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30,349,772.64</w:t>
            </w:r>
          </w:p>
        </w:tc>
      </w:tr>
      <w:tr>
        <w:trPr>
          <w:trHeight w:val="410" w:hRule="exact"/>
        </w:trPr>
        <w:tc>
          <w:tcPr>
            <w:tcW w:w="13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99"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413,495,921.35</w:t>
            </w: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30,349,772.64</w:t>
            </w:r>
          </w:p>
        </w:tc>
        <w:tc>
          <w:tcPr>
            <w:tcW w:w="1388" w:type="dxa"/>
            <w:tcBorders>
              <w:top w:val="single" w:sz="4" w:space="0" w:color="000000"/>
              <w:left w:val="single" w:sz="4" w:space="0" w:color="000000"/>
              <w:bottom w:val="single" w:sz="12" w:space="0" w:color="000000"/>
              <w:right w:val="single" w:sz="4" w:space="0" w:color="000000"/>
            </w:tcBorders>
          </w:tcPr>
          <w:p>
            <w:pPr/>
          </w:p>
        </w:tc>
        <w:tc>
          <w:tcPr>
            <w:tcW w:w="1382" w:type="dxa"/>
            <w:tcBorders>
              <w:top w:val="single" w:sz="4" w:space="0" w:color="000000"/>
              <w:left w:val="single" w:sz="4" w:space="0" w:color="000000"/>
              <w:bottom w:val="single" w:sz="12" w:space="0" w:color="000000"/>
              <w:right w:val="single" w:sz="4" w:space="0" w:color="000000"/>
            </w:tcBorders>
          </w:tcPr>
          <w:p>
            <w:pPr/>
          </w:p>
        </w:tc>
        <w:tc>
          <w:tcPr>
            <w:tcW w:w="1388"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443,845,693.99</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商誉减值准备" w:id="261"/>
      <w:bookmarkEnd w:id="26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67"/>
        <w:gridCol w:w="1399"/>
        <w:gridCol w:w="1382"/>
        <w:gridCol w:w="1388"/>
        <w:gridCol w:w="1382"/>
        <w:gridCol w:w="1388"/>
        <w:gridCol w:w="1385"/>
      </w:tblGrid>
      <w:tr>
        <w:trPr>
          <w:trHeight w:val="328" w:hRule="exact"/>
        </w:trPr>
        <w:tc>
          <w:tcPr>
            <w:tcW w:w="1367" w:type="dxa"/>
            <w:vMerge w:val="restart"/>
            <w:tcBorders>
              <w:top w:val="single" w:sz="12" w:space="0" w:color="000000"/>
              <w:left w:val="single" w:sz="12" w:space="0" w:color="000000"/>
              <w:right w:val="single" w:sz="4" w:space="0" w:color="000000"/>
            </w:tcBorders>
            <w:shd w:val="clear" w:color="auto" w:fill="D2D2D2"/>
          </w:tcPr>
          <w:p>
            <w:pPr>
              <w:pStyle w:val="TableParagraph"/>
              <w:spacing w:line="316" w:lineRule="auto" w:before="50"/>
              <w:ind w:left="40" w:right="45"/>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99" w:type="dxa"/>
            <w:tcBorders>
              <w:top w:val="single" w:sz="12" w:space="0" w:color="000000"/>
              <w:left w:val="single" w:sz="4" w:space="0" w:color="000000"/>
              <w:bottom w:val="nil" w:sz="6" w:space="0" w:color="auto"/>
              <w:right w:val="single" w:sz="4" w:space="0" w:color="000000"/>
            </w:tcBorders>
            <w:shd w:val="clear" w:color="auto" w:fill="D2D2D2"/>
          </w:tcPr>
          <w:p>
            <w:pPr/>
          </w:p>
        </w:tc>
        <w:tc>
          <w:tcPr>
            <w:tcW w:w="2770"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70"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85"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40" w:hRule="exact"/>
        </w:trPr>
        <w:tc>
          <w:tcPr>
            <w:tcW w:w="1367" w:type="dxa"/>
            <w:vMerge/>
            <w:tcBorders>
              <w:left w:val="single" w:sz="12" w:space="0" w:color="000000"/>
              <w:right w:val="single" w:sz="4" w:space="0" w:color="000000"/>
            </w:tcBorders>
            <w:shd w:val="clear" w:color="auto" w:fill="D2D2D2"/>
          </w:tcPr>
          <w:p>
            <w:pPr/>
          </w:p>
        </w:tc>
        <w:tc>
          <w:tcPr>
            <w:tcW w:w="13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70" w:type="dxa"/>
            <w:gridSpan w:val="2"/>
            <w:vMerge/>
            <w:tcBorders>
              <w:left w:val="single" w:sz="4" w:space="0" w:color="000000"/>
              <w:bottom w:val="single" w:sz="4" w:space="0" w:color="000000"/>
              <w:right w:val="single" w:sz="4" w:space="0" w:color="000000"/>
            </w:tcBorders>
            <w:shd w:val="clear" w:color="auto" w:fill="D2D2D2"/>
          </w:tcPr>
          <w:p>
            <w:pPr/>
          </w:p>
        </w:tc>
        <w:tc>
          <w:tcPr>
            <w:tcW w:w="2770"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67" w:type="dxa"/>
            <w:vMerge/>
            <w:tcBorders>
              <w:left w:val="single" w:sz="12" w:space="0" w:color="000000"/>
              <w:right w:val="single" w:sz="4" w:space="0" w:color="000000"/>
            </w:tcBorders>
            <w:shd w:val="clear" w:color="auto" w:fill="D2D2D2"/>
          </w:tcPr>
          <w:p>
            <w:pPr/>
          </w:p>
        </w:tc>
        <w:tc>
          <w:tcPr>
            <w:tcW w:w="1399" w:type="dxa"/>
            <w:vMerge/>
            <w:tcBorders>
              <w:left w:val="single" w:sz="4" w:space="0" w:color="000000"/>
              <w:bottom w:val="nil" w:sz="6" w:space="0" w:color="auto"/>
              <w:right w:val="single" w:sz="4" w:space="0" w:color="000000"/>
            </w:tcBorders>
            <w:shd w:val="clear" w:color="auto" w:fill="D2D2D2"/>
          </w:tcPr>
          <w:p>
            <w:pPr/>
          </w:p>
        </w:tc>
        <w:tc>
          <w:tcPr>
            <w:tcW w:w="13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8" w:type="dxa"/>
            <w:vMerge w:val="restart"/>
            <w:tcBorders>
              <w:top w:val="single" w:sz="4" w:space="0" w:color="000000"/>
              <w:left w:val="single" w:sz="4" w:space="0" w:color="000000"/>
              <w:right w:val="single" w:sz="4" w:space="0" w:color="000000"/>
            </w:tcBorders>
            <w:shd w:val="clear" w:color="auto" w:fill="D2D2D2"/>
          </w:tcPr>
          <w:p>
            <w:pPr/>
          </w:p>
        </w:tc>
        <w:tc>
          <w:tcPr>
            <w:tcW w:w="13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88" w:type="dxa"/>
            <w:vMerge w:val="restart"/>
            <w:tcBorders>
              <w:top w:val="single" w:sz="4" w:space="0" w:color="000000"/>
              <w:left w:val="single" w:sz="4" w:space="0" w:color="000000"/>
              <w:right w:val="single" w:sz="4" w:space="0" w:color="000000"/>
            </w:tcBorders>
            <w:shd w:val="clear" w:color="auto" w:fill="D2D2D2"/>
          </w:tcPr>
          <w:p>
            <w:pPr/>
          </w:p>
        </w:tc>
        <w:tc>
          <w:tcPr>
            <w:tcW w:w="1385" w:type="dxa"/>
            <w:vMerge/>
            <w:tcBorders>
              <w:left w:val="single" w:sz="4" w:space="0" w:color="000000"/>
              <w:bottom w:val="nil" w:sz="6" w:space="0" w:color="auto"/>
              <w:right w:val="single" w:sz="12" w:space="0" w:color="000000"/>
            </w:tcBorders>
            <w:shd w:val="clear" w:color="auto" w:fill="D2D2D2"/>
          </w:tcPr>
          <w:p>
            <w:pPr/>
          </w:p>
        </w:tc>
      </w:tr>
      <w:tr>
        <w:trPr>
          <w:trHeight w:val="317" w:hRule="exact"/>
        </w:trPr>
        <w:tc>
          <w:tcPr>
            <w:tcW w:w="1367" w:type="dxa"/>
            <w:vMerge/>
            <w:tcBorders>
              <w:left w:val="single" w:sz="12" w:space="0" w:color="000000"/>
              <w:bottom w:val="single" w:sz="4" w:space="0" w:color="000000"/>
              <w:right w:val="single" w:sz="4" w:space="0" w:color="000000"/>
            </w:tcBorders>
            <w:shd w:val="clear" w:color="auto" w:fill="D2D2D2"/>
          </w:tcPr>
          <w:p>
            <w:pPr/>
          </w:p>
        </w:tc>
        <w:tc>
          <w:tcPr>
            <w:tcW w:w="1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2" w:type="dxa"/>
            <w:vMerge/>
            <w:tcBorders>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2" w:type="dxa"/>
            <w:vMerge/>
            <w:tcBorders>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385"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3"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399" w:type="dxa"/>
            <w:tcBorders>
              <w:top w:val="single" w:sz="4" w:space="0" w:color="000000"/>
              <w:left w:val="single" w:sz="10" w:space="0" w:color="D2D2D2"/>
              <w:bottom w:val="single" w:sz="4" w:space="0" w:color="000000"/>
              <w:right w:val="single" w:sz="4" w:space="0" w:color="000000"/>
            </w:tcBorders>
          </w:tcPr>
          <w:p>
            <w:pPr/>
          </w:p>
        </w:tc>
        <w:tc>
          <w:tcPr>
            <w:tcW w:w="138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6"/>
              <w:ind w:left="316" w:right="0"/>
              <w:jc w:val="left"/>
              <w:rPr>
                <w:rFonts w:ascii="Times New Roman" w:hAnsi="Times New Roman" w:cs="Times New Roman" w:eastAsia="Times New Roman" w:hint="default"/>
                <w:sz w:val="18"/>
                <w:szCs w:val="18"/>
              </w:rPr>
            </w:pPr>
            <w:r>
              <w:rPr>
                <w:rFonts w:ascii="Times New Roman"/>
                <w:sz w:val="18"/>
              </w:rPr>
              <w:t>25,819,827.09</w:t>
            </w:r>
          </w:p>
        </w:tc>
        <w:tc>
          <w:tcPr>
            <w:tcW w:w="1388" w:type="dxa"/>
            <w:tcBorders>
              <w:top w:val="single" w:sz="48" w:space="0" w:color="D2D2D2"/>
              <w:left w:val="single" w:sz="4" w:space="0" w:color="000000"/>
              <w:bottom w:val="single" w:sz="4" w:space="0" w:color="000000"/>
              <w:right w:val="single" w:sz="4" w:space="0" w:color="000000"/>
            </w:tcBorders>
          </w:tcPr>
          <w:p>
            <w:pPr/>
          </w:p>
        </w:tc>
        <w:tc>
          <w:tcPr>
            <w:tcW w:w="1382" w:type="dxa"/>
            <w:tcBorders>
              <w:top w:val="single" w:sz="48" w:space="0" w:color="D2D2D2"/>
              <w:left w:val="single" w:sz="4" w:space="0" w:color="000000"/>
              <w:bottom w:val="single" w:sz="4" w:space="0" w:color="000000"/>
              <w:right w:val="single" w:sz="4" w:space="0" w:color="000000"/>
            </w:tcBorders>
          </w:tcPr>
          <w:p>
            <w:pPr/>
          </w:p>
        </w:tc>
        <w:tc>
          <w:tcPr>
            <w:tcW w:w="1388" w:type="dxa"/>
            <w:tcBorders>
              <w:top w:val="single" w:sz="48" w:space="0" w:color="D2D2D2"/>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25,819,827.09</w:t>
            </w:r>
          </w:p>
        </w:tc>
      </w:tr>
      <w:tr>
        <w:trPr>
          <w:trHeight w:val="410" w:hRule="exact"/>
        </w:trPr>
        <w:tc>
          <w:tcPr>
            <w:tcW w:w="13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1399"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8,089,254.51</w:t>
            </w:r>
          </w:p>
        </w:tc>
        <w:tc>
          <w:tcPr>
            <w:tcW w:w="1382" w:type="dxa"/>
            <w:tcBorders>
              <w:top w:val="single" w:sz="4" w:space="0" w:color="000000"/>
              <w:left w:val="single" w:sz="4" w:space="0" w:color="000000"/>
              <w:bottom w:val="single" w:sz="12" w:space="0" w:color="000000"/>
              <w:right w:val="single" w:sz="4" w:space="0" w:color="000000"/>
            </w:tcBorders>
          </w:tcPr>
          <w:p>
            <w:pPr/>
          </w:p>
        </w:tc>
        <w:tc>
          <w:tcPr>
            <w:tcW w:w="1388" w:type="dxa"/>
            <w:tcBorders>
              <w:top w:val="single" w:sz="4" w:space="0" w:color="000000"/>
              <w:left w:val="single" w:sz="4" w:space="0" w:color="000000"/>
              <w:bottom w:val="single" w:sz="12" w:space="0" w:color="000000"/>
              <w:right w:val="single" w:sz="4" w:space="0" w:color="000000"/>
            </w:tcBorders>
          </w:tcPr>
          <w:p>
            <w:pPr/>
          </w:p>
        </w:tc>
        <w:tc>
          <w:tcPr>
            <w:tcW w:w="1382" w:type="dxa"/>
            <w:tcBorders>
              <w:top w:val="single" w:sz="4" w:space="0" w:color="000000"/>
              <w:left w:val="single" w:sz="4" w:space="0" w:color="000000"/>
              <w:bottom w:val="single" w:sz="12" w:space="0" w:color="000000"/>
              <w:right w:val="single" w:sz="4" w:space="0" w:color="000000"/>
            </w:tcBorders>
          </w:tcPr>
          <w:p>
            <w:pPr/>
          </w:p>
        </w:tc>
        <w:tc>
          <w:tcPr>
            <w:tcW w:w="1388"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8,089,254.51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384"/>
        <w:gridCol w:w="1388"/>
        <w:gridCol w:w="1382"/>
        <w:gridCol w:w="1388"/>
        <w:gridCol w:w="1382"/>
        <w:gridCol w:w="1388"/>
        <w:gridCol w:w="1385"/>
      </w:tblGrid>
      <w:tr>
        <w:trPr>
          <w:trHeight w:val="413" w:hRule="exact"/>
        </w:trPr>
        <w:tc>
          <w:tcPr>
            <w:tcW w:w="138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3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67,799,743.23</w:t>
            </w:r>
          </w:p>
        </w:tc>
        <w:tc>
          <w:tcPr>
            <w:tcW w:w="13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154,890,943.10</w:t>
            </w:r>
          </w:p>
        </w:tc>
        <w:tc>
          <w:tcPr>
            <w:tcW w:w="1388" w:type="dxa"/>
            <w:tcBorders>
              <w:top w:val="single" w:sz="12" w:space="0" w:color="000000"/>
              <w:left w:val="single" w:sz="4" w:space="0" w:color="000000"/>
              <w:bottom w:val="single" w:sz="4" w:space="0" w:color="000000"/>
              <w:right w:val="single" w:sz="4" w:space="0" w:color="000000"/>
            </w:tcBorders>
          </w:tcPr>
          <w:p>
            <w:pPr/>
          </w:p>
        </w:tc>
        <w:tc>
          <w:tcPr>
            <w:tcW w:w="1382" w:type="dxa"/>
            <w:tcBorders>
              <w:top w:val="single" w:sz="12" w:space="0" w:color="000000"/>
              <w:left w:val="single" w:sz="4" w:space="0" w:color="000000"/>
              <w:bottom w:val="single" w:sz="4" w:space="0" w:color="000000"/>
              <w:right w:val="single" w:sz="4" w:space="0" w:color="000000"/>
            </w:tcBorders>
          </w:tcPr>
          <w:p>
            <w:pPr/>
          </w:p>
        </w:tc>
        <w:tc>
          <w:tcPr>
            <w:tcW w:w="1388"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222,690,686.33</w:t>
            </w: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14,419,607.42</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14,419,607.42</w:t>
            </w: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15,238,519.95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15,238,519.95</w:t>
            </w: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和阳环境</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2,539,079.66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2,539,079.66</w:t>
            </w: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百隆工程</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4,160,073.30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4,160,073.30</w:t>
            </w: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6,284,914.80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6,284,914.80</w:t>
            </w: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山西腾星</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19,949,718.83</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19,949,718.83</w:t>
            </w:r>
          </w:p>
        </w:tc>
      </w:tr>
      <w:tr>
        <w:trPr>
          <w:trHeight w:val="410" w:hRule="exact"/>
        </w:trPr>
        <w:tc>
          <w:tcPr>
            <w:tcW w:w="138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96,593,519.96</w:t>
            </w: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222,598,161.93</w:t>
            </w:r>
          </w:p>
        </w:tc>
        <w:tc>
          <w:tcPr>
            <w:tcW w:w="1388" w:type="dxa"/>
            <w:tcBorders>
              <w:top w:val="single" w:sz="4" w:space="0" w:color="000000"/>
              <w:left w:val="single" w:sz="4" w:space="0" w:color="000000"/>
              <w:bottom w:val="single" w:sz="12" w:space="0" w:color="000000"/>
              <w:right w:val="single" w:sz="4" w:space="0" w:color="000000"/>
            </w:tcBorders>
          </w:tcPr>
          <w:p>
            <w:pPr/>
          </w:p>
        </w:tc>
        <w:tc>
          <w:tcPr>
            <w:tcW w:w="1382" w:type="dxa"/>
            <w:tcBorders>
              <w:top w:val="single" w:sz="4" w:space="0" w:color="000000"/>
              <w:left w:val="single" w:sz="4" w:space="0" w:color="000000"/>
              <w:bottom w:val="single" w:sz="12" w:space="0" w:color="000000"/>
              <w:right w:val="single" w:sz="4" w:space="0" w:color="000000"/>
            </w:tcBorders>
          </w:tcPr>
          <w:p>
            <w:pPr/>
          </w:p>
        </w:tc>
        <w:tc>
          <w:tcPr>
            <w:tcW w:w="1388"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319,191,681.89</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1"/>
        <w:rPr>
          <w:rFonts w:ascii="宋体" w:hAnsi="宋体" w:cs="宋体" w:eastAsia="宋体" w:hint="default"/>
          <w:sz w:val="13"/>
          <w:szCs w:val="13"/>
        </w:rPr>
      </w:pPr>
    </w:p>
    <w:p>
      <w:pPr>
        <w:pStyle w:val="BodyText"/>
        <w:spacing w:line="408" w:lineRule="auto" w:before="0"/>
        <w:ind w:right="1126" w:firstLine="420"/>
        <w:jc w:val="both"/>
      </w:pPr>
      <w:r>
        <w:rPr>
          <w:spacing w:val="-2"/>
        </w:rPr>
        <w:t>公司将商誉在所收购子公司的整体资产与业务确定为一个资产组或资产组组合进行减值测试，其主要</w:t>
      </w:r>
      <w:r>
        <w:rPr>
          <w:w w:val="100"/>
        </w:rPr>
        <w:t> </w:t>
      </w:r>
      <w:r>
        <w:rPr>
          <w:spacing w:val="-2"/>
        </w:rPr>
        <w:t>现金流入独立于其他资产或资产组的现金流入，资产组或资产组组合范围包括组成资产组的固定资产、在</w:t>
      </w:r>
      <w:r>
        <w:rPr>
          <w:spacing w:val="-44"/>
        </w:rPr>
        <w:t> </w:t>
      </w:r>
      <w:r>
        <w:rPr>
          <w:spacing w:val="-44"/>
        </w:rPr>
      </w:r>
      <w:r>
        <w:rPr>
          <w:spacing w:val="-2"/>
        </w:rPr>
        <w:t>建工程、无形资产等长期资产，各资产组或资产组组合与购买日及以前年度商誉减值测试所确认的资产组</w:t>
      </w:r>
      <w:r>
        <w:rPr>
          <w:spacing w:val="-43"/>
        </w:rPr>
        <w:t> </w:t>
      </w:r>
      <w:r>
        <w:rPr>
          <w:spacing w:val="-43"/>
        </w:rPr>
      </w:r>
      <w:r>
        <w:rPr/>
        <w:t>一致。</w:t>
      </w:r>
    </w:p>
    <w:p>
      <w:pPr>
        <w:pStyle w:val="BodyText"/>
        <w:spacing w:line="408" w:lineRule="auto"/>
        <w:ind w:right="1126" w:firstLine="420"/>
        <w:jc w:val="both"/>
      </w:pPr>
      <w:r>
        <w:rPr>
          <w:spacing w:val="-2"/>
        </w:rPr>
        <w:t>沈阳金建、嘉园环保、雪城软件、和阳环境、百隆工程、山西腾星资产组预计未来现金流量现值（可</w:t>
      </w:r>
      <w:r>
        <w:rPr>
          <w:w w:val="100"/>
        </w:rPr>
        <w:t> </w:t>
      </w:r>
      <w:r>
        <w:rPr>
          <w:spacing w:val="-2"/>
        </w:rPr>
        <w:t>收回金额）参考利用了中联资产评估集团有限公司出具的《汉威科技集团股份有限公司拟对合并形成的商</w:t>
      </w:r>
      <w:r>
        <w:rPr>
          <w:spacing w:val="-42"/>
        </w:rPr>
        <w:t> </w:t>
      </w:r>
      <w:r>
        <w:rPr>
          <w:spacing w:val="-42"/>
        </w:rPr>
      </w:r>
      <w:r>
        <w:rPr/>
        <w:t>誉进行减值测试所涉及其商誉及相关资产组预计未来现金流量现值资产评估报告》。</w:t>
      </w:r>
    </w:p>
    <w:p>
      <w:pPr>
        <w:spacing w:line="319" w:lineRule="auto" w:before="31"/>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pStyle w:val="BodyText"/>
        <w:spacing w:line="408" w:lineRule="auto" w:before="111"/>
        <w:ind w:right="1140" w:firstLine="420"/>
        <w:jc w:val="both"/>
      </w:pPr>
      <w:r>
        <w:rPr>
          <w:spacing w:val="2"/>
        </w:rPr>
        <w:t>公司按照资产组未来预计现金流量和能够反映相关资产组特定风险的税前折现利率计算现值确定资</w:t>
      </w:r>
      <w:r>
        <w:rPr>
          <w:w w:val="100"/>
        </w:rPr>
        <w:t> </w:t>
      </w:r>
      <w:r>
        <w:rPr/>
        <w:t>产组可回收价值以</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日为基准日进行商誉减值测算。</w:t>
      </w:r>
    </w:p>
    <w:p>
      <w:pPr>
        <w:pStyle w:val="BodyText"/>
        <w:spacing w:line="408" w:lineRule="auto"/>
        <w:ind w:left="573" w:right="0"/>
        <w:jc w:val="left"/>
      </w:pPr>
      <w:r>
        <w:rPr/>
        <w:t>可收回价值的测算假设、依据及方法：</w:t>
      </w:r>
      <w:r>
        <w:rPr>
          <w:w w:val="100"/>
        </w:rPr>
        <w:t> </w:t>
      </w:r>
      <w:r>
        <w:rPr>
          <w:rFonts w:ascii="宋体" w:hAnsi="宋体" w:cs="宋体" w:eastAsia="宋体" w:hint="default"/>
          <w:spacing w:val="-2"/>
        </w:rPr>
        <w:t>1</w:t>
      </w:r>
      <w:r>
        <w:rPr>
          <w:spacing w:val="-2"/>
        </w:rPr>
        <w:t>）资产持续经营假设：资产持续经营假设是指评估时需根据被评估资产按目前的用途和使用的方式、</w:t>
      </w:r>
    </w:p>
    <w:p>
      <w:pPr>
        <w:pStyle w:val="BodyText"/>
        <w:spacing w:line="408" w:lineRule="auto"/>
        <w:ind w:left="573" w:right="0" w:hanging="421"/>
        <w:jc w:val="left"/>
      </w:pPr>
      <w:r>
        <w:rPr>
          <w:spacing w:val="-2"/>
        </w:rPr>
        <w:t>规模、频度、环境等情况继续使用，或者在有所改变的基础上使用，相应确定评估方法、参数和依据；</w:t>
      </w:r>
      <w:r>
        <w:rPr>
          <w:spacing w:val="-21"/>
        </w:rPr>
        <w:t> </w:t>
      </w:r>
      <w:r>
        <w:rPr>
          <w:spacing w:val="-21"/>
        </w:rPr>
      </w:r>
      <w:r>
        <w:rPr>
          <w:rFonts w:ascii="宋体" w:hAnsi="宋体" w:cs="宋体" w:eastAsia="宋体" w:hint="default"/>
        </w:rPr>
        <w:t>2</w:t>
      </w:r>
      <w:r>
        <w:rPr/>
        <w:t>）国家现行的宏观经济、金融以及产业等政策不发生重大变化；</w:t>
      </w:r>
    </w:p>
    <w:p>
      <w:pPr>
        <w:pStyle w:val="BodyText"/>
        <w:spacing w:line="240" w:lineRule="auto"/>
        <w:ind w:left="573" w:right="0"/>
        <w:jc w:val="left"/>
      </w:pPr>
      <w:r>
        <w:rPr>
          <w:rFonts w:ascii="宋体" w:hAnsi="宋体" w:cs="宋体" w:eastAsia="宋体" w:hint="default"/>
        </w:rPr>
        <w:t>3</w:t>
      </w:r>
      <w:r>
        <w:rPr/>
        <w:t>）社会经济环境以及所执行的税赋、税率等政策无重大变化；</w:t>
      </w:r>
    </w:p>
    <w:p>
      <w:pPr>
        <w:spacing w:line="240" w:lineRule="auto" w:before="11"/>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4</w:t>
      </w:r>
      <w:r>
        <w:rPr/>
        <w:t>）未来的经营管理班子尽职，并继续保持现有的经营管理模式持续经营；</w:t>
      </w:r>
    </w:p>
    <w:p>
      <w:pPr>
        <w:spacing w:line="240" w:lineRule="auto" w:before="10"/>
        <w:rPr>
          <w:rFonts w:ascii="宋体" w:hAnsi="宋体" w:cs="宋体" w:eastAsia="宋体" w:hint="default"/>
          <w:sz w:val="14"/>
          <w:szCs w:val="14"/>
        </w:rPr>
      </w:pPr>
    </w:p>
    <w:p>
      <w:pPr>
        <w:pStyle w:val="BodyText"/>
        <w:spacing w:line="408" w:lineRule="auto" w:before="0"/>
        <w:ind w:right="1126" w:firstLine="420"/>
        <w:jc w:val="both"/>
      </w:pPr>
      <w:r>
        <w:rPr>
          <w:rFonts w:ascii="宋体" w:hAnsi="宋体" w:cs="宋体" w:eastAsia="宋体" w:hint="default"/>
        </w:rPr>
        <w:t>5</w:t>
      </w:r>
      <w:r>
        <w:rPr/>
        <w:t>）评估对象的未来经营期内涉及的主营业务、收入与成本的构成以及经营策略等仍保持其最近几年</w:t>
      </w:r>
      <w:r>
        <w:rPr>
          <w:w w:val="100"/>
        </w:rPr>
        <w:t> </w:t>
      </w:r>
      <w:r>
        <w:rPr>
          <w:spacing w:val="-2"/>
        </w:rPr>
        <w:t>的状态持续，而不发生较大变化。不考虑未来可能由于主要经营管理团队的经营管理策略变化以及商业环</w:t>
      </w:r>
      <w:r>
        <w:rPr>
          <w:spacing w:val="-43"/>
        </w:rPr>
        <w:t> </w:t>
      </w:r>
      <w:r>
        <w:rPr>
          <w:spacing w:val="-43"/>
        </w:rPr>
      </w:r>
      <w:r>
        <w:rPr/>
        <w:t>境变化等导致的主营业务状况的变化所带来的损益；</w:t>
      </w:r>
    </w:p>
    <w:p>
      <w:pPr>
        <w:pStyle w:val="BodyText"/>
        <w:spacing w:line="408" w:lineRule="auto"/>
        <w:ind w:right="1136" w:firstLine="420"/>
        <w:jc w:val="both"/>
      </w:pPr>
      <w:r>
        <w:rPr>
          <w:rFonts w:ascii="宋体" w:hAnsi="宋体" w:cs="宋体" w:eastAsia="宋体" w:hint="default"/>
        </w:rPr>
        <w:t>6</w:t>
      </w:r>
      <w:r>
        <w:rPr/>
        <w:t>）在未来的经营期内，评估对象的营业和管理等各项期间费用不会在现有基础上发生大幅的变化，</w:t>
      </w:r>
      <w:r>
        <w:rPr>
          <w:w w:val="100"/>
        </w:rPr>
        <w:t> </w:t>
      </w:r>
      <w:r>
        <w:rPr/>
        <w:t>仍将保持其最近几年的变化趋势，并随经营规模的变化而同步变动；</w:t>
      </w:r>
    </w:p>
    <w:p>
      <w:pPr>
        <w:spacing w:after="0" w:line="408"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343" w:lineRule="auto" w:before="175"/>
        <w:ind w:left="573" w:right="4274"/>
        <w:jc w:val="left"/>
      </w:pPr>
      <w:r>
        <w:rPr>
          <w:rFonts w:ascii="宋体" w:hAnsi="宋体" w:cs="宋体" w:eastAsia="宋体" w:hint="default"/>
          <w:spacing w:val="-2"/>
        </w:rPr>
        <w:t>7</w:t>
      </w:r>
      <w:r>
        <w:rPr>
          <w:spacing w:val="-2"/>
        </w:rPr>
        <w:t>）假设含商誉资产组的基础资料和财务资料真实、准确、完整。</w:t>
      </w:r>
      <w:r>
        <w:rPr>
          <w:spacing w:val="-52"/>
        </w:rPr>
        <w:t> </w:t>
      </w:r>
      <w:r>
        <w:rPr>
          <w:spacing w:val="-52"/>
        </w:rPr>
      </w:r>
      <w:r>
        <w:rPr/>
        <w:t>关键参数信息：</w:t>
      </w:r>
    </w:p>
    <w:p>
      <w:pPr>
        <w:spacing w:line="240" w:lineRule="auto" w:before="11"/>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1313"/>
        <w:gridCol w:w="1121"/>
        <w:gridCol w:w="1441"/>
        <w:gridCol w:w="1440"/>
        <w:gridCol w:w="3034"/>
        <w:gridCol w:w="1320"/>
      </w:tblGrid>
      <w:tr>
        <w:trPr>
          <w:trHeight w:val="353" w:hRule="exact"/>
        </w:trPr>
        <w:tc>
          <w:tcPr>
            <w:tcW w:w="1313" w:type="dxa"/>
            <w:vMerge w:val="restart"/>
            <w:tcBorders>
              <w:top w:val="single" w:sz="12" w:space="0" w:color="000000"/>
              <w:left w:val="single" w:sz="12"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316" w:lineRule="auto"/>
              <w:ind w:left="286" w:right="15" w:hanging="270"/>
              <w:jc w:val="left"/>
              <w:rPr>
                <w:rFonts w:ascii="宋体" w:hAnsi="宋体" w:cs="宋体" w:eastAsia="宋体" w:hint="default"/>
                <w:sz w:val="18"/>
                <w:szCs w:val="18"/>
              </w:rPr>
            </w:pPr>
            <w:r>
              <w:rPr>
                <w:rFonts w:ascii="宋体" w:hAnsi="宋体" w:cs="宋体" w:eastAsia="宋体" w:hint="default"/>
                <w:sz w:val="18"/>
                <w:szCs w:val="18"/>
              </w:rPr>
              <w:t>资产组或资产组 组合名称</w:t>
            </w:r>
          </w:p>
        </w:tc>
        <w:tc>
          <w:tcPr>
            <w:tcW w:w="8356" w:type="dxa"/>
            <w:gridSpan w:val="5"/>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0"/>
              <w:ind w:left="11" w:right="0"/>
              <w:jc w:val="center"/>
              <w:rPr>
                <w:rFonts w:ascii="宋体" w:hAnsi="宋体" w:cs="宋体" w:eastAsia="宋体" w:hint="default"/>
                <w:sz w:val="18"/>
                <w:szCs w:val="18"/>
              </w:rPr>
            </w:pPr>
            <w:r>
              <w:rPr>
                <w:rFonts w:ascii="宋体" w:hAnsi="宋体" w:cs="宋体" w:eastAsia="宋体" w:hint="default"/>
                <w:sz w:val="18"/>
                <w:szCs w:val="18"/>
              </w:rPr>
              <w:t>关键参数</w:t>
            </w:r>
          </w:p>
        </w:tc>
      </w:tr>
      <w:tr>
        <w:trPr>
          <w:trHeight w:val="965" w:hRule="exact"/>
        </w:trPr>
        <w:tc>
          <w:tcPr>
            <w:tcW w:w="1313" w:type="dxa"/>
            <w:vMerge/>
            <w:tcBorders>
              <w:left w:val="single" w:sz="12" w:space="0" w:color="000000"/>
              <w:bottom w:val="single" w:sz="4" w:space="0" w:color="000000"/>
              <w:right w:val="single" w:sz="4" w:space="0" w:color="000000"/>
            </w:tcBorders>
            <w:shd w:val="clear" w:color="auto" w:fill="D9D9D9"/>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预测期</w:t>
            </w:r>
          </w:p>
        </w:tc>
        <w:tc>
          <w:tcPr>
            <w:tcW w:w="14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预测期增长率</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稳定期增长率</w:t>
            </w:r>
          </w:p>
        </w:tc>
        <w:tc>
          <w:tcPr>
            <w:tcW w:w="30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利润率</w:t>
            </w:r>
          </w:p>
        </w:tc>
        <w:tc>
          <w:tcPr>
            <w:tcW w:w="1320" w:type="dxa"/>
            <w:tcBorders>
              <w:top w:val="single" w:sz="4" w:space="0" w:color="000000"/>
              <w:left w:val="single" w:sz="4" w:space="0" w:color="000000"/>
              <w:bottom w:val="single" w:sz="4" w:space="0" w:color="000000"/>
              <w:right w:val="single" w:sz="12" w:space="0" w:color="000000"/>
            </w:tcBorders>
            <w:shd w:val="clear" w:color="auto" w:fill="D9D9D9"/>
          </w:tcPr>
          <w:p>
            <w:pPr>
              <w:pStyle w:val="TableParagraph"/>
              <w:spacing w:line="309" w:lineRule="auto" w:before="17"/>
              <w:ind w:left="24" w:right="14"/>
              <w:jc w:val="center"/>
              <w:rPr>
                <w:rFonts w:ascii="宋体" w:hAnsi="宋体" w:cs="宋体" w:eastAsia="宋体" w:hint="default"/>
                <w:sz w:val="18"/>
                <w:szCs w:val="18"/>
              </w:rPr>
            </w:pPr>
            <w:r>
              <w:rPr>
                <w:rFonts w:ascii="宋体" w:hAnsi="宋体" w:cs="宋体" w:eastAsia="宋体" w:hint="default"/>
                <w:sz w:val="18"/>
                <w:szCs w:val="18"/>
              </w:rPr>
              <w:t>按加权平均资本 成本</w:t>
            </w:r>
            <w:r>
              <w:rPr>
                <w:rFonts w:ascii="Times New Roman" w:hAnsi="Times New Roman" w:cs="Times New Roman" w:eastAsia="Times New Roman" w:hint="default"/>
                <w:sz w:val="18"/>
                <w:szCs w:val="18"/>
              </w:rPr>
              <w:t>WACC</w:t>
            </w:r>
            <w:r>
              <w:rPr>
                <w:rFonts w:ascii="宋体" w:hAnsi="宋体" w:cs="宋体" w:eastAsia="宋体" w:hint="default"/>
                <w:sz w:val="18"/>
                <w:szCs w:val="18"/>
              </w:rPr>
              <w:t>计算 的折现率</w:t>
            </w:r>
          </w:p>
        </w:tc>
      </w:tr>
      <w:tr>
        <w:trPr>
          <w:trHeight w:val="343" w:hRule="exact"/>
        </w:trPr>
        <w:tc>
          <w:tcPr>
            <w:tcW w:w="13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left="10" w:right="0"/>
              <w:jc w:val="center"/>
              <w:rPr>
                <w:rFonts w:ascii="Times New Roman" w:hAnsi="Times New Roman" w:cs="Times New Roman" w:eastAsia="Times New Roman" w:hint="default"/>
                <w:sz w:val="18"/>
                <w:szCs w:val="18"/>
              </w:rPr>
            </w:pPr>
            <w:r>
              <w:rPr>
                <w:rFonts w:ascii="Times New Roman"/>
                <w:sz w:val="18"/>
              </w:rPr>
              <w:t>13.85%</w:t>
            </w:r>
          </w:p>
        </w:tc>
      </w:tr>
      <w:tr>
        <w:trPr>
          <w:trHeight w:val="341" w:hRule="exact"/>
        </w:trPr>
        <w:tc>
          <w:tcPr>
            <w:tcW w:w="13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43" w:hRule="exact"/>
        </w:trPr>
        <w:tc>
          <w:tcPr>
            <w:tcW w:w="13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高新供水</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left="10" w:right="0"/>
              <w:jc w:val="center"/>
              <w:rPr>
                <w:rFonts w:ascii="Times New Roman" w:hAnsi="Times New Roman" w:cs="Times New Roman" w:eastAsia="Times New Roman" w:hint="default"/>
                <w:sz w:val="18"/>
                <w:szCs w:val="18"/>
              </w:rPr>
            </w:pPr>
            <w:r>
              <w:rPr>
                <w:rFonts w:ascii="Times New Roman"/>
                <w:sz w:val="18"/>
              </w:rPr>
              <w:t>12.26%</w:t>
            </w:r>
          </w:p>
        </w:tc>
      </w:tr>
      <w:tr>
        <w:trPr>
          <w:trHeight w:val="341" w:hRule="exact"/>
        </w:trPr>
        <w:tc>
          <w:tcPr>
            <w:tcW w:w="13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10" w:right="0"/>
              <w:jc w:val="center"/>
              <w:rPr>
                <w:rFonts w:ascii="Times New Roman" w:hAnsi="Times New Roman" w:cs="Times New Roman" w:eastAsia="Times New Roman" w:hint="default"/>
                <w:sz w:val="18"/>
                <w:szCs w:val="18"/>
              </w:rPr>
            </w:pPr>
            <w:r>
              <w:rPr>
                <w:rFonts w:ascii="Times New Roman"/>
                <w:sz w:val="18"/>
              </w:rPr>
              <w:t>16.52%</w:t>
            </w:r>
          </w:p>
        </w:tc>
      </w:tr>
      <w:tr>
        <w:trPr>
          <w:trHeight w:val="344" w:hRule="exact"/>
        </w:trPr>
        <w:tc>
          <w:tcPr>
            <w:tcW w:w="13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left="10" w:right="0"/>
              <w:jc w:val="center"/>
              <w:rPr>
                <w:rFonts w:ascii="Times New Roman" w:hAnsi="Times New Roman" w:cs="Times New Roman" w:eastAsia="Times New Roman" w:hint="default"/>
                <w:sz w:val="18"/>
                <w:szCs w:val="18"/>
              </w:rPr>
            </w:pPr>
            <w:r>
              <w:rPr>
                <w:rFonts w:ascii="Times New Roman"/>
                <w:sz w:val="18"/>
              </w:rPr>
              <w:t>13.87%</w:t>
            </w:r>
          </w:p>
        </w:tc>
      </w:tr>
      <w:tr>
        <w:trPr>
          <w:trHeight w:val="341" w:hRule="exact"/>
        </w:trPr>
        <w:tc>
          <w:tcPr>
            <w:tcW w:w="13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和阳环境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10" w:right="0"/>
              <w:jc w:val="center"/>
              <w:rPr>
                <w:rFonts w:ascii="Times New Roman" w:hAnsi="Times New Roman" w:cs="Times New Roman" w:eastAsia="Times New Roman" w:hint="default"/>
                <w:sz w:val="18"/>
                <w:szCs w:val="18"/>
              </w:rPr>
            </w:pPr>
            <w:r>
              <w:rPr>
                <w:rFonts w:ascii="Times New Roman"/>
                <w:sz w:val="18"/>
              </w:rPr>
              <w:t>15.01%</w:t>
            </w:r>
          </w:p>
        </w:tc>
      </w:tr>
      <w:tr>
        <w:trPr>
          <w:trHeight w:val="343" w:hRule="exact"/>
        </w:trPr>
        <w:tc>
          <w:tcPr>
            <w:tcW w:w="13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left="10" w:right="0"/>
              <w:jc w:val="center"/>
              <w:rPr>
                <w:rFonts w:ascii="Times New Roman" w:hAnsi="Times New Roman" w:cs="Times New Roman" w:eastAsia="Times New Roman" w:hint="default"/>
                <w:sz w:val="18"/>
                <w:szCs w:val="18"/>
              </w:rPr>
            </w:pPr>
            <w:r>
              <w:rPr>
                <w:rFonts w:ascii="Times New Roman"/>
                <w:sz w:val="18"/>
              </w:rPr>
              <w:t>15.74%</w:t>
            </w:r>
          </w:p>
        </w:tc>
      </w:tr>
      <w:tr>
        <w:trPr>
          <w:trHeight w:val="341" w:hRule="exact"/>
        </w:trPr>
        <w:tc>
          <w:tcPr>
            <w:tcW w:w="13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百隆工程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10" w:right="0"/>
              <w:jc w:val="center"/>
              <w:rPr>
                <w:rFonts w:ascii="Times New Roman" w:hAnsi="Times New Roman" w:cs="Times New Roman" w:eastAsia="Times New Roman" w:hint="default"/>
                <w:sz w:val="18"/>
                <w:szCs w:val="18"/>
              </w:rPr>
            </w:pPr>
            <w:r>
              <w:rPr>
                <w:rFonts w:ascii="Times New Roman"/>
                <w:sz w:val="18"/>
              </w:rPr>
              <w:t>14.23%</w:t>
            </w:r>
          </w:p>
        </w:tc>
      </w:tr>
      <w:tr>
        <w:trPr>
          <w:trHeight w:val="343" w:hRule="exact"/>
        </w:trPr>
        <w:tc>
          <w:tcPr>
            <w:tcW w:w="131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高新热力</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0.00%</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3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2"/>
              <w:ind w:left="10" w:right="0"/>
              <w:jc w:val="center"/>
              <w:rPr>
                <w:rFonts w:ascii="Times New Roman" w:hAnsi="Times New Roman" w:cs="Times New Roman" w:eastAsia="Times New Roman" w:hint="default"/>
                <w:sz w:val="18"/>
                <w:szCs w:val="18"/>
              </w:rPr>
            </w:pPr>
            <w:r>
              <w:rPr>
                <w:rFonts w:ascii="Times New Roman"/>
                <w:sz w:val="18"/>
              </w:rPr>
              <w:t>14.24%</w:t>
            </w:r>
          </w:p>
        </w:tc>
      </w:tr>
      <w:tr>
        <w:trPr>
          <w:trHeight w:val="353" w:hRule="exact"/>
        </w:trPr>
        <w:tc>
          <w:tcPr>
            <w:tcW w:w="131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山西腾星</w:t>
            </w:r>
          </w:p>
        </w:tc>
        <w:tc>
          <w:tcPr>
            <w:tcW w:w="11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0.00%</w:t>
            </w:r>
          </w:p>
        </w:tc>
        <w:tc>
          <w:tcPr>
            <w:tcW w:w="30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根据预测收入、成本、费用计算</w:t>
            </w:r>
          </w:p>
        </w:tc>
        <w:tc>
          <w:tcPr>
            <w:tcW w:w="13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0"/>
              <w:ind w:left="10" w:right="0"/>
              <w:jc w:val="center"/>
              <w:rPr>
                <w:rFonts w:ascii="Times New Roman" w:hAnsi="Times New Roman" w:cs="Times New Roman" w:eastAsia="Times New Roman" w:hint="default"/>
                <w:sz w:val="18"/>
                <w:szCs w:val="18"/>
              </w:rPr>
            </w:pPr>
            <w:r>
              <w:rPr>
                <w:rFonts w:ascii="Times New Roman"/>
                <w:sz w:val="18"/>
              </w:rPr>
              <w:t>15.79%</w:t>
            </w:r>
          </w:p>
        </w:tc>
      </w:tr>
    </w:tbl>
    <w:p>
      <w:pPr>
        <w:spacing w:line="316" w:lineRule="auto" w:before="8"/>
        <w:ind w:left="152" w:right="1091" w:firstLine="319"/>
        <w:jc w:val="both"/>
        <w:rPr>
          <w:rFonts w:ascii="宋体" w:hAnsi="宋体" w:cs="宋体" w:eastAsia="宋体" w:hint="default"/>
          <w:sz w:val="18"/>
          <w:szCs w:val="18"/>
        </w:rPr>
      </w:pPr>
      <w:r>
        <w:rPr>
          <w:rFonts w:ascii="宋体" w:hAnsi="宋体" w:cs="宋体" w:eastAsia="宋体" w:hint="default"/>
          <w:sz w:val="18"/>
          <w:szCs w:val="18"/>
        </w:rPr>
        <w:t>注：公司根据各资产组已经签订的合同、协议、发展规划、历年经营趋势和市场竞争等因素综合分析，结合在建项目、 </w:t>
      </w:r>
      <w:r>
        <w:rPr>
          <w:rFonts w:ascii="宋体" w:hAnsi="宋体" w:cs="宋体" w:eastAsia="宋体" w:hint="default"/>
          <w:spacing w:val="-2"/>
          <w:sz w:val="18"/>
          <w:szCs w:val="18"/>
        </w:rPr>
        <w:t>已中标未开工项目、预计中标项目情况以及考虑行业特性、行业发展前景、行业竞争的激烈程度及企业所处市场地位等综合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因素，对预测日未来</w:t>
      </w:r>
      <w:r>
        <w:rPr>
          <w:rFonts w:ascii="Times New Roman" w:hAnsi="Times New Roman" w:cs="Times New Roman" w:eastAsia="Times New Roman" w:hint="default"/>
          <w:sz w:val="18"/>
          <w:szCs w:val="18"/>
        </w:rPr>
        <w:t>2020-2024</w:t>
      </w:r>
      <w:r>
        <w:rPr>
          <w:rFonts w:ascii="宋体" w:hAnsi="宋体" w:cs="宋体" w:eastAsia="宋体" w:hint="default"/>
          <w:sz w:val="18"/>
          <w:szCs w:val="18"/>
        </w:rPr>
        <w:t>年的收入、成本、费用等进行预测。</w:t>
      </w:r>
    </w:p>
    <w:p>
      <w:pPr>
        <w:spacing w:line="248" w:lineRule="exact" w:before="0"/>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）沈阳金建主要从事地理信息系统软件开发销售，</w:t>
      </w:r>
      <w:r>
        <w:rPr>
          <w:rFonts w:ascii="Times New Roman" w:hAnsi="Times New Roman" w:cs="Times New Roman" w:eastAsia="Times New Roman" w:hint="default"/>
          <w:sz w:val="18"/>
          <w:szCs w:val="18"/>
        </w:rPr>
        <w:t>5</w:t>
      </w:r>
      <w:r>
        <w:rPr>
          <w:rFonts w:ascii="宋体" w:hAnsi="宋体" w:cs="宋体" w:eastAsia="宋体" w:hint="default"/>
          <w:sz w:val="18"/>
          <w:szCs w:val="18"/>
        </w:rPr>
        <w:t>年预测期增长率为</w:t>
      </w:r>
      <w:r>
        <w:rPr>
          <w:rFonts w:ascii="Times New Roman" w:hAnsi="Times New Roman" w:cs="Times New Roman" w:eastAsia="Times New Roman" w:hint="default"/>
          <w:sz w:val="18"/>
          <w:szCs w:val="18"/>
        </w:rPr>
        <w:t>41.53%</w:t>
      </w:r>
      <w:r>
        <w:rPr>
          <w:rFonts w:ascii="宋体" w:hAnsi="宋体" w:cs="宋体" w:eastAsia="宋体" w:hint="default"/>
          <w:sz w:val="18"/>
          <w:szCs w:val="18"/>
        </w:rPr>
        <w:t>、</w:t>
      </w:r>
      <w:r>
        <w:rPr>
          <w:rFonts w:ascii="Times New Roman" w:hAnsi="Times New Roman" w:cs="Times New Roman" w:eastAsia="Times New Roman" w:hint="default"/>
          <w:sz w:val="18"/>
          <w:szCs w:val="18"/>
        </w:rPr>
        <w:t>-9.67%</w:t>
      </w:r>
      <w:r>
        <w:rPr>
          <w:rFonts w:ascii="宋体" w:hAnsi="宋体" w:cs="宋体" w:eastAsia="宋体" w:hint="default"/>
          <w:sz w:val="18"/>
          <w:szCs w:val="18"/>
        </w:rPr>
        <w:t>、</w:t>
      </w:r>
      <w:r>
        <w:rPr>
          <w:rFonts w:ascii="Times New Roman" w:hAnsi="Times New Roman" w:cs="Times New Roman" w:eastAsia="Times New Roman" w:hint="default"/>
          <w:sz w:val="18"/>
          <w:szCs w:val="18"/>
        </w:rPr>
        <w:t>-3.41%</w:t>
      </w:r>
      <w:r>
        <w:rPr>
          <w:rFonts w:ascii="宋体" w:hAnsi="宋体" w:cs="宋体" w:eastAsia="宋体" w:hint="default"/>
          <w:sz w:val="18"/>
          <w:szCs w:val="18"/>
        </w:rPr>
        <w:t>、</w:t>
      </w:r>
      <w:r>
        <w:rPr>
          <w:rFonts w:ascii="Times New Roman" w:hAnsi="Times New Roman" w:cs="Times New Roman" w:eastAsia="Times New Roman" w:hint="default"/>
          <w:sz w:val="18"/>
          <w:szCs w:val="18"/>
        </w:rPr>
        <w:t>8.84%</w:t>
      </w:r>
      <w:r>
        <w:rPr>
          <w:rFonts w:ascii="宋体" w:hAnsi="宋体" w:cs="宋体" w:eastAsia="宋体" w:hint="default"/>
          <w:sz w:val="18"/>
          <w:szCs w:val="18"/>
        </w:rPr>
        <w:t>、</w:t>
      </w:r>
      <w:r>
        <w:rPr>
          <w:rFonts w:ascii="Times New Roman" w:hAnsi="Times New Roman" w:cs="Times New Roman" w:eastAsia="Times New Roman" w:hint="default"/>
          <w:sz w:val="18"/>
          <w:szCs w:val="18"/>
        </w:rPr>
        <w:t>8.94%</w:t>
      </w:r>
      <w:r>
        <w:rPr>
          <w:rFonts w:ascii="宋体" w:hAnsi="宋体" w:cs="宋体" w:eastAsia="宋体" w:hint="default"/>
          <w:sz w:val="18"/>
          <w:szCs w:val="18"/>
        </w:rPr>
        <w:t>；</w:t>
      </w:r>
    </w:p>
    <w:p>
      <w:pPr>
        <w:spacing w:before="6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）嘉园环保主要从事环保工程及</w:t>
      </w:r>
      <w:r>
        <w:rPr>
          <w:rFonts w:ascii="Times New Roman" w:hAnsi="Times New Roman" w:cs="Times New Roman" w:eastAsia="Times New Roman" w:hint="default"/>
          <w:spacing w:val="2"/>
          <w:sz w:val="18"/>
          <w:szCs w:val="18"/>
        </w:rPr>
        <w:t>BOT</w:t>
      </w:r>
      <w:r>
        <w:rPr>
          <w:rFonts w:ascii="宋体" w:hAnsi="宋体" w:cs="宋体" w:eastAsia="宋体" w:hint="default"/>
          <w:spacing w:val="2"/>
          <w:sz w:val="18"/>
          <w:szCs w:val="18"/>
        </w:rPr>
        <w:t>项目运营，资产组组合中非</w:t>
      </w:r>
      <w:r>
        <w:rPr>
          <w:rFonts w:ascii="Times New Roman" w:hAnsi="Times New Roman" w:cs="Times New Roman" w:eastAsia="Times New Roman" w:hint="default"/>
          <w:spacing w:val="2"/>
          <w:sz w:val="18"/>
          <w:szCs w:val="18"/>
        </w:rPr>
        <w:t>BOT</w:t>
      </w:r>
      <w:r>
        <w:rPr>
          <w:rFonts w:ascii="宋体" w:hAnsi="宋体" w:cs="宋体" w:eastAsia="宋体" w:hint="default"/>
          <w:spacing w:val="2"/>
          <w:sz w:val="18"/>
          <w:szCs w:val="18"/>
        </w:rPr>
        <w:t>资产组预测期</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年，从事环保工程资产组折现率</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11.58%</w:t>
      </w:r>
      <w:r>
        <w:rPr>
          <w:rFonts w:ascii="宋体" w:hAnsi="宋体" w:cs="宋体" w:eastAsia="宋体" w:hint="default"/>
          <w:sz w:val="18"/>
          <w:szCs w:val="18"/>
        </w:rPr>
        <w:t>，为环保工程提供设备及技术服务资产组折现率</w:t>
      </w:r>
      <w:r>
        <w:rPr>
          <w:rFonts w:ascii="Times New Roman" w:hAnsi="Times New Roman" w:cs="Times New Roman" w:eastAsia="Times New Roman" w:hint="default"/>
          <w:sz w:val="18"/>
          <w:szCs w:val="18"/>
        </w:rPr>
        <w:t>12.74%</w:t>
      </w:r>
      <w:r>
        <w:rPr>
          <w:rFonts w:ascii="宋体" w:hAnsi="宋体" w:cs="宋体" w:eastAsia="宋体" w:hint="default"/>
          <w:sz w:val="18"/>
          <w:szCs w:val="18"/>
        </w:rPr>
        <w:t>；</w:t>
      </w:r>
      <w:r>
        <w:rPr>
          <w:rFonts w:ascii="Times New Roman" w:hAnsi="Times New Roman" w:cs="Times New Roman" w:eastAsia="Times New Roman" w:hint="default"/>
          <w:sz w:val="18"/>
          <w:szCs w:val="18"/>
        </w:rPr>
        <w:t>BOT</w:t>
      </w:r>
      <w:r>
        <w:rPr>
          <w:rFonts w:ascii="宋体" w:hAnsi="宋体" w:cs="宋体" w:eastAsia="宋体" w:hint="default"/>
          <w:sz w:val="18"/>
          <w:szCs w:val="18"/>
        </w:rPr>
        <w:t>资产组预测期根据合同约定运营期年限确定，折现率</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10.74%</w:t>
      </w:r>
      <w:r>
        <w:rPr>
          <w:rFonts w:ascii="宋体" w:hAnsi="宋体" w:cs="宋体" w:eastAsia="宋体" w:hint="default"/>
          <w:sz w:val="18"/>
          <w:szCs w:val="18"/>
        </w:rPr>
        <w:t>；预测期增长率按照资产组组合中的资产组分别确定；</w:t>
      </w:r>
    </w:p>
    <w:p>
      <w:pPr>
        <w:spacing w:before="6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）高新供水主要从事供水和供水工程，</w:t>
      </w:r>
      <w:r>
        <w:rPr>
          <w:rFonts w:ascii="Times New Roman" w:hAnsi="Times New Roman" w:cs="Times New Roman" w:eastAsia="Times New Roman" w:hint="default"/>
          <w:sz w:val="18"/>
          <w:szCs w:val="18"/>
        </w:rPr>
        <w:t>5</w:t>
      </w:r>
      <w:r>
        <w:rPr>
          <w:rFonts w:ascii="宋体" w:hAnsi="宋体" w:cs="宋体" w:eastAsia="宋体" w:hint="default"/>
          <w:sz w:val="18"/>
          <w:szCs w:val="18"/>
        </w:rPr>
        <w:t>年预测期增长率为</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spacing w:before="6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）广东龙泉主要从事技术服务及供水管网探漏，</w:t>
      </w:r>
      <w:r>
        <w:rPr>
          <w:rFonts w:ascii="Times New Roman" w:hAnsi="Times New Roman" w:cs="Times New Roman" w:eastAsia="Times New Roman" w:hint="default"/>
          <w:sz w:val="18"/>
          <w:szCs w:val="18"/>
        </w:rPr>
        <w:t>5</w:t>
      </w:r>
      <w:r>
        <w:rPr>
          <w:rFonts w:ascii="宋体" w:hAnsi="宋体" w:cs="宋体" w:eastAsia="宋体" w:hint="default"/>
          <w:sz w:val="18"/>
          <w:szCs w:val="18"/>
        </w:rPr>
        <w:t>年预测期增长率为</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p>
      <w:pPr>
        <w:spacing w:before="6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）雪城软件主要从事软件产品及集成服务，</w:t>
      </w:r>
      <w:r>
        <w:rPr>
          <w:rFonts w:ascii="Times New Roman" w:hAnsi="Times New Roman" w:cs="Times New Roman" w:eastAsia="Times New Roman" w:hint="default"/>
          <w:sz w:val="18"/>
          <w:szCs w:val="18"/>
        </w:rPr>
        <w:t>5</w:t>
      </w:r>
      <w:r>
        <w:rPr>
          <w:rFonts w:ascii="宋体" w:hAnsi="宋体" w:cs="宋体" w:eastAsia="宋体" w:hint="default"/>
          <w:sz w:val="18"/>
          <w:szCs w:val="18"/>
        </w:rPr>
        <w:t>年预测期增长率为</w:t>
      </w:r>
      <w:r>
        <w:rPr>
          <w:rFonts w:ascii="Times New Roman" w:hAnsi="Times New Roman" w:cs="Times New Roman" w:eastAsia="Times New Roman" w:hint="default"/>
          <w:sz w:val="18"/>
          <w:szCs w:val="18"/>
        </w:rPr>
        <w:t>26.94%</w:t>
      </w:r>
      <w:r>
        <w:rPr>
          <w:rFonts w:ascii="宋体" w:hAnsi="宋体" w:cs="宋体" w:eastAsia="宋体" w:hint="default"/>
          <w:sz w:val="18"/>
          <w:szCs w:val="18"/>
        </w:rPr>
        <w:t>、</w:t>
      </w:r>
      <w:r>
        <w:rPr>
          <w:rFonts w:ascii="Times New Roman" w:hAnsi="Times New Roman" w:cs="Times New Roman" w:eastAsia="Times New Roman" w:hint="default"/>
          <w:sz w:val="18"/>
          <w:szCs w:val="18"/>
        </w:rPr>
        <w:t>5.75%</w:t>
      </w:r>
      <w:r>
        <w:rPr>
          <w:rFonts w:ascii="宋体" w:hAnsi="宋体" w:cs="宋体" w:eastAsia="宋体" w:hint="default"/>
          <w:sz w:val="18"/>
          <w:szCs w:val="18"/>
        </w:rPr>
        <w:t>、</w:t>
      </w:r>
      <w:r>
        <w:rPr>
          <w:rFonts w:ascii="Times New Roman" w:hAnsi="Times New Roman" w:cs="Times New Roman" w:eastAsia="Times New Roman" w:hint="default"/>
          <w:sz w:val="18"/>
          <w:szCs w:val="18"/>
        </w:rPr>
        <w:t>4.10%</w:t>
      </w:r>
      <w:r>
        <w:rPr>
          <w:rFonts w:ascii="宋体" w:hAnsi="宋体" w:cs="宋体" w:eastAsia="宋体" w:hint="default"/>
          <w:sz w:val="18"/>
          <w:szCs w:val="18"/>
        </w:rPr>
        <w:t>、</w:t>
      </w:r>
      <w:r>
        <w:rPr>
          <w:rFonts w:ascii="Times New Roman" w:hAnsi="Times New Roman" w:cs="Times New Roman" w:eastAsia="Times New Roman" w:hint="default"/>
          <w:sz w:val="18"/>
          <w:szCs w:val="18"/>
        </w:rPr>
        <w:t>3.18%</w:t>
      </w:r>
      <w:r>
        <w:rPr>
          <w:rFonts w:ascii="宋体" w:hAnsi="宋体" w:cs="宋体" w:eastAsia="宋体" w:hint="default"/>
          <w:sz w:val="18"/>
          <w:szCs w:val="18"/>
        </w:rPr>
        <w:t>、</w:t>
      </w:r>
      <w:r>
        <w:rPr>
          <w:rFonts w:ascii="Times New Roman" w:hAnsi="Times New Roman" w:cs="Times New Roman" w:eastAsia="Times New Roman" w:hint="default"/>
          <w:sz w:val="18"/>
          <w:szCs w:val="18"/>
        </w:rPr>
        <w:t>3.26%</w:t>
      </w:r>
      <w:r>
        <w:rPr>
          <w:rFonts w:ascii="宋体" w:hAnsi="宋体" w:cs="宋体" w:eastAsia="宋体" w:hint="default"/>
          <w:sz w:val="18"/>
          <w:szCs w:val="18"/>
        </w:rPr>
        <w:t>；</w:t>
      </w:r>
    </w:p>
    <w:p>
      <w:pPr>
        <w:spacing w:before="6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）和阳环境主要从事环境检测，</w:t>
      </w:r>
      <w:r>
        <w:rPr>
          <w:rFonts w:ascii="Times New Roman" w:hAnsi="Times New Roman" w:cs="Times New Roman" w:eastAsia="Times New Roman" w:hint="default"/>
          <w:sz w:val="18"/>
          <w:szCs w:val="18"/>
        </w:rPr>
        <w:t>5</w:t>
      </w:r>
      <w:r>
        <w:rPr>
          <w:rFonts w:ascii="宋体" w:hAnsi="宋体" w:cs="宋体" w:eastAsia="宋体" w:hint="default"/>
          <w:sz w:val="18"/>
          <w:szCs w:val="18"/>
        </w:rPr>
        <w:t>年预测期增长率为</w:t>
      </w:r>
      <w:r>
        <w:rPr>
          <w:rFonts w:ascii="Times New Roman" w:hAnsi="Times New Roman" w:cs="Times New Roman" w:eastAsia="Times New Roman" w:hint="default"/>
          <w:sz w:val="18"/>
          <w:szCs w:val="18"/>
        </w:rPr>
        <w:t>7.10%</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before="6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）德析检测主要从事环境检测，</w:t>
      </w:r>
      <w:r>
        <w:rPr>
          <w:rFonts w:ascii="Times New Roman" w:hAnsi="Times New Roman" w:cs="Times New Roman" w:eastAsia="Times New Roman" w:hint="default"/>
          <w:sz w:val="18"/>
          <w:szCs w:val="18"/>
        </w:rPr>
        <w:t>5</w:t>
      </w:r>
      <w:r>
        <w:rPr>
          <w:rFonts w:ascii="宋体" w:hAnsi="宋体" w:cs="宋体" w:eastAsia="宋体" w:hint="default"/>
          <w:sz w:val="18"/>
          <w:szCs w:val="18"/>
        </w:rPr>
        <w:t>年预测期增长率为</w:t>
      </w:r>
      <w:r>
        <w:rPr>
          <w:rFonts w:ascii="Times New Roman" w:hAnsi="Times New Roman" w:cs="Times New Roman" w:eastAsia="Times New Roman" w:hint="default"/>
          <w:sz w:val="18"/>
          <w:szCs w:val="18"/>
        </w:rPr>
        <w:t>-3.36%</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before="6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）百隆工程主要从事建筑工程，</w:t>
      </w:r>
      <w:r>
        <w:rPr>
          <w:rFonts w:ascii="Times New Roman" w:hAnsi="Times New Roman" w:cs="Times New Roman" w:eastAsia="Times New Roman" w:hint="default"/>
          <w:sz w:val="18"/>
          <w:szCs w:val="18"/>
        </w:rPr>
        <w:t>5</w:t>
      </w:r>
      <w:r>
        <w:rPr>
          <w:rFonts w:ascii="宋体" w:hAnsi="宋体" w:cs="宋体" w:eastAsia="宋体" w:hint="default"/>
          <w:sz w:val="18"/>
          <w:szCs w:val="18"/>
        </w:rPr>
        <w:t>年预测期增长率为</w:t>
      </w:r>
      <w:r>
        <w:rPr>
          <w:rFonts w:ascii="Times New Roman" w:hAnsi="Times New Roman" w:cs="Times New Roman" w:eastAsia="Times New Roman" w:hint="default"/>
          <w:sz w:val="18"/>
          <w:szCs w:val="18"/>
        </w:rPr>
        <w:t>-18.94%</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p>
      <w:pPr>
        <w:spacing w:before="63"/>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）高新热力主要从事供热和供热工程，</w:t>
      </w:r>
      <w:r>
        <w:rPr>
          <w:rFonts w:ascii="Times New Roman" w:hAnsi="Times New Roman" w:cs="Times New Roman" w:eastAsia="Times New Roman" w:hint="default"/>
          <w:sz w:val="18"/>
          <w:szCs w:val="18"/>
        </w:rPr>
        <w:t>5</w:t>
      </w:r>
      <w:r>
        <w:rPr>
          <w:rFonts w:ascii="宋体" w:hAnsi="宋体" w:cs="宋体" w:eastAsia="宋体" w:hint="default"/>
          <w:sz w:val="18"/>
          <w:szCs w:val="18"/>
        </w:rPr>
        <w:t>年预测期增长率为</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spacing w:line="340" w:lineRule="auto" w:before="63"/>
        <w:ind w:left="152" w:right="3070" w:firstLine="31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）山西腾星主要从事传感器研发及销售，</w:t>
      </w:r>
      <w:r>
        <w:rPr>
          <w:rFonts w:ascii="Times New Roman" w:hAnsi="Times New Roman" w:cs="Times New Roman" w:eastAsia="Times New Roman" w:hint="default"/>
          <w:sz w:val="18"/>
          <w:szCs w:val="18"/>
        </w:rPr>
        <w:t>5</w:t>
      </w:r>
      <w:r>
        <w:rPr>
          <w:rFonts w:ascii="宋体" w:hAnsi="宋体" w:cs="宋体" w:eastAsia="宋体" w:hint="default"/>
          <w:sz w:val="18"/>
          <w:szCs w:val="18"/>
        </w:rPr>
        <w:t>年预测期增长率为</w:t>
      </w:r>
      <w:r>
        <w:rPr>
          <w:rFonts w:ascii="Times New Roman" w:hAnsi="Times New Roman" w:cs="Times New Roman" w:eastAsia="Times New Roman" w:hint="default"/>
          <w:sz w:val="18"/>
          <w:szCs w:val="18"/>
        </w:rPr>
        <w:t>11.27%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r>
        <w:rPr>
          <w:rFonts w:ascii="宋体" w:hAnsi="宋体" w:cs="宋体" w:eastAsia="宋体" w:hint="default"/>
          <w:sz w:val="18"/>
          <w:szCs w:val="18"/>
        </w:rPr>
        <w:t>。 商誉减值测试的影响：</w:t>
      </w:r>
    </w:p>
    <w:p>
      <w:pPr>
        <w:pStyle w:val="BodyText"/>
        <w:spacing w:line="240" w:lineRule="auto" w:before="96"/>
        <w:ind w:left="573" w:right="0"/>
        <w:jc w:val="left"/>
      </w:pPr>
      <w:r>
        <w:rPr/>
        <w:t>经商誉减值测试，本报告期计提商誉减值准备对损益的影响为</w:t>
      </w:r>
      <w:r>
        <w:rPr>
          <w:rFonts w:ascii="宋体" w:hAnsi="宋体" w:cs="宋体" w:eastAsia="宋体" w:hint="default"/>
        </w:rPr>
        <w:t>222,598,161.93</w:t>
      </w:r>
      <w:r>
        <w:rPr/>
        <w:t>元。</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bookmarkStart w:name="18、长期待摊费用" w:id="262"/>
      <w:bookmarkEnd w:id="262"/>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618"/>
        <w:gridCol w:w="1618"/>
        <w:gridCol w:w="1615"/>
        <w:gridCol w:w="1616"/>
        <w:gridCol w:w="1616"/>
        <w:gridCol w:w="1615"/>
      </w:tblGrid>
      <w:tr>
        <w:trPr>
          <w:trHeight w:val="396" w:hRule="exact"/>
        </w:trPr>
        <w:tc>
          <w:tcPr>
            <w:tcW w:w="161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6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6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64"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6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64"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1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61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25,666,666.74</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2,333,333.32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23,333,333.42</w:t>
            </w:r>
          </w:p>
        </w:tc>
        <w:tc>
          <w:tcPr>
            <w:tcW w:w="1615"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161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13,600,656.71</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7,818,276.17</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7,421,403.47</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6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13,897,529.41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18"/>
        <w:gridCol w:w="1618"/>
        <w:gridCol w:w="1615"/>
        <w:gridCol w:w="1616"/>
        <w:gridCol w:w="1616"/>
        <w:gridCol w:w="1615"/>
      </w:tblGrid>
      <w:tr>
        <w:trPr>
          <w:trHeight w:val="413" w:hRule="exact"/>
        </w:trPr>
        <w:tc>
          <w:tcPr>
            <w:tcW w:w="161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1,330,158.82</w:t>
            </w:r>
          </w:p>
        </w:tc>
        <w:tc>
          <w:tcPr>
            <w:tcW w:w="1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3,624,969.21</w:t>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1,048,498.72</w:t>
            </w:r>
          </w:p>
        </w:tc>
        <w:tc>
          <w:tcPr>
            <w:tcW w:w="1616" w:type="dxa"/>
            <w:tcBorders>
              <w:top w:val="single" w:sz="12" w:space="0" w:color="000000"/>
              <w:left w:val="single" w:sz="4" w:space="0" w:color="000000"/>
              <w:bottom w:val="single" w:sz="4" w:space="0" w:color="000000"/>
              <w:right w:val="single" w:sz="4" w:space="0" w:color="000000"/>
            </w:tcBorders>
          </w:tcPr>
          <w:p>
            <w:pPr/>
          </w:p>
        </w:tc>
        <w:tc>
          <w:tcPr>
            <w:tcW w:w="161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3,906,629.31</w:t>
            </w:r>
          </w:p>
        </w:tc>
      </w:tr>
      <w:tr>
        <w:trPr>
          <w:trHeight w:val="410" w:hRule="exact"/>
        </w:trPr>
        <w:tc>
          <w:tcPr>
            <w:tcW w:w="161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40,597,482.27</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11,443,245.38</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10,803,235.51</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23,433,333.42</w:t>
            </w:r>
          </w:p>
        </w:tc>
        <w:tc>
          <w:tcPr>
            <w:tcW w:w="16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17,804,158.72</w:t>
            </w:r>
          </w:p>
        </w:tc>
      </w:tr>
    </w:tbl>
    <w:p>
      <w:pPr>
        <w:spacing w:line="357" w:lineRule="auto" w:before="51"/>
        <w:ind w:left="152" w:right="4259" w:firstLine="0"/>
        <w:jc w:val="left"/>
        <w:rPr>
          <w:rFonts w:ascii="宋体" w:hAnsi="宋体" w:cs="宋体" w:eastAsia="宋体" w:hint="default"/>
          <w:sz w:val="18"/>
          <w:szCs w:val="18"/>
        </w:rPr>
      </w:pPr>
      <w:r>
        <w:rPr>
          <w:rFonts w:ascii="宋体" w:hAnsi="宋体" w:cs="宋体" w:eastAsia="宋体" w:hint="default"/>
          <w:sz w:val="18"/>
          <w:szCs w:val="18"/>
        </w:rPr>
        <w:t>其他说明： 长期待摊费用较年初减少</w:t>
      </w:r>
      <w:r>
        <w:rPr>
          <w:rFonts w:ascii="Times New Roman" w:hAnsi="Times New Roman" w:cs="Times New Roman" w:eastAsia="Times New Roman" w:hint="default"/>
          <w:sz w:val="18"/>
          <w:szCs w:val="18"/>
        </w:rPr>
        <w:t>56.14%</w:t>
      </w:r>
      <w:r>
        <w:rPr>
          <w:rFonts w:ascii="宋体" w:hAnsi="宋体" w:cs="宋体" w:eastAsia="宋体" w:hint="default"/>
          <w:sz w:val="18"/>
          <w:szCs w:val="18"/>
        </w:rPr>
        <w:t>，主要系报告期长期待摊费用冲减长期借款所致。</w:t>
      </w: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bookmarkStart w:name="19、递延所得税资产/递延所得税负债" w:id="263"/>
      <w:bookmarkEnd w:id="263"/>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64"/>
      <w:bookmarkEnd w:id="26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37"/>
        <w:gridCol w:w="1942"/>
        <w:gridCol w:w="1940"/>
        <w:gridCol w:w="1940"/>
        <w:gridCol w:w="1939"/>
      </w:tblGrid>
      <w:tr>
        <w:trPr>
          <w:trHeight w:val="215" w:hRule="exact"/>
        </w:trPr>
        <w:tc>
          <w:tcPr>
            <w:tcW w:w="1937"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882"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47"/>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37"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882" w:type="dxa"/>
            <w:gridSpan w:val="2"/>
            <w:vMerge/>
            <w:tcBorders>
              <w:left w:val="single" w:sz="4" w:space="0" w:color="000000"/>
              <w:bottom w:val="single" w:sz="4" w:space="0" w:color="000000"/>
              <w:right w:val="single" w:sz="4" w:space="0" w:color="000000"/>
            </w:tcBorders>
            <w:shd w:val="clear" w:color="auto" w:fill="D2D2D2"/>
          </w:tcPr>
          <w:p>
            <w:pPr/>
          </w:p>
        </w:tc>
        <w:tc>
          <w:tcPr>
            <w:tcW w:w="3879" w:type="dxa"/>
            <w:gridSpan w:val="2"/>
            <w:vMerge/>
            <w:tcBorders>
              <w:left w:val="single" w:sz="4" w:space="0" w:color="000000"/>
              <w:bottom w:val="single" w:sz="4" w:space="0" w:color="000000"/>
              <w:right w:val="single" w:sz="12" w:space="0" w:color="000000"/>
            </w:tcBorders>
            <w:shd w:val="clear" w:color="auto" w:fill="D2D2D2"/>
          </w:tcPr>
          <w:p>
            <w:pPr/>
          </w:p>
        </w:tc>
      </w:tr>
      <w:tr>
        <w:trPr>
          <w:trHeight w:val="200" w:hRule="exact"/>
        </w:trPr>
        <w:tc>
          <w:tcPr>
            <w:tcW w:w="1937" w:type="dxa"/>
            <w:vMerge/>
            <w:tcBorders>
              <w:left w:val="single" w:sz="12" w:space="0" w:color="000000"/>
              <w:bottom w:val="nil" w:sz="6" w:space="0" w:color="auto"/>
              <w:right w:val="single" w:sz="4" w:space="0" w:color="000000"/>
            </w:tcBorders>
            <w:shd w:val="clear" w:color="auto" w:fill="D2D2D2"/>
          </w:tcPr>
          <w:p>
            <w:pPr/>
          </w:p>
        </w:tc>
        <w:tc>
          <w:tcPr>
            <w:tcW w:w="1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3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39"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4"/>
              <w:ind w:left="33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37" w:type="dxa"/>
            <w:tcBorders>
              <w:top w:val="nil" w:sz="6" w:space="0" w:color="auto"/>
              <w:left w:val="single" w:sz="12" w:space="0" w:color="000000"/>
              <w:bottom w:val="single" w:sz="4" w:space="0" w:color="000000"/>
              <w:right w:val="single" w:sz="4" w:space="0" w:color="000000"/>
            </w:tcBorders>
            <w:shd w:val="clear" w:color="auto" w:fill="D2D2D2"/>
          </w:tcPr>
          <w:p>
            <w:pPr/>
          </w:p>
        </w:tc>
        <w:tc>
          <w:tcPr>
            <w:tcW w:w="1942"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9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95,134,128.15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16,090,853.74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83,496,156.85</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14,057,014.13</w:t>
            </w:r>
          </w:p>
        </w:tc>
      </w:tr>
      <w:tr>
        <w:trPr>
          <w:trHeight w:val="401" w:hRule="exact"/>
        </w:trPr>
        <w:tc>
          <w:tcPr>
            <w:tcW w:w="19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4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52,474,708.25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8,037,180.13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49,427,894.15</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9,485,862.69</w:t>
            </w:r>
          </w:p>
        </w:tc>
      </w:tr>
      <w:tr>
        <w:trPr>
          <w:trHeight w:val="403" w:hRule="exact"/>
        </w:trPr>
        <w:tc>
          <w:tcPr>
            <w:tcW w:w="19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27,255,834.97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6,383,786.96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41,594,093.37</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6,870,326.00</w:t>
            </w:r>
          </w:p>
        </w:tc>
      </w:tr>
      <w:tr>
        <w:trPr>
          <w:trHeight w:val="401" w:hRule="exact"/>
        </w:trPr>
        <w:tc>
          <w:tcPr>
            <w:tcW w:w="19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309,018,347.09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46,352,752.06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343,861,298.40</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77,594,901.07</w:t>
            </w:r>
          </w:p>
        </w:tc>
      </w:tr>
      <w:tr>
        <w:trPr>
          <w:trHeight w:val="403" w:hRule="exact"/>
        </w:trPr>
        <w:tc>
          <w:tcPr>
            <w:tcW w:w="19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64,217.87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9,632.68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64,217.87</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9,632.68</w:t>
            </w:r>
          </w:p>
        </w:tc>
      </w:tr>
      <w:tr>
        <w:trPr>
          <w:trHeight w:val="410" w:hRule="exact"/>
        </w:trPr>
        <w:tc>
          <w:tcPr>
            <w:tcW w:w="193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483,947,236.33</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76,874,205.57</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518,443,660.64</w:t>
            </w: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108,017,736.57</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未经抵销的递延所得税负债" w:id="265"/>
      <w:bookmarkEnd w:id="26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937"/>
        <w:gridCol w:w="1942"/>
        <w:gridCol w:w="1940"/>
        <w:gridCol w:w="1940"/>
        <w:gridCol w:w="1939"/>
      </w:tblGrid>
      <w:tr>
        <w:trPr>
          <w:trHeight w:val="398" w:hRule="exact"/>
        </w:trPr>
        <w:tc>
          <w:tcPr>
            <w:tcW w:w="1937"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882"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79"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37" w:type="dxa"/>
            <w:vMerge/>
            <w:tcBorders>
              <w:left w:val="single" w:sz="12" w:space="0" w:color="000000"/>
              <w:bottom w:val="single" w:sz="4" w:space="0" w:color="000000"/>
              <w:right w:val="single" w:sz="4" w:space="0" w:color="000000"/>
            </w:tcBorders>
            <w:shd w:val="clear" w:color="auto" w:fill="D2D2D2"/>
          </w:tcPr>
          <w:p>
            <w:pPr/>
          </w:p>
        </w:tc>
        <w:tc>
          <w:tcPr>
            <w:tcW w:w="1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3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特许经营权</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49,612,957.89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11,234,624.84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52,719,422.74</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8,630,474.17</w:t>
            </w:r>
          </w:p>
        </w:tc>
      </w:tr>
      <w:tr>
        <w:trPr>
          <w:trHeight w:val="713" w:hRule="exact"/>
        </w:trPr>
        <w:tc>
          <w:tcPr>
            <w:tcW w:w="1937"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01"/>
              <w:jc w:val="left"/>
              <w:rPr>
                <w:rFonts w:ascii="宋体" w:hAnsi="宋体" w:cs="宋体" w:eastAsia="宋体" w:hint="default"/>
                <w:sz w:val="18"/>
                <w:szCs w:val="18"/>
              </w:rPr>
            </w:pPr>
            <w:r>
              <w:rPr>
                <w:rFonts w:ascii="宋体" w:hAnsi="宋体" w:cs="宋体" w:eastAsia="宋体" w:hint="default"/>
                <w:sz w:val="18"/>
                <w:szCs w:val="18"/>
              </w:rPr>
              <w:t>收购股权固定资产评估 增值</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25,724,839.56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4,355,798.56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28,123,587.09</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6,663,831.31</w:t>
            </w:r>
          </w:p>
        </w:tc>
      </w:tr>
      <w:tr>
        <w:trPr>
          <w:trHeight w:val="715" w:hRule="exact"/>
        </w:trPr>
        <w:tc>
          <w:tcPr>
            <w:tcW w:w="1937"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01"/>
              <w:jc w:val="left"/>
              <w:rPr>
                <w:rFonts w:ascii="宋体" w:hAnsi="宋体" w:cs="宋体" w:eastAsia="宋体" w:hint="default"/>
                <w:sz w:val="18"/>
                <w:szCs w:val="18"/>
              </w:rPr>
            </w:pPr>
            <w:r>
              <w:rPr>
                <w:rFonts w:ascii="宋体" w:hAnsi="宋体" w:cs="宋体" w:eastAsia="宋体" w:hint="default"/>
                <w:sz w:val="18"/>
                <w:szCs w:val="18"/>
              </w:rPr>
              <w:t>收购股权投资性房地产 评估增值</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2,217,065.16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554,266.29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2,576,589.24</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644,147.31</w:t>
            </w:r>
          </w:p>
        </w:tc>
      </w:tr>
      <w:tr>
        <w:trPr>
          <w:trHeight w:val="713" w:hRule="exact"/>
        </w:trPr>
        <w:tc>
          <w:tcPr>
            <w:tcW w:w="1937"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49"/>
              <w:ind w:left="14" w:right="101"/>
              <w:jc w:val="left"/>
              <w:rPr>
                <w:rFonts w:ascii="宋体" w:hAnsi="宋体" w:cs="宋体" w:eastAsia="宋体" w:hint="default"/>
                <w:sz w:val="18"/>
                <w:szCs w:val="18"/>
              </w:rPr>
            </w:pPr>
            <w:r>
              <w:rPr>
                <w:rFonts w:ascii="宋体" w:hAnsi="宋体" w:cs="宋体" w:eastAsia="宋体" w:hint="default"/>
                <w:sz w:val="18"/>
                <w:szCs w:val="18"/>
              </w:rPr>
              <w:t>收购股权无形资产评估 增值</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18,869,178.70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3,716,932.76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28,062,703.59</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5,120,606.73</w:t>
            </w:r>
          </w:p>
        </w:tc>
      </w:tr>
      <w:tr>
        <w:trPr>
          <w:trHeight w:val="410" w:hRule="exact"/>
        </w:trPr>
        <w:tc>
          <w:tcPr>
            <w:tcW w:w="193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96,424,041.31</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19,861,622.45</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111,482,302.66</w:t>
            </w: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21,059,059.52</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未确认递延所得税资产明细" w:id="266"/>
      <w:bookmarkEnd w:id="266"/>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6"/>
        <w:gridCol w:w="3231"/>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46"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334,491,681.89</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2086" w:right="0"/>
              <w:jc w:val="left"/>
              <w:rPr>
                <w:rFonts w:ascii="Times New Roman" w:hAnsi="Times New Roman" w:cs="Times New Roman" w:eastAsia="Times New Roman" w:hint="default"/>
                <w:sz w:val="18"/>
                <w:szCs w:val="18"/>
              </w:rPr>
            </w:pPr>
            <w:r>
              <w:rPr>
                <w:rFonts w:ascii="Times New Roman"/>
                <w:sz w:val="18"/>
              </w:rPr>
              <w:t>111,893,519.96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3230"/>
        <w:gridCol w:w="3236"/>
        <w:gridCol w:w="3231"/>
      </w:tblGrid>
      <w:tr>
        <w:trPr>
          <w:trHeight w:val="413" w:hRule="exact"/>
        </w:trPr>
        <w:tc>
          <w:tcPr>
            <w:tcW w:w="323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219,915,735.55</w:t>
            </w:r>
          </w:p>
        </w:tc>
        <w:tc>
          <w:tcPr>
            <w:tcW w:w="323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156,190,285.13</w:t>
            </w:r>
          </w:p>
        </w:tc>
      </w:tr>
      <w:tr>
        <w:trPr>
          <w:trHeight w:val="410" w:hRule="exact"/>
        </w:trPr>
        <w:tc>
          <w:tcPr>
            <w:tcW w:w="323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554,407,417.44</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268,083,805.09</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0、其他非流动资产" w:id="267"/>
      <w:bookmarkEnd w:id="267"/>
      <w:r>
        <w:rPr>
          <w:b w:val="0"/>
          <w:bCs w:val="0"/>
        </w:rPr>
      </w:r>
      <w:r>
        <w:rPr>
          <w:rFonts w:ascii="Times New Roman" w:hAnsi="Times New Roman" w:cs="Times New Roman" w:eastAsia="Times New Roman" w:hint="default"/>
        </w:rPr>
        <w:t>20</w:t>
      </w:r>
      <w:r>
        <w:rPr/>
        <w:t>、其他非流动资产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运营维护保证金</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5,507,078.40</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5,507,078.40</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1,322,630.12</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15,507,078.40</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6,829,708.52</w:t>
            </w:r>
          </w:p>
        </w:tc>
      </w:tr>
    </w:tbl>
    <w:p>
      <w:pPr>
        <w:spacing w:line="360" w:lineRule="auto" w:before="51"/>
        <w:ind w:left="152" w:right="4889" w:firstLine="0"/>
        <w:jc w:val="left"/>
        <w:rPr>
          <w:rFonts w:ascii="宋体" w:hAnsi="宋体" w:cs="宋体" w:eastAsia="宋体" w:hint="default"/>
          <w:sz w:val="18"/>
          <w:szCs w:val="18"/>
        </w:rPr>
      </w:pPr>
      <w:r>
        <w:rPr>
          <w:rFonts w:ascii="宋体" w:hAnsi="宋体" w:cs="宋体" w:eastAsia="宋体" w:hint="default"/>
          <w:sz w:val="18"/>
          <w:szCs w:val="18"/>
        </w:rPr>
        <w:t>其他说明： 其他非流动资产较年初增加</w:t>
      </w:r>
      <w:r>
        <w:rPr>
          <w:rFonts w:ascii="Times New Roman" w:hAnsi="Times New Roman" w:cs="Times New Roman" w:eastAsia="Times New Roman" w:hint="default"/>
          <w:sz w:val="18"/>
          <w:szCs w:val="18"/>
        </w:rPr>
        <w:t>127.05%</w:t>
      </w:r>
      <w:r>
        <w:rPr>
          <w:rFonts w:ascii="宋体" w:hAnsi="宋体" w:cs="宋体" w:eastAsia="宋体" w:hint="default"/>
          <w:sz w:val="18"/>
          <w:szCs w:val="18"/>
        </w:rPr>
        <w:t>，主要系报告期预付投资款增加所致。</w:t>
      </w: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bookmarkStart w:name="21、短期借款" w:id="268"/>
      <w:bookmarkEnd w:id="268"/>
      <w:r>
        <w:rPr>
          <w:b w:val="0"/>
          <w:bCs w:val="0"/>
        </w:rPr>
      </w:r>
      <w:r>
        <w:rPr>
          <w:rFonts w:ascii="Times New Roman" w:hAnsi="Times New Roman" w:cs="Times New Roman" w:eastAsia="Times New Roman" w:hint="default"/>
        </w:rPr>
        <w:t>21</w:t>
      </w:r>
      <w:r>
        <w:rPr/>
        <w:t>、短期借款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69"/>
      <w:bookmarkEnd w:id="26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6"/>
        <w:gridCol w:w="3231"/>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23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293,000,000.00</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130,650,000.00</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2"/>
                <w:szCs w:val="12"/>
              </w:rPr>
            </w:pPr>
            <w:r>
              <w:rPr>
                <w:rFonts w:ascii="Times New Roman"/>
                <w:spacing w:val="-1"/>
                <w:sz w:val="18"/>
              </w:rPr>
              <w:t>368,000,000.00</w:t>
            </w:r>
            <w:r>
              <w:rPr>
                <w:rFonts w:ascii="Times New Roman"/>
                <w:color w:val="FF0000"/>
                <w:spacing w:val="-1"/>
                <w:position w:val="8"/>
                <w:sz w:val="12"/>
              </w:rPr>
              <w:t>1</w:t>
            </w:r>
            <w:r>
              <w:rPr>
                <w:rFonts w:ascii="Times New Roman"/>
                <w:spacing w:val="-1"/>
                <w:sz w:val="12"/>
              </w:rPr>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195,650,000.00</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短期借款增加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88.09%</w:t>
      </w:r>
      <w:r>
        <w:rPr>
          <w:rFonts w:ascii="宋体" w:hAnsi="宋体" w:cs="宋体" w:eastAsia="宋体" w:hint="default"/>
          <w:sz w:val="18"/>
          <w:szCs w:val="18"/>
        </w:rPr>
        <w:t>，主要系报告期公司借款结构变化所致。</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22、应付票据" w:id="270"/>
      <w:bookmarkEnd w:id="270"/>
      <w:r>
        <w:rPr>
          <w:b w:val="0"/>
          <w:bCs w:val="0"/>
        </w:rPr>
      </w:r>
      <w:r>
        <w:rPr>
          <w:rFonts w:ascii="Times New Roman" w:hAnsi="Times New Roman" w:cs="Times New Roman" w:eastAsia="Times New Roman" w:hint="default"/>
        </w:rPr>
        <w:t>22</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6"/>
        <w:gridCol w:w="3231"/>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种类</w:t>
            </w:r>
          </w:p>
        </w:tc>
        <w:tc>
          <w:tcPr>
            <w:tcW w:w="3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4,518,160.00</w:t>
            </w:r>
          </w:p>
        </w:tc>
        <w:tc>
          <w:tcPr>
            <w:tcW w:w="3231"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2"/>
                <w:szCs w:val="12"/>
              </w:rPr>
            </w:pPr>
            <w:r>
              <w:rPr>
                <w:rFonts w:ascii="Times New Roman"/>
                <w:w w:val="95"/>
                <w:sz w:val="18"/>
              </w:rPr>
              <w:t>4,518,160.00</w:t>
            </w:r>
            <w:r>
              <w:rPr>
                <w:rFonts w:ascii="Times New Roman"/>
                <w:color w:val="FF0000"/>
                <w:w w:val="95"/>
                <w:position w:val="8"/>
                <w:sz w:val="12"/>
              </w:rPr>
              <w:t>1</w:t>
            </w:r>
            <w:r>
              <w:rPr>
                <w:rFonts w:ascii="Times New Roman"/>
                <w:w w:val="95"/>
                <w:sz w:val="12"/>
              </w:rPr>
            </w:r>
          </w:p>
        </w:tc>
        <w:tc>
          <w:tcPr>
            <w:tcW w:w="3231" w:type="dxa"/>
            <w:tcBorders>
              <w:top w:val="single" w:sz="4" w:space="0" w:color="000000"/>
              <w:left w:val="single" w:sz="4" w:space="0" w:color="000000"/>
              <w:bottom w:val="single" w:sz="12" w:space="0" w:color="000000"/>
              <w:right w:val="single" w:sz="12" w:space="0" w:color="000000"/>
            </w:tcBorders>
          </w:tcPr>
          <w:p>
            <w:pPr/>
          </w:p>
        </w:tc>
      </w:tr>
    </w:tbl>
    <w:p>
      <w:pPr>
        <w:spacing w:line="338" w:lineRule="auto" w:before="51"/>
        <w:ind w:left="152" w:right="234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应付票据增加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，主要系公司报告期采购结算采用开具银行承兑汇票的方式所致。 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23、应付账款" w:id="271"/>
      <w:bookmarkEnd w:id="271"/>
      <w:r>
        <w:rPr>
          <w:b w:val="0"/>
          <w:bCs w:val="0"/>
        </w:rPr>
      </w:r>
      <w:r>
        <w:rPr>
          <w:rFonts w:ascii="Times New Roman" w:hAnsi="Times New Roman" w:cs="Times New Roman" w:eastAsia="Times New Roman" w:hint="default"/>
        </w:rPr>
        <w:t>23</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272"/>
      <w:bookmarkEnd w:id="27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398"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328,697,359.98</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309,330,002.04</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110,709,532.76</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74,794,463.96</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439,406,892.74</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384,124,466.00</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应付账款" w:id="273"/>
      <w:bookmarkEnd w:id="273"/>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398"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79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濮阳市中信建设工程有限公司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7,213,515.22</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尚未最终结算</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河南紫通建筑工程有限公司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5,513,775.81</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尚未最终结算</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河南超之越建筑劳务有限公司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5,468,568.24</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尚未最终结算</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18,195,859.27</w:t>
            </w:r>
          </w:p>
        </w:tc>
        <w:tc>
          <w:tcPr>
            <w:tcW w:w="3231"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4、预收款项" w:id="274"/>
      <w:bookmarkEnd w:id="274"/>
      <w:r>
        <w:rPr>
          <w:b w:val="0"/>
          <w:bCs w:val="0"/>
        </w:rPr>
      </w:r>
      <w:r>
        <w:rPr>
          <w:rFonts w:ascii="Times New Roman" w:hAnsi="Times New Roman" w:cs="Times New Roman" w:eastAsia="Times New Roman" w:hint="default"/>
        </w:rPr>
        <w:t>24</w:t>
      </w:r>
      <w:r>
        <w:rPr/>
        <w:t>、预收款项</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1）预收款项列示" w:id="275"/>
      <w:bookmarkEnd w:id="27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268,620,006.18</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414,117,232.19</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15,646,060.32</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25,829,375.80</w:t>
            </w:r>
          </w:p>
        </w:tc>
      </w:tr>
      <w:tr>
        <w:trPr>
          <w:trHeight w:val="411"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12"/>
                <w:szCs w:val="12"/>
              </w:rPr>
            </w:pPr>
            <w:r>
              <w:rPr>
                <w:rFonts w:ascii="Times New Roman"/>
                <w:spacing w:val="-1"/>
                <w:sz w:val="18"/>
              </w:rPr>
              <w:t>284,266,066.50</w:t>
            </w:r>
            <w:r>
              <w:rPr>
                <w:rFonts w:ascii="Times New Roman"/>
                <w:color w:val="FF0000"/>
                <w:spacing w:val="-1"/>
                <w:position w:val="8"/>
                <w:sz w:val="12"/>
              </w:rPr>
              <w:t>1</w:t>
            </w:r>
            <w:r>
              <w:rPr>
                <w:rFonts w:ascii="Times New Roman"/>
                <w:spacing w:val="-1"/>
                <w:sz w:val="12"/>
              </w:rPr>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439,946,607.99</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预收账款减少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35.39%</w:t>
      </w:r>
      <w:r>
        <w:rPr>
          <w:rFonts w:ascii="宋体" w:hAnsi="宋体" w:cs="宋体" w:eastAsia="宋体" w:hint="default"/>
          <w:sz w:val="18"/>
          <w:szCs w:val="18"/>
        </w:rPr>
        <w:t>，主要系报告期公司智慧市政项目按期结算所致。</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账龄超过1年的重要预收款项" w:id="276"/>
      <w:bookmarkEnd w:id="276"/>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79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河南朗泰置业有限公司</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8,181,818.17</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项目开工延迟</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8,181,818.17</w:t>
            </w:r>
          </w:p>
        </w:tc>
        <w:tc>
          <w:tcPr>
            <w:tcW w:w="3231"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25、应付职工薪酬" w:id="277"/>
      <w:bookmarkEnd w:id="277"/>
      <w:r>
        <w:rPr>
          <w:b w:val="0"/>
          <w:bCs w:val="0"/>
        </w:rPr>
      </w:r>
      <w:r>
        <w:rPr>
          <w:rFonts w:ascii="Times New Roman" w:hAnsi="Times New Roman" w:cs="Times New Roman" w:eastAsia="Times New Roman" w:hint="default"/>
        </w:rPr>
        <w:t>25</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78"/>
      <w:bookmarkEnd w:id="27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19"/>
        <w:gridCol w:w="1953"/>
        <w:gridCol w:w="1940"/>
        <w:gridCol w:w="1940"/>
        <w:gridCol w:w="1939"/>
      </w:tblGrid>
      <w:tr>
        <w:trPr>
          <w:trHeight w:val="412" w:hRule="exact"/>
        </w:trPr>
        <w:tc>
          <w:tcPr>
            <w:tcW w:w="191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6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45,887,757.78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322,736,468.02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310,809,071.69</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57,815,154.11</w:t>
            </w:r>
          </w:p>
        </w:tc>
      </w:tr>
      <w:tr>
        <w:trPr>
          <w:trHeight w:val="715"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7" w:right="3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56,474.19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17,648,807.87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17,655,953.76</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49,328.30</w:t>
            </w:r>
          </w:p>
        </w:tc>
      </w:tr>
      <w:tr>
        <w:trPr>
          <w:trHeight w:val="401"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53" w:type="dxa"/>
            <w:tcBorders>
              <w:top w:val="single" w:sz="4" w:space="0" w:color="000000"/>
              <w:left w:val="single" w:sz="9"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541,995.00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541,995.00</w:t>
            </w:r>
          </w:p>
        </w:tc>
        <w:tc>
          <w:tcPr>
            <w:tcW w:w="1939" w:type="dxa"/>
            <w:tcBorders>
              <w:top w:val="single" w:sz="4" w:space="0" w:color="000000"/>
              <w:left w:val="single" w:sz="4" w:space="0" w:color="000000"/>
              <w:bottom w:val="single" w:sz="4" w:space="0" w:color="000000"/>
              <w:right w:val="single" w:sz="12" w:space="0" w:color="000000"/>
            </w:tcBorders>
          </w:tcPr>
          <w:p>
            <w:pPr/>
          </w:p>
        </w:tc>
      </w:tr>
      <w:tr>
        <w:trPr>
          <w:trHeight w:val="411" w:hRule="exact"/>
        </w:trPr>
        <w:tc>
          <w:tcPr>
            <w:tcW w:w="191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45,944,231.97</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340,927,270.89</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329,007,020.45</w:t>
            </w: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57,864,482.41</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短期薪酬列示" w:id="279"/>
      <w:bookmarkEnd w:id="27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19"/>
        <w:gridCol w:w="1953"/>
        <w:gridCol w:w="1940"/>
        <w:gridCol w:w="1940"/>
        <w:gridCol w:w="1939"/>
      </w:tblGrid>
      <w:tr>
        <w:trPr>
          <w:trHeight w:val="412" w:hRule="exact"/>
        </w:trPr>
        <w:tc>
          <w:tcPr>
            <w:tcW w:w="191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7"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 补贴</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45,291,828.72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290,392,956.25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278,534,319.53</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57,150,465.44</w:t>
            </w:r>
          </w:p>
        </w:tc>
      </w:tr>
      <w:tr>
        <w:trPr>
          <w:trHeight w:val="401"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192,784.52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12,168,331.72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12,170,671.72</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190,444.52</w:t>
            </w:r>
          </w:p>
        </w:tc>
      </w:tr>
      <w:tr>
        <w:trPr>
          <w:trHeight w:val="403"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29,198.35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10,054,207.90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10,050,313.28</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33,092.97</w:t>
            </w:r>
          </w:p>
        </w:tc>
      </w:tr>
      <w:tr>
        <w:trPr>
          <w:trHeight w:val="401"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90"/>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26,131.24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8,700,121.44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8,697,899.88</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28,352.80</w:t>
            </w:r>
          </w:p>
        </w:tc>
      </w:tr>
      <w:tr>
        <w:trPr>
          <w:trHeight w:val="403"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90"/>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435,549.72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434,109.72</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1,750.87</w:t>
            </w:r>
          </w:p>
        </w:tc>
      </w:tr>
      <w:tr>
        <w:trPr>
          <w:trHeight w:val="401"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90"/>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2,756.24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918,536.74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918,303.68</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2,989.30</w:t>
            </w:r>
          </w:p>
        </w:tc>
      </w:tr>
      <w:tr>
        <w:trPr>
          <w:trHeight w:val="403"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134,424.36</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7,187,204.62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7,186,034.62</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135,594.36</w:t>
            </w:r>
          </w:p>
        </w:tc>
      </w:tr>
      <w:tr>
        <w:trPr>
          <w:trHeight w:val="713"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97" w:lineRule="auto" w:before="49"/>
              <w:ind w:left="7"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 经费</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239,521.83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2,933,767.53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2,867,732.54</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305,556.82</w:t>
            </w:r>
          </w:p>
        </w:tc>
      </w:tr>
      <w:tr>
        <w:trPr>
          <w:trHeight w:val="410" w:hRule="exact"/>
        </w:trPr>
        <w:tc>
          <w:tcPr>
            <w:tcW w:w="191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45,887,757.78</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322,736,468.02</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310,809,071.69</w:t>
            </w: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57,815,154.11</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设定提存计划列示" w:id="280"/>
      <w:bookmarkEnd w:id="28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19"/>
        <w:gridCol w:w="1953"/>
        <w:gridCol w:w="1940"/>
        <w:gridCol w:w="1940"/>
        <w:gridCol w:w="1939"/>
      </w:tblGrid>
      <w:tr>
        <w:trPr>
          <w:trHeight w:val="412" w:hRule="exact"/>
        </w:trPr>
        <w:tc>
          <w:tcPr>
            <w:tcW w:w="191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55,089.02</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17,019,812.59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17,027,074.01</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47,827.60</w:t>
            </w:r>
          </w:p>
        </w:tc>
      </w:tr>
      <w:tr>
        <w:trPr>
          <w:trHeight w:val="401"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1,385.17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628,995.28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628,879.75</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1,500.70</w:t>
            </w:r>
          </w:p>
        </w:tc>
      </w:tr>
      <w:tr>
        <w:trPr>
          <w:trHeight w:val="410" w:hRule="exact"/>
        </w:trPr>
        <w:tc>
          <w:tcPr>
            <w:tcW w:w="191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56,474.19</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17,648,807.87</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17,655,953.76</w:t>
            </w: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49,328.30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26、应交税费" w:id="281"/>
      <w:bookmarkEnd w:id="281"/>
      <w:r>
        <w:rPr>
          <w:b w:val="0"/>
          <w:bCs w:val="0"/>
        </w:rPr>
      </w:r>
      <w:r>
        <w:rPr>
          <w:rFonts w:ascii="Times New Roman" w:hAnsi="Times New Roman" w:cs="Times New Roman" w:eastAsia="Times New Roman" w:hint="default"/>
        </w:rPr>
        <w:t>26</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412"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12,661,203.06</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10,788,739.39</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7,671,957.60</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6,718,302.12</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439,060.22</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611,270.69</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715,286.29</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745,793.13</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1,475,775.03</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1,306,836.44</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562,792.84</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564,119.93</w:t>
            </w:r>
          </w:p>
        </w:tc>
      </w:tr>
      <w:tr>
        <w:trPr>
          <w:trHeight w:val="404" w:hRule="exact"/>
        </w:trPr>
        <w:tc>
          <w:tcPr>
            <w:tcW w:w="32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545,055.37</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541,902.98</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78,174.99</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48,694.20</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24,149,305.40</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21,325,658.88</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7、其他应付款" w:id="282"/>
      <w:bookmarkEnd w:id="282"/>
      <w:r>
        <w:rPr>
          <w:b w:val="0"/>
          <w:bCs w:val="0"/>
        </w:rPr>
      </w:r>
      <w:r>
        <w:rPr>
          <w:rFonts w:ascii="Times New Roman" w:hAnsi="Times New Roman" w:cs="Times New Roman" w:eastAsia="Times New Roman" w:hint="default"/>
        </w:rPr>
        <w:t>27</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6"/>
        <w:gridCol w:w="3231"/>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46" w:type="dxa"/>
            <w:tcBorders>
              <w:top w:val="single" w:sz="4" w:space="0" w:color="000000"/>
              <w:left w:val="single" w:sz="9" w:space="0" w:color="D2D2D2"/>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400,277.78</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148,149,380.86</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243,699,144.95</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2"/>
                <w:szCs w:val="12"/>
              </w:rPr>
            </w:pPr>
            <w:r>
              <w:rPr>
                <w:rFonts w:ascii="Times New Roman"/>
                <w:spacing w:val="-1"/>
                <w:sz w:val="18"/>
              </w:rPr>
              <w:t>148,149,380.86</w:t>
            </w:r>
            <w:r>
              <w:rPr>
                <w:rFonts w:ascii="Times New Roman"/>
                <w:color w:val="FF0000"/>
                <w:spacing w:val="-1"/>
                <w:position w:val="8"/>
                <w:sz w:val="12"/>
              </w:rPr>
              <w:t>1</w:t>
            </w:r>
            <w:r>
              <w:rPr>
                <w:rFonts w:ascii="Times New Roman"/>
                <w:spacing w:val="-1"/>
                <w:sz w:val="12"/>
              </w:rPr>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244,099,422.73</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其他应付减少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39.31%</w:t>
      </w:r>
      <w:r>
        <w:rPr>
          <w:rFonts w:ascii="宋体" w:hAnsi="宋体" w:cs="宋体" w:eastAsia="宋体" w:hint="default"/>
          <w:sz w:val="18"/>
          <w:szCs w:val="18"/>
        </w:rPr>
        <w:t>，主要系报告期支付以前年度代收代付款项所致。</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1）应付利息" w:id="283"/>
      <w:bookmarkEnd w:id="283"/>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6"/>
        <w:gridCol w:w="3231"/>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46" w:type="dxa"/>
            <w:tcBorders>
              <w:top w:val="single" w:sz="4" w:space="0" w:color="000000"/>
              <w:left w:val="single" w:sz="9" w:space="0" w:color="D2D2D2"/>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400,277.78</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12" w:space="0" w:color="000000"/>
              <w:right w:val="single" w:sz="4" w:space="0" w:color="000000"/>
            </w:tcBorders>
          </w:tcPr>
          <w:p>
            <w:pP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400,277.78</w:t>
            </w:r>
          </w:p>
        </w:tc>
      </w:tr>
    </w:tbl>
    <w:p>
      <w:pPr>
        <w:spacing w:line="240" w:lineRule="auto" w:before="6"/>
        <w:rPr>
          <w:rFonts w:ascii="宋体" w:hAnsi="宋体" w:cs="宋体" w:eastAsia="宋体" w:hint="default"/>
          <w:sz w:val="19"/>
          <w:szCs w:val="19"/>
        </w:rPr>
      </w:pPr>
    </w:p>
    <w:p>
      <w:pPr>
        <w:pStyle w:val="Heading4"/>
        <w:spacing w:line="240" w:lineRule="auto" w:before="36"/>
        <w:ind w:right="0"/>
        <w:jc w:val="left"/>
        <w:rPr>
          <w:b w:val="0"/>
          <w:bCs w:val="0"/>
        </w:rPr>
      </w:pPr>
      <w:bookmarkStart w:name="（2）其他应付款" w:id="284"/>
      <w:bookmarkEnd w:id="284"/>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285"/>
      <w:bookmarkEnd w:id="285"/>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2078" w:right="0"/>
              <w:jc w:val="left"/>
              <w:rPr>
                <w:rFonts w:ascii="Times New Roman" w:hAnsi="Times New Roman" w:cs="Times New Roman" w:eastAsia="Times New Roman" w:hint="default"/>
                <w:sz w:val="18"/>
                <w:szCs w:val="18"/>
              </w:rPr>
            </w:pPr>
            <w:r>
              <w:rPr>
                <w:rFonts w:ascii="Times New Roman"/>
                <w:sz w:val="18"/>
              </w:rPr>
              <w:t>124,976,037.20</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sz w:val="18"/>
              </w:rPr>
              <w:t>136,056,760.27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413" w:hRule="exact"/>
        </w:trPr>
        <w:tc>
          <w:tcPr>
            <w:tcW w:w="323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15,355,483.53</w:t>
            </w:r>
          </w:p>
        </w:tc>
        <w:tc>
          <w:tcPr>
            <w:tcW w:w="323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9,854,303.32</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6,537,782.75</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96,973,001.38</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1,280,077.38</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815,079.98</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148,149,380.86</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243,699,144.95</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其他应付款" w:id="286"/>
      <w:bookmarkEnd w:id="286"/>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79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郑州高新区管委会</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113,473,264.80</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政府款项</w:t>
            </w:r>
          </w:p>
        </w:tc>
      </w:tr>
      <w:tr>
        <w:trPr>
          <w:trHeight w:val="411"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113,473,264.80</w:t>
            </w:r>
          </w:p>
        </w:tc>
        <w:tc>
          <w:tcPr>
            <w:tcW w:w="3231"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4"/>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8、一年内到期的非流动负债" w:id="287"/>
      <w:bookmarkEnd w:id="287"/>
      <w:r>
        <w:rPr>
          <w:b w:val="0"/>
          <w:bCs w:val="0"/>
        </w:rPr>
      </w:r>
      <w:r>
        <w:rPr>
          <w:rFonts w:ascii="Times New Roman" w:hAnsi="Times New Roman" w:cs="Times New Roman" w:eastAsia="Times New Roman" w:hint="default"/>
        </w:rPr>
        <w:t>28</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409"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202,635,665.82</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234,729,092.35</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236"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61,704,200.98</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202,635,665.82</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296,433,293.33</w:t>
            </w:r>
          </w:p>
        </w:tc>
      </w:tr>
    </w:tbl>
    <w:p>
      <w:pPr>
        <w:spacing w:line="360" w:lineRule="auto" w:before="51"/>
        <w:ind w:left="152" w:right="4619" w:firstLine="0"/>
        <w:jc w:val="left"/>
        <w:rPr>
          <w:rFonts w:ascii="宋体" w:hAnsi="宋体" w:cs="宋体" w:eastAsia="宋体" w:hint="default"/>
          <w:sz w:val="18"/>
          <w:szCs w:val="18"/>
        </w:rPr>
      </w:pPr>
      <w:r>
        <w:rPr>
          <w:rFonts w:ascii="宋体" w:hAnsi="宋体" w:cs="宋体" w:eastAsia="宋体" w:hint="default"/>
          <w:sz w:val="18"/>
          <w:szCs w:val="18"/>
        </w:rPr>
        <w:t>其他说明： 一年内到期的非流动负债减少</w:t>
      </w:r>
      <w:r>
        <w:rPr>
          <w:rFonts w:ascii="Times New Roman" w:hAnsi="Times New Roman" w:cs="Times New Roman" w:eastAsia="Times New Roman" w:hint="default"/>
          <w:sz w:val="18"/>
          <w:szCs w:val="18"/>
        </w:rPr>
        <w:t>31.64%</w:t>
      </w:r>
      <w:r>
        <w:rPr>
          <w:rFonts w:ascii="宋体" w:hAnsi="宋体" w:cs="宋体" w:eastAsia="宋体" w:hint="default"/>
          <w:sz w:val="18"/>
          <w:szCs w:val="18"/>
        </w:rPr>
        <w:t>，主要系报告期财务报表格式变更所致。</w:t>
      </w: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bookmarkStart w:name="29、长期借款" w:id="288"/>
      <w:bookmarkEnd w:id="288"/>
      <w:r>
        <w:rPr>
          <w:b w:val="0"/>
          <w:bCs w:val="0"/>
        </w:rPr>
      </w:r>
      <w:r>
        <w:rPr>
          <w:rFonts w:ascii="Times New Roman" w:hAnsi="Times New Roman" w:cs="Times New Roman" w:eastAsia="Times New Roman" w:hint="default"/>
        </w:rPr>
        <w:t>29</w:t>
      </w:r>
      <w:r>
        <w:rPr/>
        <w:t>、长期借款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289"/>
      <w:bookmarkEnd w:id="28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6"/>
        <w:gridCol w:w="3231"/>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446,048,595.04</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395,350,927.63</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46" w:type="dxa"/>
            <w:tcBorders>
              <w:top w:val="single" w:sz="4" w:space="0" w:color="000000"/>
              <w:left w:val="single" w:sz="9" w:space="0" w:color="D2D2D2"/>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275,000,000.00</w:t>
            </w:r>
          </w:p>
        </w:tc>
      </w:tr>
      <w:tr>
        <w:trPr>
          <w:trHeight w:val="411"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2"/>
                <w:szCs w:val="12"/>
              </w:rPr>
            </w:pPr>
            <w:r>
              <w:rPr>
                <w:rFonts w:ascii="Times New Roman"/>
                <w:spacing w:val="-1"/>
                <w:sz w:val="18"/>
              </w:rPr>
              <w:t>446,048,595.04</w:t>
            </w:r>
            <w:r>
              <w:rPr>
                <w:rFonts w:ascii="Times New Roman"/>
                <w:color w:val="FF0000"/>
                <w:spacing w:val="-1"/>
                <w:position w:val="8"/>
                <w:sz w:val="12"/>
              </w:rPr>
              <w:t>1</w:t>
            </w:r>
            <w:r>
              <w:rPr>
                <w:rFonts w:ascii="Times New Roman"/>
                <w:spacing w:val="-1"/>
                <w:sz w:val="12"/>
              </w:rPr>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670,350,927.63</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长期借款减少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33.46%</w:t>
      </w:r>
      <w:r>
        <w:rPr>
          <w:rFonts w:ascii="宋体" w:hAnsi="宋体" w:cs="宋体" w:eastAsia="宋体" w:hint="default"/>
          <w:sz w:val="18"/>
          <w:szCs w:val="18"/>
        </w:rPr>
        <w:t>，主要系报告期公司借款结构变化所致。</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30、长期应付款" w:id="290"/>
      <w:bookmarkEnd w:id="290"/>
      <w:r>
        <w:rPr>
          <w:b w:val="0"/>
          <w:bCs w:val="0"/>
        </w:rPr>
      </w:r>
      <w:r>
        <w:rPr>
          <w:rFonts w:ascii="Times New Roman" w:hAnsi="Times New Roman" w:cs="Times New Roman" w:eastAsia="Times New Roman" w:hint="default"/>
        </w:rPr>
        <w:t>30</w:t>
      </w:r>
      <w:r>
        <w:rPr/>
        <w:t>、长期应付款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6"/>
        <w:gridCol w:w="3231"/>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46" w:type="dxa"/>
            <w:tcBorders>
              <w:top w:val="single" w:sz="4" w:space="0" w:color="000000"/>
              <w:left w:val="single" w:sz="9" w:space="0" w:color="D2D2D2"/>
              <w:bottom w:val="single" w:sz="12" w:space="0" w:color="000000"/>
              <w:right w:val="single" w:sz="4" w:space="0" w:color="000000"/>
            </w:tcBorders>
          </w:tcPr>
          <w:p>
            <w:pP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49,119,554.46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3230"/>
        <w:gridCol w:w="3236"/>
        <w:gridCol w:w="3231"/>
      </w:tblGrid>
      <w:tr>
        <w:trPr>
          <w:trHeight w:val="420" w:hRule="exact"/>
        </w:trPr>
        <w:tc>
          <w:tcPr>
            <w:tcW w:w="3230"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12"/>
                <w:szCs w:val="12"/>
              </w:rPr>
            </w:pPr>
            <w:r>
              <w:rPr>
                <w:rFonts w:ascii="Times New Roman"/>
                <w:color w:val="FF0000"/>
                <w:sz w:val="12"/>
              </w:rPr>
              <w:t>1</w:t>
            </w:r>
            <w:r>
              <w:rPr>
                <w:rFonts w:ascii="Times New Roman"/>
                <w:sz w:val="12"/>
              </w:rPr>
            </w:r>
          </w:p>
        </w:tc>
        <w:tc>
          <w:tcPr>
            <w:tcW w:w="3231"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49,119,554.46</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长期应付款减少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，主要系报告期归还国开发展基金夹层投资款所致。</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1）按款项性质列示长期应付款" w:id="291"/>
      <w:bookmarkEnd w:id="29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国开发展基金夹层投资款</w:t>
            </w:r>
          </w:p>
        </w:tc>
        <w:tc>
          <w:tcPr>
            <w:tcW w:w="3236" w:type="dxa"/>
            <w:tcBorders>
              <w:top w:val="single" w:sz="4" w:space="0" w:color="000000"/>
              <w:left w:val="single" w:sz="4" w:space="0" w:color="000000"/>
              <w:bottom w:val="single" w:sz="12" w:space="0" w:color="000000"/>
              <w:right w:val="single" w:sz="4" w:space="0" w:color="000000"/>
            </w:tcBorders>
          </w:tcPr>
          <w:p>
            <w:pP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49,119,554.46</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1、长期应付职工薪酬" w:id="292"/>
      <w:bookmarkEnd w:id="292"/>
      <w:r>
        <w:rPr>
          <w:b w:val="0"/>
          <w:bCs w:val="0"/>
        </w:rPr>
      </w:r>
      <w:r>
        <w:rPr>
          <w:rFonts w:ascii="Times New Roman" w:hAnsi="Times New Roman" w:cs="Times New Roman" w:eastAsia="Times New Roman" w:hint="default"/>
        </w:rPr>
        <w:t>31</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293"/>
      <w:bookmarkEnd w:id="293"/>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6"/>
        <w:gridCol w:w="3231"/>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10,295,318.20</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11,686,073.93</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10,295,318.20</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11,686,073.93</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设定受益计划变动情况" w:id="294"/>
      <w:bookmarkEnd w:id="294"/>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6"/>
        <w:gridCol w:w="3231"/>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11,686,073.93</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12,517,460.08</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36,955.90</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924,882.04</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当期服务成本</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-450,015.98</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437,910.16</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利息净额</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486,971.88</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486,971.88</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三、其他变动</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1,427,711.63</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1,756,268.19</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已支付的福利</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1,427,711.63</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1,756,268.19</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四、期末余额</w:t>
            </w:r>
          </w:p>
        </w:tc>
        <w:tc>
          <w:tcPr>
            <w:tcW w:w="3246"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10,295,318.20</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11,686,073.93</w:t>
            </w:r>
          </w:p>
        </w:tc>
      </w:tr>
    </w:tbl>
    <w:p>
      <w:pPr>
        <w:spacing w:before="52"/>
        <w:ind w:left="15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6"/>
        <w:gridCol w:w="3231"/>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11,686,073.93</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12,517,460.08</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36,955.90</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924,882.04</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三、其他变动</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1,427,711.63</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1,756,268.19</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四、期末余额</w:t>
            </w:r>
          </w:p>
        </w:tc>
        <w:tc>
          <w:tcPr>
            <w:tcW w:w="3246"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10,295,318.20</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11,686,073.93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6"/>
        <w:gridCol w:w="3231"/>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11,686,073.93</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12,517,460.08</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36,955.90</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924,882.04</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三、其他变动</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1,427,711.63</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1,756,268.19</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四、期末余额</w:t>
            </w:r>
          </w:p>
        </w:tc>
        <w:tc>
          <w:tcPr>
            <w:tcW w:w="3246"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10,295,318.20</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11,686,073.93</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w:t>
      </w:r>
    </w:p>
    <w:p>
      <w:pPr>
        <w:spacing w:line="240" w:lineRule="auto" w:before="1"/>
        <w:rPr>
          <w:rFonts w:ascii="宋体" w:hAnsi="宋体" w:cs="宋体" w:eastAsia="宋体" w:hint="default"/>
          <w:sz w:val="13"/>
          <w:szCs w:val="13"/>
        </w:rPr>
      </w:pPr>
    </w:p>
    <w:p>
      <w:pPr>
        <w:pStyle w:val="BodyText"/>
        <w:spacing w:line="410" w:lineRule="auto" w:before="0"/>
        <w:ind w:right="0" w:firstLine="420"/>
        <w:jc w:val="left"/>
      </w:pPr>
      <w:r>
        <w:rPr>
          <w:spacing w:val="2"/>
        </w:rPr>
        <w:t>设定收益计划为由于历史原因形成的，公司按照郑州高新技术产业开发区热力公司文件郑开热司字</w:t>
      </w:r>
      <w:r>
        <w:rPr>
          <w:w w:val="100"/>
        </w:rPr>
        <w:t> </w:t>
      </w:r>
      <w:r>
        <w:rPr>
          <w:rFonts w:ascii="宋体" w:hAnsi="宋体" w:cs="宋体" w:eastAsia="宋体" w:hint="default"/>
          <w:spacing w:val="-4"/>
        </w:rPr>
        <w:t>[2006]08</w:t>
      </w:r>
      <w:r>
        <w:rPr>
          <w:spacing w:val="-4"/>
        </w:rPr>
        <w:t>号《郑州高新技术产业开发区热力公司内部退养制度》的规定给予内退职工一定金额的薪酬补贴。</w:t>
      </w:r>
    </w:p>
    <w:p>
      <w:pPr>
        <w:pStyle w:val="BodyText"/>
        <w:spacing w:line="408" w:lineRule="auto" w:before="44"/>
        <w:ind w:right="1126" w:firstLine="420"/>
        <w:jc w:val="both"/>
      </w:pPr>
      <w:r>
        <w:rPr>
          <w:spacing w:val="-2"/>
        </w:rPr>
        <w:t>该计划主要涉及利率风险及福利水平增长风险，利率风险指计算计划福利义务现值时所采用的折现率</w:t>
      </w:r>
      <w:r>
        <w:rPr>
          <w:w w:val="100"/>
        </w:rPr>
        <w:t> </w:t>
      </w:r>
      <w:r>
        <w:rPr>
          <w:spacing w:val="-2"/>
        </w:rPr>
        <w:t>的选取依据是银行间债券市场的国债到期收益率，银行间债券市场的国债到期收益率的下降会产生精算损</w:t>
      </w:r>
      <w:r>
        <w:rPr>
          <w:spacing w:val="-43"/>
        </w:rPr>
        <w:t> </w:t>
      </w:r>
      <w:r>
        <w:rPr>
          <w:spacing w:val="-43"/>
        </w:rPr>
      </w:r>
      <w:r>
        <w:rPr/>
        <w:t>失</w:t>
      </w:r>
      <w:r>
        <w:rPr>
          <w:rFonts w:ascii="宋体" w:hAnsi="宋体" w:cs="宋体" w:eastAsia="宋体" w:hint="default"/>
        </w:rPr>
        <w:t>;</w:t>
      </w:r>
      <w:r>
        <w:rPr/>
        <w:t>福利水平增长风险指计算计划福利义务现值时所采用的各项福利增长率假设的选取依据是各项福利的</w:t>
      </w:r>
      <w:r>
        <w:rPr>
          <w:spacing w:val="-25"/>
        </w:rPr>
        <w:t> </w:t>
      </w:r>
      <w:r>
        <w:rPr>
          <w:spacing w:val="-25"/>
        </w:rPr>
      </w:r>
      <w:r>
        <w:rPr>
          <w:spacing w:val="-2"/>
        </w:rPr>
        <w:t>历史增长率水平和公司管理层对各项福利增长率的长期预期，若实际福利增长率水平高于精算假设，会产</w:t>
      </w:r>
      <w:r>
        <w:rPr>
          <w:spacing w:val="-42"/>
        </w:rPr>
        <w:t> </w:t>
      </w:r>
      <w:r>
        <w:rPr>
          <w:spacing w:val="-42"/>
        </w:rPr>
      </w:r>
      <w:r>
        <w:rPr/>
        <w:t>生精算损失。</w:t>
      </w:r>
    </w:p>
    <w:p>
      <w:pPr>
        <w:pStyle w:val="BodyText"/>
        <w:spacing w:line="240" w:lineRule="auto"/>
        <w:ind w:left="573" w:right="0"/>
        <w:jc w:val="left"/>
      </w:pPr>
      <w:r>
        <w:rPr/>
        <w:t>该计划对公司未来现金流量、时间和不确定性不存在重大影响。</w:t>
      </w:r>
    </w:p>
    <w:p>
      <w:pPr>
        <w:spacing w:before="178"/>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设定受益计划重大精算假设及敏感性分析结果说明：</w:t>
      </w:r>
    </w:p>
    <w:p>
      <w:pPr>
        <w:pStyle w:val="BodyText"/>
        <w:spacing w:line="240" w:lineRule="auto" w:before="94"/>
        <w:ind w:left="573" w:right="0"/>
        <w:jc w:val="left"/>
      </w:pPr>
      <w:r>
        <w:rPr/>
        <w:t>设定受益计划重大精算假设：</w:t>
      </w:r>
    </w:p>
    <w:p>
      <w:pPr>
        <w:spacing w:line="240" w:lineRule="auto" w:before="5"/>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4052"/>
        <w:gridCol w:w="5617"/>
      </w:tblGrid>
      <w:tr>
        <w:trPr>
          <w:trHeight w:val="332" w:hRule="exact"/>
        </w:trPr>
        <w:tc>
          <w:tcPr>
            <w:tcW w:w="4052"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35" w:lineRule="exact"/>
              <w:ind w:right="4"/>
              <w:jc w:val="center"/>
              <w:rPr>
                <w:rFonts w:ascii="宋体" w:hAnsi="宋体" w:cs="宋体" w:eastAsia="宋体" w:hint="default"/>
                <w:sz w:val="18"/>
                <w:szCs w:val="18"/>
              </w:rPr>
            </w:pPr>
            <w:r>
              <w:rPr>
                <w:rFonts w:ascii="宋体" w:hAnsi="宋体" w:cs="宋体" w:eastAsia="宋体" w:hint="default"/>
                <w:sz w:val="18"/>
                <w:szCs w:val="18"/>
              </w:rPr>
              <w:t>精算假设</w:t>
            </w:r>
          </w:p>
        </w:tc>
        <w:tc>
          <w:tcPr>
            <w:tcW w:w="5617"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35" w:lineRule="exact"/>
              <w:ind w:left="4" w:right="0"/>
              <w:jc w:val="center"/>
              <w:rPr>
                <w:rFonts w:ascii="宋体" w:hAnsi="宋体" w:cs="宋体" w:eastAsia="宋体" w:hint="default"/>
                <w:sz w:val="18"/>
                <w:szCs w:val="18"/>
              </w:rPr>
            </w:pPr>
            <w:r>
              <w:rPr>
                <w:rFonts w:ascii="宋体" w:hAnsi="宋体" w:cs="宋体" w:eastAsia="宋体" w:hint="default"/>
                <w:sz w:val="18"/>
                <w:szCs w:val="18"/>
              </w:rPr>
              <w:t>确定标准</w:t>
            </w:r>
          </w:p>
        </w:tc>
      </w:tr>
      <w:tr>
        <w:trPr>
          <w:trHeight w:val="342" w:hRule="exact"/>
        </w:trPr>
        <w:tc>
          <w:tcPr>
            <w:tcW w:w="405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56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同期银行间债券市场的国债到期收益率</w:t>
            </w:r>
          </w:p>
        </w:tc>
      </w:tr>
      <w:tr>
        <w:trPr>
          <w:trHeight w:val="342" w:hRule="exact"/>
        </w:trPr>
        <w:tc>
          <w:tcPr>
            <w:tcW w:w="405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z w:val="18"/>
                <w:szCs w:val="18"/>
              </w:rPr>
              <w:t>离职率</w:t>
            </w:r>
          </w:p>
        </w:tc>
        <w:tc>
          <w:tcPr>
            <w:tcW w:w="56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w:t>
            </w:r>
          </w:p>
        </w:tc>
      </w:tr>
      <w:tr>
        <w:trPr>
          <w:trHeight w:val="342" w:hRule="exact"/>
        </w:trPr>
        <w:tc>
          <w:tcPr>
            <w:tcW w:w="405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福利增长率</w:t>
            </w:r>
          </w:p>
        </w:tc>
        <w:tc>
          <w:tcPr>
            <w:tcW w:w="56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w:t>
            </w:r>
          </w:p>
        </w:tc>
      </w:tr>
      <w:tr>
        <w:trPr>
          <w:trHeight w:val="354" w:hRule="exact"/>
        </w:trPr>
        <w:tc>
          <w:tcPr>
            <w:tcW w:w="4052"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z w:val="18"/>
                <w:szCs w:val="18"/>
              </w:rPr>
              <w:t>正式退休年龄</w:t>
            </w:r>
          </w:p>
        </w:tc>
        <w:tc>
          <w:tcPr>
            <w:tcW w:w="561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男：干部</w:t>
            </w:r>
            <w:r>
              <w:rPr>
                <w:rFonts w:ascii="Times New Roman" w:hAnsi="Times New Roman" w:cs="Times New Roman" w:eastAsia="Times New Roman" w:hint="default"/>
                <w:sz w:val="18"/>
                <w:szCs w:val="18"/>
              </w:rPr>
              <w:t>60</w:t>
            </w:r>
            <w:r>
              <w:rPr>
                <w:rFonts w:ascii="宋体" w:hAnsi="宋体" w:cs="宋体" w:eastAsia="宋体" w:hint="default"/>
                <w:sz w:val="18"/>
                <w:szCs w:val="18"/>
              </w:rPr>
              <w:t>岁、工人</w:t>
            </w:r>
            <w:r>
              <w:rPr>
                <w:rFonts w:ascii="Times New Roman" w:hAnsi="Times New Roman" w:cs="Times New Roman" w:eastAsia="Times New Roman" w:hint="default"/>
                <w:sz w:val="18"/>
                <w:szCs w:val="18"/>
              </w:rPr>
              <w:t>60</w:t>
            </w:r>
            <w:r>
              <w:rPr>
                <w:rFonts w:ascii="宋体" w:hAnsi="宋体" w:cs="宋体" w:eastAsia="宋体" w:hint="default"/>
                <w:sz w:val="18"/>
                <w:szCs w:val="18"/>
              </w:rPr>
              <w:t>岁，女：干部</w:t>
            </w:r>
            <w:r>
              <w:rPr>
                <w:rFonts w:ascii="Times New Roman" w:hAnsi="Times New Roman" w:cs="Times New Roman" w:eastAsia="Times New Roman" w:hint="default"/>
                <w:sz w:val="18"/>
                <w:szCs w:val="18"/>
              </w:rPr>
              <w:t>55</w:t>
            </w:r>
            <w:r>
              <w:rPr>
                <w:rFonts w:ascii="宋体" w:hAnsi="宋体" w:cs="宋体" w:eastAsia="宋体" w:hint="default"/>
                <w:sz w:val="18"/>
                <w:szCs w:val="18"/>
              </w:rPr>
              <w:t>岁、工人</w:t>
            </w:r>
            <w:r>
              <w:rPr>
                <w:rFonts w:ascii="Times New Roman" w:hAnsi="Times New Roman" w:cs="Times New Roman" w:eastAsia="Times New Roman" w:hint="default"/>
                <w:sz w:val="18"/>
                <w:szCs w:val="18"/>
              </w:rPr>
              <w:t>50</w:t>
            </w:r>
            <w:r>
              <w:rPr>
                <w:rFonts w:ascii="宋体" w:hAnsi="宋体" w:cs="宋体" w:eastAsia="宋体" w:hint="default"/>
                <w:sz w:val="18"/>
                <w:szCs w:val="18"/>
              </w:rPr>
              <w:t>岁</w:t>
            </w:r>
          </w:p>
        </w:tc>
      </w:tr>
    </w:tbl>
    <w:p>
      <w:pPr>
        <w:pStyle w:val="BodyText"/>
        <w:spacing w:line="262" w:lineRule="exact" w:before="0"/>
        <w:ind w:left="573" w:right="0"/>
        <w:jc w:val="left"/>
      </w:pPr>
      <w:r>
        <w:rPr/>
        <w:t>敏感性分析结果说明：</w:t>
      </w:r>
    </w:p>
    <w:p>
      <w:pPr>
        <w:spacing w:line="240" w:lineRule="auto" w:before="9"/>
        <w:rPr>
          <w:rFonts w:ascii="宋体" w:hAnsi="宋体" w:cs="宋体" w:eastAsia="宋体"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2792"/>
        <w:gridCol w:w="3440"/>
        <w:gridCol w:w="3437"/>
      </w:tblGrid>
      <w:tr>
        <w:trPr>
          <w:trHeight w:val="341" w:hRule="exact"/>
        </w:trPr>
        <w:tc>
          <w:tcPr>
            <w:tcW w:w="2792"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精算假设</w:t>
            </w:r>
          </w:p>
        </w:tc>
        <w:tc>
          <w:tcPr>
            <w:tcW w:w="3440"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364" w:right="0"/>
              <w:jc w:val="left"/>
              <w:rPr>
                <w:rFonts w:ascii="宋体" w:hAnsi="宋体" w:cs="宋体" w:eastAsia="宋体" w:hint="default"/>
                <w:sz w:val="18"/>
                <w:szCs w:val="18"/>
              </w:rPr>
            </w:pPr>
            <w:r>
              <w:rPr>
                <w:rFonts w:ascii="宋体" w:hAnsi="宋体" w:cs="宋体" w:eastAsia="宋体" w:hint="default"/>
                <w:sz w:val="18"/>
                <w:szCs w:val="18"/>
              </w:rPr>
              <w:t>对计划福利义务现值的影响（元）</w:t>
            </w:r>
          </w:p>
        </w:tc>
        <w:tc>
          <w:tcPr>
            <w:tcW w:w="3437"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17"/>
              <w:ind w:left="379" w:right="0"/>
              <w:jc w:val="left"/>
              <w:rPr>
                <w:rFonts w:ascii="宋体" w:hAnsi="宋体" w:cs="宋体" w:eastAsia="宋体" w:hint="default"/>
                <w:sz w:val="18"/>
                <w:szCs w:val="18"/>
              </w:rPr>
            </w:pPr>
            <w:r>
              <w:rPr>
                <w:rFonts w:ascii="宋体" w:hAnsi="宋体" w:cs="宋体" w:eastAsia="宋体" w:hint="default"/>
                <w:sz w:val="18"/>
                <w:szCs w:val="18"/>
              </w:rPr>
              <w:t>对计划福利义务现值的影响（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27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9"/>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折现率</w:t>
            </w:r>
            <w:r>
              <w:rPr>
                <w:rFonts w:ascii="Times New Roman" w:hAnsi="Times New Roman" w:cs="Times New Roman" w:eastAsia="Times New Roman" w:hint="default"/>
                <w:sz w:val="18"/>
                <w:szCs w:val="18"/>
              </w:rPr>
              <w:t>+0.25%</w:t>
            </w:r>
          </w:p>
        </w:tc>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8"/>
                <w:szCs w:val="18"/>
              </w:rPr>
            </w:pPr>
            <w:r>
              <w:rPr>
                <w:rFonts w:ascii="Times New Roman"/>
                <w:spacing w:val="-1"/>
                <w:sz w:val="18"/>
              </w:rPr>
              <w:t>-150,650.34</w:t>
            </w:r>
          </w:p>
        </w:tc>
        <w:tc>
          <w:tcPr>
            <w:tcW w:w="34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2"/>
              <w:ind w:right="-6"/>
              <w:jc w:val="right"/>
              <w:rPr>
                <w:rFonts w:ascii="Times New Roman" w:hAnsi="Times New Roman" w:cs="Times New Roman" w:eastAsia="Times New Roman" w:hint="default"/>
                <w:sz w:val="18"/>
                <w:szCs w:val="18"/>
              </w:rPr>
            </w:pPr>
            <w:r>
              <w:rPr>
                <w:rFonts w:ascii="Times New Roman"/>
                <w:sz w:val="18"/>
              </w:rPr>
              <w:t>-1.46%</w:t>
            </w:r>
          </w:p>
        </w:tc>
      </w:tr>
      <w:tr>
        <w:trPr>
          <w:trHeight w:val="353" w:hRule="exact"/>
        </w:trPr>
        <w:tc>
          <w:tcPr>
            <w:tcW w:w="279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7"/>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折现率</w:t>
            </w:r>
            <w:r>
              <w:rPr>
                <w:rFonts w:ascii="Times New Roman" w:hAnsi="Times New Roman" w:cs="Times New Roman" w:eastAsia="Times New Roman" w:hint="default"/>
                <w:sz w:val="18"/>
                <w:szCs w:val="18"/>
              </w:rPr>
              <w:t>-0.25%</w:t>
            </w:r>
          </w:p>
        </w:tc>
        <w:tc>
          <w:tcPr>
            <w:tcW w:w="3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154,280.97</w:t>
            </w:r>
          </w:p>
        </w:tc>
        <w:tc>
          <w:tcPr>
            <w:tcW w:w="343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1.50%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2、预计负债" w:id="295"/>
      <w:bookmarkEnd w:id="295"/>
      <w:r>
        <w:rPr>
          <w:b w:val="0"/>
          <w:bCs w:val="0"/>
        </w:rPr>
      </w:r>
      <w:r>
        <w:rPr>
          <w:rFonts w:ascii="Times New Roman" w:hAnsi="Times New Roman" w:cs="Times New Roman" w:eastAsia="Times New Roman" w:hint="default"/>
        </w:rPr>
        <w:t>32</w:t>
      </w:r>
      <w:r>
        <w:rPr/>
        <w:t>、预计负债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2420"/>
        <w:gridCol w:w="2429"/>
        <w:gridCol w:w="2424"/>
        <w:gridCol w:w="2425"/>
      </w:tblGrid>
      <w:tr>
        <w:trPr>
          <w:trHeight w:val="396" w:hRule="exact"/>
        </w:trPr>
        <w:tc>
          <w:tcPr>
            <w:tcW w:w="242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42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2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10" w:hRule="exact"/>
        </w:trPr>
        <w:tc>
          <w:tcPr>
            <w:tcW w:w="242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工程质量维修基金</w:t>
            </w:r>
          </w:p>
        </w:tc>
        <w:tc>
          <w:tcPr>
            <w:tcW w:w="2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1584" w:right="0"/>
              <w:jc w:val="left"/>
              <w:rPr>
                <w:rFonts w:ascii="Times New Roman" w:hAnsi="Times New Roman" w:cs="Times New Roman" w:eastAsia="Times New Roman" w:hint="default"/>
                <w:sz w:val="18"/>
                <w:szCs w:val="18"/>
              </w:rPr>
            </w:pPr>
            <w:r>
              <w:rPr>
                <w:rFonts w:ascii="Times New Roman"/>
                <w:sz w:val="18"/>
              </w:rPr>
              <w:t>107,835.64</w:t>
            </w:r>
          </w:p>
        </w:tc>
        <w:tc>
          <w:tcPr>
            <w:tcW w:w="2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1581" w:right="0"/>
              <w:jc w:val="left"/>
              <w:rPr>
                <w:rFonts w:ascii="Times New Roman" w:hAnsi="Times New Roman" w:cs="Times New Roman" w:eastAsia="Times New Roman" w:hint="default"/>
                <w:sz w:val="18"/>
                <w:szCs w:val="18"/>
              </w:rPr>
            </w:pPr>
            <w:r>
              <w:rPr>
                <w:rFonts w:ascii="Times New Roman"/>
                <w:sz w:val="18"/>
              </w:rPr>
              <w:t>161,591.41</w:t>
            </w:r>
          </w:p>
        </w:tc>
        <w:tc>
          <w:tcPr>
            <w:tcW w:w="24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按历史经验测算维修费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20"/>
        <w:gridCol w:w="2429"/>
        <w:gridCol w:w="2424"/>
        <w:gridCol w:w="2425"/>
      </w:tblGrid>
      <w:tr>
        <w:trPr>
          <w:trHeight w:val="413" w:hRule="exact"/>
        </w:trPr>
        <w:tc>
          <w:tcPr>
            <w:tcW w:w="242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恢复性大修费用</w:t>
            </w:r>
          </w:p>
        </w:tc>
        <w:tc>
          <w:tcPr>
            <w:tcW w:w="24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27,147,999.33</w:t>
            </w:r>
          </w:p>
        </w:tc>
        <w:tc>
          <w:tcPr>
            <w:tcW w:w="24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41,432,501.95</w:t>
            </w:r>
          </w:p>
        </w:tc>
        <w:tc>
          <w:tcPr>
            <w:tcW w:w="242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合同约定</w:t>
            </w:r>
          </w:p>
        </w:tc>
      </w:tr>
      <w:tr>
        <w:trPr>
          <w:trHeight w:val="410" w:hRule="exact"/>
        </w:trPr>
        <w:tc>
          <w:tcPr>
            <w:tcW w:w="242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pacing w:val="-1"/>
                <w:sz w:val="18"/>
              </w:rPr>
              <w:t>27,255,834.97</w:t>
            </w:r>
            <w:r>
              <w:rPr>
                <w:rFonts w:ascii="Times New Roman"/>
                <w:color w:val="FF0000"/>
                <w:spacing w:val="-1"/>
                <w:position w:val="8"/>
                <w:sz w:val="12"/>
              </w:rPr>
              <w:t>1</w:t>
            </w:r>
            <w:r>
              <w:rPr>
                <w:rFonts w:ascii="Times New Roman"/>
                <w:spacing w:val="-1"/>
                <w:sz w:val="12"/>
              </w:rPr>
            </w:r>
          </w:p>
        </w:tc>
        <w:tc>
          <w:tcPr>
            <w:tcW w:w="2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41,594,093.36</w:t>
            </w:r>
          </w:p>
        </w:tc>
        <w:tc>
          <w:tcPr>
            <w:tcW w:w="2425"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预计负债减少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34.47%</w:t>
      </w:r>
      <w:r>
        <w:rPr>
          <w:rFonts w:ascii="宋体" w:hAnsi="宋体" w:cs="宋体" w:eastAsia="宋体" w:hint="default"/>
          <w:sz w:val="18"/>
          <w:szCs w:val="18"/>
        </w:rPr>
        <w:t>，主要系报告期支付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项目恢复性大修费用所致。</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bookmarkStart w:name="33、递延收益" w:id="296"/>
      <w:bookmarkEnd w:id="296"/>
      <w:r>
        <w:rPr>
          <w:b w:val="0"/>
          <w:bCs w:val="0"/>
        </w:rPr>
      </w:r>
      <w:r>
        <w:rPr>
          <w:rFonts w:ascii="Times New Roman" w:hAnsi="Times New Roman" w:cs="Times New Roman" w:eastAsia="Times New Roman" w:hint="default"/>
        </w:rPr>
        <w:t>33</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18"/>
        <w:gridCol w:w="1618"/>
        <w:gridCol w:w="1615"/>
        <w:gridCol w:w="1616"/>
        <w:gridCol w:w="1616"/>
        <w:gridCol w:w="1615"/>
      </w:tblGrid>
      <w:tr>
        <w:trPr>
          <w:trHeight w:val="412" w:hRule="exact"/>
        </w:trPr>
        <w:tc>
          <w:tcPr>
            <w:tcW w:w="161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6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4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61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689,812,707.38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309,374,700.00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98,945,187.45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900,242,219.93</w:t>
            </w:r>
          </w:p>
        </w:tc>
        <w:tc>
          <w:tcPr>
            <w:tcW w:w="16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491"/>
              <w:jc w:val="righ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716" w:hRule="exact"/>
        </w:trPr>
        <w:tc>
          <w:tcPr>
            <w:tcW w:w="1618"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316" w:lineRule="auto" w:before="49"/>
              <w:ind w:left="14" w:right="142"/>
              <w:jc w:val="left"/>
              <w:rPr>
                <w:rFonts w:ascii="宋体" w:hAnsi="宋体" w:cs="宋体" w:eastAsia="宋体" w:hint="default"/>
                <w:sz w:val="18"/>
                <w:szCs w:val="18"/>
              </w:rPr>
            </w:pPr>
            <w:r>
              <w:rPr>
                <w:rFonts w:ascii="宋体" w:hAnsi="宋体" w:cs="宋体" w:eastAsia="宋体" w:hint="default"/>
                <w:sz w:val="18"/>
                <w:szCs w:val="18"/>
              </w:rPr>
              <w:t>将于一年内结转损 益的递延收益</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-61,704,200.98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61,704,200.98</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15"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161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628,108,506.40</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371,078,900.98</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98,945,187.45</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2"/>
                <w:szCs w:val="12"/>
              </w:rPr>
            </w:pPr>
            <w:r>
              <w:rPr>
                <w:rFonts w:ascii="Times New Roman"/>
                <w:w w:val="95"/>
                <w:sz w:val="18"/>
              </w:rPr>
              <w:t>900,242,219.93</w:t>
            </w:r>
            <w:r>
              <w:rPr>
                <w:rFonts w:ascii="Times New Roman"/>
                <w:color w:val="FF0000"/>
                <w:w w:val="95"/>
                <w:position w:val="8"/>
                <w:sz w:val="12"/>
              </w:rPr>
              <w:t>1</w:t>
            </w:r>
            <w:r>
              <w:rPr>
                <w:rFonts w:ascii="Times New Roman"/>
                <w:w w:val="95"/>
                <w:sz w:val="12"/>
              </w:rPr>
            </w:r>
          </w:p>
        </w:tc>
        <w:tc>
          <w:tcPr>
            <w:tcW w:w="1615"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338" w:lineRule="auto"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递延收益增加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43.33%</w:t>
      </w:r>
      <w:r>
        <w:rPr>
          <w:rFonts w:ascii="宋体" w:hAnsi="宋体" w:cs="宋体" w:eastAsia="宋体" w:hint="default"/>
          <w:sz w:val="18"/>
          <w:szCs w:val="18"/>
        </w:rPr>
        <w:t>，主要系报告期公司收到了较大金额的政府补助所致。 涉及政府补助的项目：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694" w:space="2135"/>
            <w:col w:w="210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94"/>
        <w:gridCol w:w="1234"/>
        <w:gridCol w:w="1181"/>
        <w:gridCol w:w="991"/>
        <w:gridCol w:w="1092"/>
        <w:gridCol w:w="991"/>
        <w:gridCol w:w="994"/>
        <w:gridCol w:w="1232"/>
        <w:gridCol w:w="989"/>
      </w:tblGrid>
      <w:tr>
        <w:trPr>
          <w:trHeight w:val="1037" w:hRule="exact"/>
        </w:trPr>
        <w:tc>
          <w:tcPr>
            <w:tcW w:w="9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3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8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05" w:right="44"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9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 w:right="3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91" w:right="89"/>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9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3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8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00" w:lineRule="auto" w:before="74"/>
              <w:ind w:left="398" w:right="95"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715" w:hRule="exact"/>
        </w:trPr>
        <w:tc>
          <w:tcPr>
            <w:tcW w:w="99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8"/>
              <w:jc w:val="left"/>
              <w:rPr>
                <w:rFonts w:ascii="宋体" w:hAnsi="宋体" w:cs="宋体" w:eastAsia="宋体" w:hint="default"/>
                <w:sz w:val="18"/>
                <w:szCs w:val="18"/>
              </w:rPr>
            </w:pPr>
            <w:r>
              <w:rPr>
                <w:rFonts w:ascii="宋体" w:hAnsi="宋体" w:cs="宋体" w:eastAsia="宋体" w:hint="default"/>
                <w:sz w:val="18"/>
                <w:szCs w:val="18"/>
              </w:rPr>
              <w:t>城市基础设 施配套费</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663,713,040.77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287,783,500.00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74,086,811.08</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877,409,729.69</w:t>
            </w:r>
          </w:p>
        </w:tc>
        <w:tc>
          <w:tcPr>
            <w:tcW w:w="9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1" w:hRule="exact"/>
        </w:trPr>
        <w:tc>
          <w:tcPr>
            <w:tcW w:w="994" w:type="dxa"/>
            <w:tcBorders>
              <w:top w:val="single" w:sz="4" w:space="0" w:color="000000"/>
              <w:left w:val="single" w:sz="12" w:space="0" w:color="000000"/>
              <w:bottom w:val="single" w:sz="4" w:space="0" w:color="000000"/>
              <w:right w:val="single" w:sz="4" w:space="0" w:color="000000"/>
            </w:tcBorders>
          </w:tcPr>
          <w:p>
            <w:pPr>
              <w:pStyle w:val="TableParagraph"/>
              <w:spacing w:line="307" w:lineRule="auto" w:before="49"/>
              <w:ind w:left="1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年新一 代信息基础 设施建设工 程和</w:t>
            </w:r>
            <w:r>
              <w:rPr>
                <w:rFonts w:ascii="Times New Roman" w:hAnsi="Times New Roman" w:cs="Times New Roman" w:eastAsia="Times New Roman" w:hint="default"/>
                <w:sz w:val="18"/>
                <w:szCs w:val="18"/>
              </w:rPr>
              <w:t>“</w:t>
            </w:r>
            <w:r>
              <w:rPr>
                <w:rFonts w:ascii="宋体" w:hAnsi="宋体" w:cs="宋体" w:eastAsia="宋体" w:hint="default"/>
                <w:sz w:val="18"/>
                <w:szCs w:val="18"/>
              </w:rPr>
              <w:t>互联 网</w:t>
            </w:r>
            <w:r>
              <w:rPr>
                <w:rFonts w:ascii="Times New Roman" w:hAnsi="Times New Roman" w:cs="Times New Roman" w:eastAsia="Times New Roman" w:hint="default"/>
                <w:sz w:val="18"/>
                <w:szCs w:val="18"/>
              </w:rPr>
              <w:t>+”</w:t>
            </w:r>
            <w:r>
              <w:rPr>
                <w:rFonts w:ascii="宋体" w:hAnsi="宋体" w:cs="宋体" w:eastAsia="宋体" w:hint="default"/>
                <w:sz w:val="18"/>
                <w:szCs w:val="18"/>
              </w:rPr>
              <w:t>重大工 程项目</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11,674,208.14</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11,674,208.14</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99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8"/>
              <w:jc w:val="left"/>
              <w:rPr>
                <w:rFonts w:ascii="宋体" w:hAnsi="宋体" w:cs="宋体" w:eastAsia="宋体" w:hint="default"/>
                <w:sz w:val="18"/>
                <w:szCs w:val="18"/>
              </w:rPr>
            </w:pPr>
            <w:r>
              <w:rPr>
                <w:rFonts w:ascii="宋体" w:hAnsi="宋体" w:cs="宋体" w:eastAsia="宋体" w:hint="default"/>
                <w:sz w:val="18"/>
                <w:szCs w:val="18"/>
              </w:rPr>
              <w:t>能源节约补 助资金</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7,061,200.00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16,061,200.00</w:t>
            </w:r>
          </w:p>
        </w:tc>
        <w:tc>
          <w:tcPr>
            <w:tcW w:w="9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9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JY-RTO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型</w:t>
            </w:r>
          </w:p>
          <w:p>
            <w:pPr>
              <w:pStyle w:val="TableParagraph"/>
              <w:spacing w:line="319" w:lineRule="auto" w:before="60"/>
              <w:ind w:left="14" w:right="58"/>
              <w:jc w:val="both"/>
              <w:rPr>
                <w:rFonts w:ascii="宋体" w:hAnsi="宋体" w:cs="宋体" w:eastAsia="宋体" w:hint="default"/>
                <w:sz w:val="18"/>
                <w:szCs w:val="18"/>
              </w:rPr>
            </w:pPr>
            <w:r>
              <w:rPr>
                <w:rFonts w:ascii="宋体" w:hAnsi="宋体" w:cs="宋体" w:eastAsia="宋体" w:hint="default"/>
                <w:sz w:val="18"/>
                <w:szCs w:val="18"/>
              </w:rPr>
              <w:t>大风量复杂 挥发性有机 气体控制项</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3,360,000.00</w:t>
            </w:r>
          </w:p>
        </w:tc>
        <w:tc>
          <w:tcPr>
            <w:tcW w:w="9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8" w:hRule="exact"/>
        </w:trPr>
        <w:tc>
          <w:tcPr>
            <w:tcW w:w="994"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49"/>
              <w:ind w:left="14" w:right="58"/>
              <w:jc w:val="both"/>
              <w:rPr>
                <w:rFonts w:ascii="宋体" w:hAnsi="宋体" w:cs="宋体" w:eastAsia="宋体" w:hint="default"/>
                <w:sz w:val="18"/>
                <w:szCs w:val="18"/>
              </w:rPr>
            </w:pPr>
            <w:r>
              <w:rPr>
                <w:rFonts w:ascii="宋体" w:hAnsi="宋体" w:cs="宋体" w:eastAsia="宋体" w:hint="default"/>
                <w:sz w:val="18"/>
                <w:szCs w:val="18"/>
              </w:rPr>
              <w:t>基于传感技 术的大气质 量监测云平 台研究及应 用</w:t>
            </w:r>
          </w:p>
        </w:tc>
        <w:tc>
          <w:tcPr>
            <w:tcW w:w="1234" w:type="dxa"/>
            <w:tcBorders>
              <w:top w:val="single" w:sz="4" w:space="0" w:color="000000"/>
              <w:left w:val="single" w:sz="4" w:space="0" w:color="000000"/>
              <w:bottom w:val="single" w:sz="12" w:space="0" w:color="000000"/>
              <w:right w:val="single" w:sz="4" w:space="0" w:color="000000"/>
            </w:tcBorders>
          </w:tcPr>
          <w:p>
            <w:pP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991" w:type="dxa"/>
            <w:tcBorders>
              <w:top w:val="single" w:sz="4" w:space="0" w:color="000000"/>
              <w:left w:val="single" w:sz="4" w:space="0" w:color="000000"/>
              <w:bottom w:val="single" w:sz="12" w:space="0" w:color="000000"/>
              <w:right w:val="single" w:sz="4" w:space="0" w:color="000000"/>
            </w:tcBorders>
          </w:tcPr>
          <w:p>
            <w:pPr/>
          </w:p>
        </w:tc>
        <w:tc>
          <w:tcPr>
            <w:tcW w:w="1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6,500,000.00</w:t>
            </w:r>
          </w:p>
        </w:tc>
        <w:tc>
          <w:tcPr>
            <w:tcW w:w="991" w:type="dxa"/>
            <w:tcBorders>
              <w:top w:val="single" w:sz="4" w:space="0" w:color="000000"/>
              <w:left w:val="single" w:sz="4" w:space="0" w:color="000000"/>
              <w:bottom w:val="single" w:sz="12" w:space="0" w:color="000000"/>
              <w:right w:val="single" w:sz="4" w:space="0" w:color="000000"/>
            </w:tcBorders>
          </w:tcPr>
          <w:p>
            <w:pPr/>
          </w:p>
        </w:tc>
        <w:tc>
          <w:tcPr>
            <w:tcW w:w="994" w:type="dxa"/>
            <w:tcBorders>
              <w:top w:val="single" w:sz="4" w:space="0" w:color="000000"/>
              <w:left w:val="single" w:sz="4" w:space="0" w:color="000000"/>
              <w:bottom w:val="single" w:sz="12" w:space="0" w:color="000000"/>
              <w:right w:val="single" w:sz="4" w:space="0" w:color="000000"/>
            </w:tcBorders>
          </w:tcPr>
          <w:p>
            <w:pPr/>
          </w:p>
        </w:tc>
        <w:tc>
          <w:tcPr>
            <w:tcW w:w="12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9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94"/>
        <w:gridCol w:w="1234"/>
        <w:gridCol w:w="1181"/>
        <w:gridCol w:w="991"/>
        <w:gridCol w:w="1092"/>
        <w:gridCol w:w="991"/>
        <w:gridCol w:w="994"/>
        <w:gridCol w:w="1232"/>
        <w:gridCol w:w="989"/>
      </w:tblGrid>
      <w:tr>
        <w:trPr>
          <w:trHeight w:val="1349" w:hRule="exact"/>
        </w:trPr>
        <w:tc>
          <w:tcPr>
            <w:tcW w:w="994" w:type="dxa"/>
            <w:tcBorders>
              <w:top w:val="single" w:sz="12" w:space="0" w:color="000000"/>
              <w:left w:val="single" w:sz="12" w:space="0" w:color="000000"/>
              <w:bottom w:val="single" w:sz="4" w:space="0" w:color="000000"/>
              <w:right w:val="single" w:sz="4" w:space="0" w:color="000000"/>
            </w:tcBorders>
          </w:tcPr>
          <w:p>
            <w:pPr>
              <w:pStyle w:val="TableParagraph"/>
              <w:spacing w:line="304" w:lineRule="auto" w:before="51"/>
              <w:ind w:left="14"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智能制造 新模式</w:t>
            </w:r>
            <w:r>
              <w:rPr>
                <w:rFonts w:ascii="Times New Roman" w:hAnsi="Times New Roman" w:cs="Times New Roman" w:eastAsia="Times New Roman" w:hint="default"/>
                <w:sz w:val="18"/>
                <w:szCs w:val="18"/>
              </w:rPr>
              <w:t>-</w:t>
            </w:r>
            <w:r>
              <w:rPr>
                <w:rFonts w:ascii="宋体" w:hAnsi="宋体" w:cs="宋体" w:eastAsia="宋体" w:hint="default"/>
                <w:sz w:val="18"/>
                <w:szCs w:val="18"/>
              </w:rPr>
              <w:t>传 感器智能制 造</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234" w:type="dxa"/>
            <w:tcBorders>
              <w:top w:val="single" w:sz="12" w:space="0" w:color="000000"/>
              <w:left w:val="single" w:sz="4" w:space="0" w:color="000000"/>
              <w:bottom w:val="single" w:sz="4" w:space="0" w:color="000000"/>
              <w:right w:val="single" w:sz="4" w:space="0" w:color="000000"/>
            </w:tcBorders>
          </w:tcPr>
          <w:p>
            <w:pPr/>
          </w:p>
        </w:tc>
        <w:tc>
          <w:tcPr>
            <w:tcW w:w="11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5,400,000.00</w:t>
            </w:r>
          </w:p>
        </w:tc>
        <w:tc>
          <w:tcPr>
            <w:tcW w:w="991" w:type="dxa"/>
            <w:tcBorders>
              <w:top w:val="single" w:sz="12" w:space="0" w:color="000000"/>
              <w:left w:val="single" w:sz="4" w:space="0" w:color="000000"/>
              <w:bottom w:val="single" w:sz="4" w:space="0" w:color="000000"/>
              <w:right w:val="single" w:sz="4" w:space="0" w:color="000000"/>
            </w:tcBorders>
          </w:tcPr>
          <w:p>
            <w:pPr/>
          </w:p>
        </w:tc>
        <w:tc>
          <w:tcPr>
            <w:tcW w:w="10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5,400,000.00</w:t>
            </w:r>
          </w:p>
        </w:tc>
        <w:tc>
          <w:tcPr>
            <w:tcW w:w="991" w:type="dxa"/>
            <w:tcBorders>
              <w:top w:val="single" w:sz="12" w:space="0" w:color="000000"/>
              <w:left w:val="single" w:sz="4" w:space="0" w:color="000000"/>
              <w:bottom w:val="single" w:sz="4" w:space="0" w:color="000000"/>
              <w:right w:val="single" w:sz="4" w:space="0" w:color="000000"/>
            </w:tcBorders>
          </w:tcPr>
          <w:p>
            <w:pPr/>
          </w:p>
        </w:tc>
        <w:tc>
          <w:tcPr>
            <w:tcW w:w="994" w:type="dxa"/>
            <w:tcBorders>
              <w:top w:val="single" w:sz="12" w:space="0" w:color="000000"/>
              <w:left w:val="single" w:sz="4" w:space="0" w:color="000000"/>
              <w:bottom w:val="single" w:sz="4" w:space="0" w:color="000000"/>
              <w:right w:val="single" w:sz="4" w:space="0" w:color="000000"/>
            </w:tcBorders>
          </w:tcPr>
          <w:p>
            <w:pPr/>
          </w:p>
        </w:tc>
        <w:tc>
          <w:tcPr>
            <w:tcW w:w="1232" w:type="dxa"/>
            <w:tcBorders>
              <w:top w:val="single" w:sz="12" w:space="0" w:color="000000"/>
              <w:left w:val="single" w:sz="4" w:space="0" w:color="000000"/>
              <w:bottom w:val="single" w:sz="4" w:space="0" w:color="000000"/>
              <w:right w:val="single" w:sz="4" w:space="0" w:color="000000"/>
            </w:tcBorders>
          </w:tcPr>
          <w:p>
            <w:pPr/>
          </w:p>
        </w:tc>
        <w:tc>
          <w:tcPr>
            <w:tcW w:w="98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99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8"/>
              <w:jc w:val="both"/>
              <w:rPr>
                <w:rFonts w:ascii="宋体" w:hAnsi="宋体" w:cs="宋体" w:eastAsia="宋体" w:hint="default"/>
                <w:sz w:val="18"/>
                <w:szCs w:val="18"/>
              </w:rPr>
            </w:pPr>
            <w:r>
              <w:rPr>
                <w:rFonts w:ascii="宋体" w:hAnsi="宋体" w:cs="宋体" w:eastAsia="宋体" w:hint="default"/>
                <w:sz w:val="18"/>
                <w:szCs w:val="18"/>
              </w:rPr>
              <w:t>危险化学品 事故应急快 速响应软硬 件装备产业 化关键技术 开发</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844,131.54</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557,464.14</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286,667.40</w:t>
            </w:r>
          </w:p>
        </w:tc>
        <w:tc>
          <w:tcPr>
            <w:tcW w:w="9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994"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49"/>
              <w:ind w:left="14" w:right="58"/>
              <w:jc w:val="both"/>
              <w:rPr>
                <w:rFonts w:ascii="宋体" w:hAnsi="宋体" w:cs="宋体" w:eastAsia="宋体" w:hint="default"/>
                <w:sz w:val="18"/>
                <w:szCs w:val="18"/>
              </w:rPr>
            </w:pPr>
            <w:r>
              <w:rPr>
                <w:rFonts w:ascii="宋体" w:hAnsi="宋体" w:cs="宋体" w:eastAsia="宋体" w:hint="default"/>
                <w:sz w:val="18"/>
                <w:szCs w:val="18"/>
              </w:rPr>
              <w:t>智慧市政管 理系统关键 技术研究及 应用示范</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566,648.18</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103,696.56</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462,951.62</w:t>
            </w:r>
          </w:p>
        </w:tc>
        <w:tc>
          <w:tcPr>
            <w:tcW w:w="9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99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8"/>
              <w:jc w:val="both"/>
              <w:rPr>
                <w:rFonts w:ascii="宋体" w:hAnsi="宋体" w:cs="宋体" w:eastAsia="宋体" w:hint="default"/>
                <w:sz w:val="18"/>
                <w:szCs w:val="18"/>
              </w:rPr>
            </w:pPr>
            <w:r>
              <w:rPr>
                <w:rFonts w:ascii="宋体" w:hAnsi="宋体" w:cs="宋体" w:eastAsia="宋体" w:hint="default"/>
                <w:sz w:val="18"/>
                <w:szCs w:val="18"/>
              </w:rPr>
              <w:t>安全生产网 络一体化监 控系统关键 技术开发</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220,000.18</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220,000.18</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99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8"/>
              <w:jc w:val="left"/>
              <w:rPr>
                <w:rFonts w:ascii="宋体" w:hAnsi="宋体" w:cs="宋体" w:eastAsia="宋体" w:hint="default"/>
                <w:sz w:val="18"/>
                <w:szCs w:val="18"/>
              </w:rPr>
            </w:pPr>
            <w:r>
              <w:rPr>
                <w:rFonts w:ascii="宋体" w:hAnsi="宋体" w:cs="宋体" w:eastAsia="宋体" w:hint="default"/>
                <w:sz w:val="18"/>
                <w:szCs w:val="18"/>
              </w:rPr>
              <w:t>其他政府补 助</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194,678.57</w:t>
            </w:r>
          </w:p>
        </w:tc>
        <w:tc>
          <w:tcPr>
            <w:tcW w:w="118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98,007.35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96,671.22</w:t>
            </w:r>
          </w:p>
        </w:tc>
        <w:tc>
          <w:tcPr>
            <w:tcW w:w="9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99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8"/>
              <w:jc w:val="left"/>
              <w:rPr>
                <w:rFonts w:ascii="宋体" w:hAnsi="宋体" w:cs="宋体" w:eastAsia="宋体" w:hint="default"/>
                <w:sz w:val="18"/>
                <w:szCs w:val="18"/>
              </w:rPr>
            </w:pPr>
            <w:r>
              <w:rPr>
                <w:rFonts w:ascii="宋体" w:hAnsi="宋体" w:cs="宋体" w:eastAsia="宋体" w:hint="default"/>
                <w:sz w:val="18"/>
                <w:szCs w:val="18"/>
              </w:rPr>
              <w:t>其他政府补 助</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w:t>
            </w:r>
          </w:p>
        </w:tc>
        <w:tc>
          <w:tcPr>
            <w:tcW w:w="9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1" w:hRule="exact"/>
        </w:trPr>
        <w:tc>
          <w:tcPr>
            <w:tcW w:w="99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689,812,707.38</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309,374,700.00</w:t>
            </w:r>
          </w:p>
        </w:tc>
        <w:tc>
          <w:tcPr>
            <w:tcW w:w="991" w:type="dxa"/>
            <w:tcBorders>
              <w:top w:val="single" w:sz="4" w:space="0" w:color="000000"/>
              <w:left w:val="single" w:sz="4" w:space="0" w:color="000000"/>
              <w:bottom w:val="single" w:sz="12" w:space="0" w:color="000000"/>
              <w:right w:val="single" w:sz="4" w:space="0" w:color="000000"/>
            </w:tcBorders>
          </w:tcPr>
          <w:p>
            <w:pPr/>
          </w:p>
        </w:tc>
        <w:tc>
          <w:tcPr>
            <w:tcW w:w="1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98,945,187.45</w:t>
            </w:r>
          </w:p>
        </w:tc>
        <w:tc>
          <w:tcPr>
            <w:tcW w:w="991" w:type="dxa"/>
            <w:tcBorders>
              <w:top w:val="single" w:sz="4" w:space="0" w:color="000000"/>
              <w:left w:val="single" w:sz="4" w:space="0" w:color="000000"/>
              <w:bottom w:val="single" w:sz="12" w:space="0" w:color="000000"/>
              <w:right w:val="single" w:sz="4" w:space="0" w:color="000000"/>
            </w:tcBorders>
          </w:tcPr>
          <w:p>
            <w:pPr/>
          </w:p>
        </w:tc>
        <w:tc>
          <w:tcPr>
            <w:tcW w:w="994" w:type="dxa"/>
            <w:tcBorders>
              <w:top w:val="single" w:sz="4" w:space="0" w:color="000000"/>
              <w:left w:val="single" w:sz="4" w:space="0" w:color="000000"/>
              <w:bottom w:val="single" w:sz="12" w:space="0" w:color="000000"/>
              <w:right w:val="single" w:sz="4" w:space="0" w:color="000000"/>
            </w:tcBorders>
          </w:tcPr>
          <w:p>
            <w:pPr/>
          </w:p>
        </w:tc>
        <w:tc>
          <w:tcPr>
            <w:tcW w:w="12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900,242,219.93</w:t>
            </w:r>
          </w:p>
        </w:tc>
        <w:tc>
          <w:tcPr>
            <w:tcW w:w="989"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4、股本" w:id="297"/>
      <w:bookmarkEnd w:id="297"/>
      <w:r>
        <w:rPr>
          <w:b w:val="0"/>
          <w:bCs w:val="0"/>
        </w:rPr>
      </w:r>
      <w:r>
        <w:rPr>
          <w:rFonts w:ascii="Times New Roman" w:hAnsi="Times New Roman" w:cs="Times New Roman" w:eastAsia="Times New Roman" w:hint="default"/>
        </w:rPr>
        <w:t>34</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0"/>
        <w:gridCol w:w="1226"/>
        <w:gridCol w:w="1201"/>
        <w:gridCol w:w="1212"/>
        <w:gridCol w:w="1212"/>
        <w:gridCol w:w="1212"/>
        <w:gridCol w:w="1201"/>
        <w:gridCol w:w="1224"/>
      </w:tblGrid>
      <w:tr>
        <w:trPr>
          <w:trHeight w:val="215" w:hRule="exact"/>
        </w:trPr>
        <w:tc>
          <w:tcPr>
            <w:tcW w:w="1210"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226" w:type="dxa"/>
            <w:tcBorders>
              <w:top w:val="single" w:sz="12" w:space="0" w:color="000000"/>
              <w:left w:val="single" w:sz="4" w:space="0" w:color="000000"/>
              <w:bottom w:val="nil" w:sz="6" w:space="0" w:color="auto"/>
              <w:right w:val="single" w:sz="4" w:space="0" w:color="000000"/>
            </w:tcBorders>
            <w:shd w:val="clear" w:color="auto" w:fill="D2D2D2"/>
          </w:tcPr>
          <w:p>
            <w:pPr/>
          </w:p>
        </w:tc>
        <w:tc>
          <w:tcPr>
            <w:tcW w:w="6038" w:type="dxa"/>
            <w:gridSpan w:val="5"/>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24"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196" w:hRule="exact"/>
        </w:trPr>
        <w:tc>
          <w:tcPr>
            <w:tcW w:w="1210" w:type="dxa"/>
            <w:vMerge w:val="restart"/>
            <w:tcBorders>
              <w:top w:val="nil" w:sz="6" w:space="0" w:color="auto"/>
              <w:left w:val="single" w:sz="12" w:space="0" w:color="000000"/>
              <w:right w:val="single" w:sz="4" w:space="0" w:color="000000"/>
            </w:tcBorders>
            <w:shd w:val="clear" w:color="auto" w:fill="D2D2D2"/>
          </w:tcPr>
          <w:p>
            <w:pPr/>
          </w:p>
        </w:tc>
        <w:tc>
          <w:tcPr>
            <w:tcW w:w="12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38" w:type="dxa"/>
            <w:gridSpan w:val="5"/>
            <w:vMerge/>
            <w:tcBorders>
              <w:left w:val="single" w:sz="4" w:space="0" w:color="000000"/>
              <w:bottom w:val="single" w:sz="4" w:space="0" w:color="000000"/>
              <w:right w:val="single" w:sz="4" w:space="0" w:color="000000"/>
            </w:tcBorders>
            <w:shd w:val="clear" w:color="auto" w:fill="D2D2D2"/>
          </w:tcPr>
          <w:p>
            <w:pPr/>
          </w:p>
        </w:tc>
        <w:tc>
          <w:tcPr>
            <w:tcW w:w="1224" w:type="dxa"/>
            <w:vMerge w:val="restart"/>
            <w:tcBorders>
              <w:top w:val="nil" w:sz="6" w:space="0" w:color="auto"/>
              <w:left w:val="single" w:sz="4" w:space="0" w:color="000000"/>
              <w:right w:val="single" w:sz="12"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210" w:type="dxa"/>
            <w:vMerge/>
            <w:tcBorders>
              <w:left w:val="single" w:sz="12" w:space="0" w:color="000000"/>
              <w:bottom w:val="nil" w:sz="6" w:space="0" w:color="auto"/>
              <w:right w:val="single" w:sz="4" w:space="0" w:color="000000"/>
            </w:tcBorders>
            <w:shd w:val="clear" w:color="auto" w:fill="D2D2D2"/>
          </w:tcPr>
          <w:p>
            <w:pPr/>
          </w:p>
        </w:tc>
        <w:tc>
          <w:tcPr>
            <w:tcW w:w="1226"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5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24" w:type="dxa"/>
            <w:vMerge/>
            <w:tcBorders>
              <w:left w:val="single" w:sz="4" w:space="0" w:color="000000"/>
              <w:bottom w:val="nil" w:sz="6" w:space="0" w:color="auto"/>
              <w:right w:val="single" w:sz="12" w:space="0" w:color="000000"/>
            </w:tcBorders>
            <w:shd w:val="clear" w:color="auto" w:fill="D2D2D2"/>
          </w:tcPr>
          <w:p>
            <w:pPr/>
          </w:p>
        </w:tc>
      </w:tr>
      <w:tr>
        <w:trPr>
          <w:trHeight w:val="206" w:hRule="exact"/>
        </w:trPr>
        <w:tc>
          <w:tcPr>
            <w:tcW w:w="1210" w:type="dxa"/>
            <w:tcBorders>
              <w:top w:val="nil" w:sz="6" w:space="0" w:color="auto"/>
              <w:left w:val="single" w:sz="12" w:space="0" w:color="000000"/>
              <w:bottom w:val="single" w:sz="4" w:space="0" w:color="000000"/>
              <w:right w:val="single" w:sz="4" w:space="0" w:color="000000"/>
            </w:tcBorders>
            <w:shd w:val="clear" w:color="auto" w:fill="D2D2D2"/>
          </w:tcPr>
          <w:p>
            <w:pPr/>
          </w:p>
        </w:tc>
        <w:tc>
          <w:tcPr>
            <w:tcW w:w="12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24"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10" w:hRule="exact"/>
        </w:trPr>
        <w:tc>
          <w:tcPr>
            <w:tcW w:w="121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26"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293,022,806.00</w:t>
            </w:r>
          </w:p>
        </w:tc>
        <w:tc>
          <w:tcPr>
            <w:tcW w:w="1201" w:type="dxa"/>
            <w:tcBorders>
              <w:top w:val="single" w:sz="4" w:space="0" w:color="000000"/>
              <w:left w:val="single" w:sz="4" w:space="0" w:color="000000"/>
              <w:bottom w:val="single" w:sz="12" w:space="0" w:color="000000"/>
              <w:right w:val="single" w:sz="4" w:space="0" w:color="000000"/>
            </w:tcBorders>
          </w:tcPr>
          <w:p>
            <w:pPr/>
          </w:p>
        </w:tc>
        <w:tc>
          <w:tcPr>
            <w:tcW w:w="1212" w:type="dxa"/>
            <w:tcBorders>
              <w:top w:val="single" w:sz="4" w:space="0" w:color="000000"/>
              <w:left w:val="single" w:sz="4" w:space="0" w:color="000000"/>
              <w:bottom w:val="single" w:sz="12" w:space="0" w:color="000000"/>
              <w:right w:val="single" w:sz="4" w:space="0" w:color="000000"/>
            </w:tcBorders>
          </w:tcPr>
          <w:p>
            <w:pPr/>
          </w:p>
        </w:tc>
        <w:tc>
          <w:tcPr>
            <w:tcW w:w="1212" w:type="dxa"/>
            <w:tcBorders>
              <w:top w:val="single" w:sz="4" w:space="0" w:color="000000"/>
              <w:left w:val="single" w:sz="4" w:space="0" w:color="000000"/>
              <w:bottom w:val="single" w:sz="12" w:space="0" w:color="000000"/>
              <w:right w:val="single" w:sz="4" w:space="0" w:color="000000"/>
            </w:tcBorders>
          </w:tcPr>
          <w:p>
            <w:pPr/>
          </w:p>
        </w:tc>
        <w:tc>
          <w:tcPr>
            <w:tcW w:w="1212" w:type="dxa"/>
            <w:tcBorders>
              <w:top w:val="single" w:sz="4" w:space="0" w:color="000000"/>
              <w:left w:val="single" w:sz="4" w:space="0" w:color="000000"/>
              <w:bottom w:val="single" w:sz="12" w:space="0" w:color="000000"/>
              <w:right w:val="single" w:sz="4" w:space="0" w:color="000000"/>
            </w:tcBorders>
          </w:tcPr>
          <w:p>
            <w:pPr/>
          </w:p>
        </w:tc>
        <w:tc>
          <w:tcPr>
            <w:tcW w:w="1201" w:type="dxa"/>
            <w:tcBorders>
              <w:top w:val="single" w:sz="4" w:space="0" w:color="000000"/>
              <w:left w:val="single" w:sz="4" w:space="0" w:color="000000"/>
              <w:bottom w:val="single" w:sz="12" w:space="0" w:color="000000"/>
              <w:right w:val="single" w:sz="4" w:space="0" w:color="000000"/>
            </w:tcBorders>
          </w:tcPr>
          <w:p>
            <w:pPr/>
          </w:p>
        </w:tc>
        <w:tc>
          <w:tcPr>
            <w:tcW w:w="122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293,022,806.00</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5、资本公积" w:id="298"/>
      <w:bookmarkEnd w:id="298"/>
      <w:r>
        <w:rPr>
          <w:b w:val="0"/>
          <w:bCs w:val="0"/>
        </w:rPr>
      </w:r>
      <w:r>
        <w:rPr>
          <w:rFonts w:ascii="Times New Roman" w:hAnsi="Times New Roman" w:cs="Times New Roman" w:eastAsia="Times New Roman" w:hint="default"/>
        </w:rPr>
        <w:t>35</w:t>
      </w:r>
      <w:r>
        <w:rPr/>
        <w:t>、资本公积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19"/>
        <w:gridCol w:w="1953"/>
        <w:gridCol w:w="1940"/>
        <w:gridCol w:w="1940"/>
        <w:gridCol w:w="1939"/>
      </w:tblGrid>
      <w:tr>
        <w:trPr>
          <w:trHeight w:val="412" w:hRule="exact"/>
        </w:trPr>
        <w:tc>
          <w:tcPr>
            <w:tcW w:w="191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585,457,168.24</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1,628,575.32</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583,828,592.92</w:t>
            </w:r>
          </w:p>
        </w:tc>
      </w:tr>
      <w:tr>
        <w:trPr>
          <w:trHeight w:val="403"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13,371,378.10</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2,802,767.16</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16,174,145.26</w:t>
            </w:r>
          </w:p>
        </w:tc>
      </w:tr>
      <w:tr>
        <w:trPr>
          <w:trHeight w:val="410" w:hRule="exact"/>
        </w:trPr>
        <w:tc>
          <w:tcPr>
            <w:tcW w:w="191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598,828,546.34</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2,802,767.16</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1,628,575.32</w:t>
            </w: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600,002,738.18</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本期资本公积减少</w:t>
      </w:r>
      <w:r>
        <w:rPr>
          <w:rFonts w:ascii="宋体" w:hAnsi="宋体" w:cs="宋体" w:eastAsia="宋体" w:hint="default"/>
          <w:spacing w:val="-2"/>
        </w:rPr>
        <w:t>1,628,575.32</w:t>
      </w:r>
      <w:r>
        <w:rPr>
          <w:spacing w:val="-2"/>
        </w:rPr>
        <w:t>元系增资子公司苏州能斯达后本公司权益比例变动所致；本期资本公</w:t>
      </w:r>
      <w:r>
        <w:rPr>
          <w:w w:val="100"/>
        </w:rPr>
        <w:t> </w:t>
      </w:r>
      <w:r>
        <w:rPr>
          <w:spacing w:val="-2"/>
        </w:rPr>
        <w:t>积增加</w:t>
      </w:r>
      <w:r>
        <w:rPr>
          <w:rFonts w:ascii="宋体" w:hAnsi="宋体" w:cs="宋体" w:eastAsia="宋体" w:hint="default"/>
          <w:spacing w:val="-2"/>
        </w:rPr>
        <w:t>2,802,767.16</w:t>
      </w:r>
      <w:r>
        <w:rPr>
          <w:spacing w:val="-2"/>
        </w:rPr>
        <w:t>元系权益法核算的享有被投资单位除净利润、利润分配以及其他综合收益以外所有者</w:t>
      </w:r>
      <w:r>
        <w:rPr>
          <w:spacing w:val="-30"/>
        </w:rPr>
        <w:t> </w:t>
      </w:r>
      <w:r>
        <w:rPr>
          <w:spacing w:val="-30"/>
        </w:rPr>
      </w:r>
      <w:r>
        <w:rPr/>
        <w:t>权益的其他变动所致。</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6、其他综合收益" w:id="299"/>
      <w:bookmarkEnd w:id="299"/>
      <w:r>
        <w:rPr>
          <w:b w:val="0"/>
          <w:bCs w:val="0"/>
        </w:rPr>
      </w:r>
      <w:r>
        <w:rPr>
          <w:rFonts w:ascii="Times New Roman" w:hAnsi="Times New Roman" w:cs="Times New Roman" w:eastAsia="Times New Roman" w:hint="default"/>
        </w:rPr>
        <w:t>36</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80"/>
        <w:gridCol w:w="977"/>
        <w:gridCol w:w="859"/>
        <w:gridCol w:w="1059"/>
        <w:gridCol w:w="859"/>
        <w:gridCol w:w="859"/>
        <w:gridCol w:w="862"/>
        <w:gridCol w:w="864"/>
        <w:gridCol w:w="778"/>
      </w:tblGrid>
      <w:tr>
        <w:trPr>
          <w:trHeight w:val="407" w:hRule="exact"/>
        </w:trPr>
        <w:tc>
          <w:tcPr>
            <w:tcW w:w="2580" w:type="dxa"/>
            <w:vMerge w:val="restart"/>
            <w:tcBorders>
              <w:top w:val="single" w:sz="12" w:space="0" w:color="000000"/>
              <w:left w:val="single" w:sz="12" w:space="0" w:color="000000"/>
              <w:right w:val="single" w:sz="4" w:space="0" w:color="000000"/>
            </w:tcBorders>
            <w:shd w:val="clear" w:color="auto" w:fill="D2D2D2"/>
          </w:tcPr>
          <w:p>
            <w:pPr/>
          </w:p>
        </w:tc>
        <w:tc>
          <w:tcPr>
            <w:tcW w:w="977" w:type="dxa"/>
            <w:vMerge w:val="restart"/>
            <w:tcBorders>
              <w:top w:val="single" w:sz="12" w:space="0" w:color="000000"/>
              <w:left w:val="single" w:sz="4" w:space="0" w:color="000000"/>
              <w:right w:val="single" w:sz="4" w:space="0" w:color="000000"/>
            </w:tcBorders>
            <w:shd w:val="clear" w:color="auto" w:fill="D2D2D2"/>
          </w:tcPr>
          <w:p>
            <w:pPr/>
          </w:p>
        </w:tc>
        <w:tc>
          <w:tcPr>
            <w:tcW w:w="5363" w:type="dxa"/>
            <w:gridSpan w:val="6"/>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78" w:type="dxa"/>
            <w:vMerge w:val="restart"/>
            <w:tcBorders>
              <w:top w:val="single" w:sz="12" w:space="0" w:color="000000"/>
              <w:left w:val="single" w:sz="4" w:space="0" w:color="000000"/>
              <w:right w:val="single" w:sz="12" w:space="0" w:color="000000"/>
            </w:tcBorders>
            <w:shd w:val="clear" w:color="auto" w:fill="D2D2D2"/>
          </w:tcPr>
          <w:p>
            <w:pPr/>
          </w:p>
        </w:tc>
      </w:tr>
      <w:tr>
        <w:trPr>
          <w:trHeight w:val="166" w:hRule="exact"/>
        </w:trPr>
        <w:tc>
          <w:tcPr>
            <w:tcW w:w="2580" w:type="dxa"/>
            <w:vMerge/>
            <w:tcBorders>
              <w:left w:val="single" w:sz="12"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859" w:type="dxa"/>
            <w:vMerge w:val="restart"/>
            <w:tcBorders>
              <w:top w:val="single" w:sz="4" w:space="0" w:color="000000"/>
              <w:left w:val="single" w:sz="4" w:space="0" w:color="000000"/>
              <w:right w:val="single" w:sz="4" w:space="0" w:color="000000"/>
            </w:tcBorders>
            <w:shd w:val="clear" w:color="auto" w:fill="D2D2D2"/>
          </w:tcPr>
          <w:p>
            <w:pPr/>
          </w:p>
        </w:tc>
        <w:tc>
          <w:tcPr>
            <w:tcW w:w="105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64" w:right="62"/>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9" w:type="dxa"/>
            <w:vMerge w:val="restart"/>
            <w:tcBorders>
              <w:top w:val="single" w:sz="4" w:space="0" w:color="000000"/>
              <w:left w:val="single" w:sz="4" w:space="0" w:color="000000"/>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
        </w:tc>
        <w:tc>
          <w:tcPr>
            <w:tcW w:w="778" w:type="dxa"/>
            <w:vMerge/>
            <w:tcBorders>
              <w:left w:val="single" w:sz="4" w:space="0" w:color="000000"/>
              <w:right w:val="single" w:sz="12" w:space="0" w:color="000000"/>
            </w:tcBorders>
            <w:shd w:val="clear" w:color="auto" w:fill="D2D2D2"/>
          </w:tcPr>
          <w:p>
            <w:pPr/>
          </w:p>
        </w:tc>
      </w:tr>
      <w:tr>
        <w:trPr>
          <w:trHeight w:val="156" w:hRule="exact"/>
        </w:trPr>
        <w:tc>
          <w:tcPr>
            <w:tcW w:w="2580" w:type="dxa"/>
            <w:vMerge/>
            <w:tcBorders>
              <w:left w:val="single" w:sz="12"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859" w:type="dxa"/>
            <w:vMerge/>
            <w:tcBorders>
              <w:left w:val="single" w:sz="4" w:space="0" w:color="000000"/>
              <w:bottom w:val="nil" w:sz="6" w:space="0" w:color="auto"/>
              <w:right w:val="single" w:sz="4" w:space="0" w:color="000000"/>
            </w:tcBorders>
            <w:shd w:val="clear" w:color="auto" w:fill="D2D2D2"/>
          </w:tcPr>
          <w:p>
            <w:pPr/>
          </w:p>
        </w:tc>
        <w:tc>
          <w:tcPr>
            <w:tcW w:w="10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4" w:right="20"/>
              <w:jc w:val="center"/>
              <w:rPr>
                <w:rFonts w:ascii="宋体" w:hAnsi="宋体" w:cs="宋体" w:eastAsia="宋体" w:hint="default"/>
                <w:sz w:val="18"/>
                <w:szCs w:val="18"/>
              </w:rPr>
            </w:pPr>
            <w:r>
              <w:rPr>
                <w:rFonts w:ascii="宋体" w:hAnsi="宋体" w:cs="宋体" w:eastAsia="宋体" w:hint="default"/>
                <w:spacing w:val="-13"/>
                <w:sz w:val="18"/>
                <w:szCs w:val="18"/>
              </w:rPr>
              <w:t>减：前期计入</w:t>
            </w:r>
            <w:r>
              <w:rPr>
                <w:rFonts w:ascii="宋体" w:hAnsi="宋体" w:cs="宋体" w:eastAsia="宋体" w:hint="default"/>
                <w:sz w:val="18"/>
                <w:szCs w:val="18"/>
              </w:rPr>
              <w:t> 其他综合收 益当期转入 损益</w:t>
            </w:r>
          </w:p>
        </w:tc>
        <w:tc>
          <w:tcPr>
            <w:tcW w:w="859" w:type="dxa"/>
            <w:vMerge/>
            <w:tcBorders>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864"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right w:val="single" w:sz="12" w:space="0" w:color="000000"/>
            </w:tcBorders>
            <w:shd w:val="clear" w:color="auto" w:fill="D2D2D2"/>
          </w:tcPr>
          <w:p>
            <w:pPr/>
          </w:p>
        </w:tc>
      </w:tr>
      <w:tr>
        <w:trPr>
          <w:trHeight w:val="110" w:hRule="exact"/>
        </w:trPr>
        <w:tc>
          <w:tcPr>
            <w:tcW w:w="2580" w:type="dxa"/>
            <w:vMerge/>
            <w:tcBorders>
              <w:left w:val="single" w:sz="12" w:space="0" w:color="000000"/>
              <w:bottom w:val="nil" w:sz="6" w:space="0" w:color="auto"/>
              <w:right w:val="single" w:sz="4" w:space="0" w:color="000000"/>
            </w:tcBorders>
            <w:shd w:val="clear" w:color="auto" w:fill="D2D2D2"/>
          </w:tcPr>
          <w:p>
            <w:pPr/>
          </w:p>
        </w:tc>
        <w:tc>
          <w:tcPr>
            <w:tcW w:w="977" w:type="dxa"/>
            <w:vMerge/>
            <w:tcBorders>
              <w:left w:val="single" w:sz="4" w:space="0" w:color="000000"/>
              <w:bottom w:val="nil" w:sz="6" w:space="0" w:color="auto"/>
              <w:right w:val="single" w:sz="4" w:space="0" w:color="000000"/>
            </w:tcBorders>
            <w:shd w:val="clear" w:color="auto" w:fill="D2D2D2"/>
          </w:tcPr>
          <w:p>
            <w:pPr/>
          </w:p>
        </w:tc>
        <w:tc>
          <w:tcPr>
            <w:tcW w:w="8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64" w:right="6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9" w:type="dxa"/>
            <w:vMerge/>
            <w:tcBorders>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59"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bottom w:val="nil" w:sz="6" w:space="0" w:color="auto"/>
              <w:right w:val="single" w:sz="4" w:space="0" w:color="000000"/>
            </w:tcBorders>
            <w:shd w:val="clear" w:color="auto" w:fill="D2D2D2"/>
          </w:tcPr>
          <w:p>
            <w:pPr/>
          </w:p>
        </w:tc>
        <w:tc>
          <w:tcPr>
            <w:tcW w:w="8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78" w:type="dxa"/>
            <w:vMerge/>
            <w:tcBorders>
              <w:left w:val="single" w:sz="4" w:space="0" w:color="000000"/>
              <w:bottom w:val="nil" w:sz="6" w:space="0" w:color="auto"/>
              <w:right w:val="single" w:sz="12" w:space="0" w:color="000000"/>
            </w:tcBorders>
            <w:shd w:val="clear" w:color="auto" w:fill="D2D2D2"/>
          </w:tcPr>
          <w:p>
            <w:pPr/>
          </w:p>
        </w:tc>
      </w:tr>
      <w:tr>
        <w:trPr>
          <w:trHeight w:val="371" w:hRule="exact"/>
        </w:trPr>
        <w:tc>
          <w:tcPr>
            <w:tcW w:w="2580"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9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9" w:type="dxa"/>
            <w:vMerge/>
            <w:tcBorders>
              <w:left w:val="single" w:sz="4" w:space="0" w:color="000000"/>
              <w:right w:val="single" w:sz="4" w:space="0" w:color="000000"/>
            </w:tcBorders>
            <w:shd w:val="clear" w:color="auto" w:fill="D2D2D2"/>
          </w:tcPr>
          <w:p>
            <w:pPr/>
          </w:p>
        </w:tc>
        <w:tc>
          <w:tcPr>
            <w:tcW w:w="1059" w:type="dxa"/>
            <w:vMerge/>
            <w:tcBorders>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155" w:right="62" w:hanging="92"/>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6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64" w:right="65"/>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64" w:type="dxa"/>
            <w:vMerge/>
            <w:tcBorders>
              <w:left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nil" w:sz="6" w:space="0" w:color="auto"/>
              <w:right w:val="single" w:sz="12" w:space="0" w:color="000000"/>
            </w:tcBorders>
            <w:shd w:val="clear" w:color="auto" w:fill="D2D2D2"/>
          </w:tcPr>
          <w:p>
            <w:pPr>
              <w:pStyle w:val="TableParagraph"/>
              <w:spacing w:line="240" w:lineRule="auto" w:before="26"/>
              <w:ind w:right="12"/>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580" w:type="dxa"/>
            <w:vMerge w:val="restart"/>
            <w:tcBorders>
              <w:top w:val="nil" w:sz="6" w:space="0" w:color="auto"/>
              <w:left w:val="single" w:sz="12" w:space="0" w:color="000000"/>
              <w:right w:val="single" w:sz="4" w:space="0" w:color="000000"/>
            </w:tcBorders>
            <w:shd w:val="clear" w:color="auto" w:fill="D2D2D2"/>
          </w:tcPr>
          <w:p>
            <w:pPr/>
          </w:p>
        </w:tc>
        <w:tc>
          <w:tcPr>
            <w:tcW w:w="977" w:type="dxa"/>
            <w:vMerge w:val="restart"/>
            <w:tcBorders>
              <w:top w:val="nil" w:sz="6" w:space="0" w:color="auto"/>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1059" w:type="dxa"/>
            <w:vMerge/>
            <w:tcBorders>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59"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778" w:type="dxa"/>
            <w:vMerge w:val="restart"/>
            <w:tcBorders>
              <w:top w:val="nil" w:sz="6" w:space="0" w:color="auto"/>
              <w:left w:val="single" w:sz="4" w:space="0" w:color="000000"/>
              <w:right w:val="single" w:sz="12" w:space="0" w:color="000000"/>
            </w:tcBorders>
            <w:shd w:val="clear" w:color="auto" w:fill="D2D2D2"/>
          </w:tcPr>
          <w:p>
            <w:pPr/>
          </w:p>
        </w:tc>
      </w:tr>
      <w:tr>
        <w:trPr>
          <w:trHeight w:val="156" w:hRule="exact"/>
        </w:trPr>
        <w:tc>
          <w:tcPr>
            <w:tcW w:w="2580" w:type="dxa"/>
            <w:vMerge/>
            <w:tcBorders>
              <w:left w:val="single" w:sz="12"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859" w:type="dxa"/>
            <w:vMerge/>
            <w:tcBorders>
              <w:left w:val="single" w:sz="4" w:space="0" w:color="000000"/>
              <w:bottom w:val="nil" w:sz="6" w:space="0" w:color="auto"/>
              <w:right w:val="single" w:sz="4" w:space="0" w:color="000000"/>
            </w:tcBorders>
            <w:shd w:val="clear" w:color="auto" w:fill="D2D2D2"/>
          </w:tcPr>
          <w:p>
            <w:pPr/>
          </w:p>
        </w:tc>
        <w:tc>
          <w:tcPr>
            <w:tcW w:w="1059" w:type="dxa"/>
            <w:vMerge/>
            <w:tcBorders>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59" w:type="dxa"/>
            <w:vMerge w:val="restart"/>
            <w:tcBorders>
              <w:top w:val="nil" w:sz="6" w:space="0" w:color="auto"/>
              <w:left w:val="single" w:sz="4" w:space="0" w:color="000000"/>
              <w:right w:val="single" w:sz="4" w:space="0" w:color="000000"/>
            </w:tcBorders>
            <w:shd w:val="clear" w:color="auto" w:fill="D2D2D2"/>
          </w:tcPr>
          <w:p>
            <w:pPr/>
          </w:p>
        </w:tc>
        <w:tc>
          <w:tcPr>
            <w:tcW w:w="862" w:type="dxa"/>
            <w:vMerge w:val="restart"/>
            <w:tcBorders>
              <w:top w:val="nil" w:sz="6" w:space="0" w:color="auto"/>
              <w:left w:val="single" w:sz="4" w:space="0" w:color="000000"/>
              <w:right w:val="single" w:sz="4" w:space="0" w:color="000000"/>
            </w:tcBorders>
            <w:shd w:val="clear" w:color="auto" w:fill="D2D2D2"/>
          </w:tcPr>
          <w:p>
            <w:pPr/>
          </w:p>
        </w:tc>
        <w:tc>
          <w:tcPr>
            <w:tcW w:w="864"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right w:val="single" w:sz="12" w:space="0" w:color="000000"/>
            </w:tcBorders>
            <w:shd w:val="clear" w:color="auto" w:fill="D2D2D2"/>
          </w:tcPr>
          <w:p>
            <w:pPr/>
          </w:p>
        </w:tc>
      </w:tr>
      <w:tr>
        <w:trPr>
          <w:trHeight w:val="156" w:hRule="exact"/>
        </w:trPr>
        <w:tc>
          <w:tcPr>
            <w:tcW w:w="2580" w:type="dxa"/>
            <w:vMerge/>
            <w:tcBorders>
              <w:left w:val="single" w:sz="12" w:space="0" w:color="000000"/>
              <w:right w:val="single" w:sz="4" w:space="0" w:color="000000"/>
            </w:tcBorders>
            <w:shd w:val="clear" w:color="auto" w:fill="D2D2D2"/>
          </w:tcPr>
          <w:p>
            <w:pPr/>
          </w:p>
        </w:tc>
        <w:tc>
          <w:tcPr>
            <w:tcW w:w="977" w:type="dxa"/>
            <w:vMerge/>
            <w:tcBorders>
              <w:left w:val="single" w:sz="4" w:space="0" w:color="000000"/>
              <w:right w:val="single" w:sz="4" w:space="0" w:color="000000"/>
            </w:tcBorders>
            <w:shd w:val="clear" w:color="auto" w:fill="D2D2D2"/>
          </w:tcPr>
          <w:p>
            <w:pPr/>
          </w:p>
        </w:tc>
        <w:tc>
          <w:tcPr>
            <w:tcW w:w="859" w:type="dxa"/>
            <w:vMerge w:val="restart"/>
            <w:tcBorders>
              <w:top w:val="nil" w:sz="6" w:space="0" w:color="auto"/>
              <w:left w:val="single" w:sz="4" w:space="0" w:color="000000"/>
              <w:right w:val="single" w:sz="4" w:space="0" w:color="000000"/>
            </w:tcBorders>
            <w:shd w:val="clear" w:color="auto" w:fill="D2D2D2"/>
          </w:tcPr>
          <w:p>
            <w:pPr/>
          </w:p>
        </w:tc>
        <w:tc>
          <w:tcPr>
            <w:tcW w:w="1059" w:type="dxa"/>
            <w:vMerge/>
            <w:tcBorders>
              <w:left w:val="single" w:sz="4" w:space="0" w:color="000000"/>
              <w:bottom w:val="nil" w:sz="6" w:space="0" w:color="auto"/>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59" w:type="dxa"/>
            <w:vMerge/>
            <w:tcBorders>
              <w:left w:val="single" w:sz="4" w:space="0" w:color="000000"/>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c>
          <w:tcPr>
            <w:tcW w:w="864"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right w:val="single" w:sz="12" w:space="0" w:color="000000"/>
            </w:tcBorders>
            <w:shd w:val="clear" w:color="auto" w:fill="D2D2D2"/>
          </w:tcPr>
          <w:p>
            <w:pPr/>
          </w:p>
        </w:tc>
      </w:tr>
      <w:tr>
        <w:trPr>
          <w:trHeight w:val="161" w:hRule="exact"/>
        </w:trPr>
        <w:tc>
          <w:tcPr>
            <w:tcW w:w="2580" w:type="dxa"/>
            <w:vMerge/>
            <w:tcBorders>
              <w:left w:val="single" w:sz="12" w:space="0" w:color="000000"/>
              <w:bottom w:val="single" w:sz="4" w:space="0" w:color="000000"/>
              <w:right w:val="single" w:sz="4" w:space="0" w:color="000000"/>
            </w:tcBorders>
            <w:shd w:val="clear" w:color="auto" w:fill="D2D2D2"/>
          </w:tcPr>
          <w:p>
            <w:pPr/>
          </w:p>
        </w:tc>
        <w:tc>
          <w:tcPr>
            <w:tcW w:w="977" w:type="dxa"/>
            <w:vMerge/>
            <w:tcBorders>
              <w:left w:val="single" w:sz="4" w:space="0" w:color="000000"/>
              <w:bottom w:val="single" w:sz="4" w:space="0" w:color="000000"/>
              <w:right w:val="single" w:sz="4" w:space="0" w:color="000000"/>
            </w:tcBorders>
            <w:shd w:val="clear" w:color="auto" w:fill="D2D2D2"/>
          </w:tcPr>
          <w:p>
            <w:pPr/>
          </w:p>
        </w:tc>
        <w:tc>
          <w:tcPr>
            <w:tcW w:w="859" w:type="dxa"/>
            <w:vMerge/>
            <w:tcBorders>
              <w:left w:val="single" w:sz="4" w:space="0" w:color="000000"/>
              <w:bottom w:val="single" w:sz="4" w:space="0" w:color="000000"/>
              <w:right w:val="single" w:sz="4" w:space="0" w:color="000000"/>
            </w:tcBorders>
            <w:shd w:val="clear" w:color="auto" w:fill="D2D2D2"/>
          </w:tcPr>
          <w:p>
            <w:pPr/>
          </w:p>
        </w:tc>
        <w:tc>
          <w:tcPr>
            <w:tcW w:w="105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9" w:type="dxa"/>
            <w:vMerge/>
            <w:tcBorders>
              <w:left w:val="single" w:sz="4" w:space="0" w:color="000000"/>
              <w:bottom w:val="single" w:sz="4" w:space="0" w:color="000000"/>
              <w:right w:val="single" w:sz="4" w:space="0" w:color="000000"/>
            </w:tcBorders>
            <w:shd w:val="clear" w:color="auto" w:fill="D2D2D2"/>
          </w:tcPr>
          <w:p>
            <w:pPr/>
          </w:p>
        </w:tc>
        <w:tc>
          <w:tcPr>
            <w:tcW w:w="859"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12" w:space="0" w:color="000000"/>
            </w:tcBorders>
            <w:shd w:val="clear" w:color="auto" w:fill="D2D2D2"/>
          </w:tcPr>
          <w:p>
            <w:pPr/>
          </w:p>
        </w:tc>
      </w:tr>
      <w:tr>
        <w:trPr>
          <w:trHeight w:val="401" w:hRule="exact"/>
        </w:trPr>
        <w:tc>
          <w:tcPr>
            <w:tcW w:w="258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将重分类进损益的其他综合收益</w:t>
            </w:r>
          </w:p>
        </w:tc>
        <w:tc>
          <w:tcPr>
            <w:tcW w:w="977" w:type="dxa"/>
            <w:tcBorders>
              <w:top w:val="single" w:sz="4" w:space="0" w:color="000000"/>
              <w:left w:val="single" w:sz="10" w:space="0" w:color="D2D2D2"/>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17,870.98</w:t>
            </w:r>
          </w:p>
        </w:tc>
        <w:tc>
          <w:tcPr>
            <w:tcW w:w="105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14,974.36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2,896.62</w:t>
            </w:r>
          </w:p>
        </w:tc>
        <w:tc>
          <w:tcPr>
            <w:tcW w:w="7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14,974.36</w:t>
            </w:r>
          </w:p>
        </w:tc>
      </w:tr>
      <w:tr>
        <w:trPr>
          <w:trHeight w:val="403" w:hRule="exact"/>
        </w:trPr>
        <w:tc>
          <w:tcPr>
            <w:tcW w:w="258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其中：外币财务报表折算差额</w:t>
            </w:r>
          </w:p>
        </w:tc>
        <w:tc>
          <w:tcPr>
            <w:tcW w:w="977" w:type="dxa"/>
            <w:tcBorders>
              <w:top w:val="single" w:sz="4" w:space="0" w:color="000000"/>
              <w:left w:val="single" w:sz="10" w:space="0" w:color="D2D2D2"/>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17,870.98</w:t>
            </w:r>
          </w:p>
        </w:tc>
        <w:tc>
          <w:tcPr>
            <w:tcW w:w="105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14,974.36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2,896.62</w:t>
            </w:r>
          </w:p>
        </w:tc>
        <w:tc>
          <w:tcPr>
            <w:tcW w:w="7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14,974.36</w:t>
            </w:r>
          </w:p>
        </w:tc>
      </w:tr>
      <w:tr>
        <w:trPr>
          <w:trHeight w:val="410" w:hRule="exact"/>
        </w:trPr>
        <w:tc>
          <w:tcPr>
            <w:tcW w:w="258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7" w:type="dxa"/>
            <w:tcBorders>
              <w:top w:val="single" w:sz="4" w:space="0" w:color="000000"/>
              <w:left w:val="single" w:sz="10" w:space="0" w:color="D2D2D2"/>
              <w:bottom w:val="single" w:sz="12" w:space="0" w:color="000000"/>
              <w:right w:val="single" w:sz="4" w:space="0" w:color="000000"/>
            </w:tcBorders>
          </w:tcPr>
          <w:p>
            <w:pPr/>
          </w:p>
        </w:tc>
        <w:tc>
          <w:tcPr>
            <w:tcW w:w="8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17,870.98</w:t>
            </w:r>
          </w:p>
        </w:tc>
        <w:tc>
          <w:tcPr>
            <w:tcW w:w="1059" w:type="dxa"/>
            <w:tcBorders>
              <w:top w:val="single" w:sz="4" w:space="0" w:color="000000"/>
              <w:left w:val="single" w:sz="4" w:space="0" w:color="000000"/>
              <w:bottom w:val="single" w:sz="12" w:space="0" w:color="000000"/>
              <w:right w:val="single" w:sz="4" w:space="0" w:color="000000"/>
            </w:tcBorders>
          </w:tcPr>
          <w:p>
            <w:pPr/>
          </w:p>
        </w:tc>
        <w:tc>
          <w:tcPr>
            <w:tcW w:w="859" w:type="dxa"/>
            <w:tcBorders>
              <w:top w:val="single" w:sz="4" w:space="0" w:color="000000"/>
              <w:left w:val="single" w:sz="4" w:space="0" w:color="000000"/>
              <w:bottom w:val="single" w:sz="12" w:space="0" w:color="000000"/>
              <w:right w:val="single" w:sz="4" w:space="0" w:color="000000"/>
            </w:tcBorders>
          </w:tcPr>
          <w:p>
            <w:pPr/>
          </w:p>
        </w:tc>
        <w:tc>
          <w:tcPr>
            <w:tcW w:w="859" w:type="dxa"/>
            <w:tcBorders>
              <w:top w:val="single" w:sz="4" w:space="0" w:color="000000"/>
              <w:left w:val="single" w:sz="4" w:space="0" w:color="000000"/>
              <w:bottom w:val="single" w:sz="12" w:space="0" w:color="000000"/>
              <w:right w:val="single" w:sz="4" w:space="0" w:color="000000"/>
            </w:tcBorders>
          </w:tcPr>
          <w:p>
            <w:pPr/>
          </w:p>
        </w:tc>
        <w:tc>
          <w:tcPr>
            <w:tcW w:w="8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14,974.36</w:t>
            </w:r>
          </w:p>
        </w:tc>
        <w:tc>
          <w:tcPr>
            <w:tcW w:w="8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2,896.62</w:t>
            </w:r>
          </w:p>
        </w:tc>
        <w:tc>
          <w:tcPr>
            <w:tcW w:w="7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14,974.36</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7、盈余公积" w:id="300"/>
      <w:bookmarkEnd w:id="300"/>
      <w:r>
        <w:rPr>
          <w:b w:val="0"/>
          <w:bCs w:val="0"/>
        </w:rPr>
      </w:r>
      <w:r>
        <w:rPr>
          <w:rFonts w:ascii="Times New Roman" w:hAnsi="Times New Roman" w:cs="Times New Roman" w:eastAsia="Times New Roman" w:hint="default"/>
        </w:rPr>
        <w:t>37</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19"/>
        <w:gridCol w:w="1953"/>
        <w:gridCol w:w="1940"/>
        <w:gridCol w:w="1940"/>
        <w:gridCol w:w="1939"/>
      </w:tblGrid>
      <w:tr>
        <w:trPr>
          <w:trHeight w:val="412" w:hRule="exact"/>
        </w:trPr>
        <w:tc>
          <w:tcPr>
            <w:tcW w:w="191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8"/>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95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6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6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6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8"/>
              <w:ind w:left="6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36,845,041.05</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6,182,211.65</w:t>
            </w:r>
          </w:p>
        </w:tc>
        <w:tc>
          <w:tcPr>
            <w:tcW w:w="1940"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43,027,252.70</w:t>
            </w:r>
          </w:p>
        </w:tc>
      </w:tr>
      <w:tr>
        <w:trPr>
          <w:trHeight w:val="410" w:hRule="exact"/>
        </w:trPr>
        <w:tc>
          <w:tcPr>
            <w:tcW w:w="191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36,845,041.05</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6,182,211.65</w:t>
            </w:r>
          </w:p>
        </w:tc>
        <w:tc>
          <w:tcPr>
            <w:tcW w:w="1940" w:type="dxa"/>
            <w:tcBorders>
              <w:top w:val="single" w:sz="4" w:space="0" w:color="000000"/>
              <w:left w:val="single" w:sz="4" w:space="0" w:color="000000"/>
              <w:bottom w:val="single" w:sz="12" w:space="0" w:color="000000"/>
              <w:right w:val="single" w:sz="4" w:space="0" w:color="000000"/>
            </w:tcBorders>
          </w:tcPr>
          <w:p>
            <w:pP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43,027,252.70</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8、未分配利润" w:id="301"/>
      <w:bookmarkEnd w:id="301"/>
      <w:r>
        <w:rPr>
          <w:b w:val="0"/>
          <w:bCs w:val="0"/>
        </w:rPr>
      </w:r>
      <w:r>
        <w:rPr>
          <w:rFonts w:ascii="Times New Roman" w:hAnsi="Times New Roman" w:cs="Times New Roman" w:eastAsia="Times New Roman" w:hint="default"/>
        </w:rPr>
        <w:t>38</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758"/>
        <w:gridCol w:w="2973"/>
        <w:gridCol w:w="2960"/>
      </w:tblGrid>
      <w:tr>
        <w:trPr>
          <w:trHeight w:val="412" w:hRule="exact"/>
        </w:trPr>
        <w:tc>
          <w:tcPr>
            <w:tcW w:w="375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6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5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526,909,816.62</w:t>
            </w:r>
          </w:p>
        </w:tc>
        <w:tc>
          <w:tcPr>
            <w:tcW w:w="2960"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75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-2,579,457.56</w:t>
            </w:r>
          </w:p>
        </w:tc>
        <w:tc>
          <w:tcPr>
            <w:tcW w:w="2960"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75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524,330,359.06</w:t>
            </w:r>
          </w:p>
        </w:tc>
        <w:tc>
          <w:tcPr>
            <w:tcW w:w="2960"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75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-103,778,838.98</w:t>
            </w:r>
          </w:p>
        </w:tc>
        <w:tc>
          <w:tcPr>
            <w:tcW w:w="296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75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6,182,211.65</w:t>
            </w:r>
          </w:p>
        </w:tc>
        <w:tc>
          <w:tcPr>
            <w:tcW w:w="2960"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75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4,395,341.62</w:t>
            </w:r>
          </w:p>
        </w:tc>
        <w:tc>
          <w:tcPr>
            <w:tcW w:w="2960"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375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73"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409,973,966.81</w:t>
            </w:r>
          </w:p>
        </w:tc>
        <w:tc>
          <w:tcPr>
            <w:tcW w:w="2960" w:type="dxa"/>
            <w:tcBorders>
              <w:top w:val="single" w:sz="4" w:space="0" w:color="000000"/>
              <w:left w:val="single" w:sz="4" w:space="0" w:color="000000"/>
              <w:bottom w:val="single" w:sz="12" w:space="0" w:color="000000"/>
              <w:right w:val="single" w:sz="12" w:space="0" w:color="000000"/>
            </w:tcBorders>
          </w:tcPr>
          <w:p>
            <w:pPr/>
          </w:p>
        </w:tc>
      </w:tr>
    </w:tbl>
    <w:p>
      <w:pPr>
        <w:spacing w:line="357" w:lineRule="auto" w:before="51"/>
        <w:ind w:left="152" w:right="3419"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 由于《企业会计准则》及其相关新规定进行追溯调整，影响期初未分配利润</w:t>
      </w:r>
      <w:r>
        <w:rPr>
          <w:rFonts w:ascii="Times New Roman" w:hAnsi="Times New Roman" w:cs="Times New Roman" w:eastAsia="Times New Roman" w:hint="default"/>
          <w:sz w:val="18"/>
          <w:szCs w:val="18"/>
        </w:rPr>
        <w:t>-2,579,457.56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line="35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39、营业收入和营业成本" w:id="302"/>
      <w:bookmarkEnd w:id="302"/>
      <w:r>
        <w:rPr>
          <w:b w:val="0"/>
          <w:bCs w:val="0"/>
        </w:rPr>
      </w:r>
      <w:r>
        <w:rPr>
          <w:rFonts w:ascii="Times New Roman" w:hAnsi="Times New Roman" w:cs="Times New Roman" w:eastAsia="Times New Roman" w:hint="default"/>
        </w:rPr>
        <w:t>39</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38"/>
        <w:gridCol w:w="1941"/>
        <w:gridCol w:w="1940"/>
        <w:gridCol w:w="1940"/>
        <w:gridCol w:w="1939"/>
      </w:tblGrid>
      <w:tr>
        <w:trPr>
          <w:trHeight w:val="215" w:hRule="exact"/>
        </w:trPr>
        <w:tc>
          <w:tcPr>
            <w:tcW w:w="1938"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881"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79"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38"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81" w:type="dxa"/>
            <w:gridSpan w:val="2"/>
            <w:vMerge/>
            <w:tcBorders>
              <w:left w:val="single" w:sz="4" w:space="0" w:color="000000"/>
              <w:bottom w:val="single" w:sz="4" w:space="0" w:color="000000"/>
              <w:right w:val="single" w:sz="4" w:space="0" w:color="000000"/>
            </w:tcBorders>
            <w:shd w:val="clear" w:color="auto" w:fill="D2D2D2"/>
          </w:tcPr>
          <w:p>
            <w:pPr/>
          </w:p>
        </w:tc>
        <w:tc>
          <w:tcPr>
            <w:tcW w:w="3879" w:type="dxa"/>
            <w:gridSpan w:val="2"/>
            <w:vMerge/>
            <w:tcBorders>
              <w:left w:val="single" w:sz="4" w:space="0" w:color="000000"/>
              <w:bottom w:val="single" w:sz="4" w:space="0" w:color="000000"/>
              <w:right w:val="single" w:sz="12" w:space="0" w:color="000000"/>
            </w:tcBorders>
            <w:shd w:val="clear" w:color="auto" w:fill="D2D2D2"/>
          </w:tcPr>
          <w:p>
            <w:pPr/>
          </w:p>
        </w:tc>
      </w:tr>
      <w:tr>
        <w:trPr>
          <w:trHeight w:val="202" w:hRule="exact"/>
        </w:trPr>
        <w:tc>
          <w:tcPr>
            <w:tcW w:w="1938" w:type="dxa"/>
            <w:vMerge/>
            <w:tcBorders>
              <w:left w:val="single" w:sz="12" w:space="0" w:color="000000"/>
              <w:bottom w:val="nil" w:sz="6" w:space="0" w:color="auto"/>
              <w:right w:val="single" w:sz="4" w:space="0" w:color="000000"/>
            </w:tcBorders>
            <w:shd w:val="clear" w:color="auto" w:fill="D2D2D2"/>
          </w:tcPr>
          <w:p>
            <w:pPr/>
          </w:p>
        </w:tc>
        <w:tc>
          <w:tcPr>
            <w:tcW w:w="19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9"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38" w:type="dxa"/>
            <w:tcBorders>
              <w:top w:val="nil" w:sz="6" w:space="0" w:color="auto"/>
              <w:left w:val="single" w:sz="12" w:space="0" w:color="000000"/>
              <w:bottom w:val="single" w:sz="4" w:space="0" w:color="000000"/>
              <w:right w:val="single" w:sz="4" w:space="0" w:color="000000"/>
            </w:tcBorders>
            <w:shd w:val="clear" w:color="auto" w:fill="D2D2D2"/>
          </w:tcPr>
          <w:p>
            <w:pPr/>
          </w:p>
        </w:tc>
        <w:tc>
          <w:tcPr>
            <w:tcW w:w="1941"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12" w:space="0" w:color="000000"/>
            </w:tcBorders>
            <w:shd w:val="clear" w:color="auto" w:fill="D2D2D2"/>
          </w:tcPr>
          <w:p>
            <w:pPr/>
          </w:p>
        </w:tc>
      </w:tr>
      <w:tr>
        <w:trPr>
          <w:trHeight w:val="401" w:hRule="exact"/>
        </w:trPr>
        <w:tc>
          <w:tcPr>
            <w:tcW w:w="19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1,769,678,289.64</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1,216,127,493.99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1,459,857,629.60</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946,322,583.91</w:t>
            </w:r>
          </w:p>
        </w:tc>
      </w:tr>
      <w:tr>
        <w:trPr>
          <w:trHeight w:val="403" w:hRule="exact"/>
        </w:trPr>
        <w:tc>
          <w:tcPr>
            <w:tcW w:w="193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49,802,197.41</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31,808,061.29</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52,472,959.26</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33,286,867.28</w:t>
            </w:r>
          </w:p>
        </w:tc>
      </w:tr>
      <w:tr>
        <w:trPr>
          <w:trHeight w:val="410" w:hRule="exact"/>
        </w:trPr>
        <w:tc>
          <w:tcPr>
            <w:tcW w:w="193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1"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1,819,480,487.05</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1,247,935,555.28</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1,512,330,588.86</w:t>
            </w: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979,609,451.19</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bookmarkStart w:name="40、税金及附加" w:id="303"/>
      <w:bookmarkEnd w:id="303"/>
      <w:r>
        <w:rPr>
          <w:b w:val="0"/>
          <w:bCs w:val="0"/>
        </w:rPr>
      </w:r>
      <w:r>
        <w:rPr>
          <w:rFonts w:ascii="Times New Roman" w:hAnsi="Times New Roman" w:cs="Times New Roman" w:eastAsia="Times New Roman" w:hint="default"/>
        </w:rPr>
        <w:t>40</w:t>
      </w:r>
      <w:r>
        <w:rPr/>
        <w:t>、税金及附加</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6"/>
        <w:gridCol w:w="3231"/>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4,411,215.77</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4,976,338.30</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3,234,062.88</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3,613,575.79</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6,885,724.79</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6,360,066.52</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1,569,247.19</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1,667,202.18</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1,053,190.18</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863,649.82</w:t>
            </w:r>
          </w:p>
        </w:tc>
      </w:tr>
      <w:tr>
        <w:trPr>
          <w:trHeight w:val="404" w:hRule="exact"/>
        </w:trPr>
        <w:tc>
          <w:tcPr>
            <w:tcW w:w="3213"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291,165.94</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11"/>
              <w:jc w:val="right"/>
              <w:rPr>
                <w:rFonts w:ascii="Times New Roman" w:hAnsi="Times New Roman" w:cs="Times New Roman" w:eastAsia="Times New Roman" w:hint="default"/>
                <w:sz w:val="18"/>
                <w:szCs w:val="18"/>
              </w:rPr>
            </w:pPr>
            <w:r>
              <w:rPr>
                <w:rFonts w:ascii="Times New Roman"/>
                <w:spacing w:val="-1"/>
                <w:sz w:val="18"/>
              </w:rPr>
              <w:t>379,983.11</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17,444,606.75</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17,860,815.72</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41、销售费用" w:id="304"/>
      <w:bookmarkEnd w:id="304"/>
      <w:r>
        <w:rPr>
          <w:b w:val="0"/>
          <w:bCs w:val="0"/>
        </w:rPr>
      </w:r>
      <w:r>
        <w:rPr>
          <w:rFonts w:ascii="Times New Roman" w:hAnsi="Times New Roman" w:cs="Times New Roman" w:eastAsia="Times New Roman" w:hint="default"/>
        </w:rPr>
        <w:t>41</w:t>
      </w:r>
      <w:r>
        <w:rPr/>
        <w:t>、销售费用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8"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7"/>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7"/>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65,266,225.58</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54,495,561.63</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13,043,155.44</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11,162,777.93</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11,303,408.01</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7,276,976.51</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3,957,015.22</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4,258,963.70</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安装费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718,177.40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5,376,634.65</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广告、宣传费、展会费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5,286,380.80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6,188,804.10</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办公费、水电、电话及低耗</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6,089,972.15</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5,975,923.08</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1,298,498.11</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1,512,359.23</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招标服务费</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1,230,936.87</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1,283,790.81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413" w:hRule="exact"/>
        </w:trPr>
        <w:tc>
          <w:tcPr>
            <w:tcW w:w="323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2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247,071.13</w:t>
            </w:r>
          </w:p>
        </w:tc>
        <w:tc>
          <w:tcPr>
            <w:tcW w:w="323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1,809,572.57</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工程维护费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5,884,699.49</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8,081,259.88</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2,150,321.55</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1,161,396.10</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1,082,389.97</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740,813.54</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4,980,500.40</w:t>
            </w:r>
          </w:p>
        </w:tc>
        <w:tc>
          <w:tcPr>
            <w:tcW w:w="3233"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5,001,957.60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3,527,934.41</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127,540,709.72</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112,852,768.14</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42、管理费用" w:id="305"/>
      <w:bookmarkEnd w:id="305"/>
      <w:r>
        <w:rPr>
          <w:b w:val="0"/>
          <w:bCs w:val="0"/>
        </w:rPr>
      </w:r>
      <w:r>
        <w:rPr>
          <w:rFonts w:ascii="Times New Roman" w:hAnsi="Times New Roman" w:cs="Times New Roman" w:eastAsia="Times New Roman" w:hint="default"/>
        </w:rPr>
        <w:t>42</w:t>
      </w:r>
      <w:r>
        <w:rPr/>
        <w:t>、管理费用</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103,961,542.25</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93,633,242.31</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折旧及无形资产摊销费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20,668,676.71</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21,176,231.72</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10,822,559.88</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10,844,040.01</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15,330,226.63</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14,385,690.37</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2,893,416.66</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3,068,187.85</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7,817,813.63</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7,656,295.89</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3,929,737.64</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3,759,185.31</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2,654,502.08</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2,288,328.36</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8,584,612.98</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7,866,249.62</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176,663,088.46</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164,677,451.44</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43、研发费用" w:id="306"/>
      <w:bookmarkEnd w:id="306"/>
      <w:r>
        <w:rPr>
          <w:b w:val="0"/>
          <w:bCs w:val="0"/>
        </w:rPr>
      </w:r>
      <w:r>
        <w:rPr>
          <w:rFonts w:ascii="Times New Roman" w:hAnsi="Times New Roman" w:cs="Times New Roman" w:eastAsia="Times New Roman" w:hint="default"/>
        </w:rPr>
        <w:t>43</w:t>
      </w:r>
      <w:r>
        <w:rPr/>
        <w:t>、研发费用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8"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7"/>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7"/>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工资、福利及社会统筹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75,502,901.67</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66,627,563.39</w:t>
            </w:r>
          </w:p>
        </w:tc>
      </w:tr>
      <w:tr>
        <w:trPr>
          <w:trHeight w:val="404"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材料、燃料及动力费用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25,283,537.88</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14,920,599.80</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折旧费、摊销、租赁费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12,196,169.80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10,461,604.94</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技术服务及委托开发费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11,382,502.12</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4,088,406.49</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办公、物业、展会费及低耗</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1,881,449.40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2,438,024.11</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论证、设计、评审、验收费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2,600,157.19</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2,330,918.70</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2,315,835.29</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2,176,902.92</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864,927.06</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952,084.82</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模具、装备、检验检测费</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1,410,183.88</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783,282.15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413" w:hRule="exact"/>
        </w:trPr>
        <w:tc>
          <w:tcPr>
            <w:tcW w:w="323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2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178,741.76</w:t>
            </w:r>
          </w:p>
        </w:tc>
        <w:tc>
          <w:tcPr>
            <w:tcW w:w="323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207,859.51</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732,133.03</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1,699,589.53</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134,348,539.08</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106,686,836.36</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44、财务费用" w:id="307"/>
      <w:bookmarkEnd w:id="307"/>
      <w:r>
        <w:rPr>
          <w:b w:val="0"/>
          <w:bCs w:val="0"/>
        </w:rPr>
      </w:r>
      <w:r>
        <w:rPr>
          <w:rFonts w:ascii="Times New Roman" w:hAnsi="Times New Roman" w:cs="Times New Roman" w:eastAsia="Times New Roman" w:hint="default"/>
        </w:rPr>
        <w:t>44</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55,176,428.81</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55,321,936.72</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9,475,070.62</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1,652,974.40</w:t>
            </w:r>
          </w:p>
        </w:tc>
      </w:tr>
      <w:tr>
        <w:trPr>
          <w:trHeight w:val="404"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2,960,940.85</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2,866,816.10</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3,214,619.30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3,474,685.42</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538,282.41</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500,468.16</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489,566.88</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534,461.84</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46,475,529.03</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54,096,023.00</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45、其他收益" w:id="308"/>
      <w:bookmarkEnd w:id="308"/>
      <w:r>
        <w:rPr>
          <w:b w:val="0"/>
          <w:bCs w:val="0"/>
        </w:rPr>
      </w:r>
      <w:r>
        <w:rPr>
          <w:rFonts w:ascii="Times New Roman" w:hAnsi="Times New Roman" w:cs="Times New Roman" w:eastAsia="Times New Roman" w:hint="default"/>
        </w:rPr>
        <w:t>45</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79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城市基础设施配套费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74,086,811.08</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47,675,814.23</w:t>
            </w:r>
          </w:p>
        </w:tc>
      </w:tr>
      <w:tr>
        <w:trPr>
          <w:trHeight w:val="71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年新一代信息基础设施建设工程和</w:t>
            </w:r>
          </w:p>
          <w:p>
            <w:pPr>
              <w:pStyle w:val="TableParagraph"/>
              <w:spacing w:line="240" w:lineRule="auto" w:before="63"/>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重大工程项目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11,674,208.14</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7,556,561.09</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8,690,520.31</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8,670,991.90</w:t>
            </w:r>
          </w:p>
        </w:tc>
      </w:tr>
      <w:tr>
        <w:trPr>
          <w:trHeight w:val="71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35"/>
              <w:jc w:val="left"/>
              <w:rPr>
                <w:rFonts w:ascii="宋体" w:hAnsi="宋体" w:cs="宋体" w:eastAsia="宋体" w:hint="default"/>
                <w:sz w:val="18"/>
                <w:szCs w:val="18"/>
              </w:rPr>
            </w:pPr>
            <w:r>
              <w:rPr>
                <w:rFonts w:ascii="宋体" w:hAnsi="宋体" w:cs="宋体" w:eastAsia="宋体" w:hint="default"/>
                <w:sz w:val="18"/>
                <w:szCs w:val="18"/>
              </w:rPr>
              <w:t>基于传感技术的大气质量监测云平台研 究及应用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323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智能制造新模式</w:t>
            </w:r>
            <w:r>
              <w:rPr>
                <w:rFonts w:ascii="Times New Roman" w:hAnsi="Times New Roman" w:cs="Times New Roman" w:eastAsia="Times New Roman" w:hint="default"/>
                <w:sz w:val="18"/>
                <w:szCs w:val="18"/>
              </w:rPr>
              <w:t>-</w:t>
            </w:r>
            <w:r>
              <w:rPr>
                <w:rFonts w:ascii="宋体" w:hAnsi="宋体" w:cs="宋体" w:eastAsia="宋体" w:hint="default"/>
                <w:sz w:val="18"/>
                <w:szCs w:val="18"/>
              </w:rPr>
              <w:t>传感器智能制造</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5,400,000.00</w:t>
            </w:r>
          </w:p>
        </w:tc>
        <w:tc>
          <w:tcPr>
            <w:tcW w:w="3233"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郑州市失业保险应急稳岗返还补贴</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5,025,000.00</w:t>
            </w:r>
          </w:p>
        </w:tc>
        <w:tc>
          <w:tcPr>
            <w:tcW w:w="323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年建设中国制造强市奖补专项资金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4,700,000.00</w:t>
            </w:r>
          </w:p>
        </w:tc>
        <w:tc>
          <w:tcPr>
            <w:tcW w:w="3233"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49"/>
              <w:ind w:left="14" w:right="44"/>
              <w:jc w:val="left"/>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年科技型企业研发费用后补 助专项资金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3,870,000.00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715"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97" w:lineRule="auto" w:before="51"/>
              <w:ind w:left="14" w:right="20"/>
              <w:jc w:val="left"/>
              <w:rPr>
                <w:rFonts w:ascii="宋体" w:hAnsi="宋体" w:cs="宋体" w:eastAsia="宋体" w:hint="default"/>
                <w:sz w:val="18"/>
                <w:szCs w:val="18"/>
              </w:rPr>
            </w:pPr>
            <w:r>
              <w:rPr>
                <w:rFonts w:ascii="宋体" w:hAnsi="宋体" w:cs="宋体" w:eastAsia="宋体" w:hint="default"/>
                <w:sz w:val="18"/>
                <w:szCs w:val="18"/>
              </w:rPr>
              <w:t>郑州高新区管委会</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制造强市</w:t>
            </w:r>
            <w:r>
              <w:rPr>
                <w:rFonts w:ascii="Times New Roman" w:hAnsi="Times New Roman" w:cs="Times New Roman" w:eastAsia="Times New Roman" w:hint="default"/>
                <w:sz w:val="18"/>
                <w:szCs w:val="18"/>
              </w:rPr>
              <w:t>-</w:t>
            </w:r>
            <w:r>
              <w:rPr>
                <w:rFonts w:ascii="宋体" w:hAnsi="宋体" w:cs="宋体" w:eastAsia="宋体" w:hint="default"/>
                <w:sz w:val="18"/>
                <w:szCs w:val="18"/>
              </w:rPr>
              <w:t>融合发 展奖励</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233"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其他与日常活动有关的政府补助</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14,325,467.10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13,730,706.18</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9"/>
              <w:ind w:right="19"/>
              <w:jc w:val="right"/>
              <w:rPr>
                <w:rFonts w:ascii="Times New Roman" w:hAnsi="Times New Roman" w:cs="Times New Roman" w:eastAsia="Times New Roman" w:hint="default"/>
                <w:sz w:val="12"/>
                <w:szCs w:val="12"/>
              </w:rPr>
            </w:pPr>
            <w:r>
              <w:rPr>
                <w:rFonts w:ascii="Times New Roman"/>
                <w:spacing w:val="-1"/>
                <w:sz w:val="18"/>
              </w:rPr>
              <w:t>137,272,006.63</w:t>
            </w:r>
            <w:r>
              <w:rPr>
                <w:rFonts w:ascii="Times New Roman"/>
                <w:color w:val="FF0000"/>
                <w:spacing w:val="-1"/>
                <w:position w:val="8"/>
                <w:sz w:val="12"/>
              </w:rPr>
              <w:t>1</w:t>
            </w:r>
            <w:r>
              <w:rPr>
                <w:rFonts w:ascii="Times New Roman"/>
                <w:spacing w:val="-1"/>
                <w:sz w:val="12"/>
              </w:rPr>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82,034,073.40</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其他收益增加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67.34%</w:t>
      </w:r>
      <w:r>
        <w:rPr>
          <w:rFonts w:ascii="宋体" w:hAnsi="宋体" w:cs="宋体" w:eastAsia="宋体" w:hint="default"/>
          <w:sz w:val="18"/>
          <w:szCs w:val="18"/>
        </w:rPr>
        <w:t>，主要系报告期公司与日常活动相关的政府补助增加所致。</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46、投资收益" w:id="309"/>
      <w:bookmarkEnd w:id="309"/>
      <w:r>
        <w:rPr>
          <w:b w:val="0"/>
          <w:bCs w:val="0"/>
        </w:rPr>
      </w:r>
      <w:r>
        <w:rPr>
          <w:rFonts w:ascii="Times New Roman" w:hAnsi="Times New Roman" w:cs="Times New Roman" w:eastAsia="Times New Roman" w:hint="default"/>
        </w:rPr>
        <w:t>46</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07"/>
        <w:gridCol w:w="3231"/>
        <w:gridCol w:w="2960"/>
      </w:tblGrid>
      <w:tr>
        <w:trPr>
          <w:trHeight w:val="412" w:hRule="exact"/>
        </w:trPr>
        <w:tc>
          <w:tcPr>
            <w:tcW w:w="350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6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5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9,293,385.01</w:t>
            </w:r>
          </w:p>
        </w:tc>
        <w:tc>
          <w:tcPr>
            <w:tcW w:w="29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4,449,846.75</w:t>
            </w:r>
          </w:p>
        </w:tc>
      </w:tr>
      <w:tr>
        <w:trPr>
          <w:trHeight w:val="401" w:hRule="exact"/>
        </w:trPr>
        <w:tc>
          <w:tcPr>
            <w:tcW w:w="350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3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-1,724,071.52</w:t>
            </w:r>
          </w:p>
        </w:tc>
        <w:tc>
          <w:tcPr>
            <w:tcW w:w="29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426,498.61</w:t>
            </w:r>
          </w:p>
        </w:tc>
      </w:tr>
      <w:tr>
        <w:trPr>
          <w:trHeight w:val="403" w:hRule="exact"/>
        </w:trPr>
        <w:tc>
          <w:tcPr>
            <w:tcW w:w="350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22,527,652.43</w:t>
            </w:r>
          </w:p>
        </w:tc>
        <w:tc>
          <w:tcPr>
            <w:tcW w:w="29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42,906,705.90</w:t>
            </w:r>
          </w:p>
        </w:tc>
      </w:tr>
      <w:tr>
        <w:trPr>
          <w:trHeight w:val="401" w:hRule="exact"/>
        </w:trPr>
        <w:tc>
          <w:tcPr>
            <w:tcW w:w="3507"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或有对价形成的投资收益</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2960"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350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34,096,965.92</w:t>
            </w:r>
          </w:p>
        </w:tc>
        <w:tc>
          <w:tcPr>
            <w:tcW w:w="29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47,783,051.26</w:t>
            </w:r>
          </w:p>
        </w:tc>
      </w:tr>
    </w:tbl>
    <w:p>
      <w:pPr>
        <w:spacing w:line="240" w:lineRule="auto" w:before="6"/>
        <w:rPr>
          <w:rFonts w:ascii="宋体" w:hAnsi="宋体" w:cs="宋体" w:eastAsia="宋体" w:hint="default"/>
          <w:sz w:val="19"/>
          <w:szCs w:val="19"/>
        </w:rPr>
      </w:pPr>
    </w:p>
    <w:p>
      <w:pPr>
        <w:pStyle w:val="Heading4"/>
        <w:spacing w:line="240" w:lineRule="auto" w:before="36"/>
        <w:ind w:right="0"/>
        <w:jc w:val="left"/>
        <w:rPr>
          <w:b w:val="0"/>
          <w:bCs w:val="0"/>
        </w:rPr>
      </w:pPr>
      <w:bookmarkStart w:name="47、信用减值损失" w:id="310"/>
      <w:bookmarkEnd w:id="310"/>
      <w:r>
        <w:rPr>
          <w:b w:val="0"/>
          <w:bCs w:val="0"/>
        </w:rPr>
      </w:r>
      <w:r>
        <w:rPr>
          <w:rFonts w:ascii="Times New Roman" w:hAnsi="Times New Roman" w:cs="Times New Roman" w:eastAsia="Times New Roman" w:hint="default"/>
        </w:rPr>
        <w:t>47</w:t>
      </w:r>
      <w:r>
        <w:rPr/>
        <w:t>、信用减值损失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8"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7"/>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7"/>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-13,643,031.74</w:t>
            </w:r>
          </w:p>
        </w:tc>
        <w:tc>
          <w:tcPr>
            <w:tcW w:w="3233"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-13,643,031.74</w:t>
            </w:r>
          </w:p>
        </w:tc>
        <w:tc>
          <w:tcPr>
            <w:tcW w:w="3233" w:type="dxa"/>
            <w:tcBorders>
              <w:top w:val="single" w:sz="4" w:space="0" w:color="000000"/>
              <w:left w:val="single" w:sz="4" w:space="0" w:color="000000"/>
              <w:bottom w:val="single" w:sz="12" w:space="0" w:color="000000"/>
              <w:right w:val="single" w:sz="12" w:space="0" w:color="000000"/>
            </w:tcBorders>
          </w:tcPr>
          <w:p>
            <w:pPr/>
          </w:p>
        </w:tc>
      </w:tr>
    </w:tbl>
    <w:p>
      <w:pPr>
        <w:spacing w:line="357" w:lineRule="auto" w:before="51"/>
        <w:ind w:left="152" w:right="2909" w:firstLine="0"/>
        <w:jc w:val="left"/>
        <w:rPr>
          <w:rFonts w:ascii="宋体" w:hAnsi="宋体" w:cs="宋体" w:eastAsia="宋体" w:hint="default"/>
          <w:sz w:val="18"/>
          <w:szCs w:val="18"/>
        </w:rPr>
      </w:pPr>
      <w:r>
        <w:rPr>
          <w:rFonts w:ascii="宋体" w:hAnsi="宋体" w:cs="宋体" w:eastAsia="宋体" w:hint="default"/>
          <w:sz w:val="18"/>
          <w:szCs w:val="18"/>
        </w:rPr>
        <w:t>其他说明： 信用减值损失减少</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，主要系报告期公司执行新金融工具准则，调整了相关项目的列报所致。</w:t>
      </w: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bookmarkStart w:name="48、资产减值损失" w:id="311"/>
      <w:bookmarkEnd w:id="311"/>
      <w:r>
        <w:rPr>
          <w:b w:val="0"/>
          <w:bCs w:val="0"/>
        </w:rPr>
      </w:r>
      <w:r>
        <w:rPr>
          <w:rFonts w:ascii="Times New Roman" w:hAnsi="Times New Roman" w:cs="Times New Roman" w:eastAsia="Times New Roman" w:hint="default"/>
        </w:rPr>
        <w:t>48</w:t>
      </w:r>
      <w:r>
        <w:rPr/>
        <w:t>、资产减值损失</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6"/>
        <w:gridCol w:w="3231"/>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46" w:type="dxa"/>
            <w:tcBorders>
              <w:top w:val="single" w:sz="4" w:space="0" w:color="000000"/>
              <w:left w:val="single" w:sz="9" w:space="0" w:color="D2D2D2"/>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-21,380,340.61</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-5,379,472.24</w:t>
            </w:r>
          </w:p>
        </w:tc>
        <w:tc>
          <w:tcPr>
            <w:tcW w:w="323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46" w:type="dxa"/>
            <w:tcBorders>
              <w:top w:val="single" w:sz="4" w:space="0" w:color="000000"/>
              <w:left w:val="single" w:sz="9" w:space="0" w:color="D2D2D2"/>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四、商誉减值损失</w:t>
            </w:r>
          </w:p>
        </w:tc>
        <w:tc>
          <w:tcPr>
            <w:tcW w:w="324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-222,598,161.93</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-55,549,254.90</w:t>
            </w:r>
          </w:p>
        </w:tc>
      </w:tr>
      <w:tr>
        <w:trPr>
          <w:trHeight w:val="411"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6"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-227,977,634.17</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-77,229,595.51</w:t>
            </w:r>
          </w:p>
        </w:tc>
      </w:tr>
    </w:tbl>
    <w:p>
      <w:pPr>
        <w:spacing w:line="360" w:lineRule="auto" w:before="51"/>
        <w:ind w:left="152" w:right="3989" w:firstLine="0"/>
        <w:jc w:val="left"/>
        <w:rPr>
          <w:rFonts w:ascii="宋体" w:hAnsi="宋体" w:cs="宋体" w:eastAsia="宋体" w:hint="default"/>
          <w:sz w:val="18"/>
          <w:szCs w:val="18"/>
        </w:rPr>
      </w:pPr>
      <w:r>
        <w:rPr>
          <w:rFonts w:ascii="宋体" w:hAnsi="宋体" w:cs="宋体" w:eastAsia="宋体" w:hint="default"/>
          <w:sz w:val="18"/>
          <w:szCs w:val="18"/>
        </w:rPr>
        <w:t>其他说明： 资产减值损失减少</w:t>
      </w:r>
      <w:r>
        <w:rPr>
          <w:rFonts w:ascii="Times New Roman" w:hAnsi="Times New Roman" w:cs="Times New Roman" w:eastAsia="Times New Roman" w:hint="default"/>
          <w:sz w:val="18"/>
          <w:szCs w:val="18"/>
        </w:rPr>
        <w:t>195.19%</w:t>
      </w:r>
      <w:r>
        <w:rPr>
          <w:rFonts w:ascii="宋体" w:hAnsi="宋体" w:cs="宋体" w:eastAsia="宋体" w:hint="default"/>
          <w:sz w:val="18"/>
          <w:szCs w:val="18"/>
        </w:rPr>
        <w:t>，主要系报告期对商誉进行减值测试，计提商誉减值所致。</w:t>
      </w: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bookmarkStart w:name="49、资产处置收益" w:id="312"/>
      <w:bookmarkEnd w:id="312"/>
      <w:r>
        <w:rPr>
          <w:b w:val="0"/>
          <w:bCs w:val="0"/>
        </w:rPr>
      </w:r>
      <w:r>
        <w:rPr>
          <w:rFonts w:ascii="Times New Roman" w:hAnsi="Times New Roman" w:cs="Times New Roman" w:eastAsia="Times New Roman" w:hint="default"/>
        </w:rPr>
        <w:t>49</w:t>
      </w:r>
      <w:r>
        <w:rPr/>
        <w:t>、资产处置收益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8"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79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处置固定资产收益</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-100,872.84</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-895,232.20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50、营业外收入" w:id="313"/>
      <w:bookmarkEnd w:id="313"/>
      <w:r>
        <w:rPr>
          <w:b w:val="0"/>
          <w:bCs w:val="0"/>
        </w:rPr>
      </w:r>
      <w:r>
        <w:rPr>
          <w:rFonts w:ascii="Times New Roman" w:hAnsi="Times New Roman" w:cs="Times New Roman" w:eastAsia="Times New Roman" w:hint="default"/>
        </w:rPr>
        <w:t>50</w:t>
      </w:r>
      <w:r>
        <w:rPr/>
        <w:t>、营业外收入</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20"/>
        <w:gridCol w:w="2429"/>
        <w:gridCol w:w="2424"/>
        <w:gridCol w:w="2425"/>
      </w:tblGrid>
      <w:tr>
        <w:trPr>
          <w:trHeight w:val="412" w:hRule="exact"/>
        </w:trPr>
        <w:tc>
          <w:tcPr>
            <w:tcW w:w="242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42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right="26"/>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242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4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29,659.26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428,500.00</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29,659.26</w:t>
            </w:r>
          </w:p>
        </w:tc>
      </w:tr>
      <w:tr>
        <w:trPr>
          <w:trHeight w:val="401" w:hRule="exact"/>
        </w:trPr>
        <w:tc>
          <w:tcPr>
            <w:tcW w:w="242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429" w:type="dxa"/>
            <w:tcBorders>
              <w:top w:val="single" w:sz="4" w:space="0" w:color="000000"/>
              <w:left w:val="single" w:sz="10" w:space="0" w:color="D2D2D2"/>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138,000.00</w:t>
            </w:r>
          </w:p>
        </w:tc>
        <w:tc>
          <w:tcPr>
            <w:tcW w:w="242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42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24,860,000.00</w:t>
            </w:r>
          </w:p>
        </w:tc>
        <w:tc>
          <w:tcPr>
            <w:tcW w:w="2425"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42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953,470.76</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1,013,774.73</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953,470.76</w:t>
            </w:r>
          </w:p>
        </w:tc>
      </w:tr>
      <w:tr>
        <w:trPr>
          <w:trHeight w:val="410" w:hRule="exact"/>
        </w:trPr>
        <w:tc>
          <w:tcPr>
            <w:tcW w:w="242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z w:val="18"/>
              </w:rPr>
              <w:t>983,130.02</w:t>
            </w:r>
            <w:r>
              <w:rPr>
                <w:rFonts w:ascii="Times New Roman"/>
                <w:color w:val="FF0000"/>
                <w:position w:val="8"/>
                <w:sz w:val="12"/>
              </w:rPr>
              <w:t>1</w:t>
            </w:r>
            <w:r>
              <w:rPr>
                <w:rFonts w:ascii="Times New Roman"/>
                <w:sz w:val="12"/>
              </w:rPr>
            </w:r>
          </w:p>
        </w:tc>
        <w:tc>
          <w:tcPr>
            <w:tcW w:w="2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26,440,274.73</w:t>
            </w:r>
          </w:p>
        </w:tc>
        <w:tc>
          <w:tcPr>
            <w:tcW w:w="24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983,130.02</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营业外收入减少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96.28%</w:t>
      </w:r>
      <w:r>
        <w:rPr>
          <w:rFonts w:ascii="宋体" w:hAnsi="宋体" w:cs="宋体" w:eastAsia="宋体" w:hint="default"/>
          <w:sz w:val="18"/>
          <w:szCs w:val="18"/>
        </w:rPr>
        <w:t>，主要系上期收到拆迁补偿款所致。</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bookmarkStart w:name="51、营业外支出" w:id="314"/>
      <w:bookmarkEnd w:id="314"/>
      <w:r>
        <w:rPr>
          <w:b w:val="0"/>
          <w:bCs w:val="0"/>
        </w:rPr>
      </w:r>
      <w:r>
        <w:rPr>
          <w:rFonts w:ascii="Times New Roman" w:hAnsi="Times New Roman" w:cs="Times New Roman" w:eastAsia="Times New Roman" w:hint="default"/>
        </w:rPr>
        <w:t>51</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20"/>
        <w:gridCol w:w="2429"/>
        <w:gridCol w:w="2424"/>
        <w:gridCol w:w="2425"/>
      </w:tblGrid>
      <w:tr>
        <w:trPr>
          <w:trHeight w:val="412" w:hRule="exact"/>
        </w:trPr>
        <w:tc>
          <w:tcPr>
            <w:tcW w:w="242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42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7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75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2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right="26"/>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1" w:hRule="exact"/>
        </w:trPr>
        <w:tc>
          <w:tcPr>
            <w:tcW w:w="242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4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297,004.29</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871,869.63</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297,004.29</w:t>
            </w:r>
          </w:p>
        </w:tc>
      </w:tr>
      <w:tr>
        <w:trPr>
          <w:trHeight w:val="403" w:hRule="exact"/>
        </w:trPr>
        <w:tc>
          <w:tcPr>
            <w:tcW w:w="242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164,000.00</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401" w:hRule="exact"/>
        </w:trPr>
        <w:tc>
          <w:tcPr>
            <w:tcW w:w="242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非流动资产损坏报废损失</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328,015.14</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328,015.14</w:t>
            </w:r>
          </w:p>
        </w:tc>
      </w:tr>
      <w:tr>
        <w:trPr>
          <w:trHeight w:val="403" w:hRule="exact"/>
        </w:trPr>
        <w:tc>
          <w:tcPr>
            <w:tcW w:w="242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432,065.72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1,320,904.93</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432,065.72</w:t>
            </w:r>
          </w:p>
        </w:tc>
      </w:tr>
      <w:tr>
        <w:trPr>
          <w:trHeight w:val="411" w:hRule="exact"/>
        </w:trPr>
        <w:tc>
          <w:tcPr>
            <w:tcW w:w="242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1,237,085.15</w:t>
            </w:r>
          </w:p>
        </w:tc>
        <w:tc>
          <w:tcPr>
            <w:tcW w:w="2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2,356,774.56</w:t>
            </w:r>
          </w:p>
        </w:tc>
        <w:tc>
          <w:tcPr>
            <w:tcW w:w="24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1,237,085.15</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52、所得税费用" w:id="315"/>
      <w:bookmarkEnd w:id="315"/>
      <w:r>
        <w:rPr>
          <w:b w:val="0"/>
          <w:bCs w:val="0"/>
        </w:rPr>
      </w:r>
      <w:r>
        <w:rPr>
          <w:rFonts w:ascii="Times New Roman" w:hAnsi="Times New Roman" w:cs="Times New Roman" w:eastAsia="Times New Roman" w:hint="default"/>
        </w:rPr>
        <w:t>52</w:t>
      </w:r>
      <w:r>
        <w:rPr/>
        <w:t>、所得税费用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16"/>
      <w:bookmarkEnd w:id="31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1"/>
        <w:gridCol w:w="3249"/>
        <w:gridCol w:w="3231"/>
      </w:tblGrid>
      <w:tr>
        <w:trPr>
          <w:trHeight w:val="412" w:hRule="exact"/>
        </w:trPr>
        <w:tc>
          <w:tcPr>
            <w:tcW w:w="32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4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32,047,244.57</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34,673,909.88</w:t>
            </w:r>
          </w:p>
        </w:tc>
      </w:tr>
      <w:tr>
        <w:trPr>
          <w:trHeight w:val="401" w:hRule="exact"/>
        </w:trPr>
        <w:tc>
          <w:tcPr>
            <w:tcW w:w="32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29,968,094.84</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9,599,338.43</w:t>
            </w:r>
          </w:p>
        </w:tc>
      </w:tr>
      <w:tr>
        <w:trPr>
          <w:trHeight w:val="411" w:hRule="exact"/>
        </w:trPr>
        <w:tc>
          <w:tcPr>
            <w:tcW w:w="32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9"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pacing w:val="-1"/>
                <w:sz w:val="18"/>
              </w:rPr>
              <w:t>62,015,339.41</w:t>
            </w:r>
            <w:r>
              <w:rPr>
                <w:rFonts w:ascii="Times New Roman"/>
                <w:color w:val="FF0000"/>
                <w:spacing w:val="-1"/>
                <w:position w:val="8"/>
                <w:sz w:val="12"/>
              </w:rPr>
              <w:t>1</w:t>
            </w:r>
            <w:r>
              <w:rPr>
                <w:rFonts w:ascii="Times New Roman"/>
                <w:spacing w:val="-1"/>
                <w:sz w:val="12"/>
              </w:rPr>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44,273,248.31</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  </w:t>
      </w:r>
      <w:r>
        <w:rPr>
          <w:rFonts w:ascii="宋体" w:hAnsi="宋体" w:cs="宋体" w:eastAsia="宋体" w:hint="default"/>
          <w:sz w:val="18"/>
          <w:szCs w:val="18"/>
        </w:rPr>
        <w:t>所得税费用增加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40.07%</w:t>
      </w:r>
      <w:r>
        <w:rPr>
          <w:rFonts w:ascii="宋体" w:hAnsi="宋体" w:cs="宋体" w:eastAsia="宋体" w:hint="default"/>
          <w:sz w:val="18"/>
          <w:szCs w:val="18"/>
        </w:rPr>
        <w:t>，主要系报告期递延所得税费用增加所致。</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会计利润与所得税费用调整过程" w:id="317"/>
      <w:bookmarkEnd w:id="31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824"/>
        <w:gridCol w:w="4867"/>
      </w:tblGrid>
      <w:tr>
        <w:trPr>
          <w:trHeight w:val="412" w:hRule="exact"/>
        </w:trPr>
        <w:tc>
          <w:tcPr>
            <w:tcW w:w="482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86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2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8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67"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-1,534,062.60</w:t>
            </w:r>
          </w:p>
        </w:tc>
      </w:tr>
      <w:tr>
        <w:trPr>
          <w:trHeight w:val="410" w:hRule="exact"/>
        </w:trPr>
        <w:tc>
          <w:tcPr>
            <w:tcW w:w="482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67" w:type="dxa"/>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-383,515.65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4841"/>
        <w:gridCol w:w="4856"/>
      </w:tblGrid>
      <w:tr>
        <w:trPr>
          <w:trHeight w:val="412" w:hRule="exact"/>
        </w:trPr>
        <w:tc>
          <w:tcPr>
            <w:tcW w:w="484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5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-438,585.23</w:t>
            </w:r>
          </w:p>
        </w:tc>
      </w:tr>
      <w:tr>
        <w:trPr>
          <w:trHeight w:val="401" w:hRule="exact"/>
        </w:trPr>
        <w:tc>
          <w:tcPr>
            <w:tcW w:w="48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1,244,039.06</w:t>
            </w:r>
          </w:p>
        </w:tc>
      </w:tr>
      <w:tr>
        <w:trPr>
          <w:trHeight w:val="403" w:hRule="exact"/>
        </w:trPr>
        <w:tc>
          <w:tcPr>
            <w:tcW w:w="48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-7,415,109.38</w:t>
            </w:r>
          </w:p>
        </w:tc>
      </w:tr>
      <w:tr>
        <w:trPr>
          <w:trHeight w:val="401" w:hRule="exact"/>
        </w:trPr>
        <w:tc>
          <w:tcPr>
            <w:tcW w:w="48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8,336,112.67</w:t>
            </w:r>
          </w:p>
        </w:tc>
      </w:tr>
      <w:tr>
        <w:trPr>
          <w:trHeight w:val="403" w:hRule="exact"/>
        </w:trPr>
        <w:tc>
          <w:tcPr>
            <w:tcW w:w="48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-563,710.87</w:t>
            </w:r>
          </w:p>
        </w:tc>
      </w:tr>
      <w:tr>
        <w:trPr>
          <w:trHeight w:val="713" w:hRule="exact"/>
        </w:trPr>
        <w:tc>
          <w:tcPr>
            <w:tcW w:w="484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126"/>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48,774,190.84</w:t>
            </w:r>
          </w:p>
        </w:tc>
      </w:tr>
      <w:tr>
        <w:trPr>
          <w:trHeight w:val="403" w:hRule="exact"/>
        </w:trPr>
        <w:tc>
          <w:tcPr>
            <w:tcW w:w="484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研发加计扣除</w:t>
            </w:r>
          </w:p>
        </w:tc>
        <w:tc>
          <w:tcPr>
            <w:tcW w:w="48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-15,581,695.02</w:t>
            </w:r>
          </w:p>
        </w:tc>
      </w:tr>
      <w:tr>
        <w:trPr>
          <w:trHeight w:val="401" w:hRule="exact"/>
        </w:trPr>
        <w:tc>
          <w:tcPr>
            <w:tcW w:w="484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27,334,269.07</w:t>
            </w:r>
          </w:p>
        </w:tc>
      </w:tr>
      <w:tr>
        <w:trPr>
          <w:trHeight w:val="404" w:hRule="exact"/>
        </w:trPr>
        <w:tc>
          <w:tcPr>
            <w:tcW w:w="4841"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5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709,343.92</w:t>
            </w:r>
          </w:p>
        </w:tc>
      </w:tr>
      <w:tr>
        <w:trPr>
          <w:trHeight w:val="410" w:hRule="exact"/>
        </w:trPr>
        <w:tc>
          <w:tcPr>
            <w:tcW w:w="484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5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62,015,339.41</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53、现金流量表项目" w:id="318"/>
      <w:bookmarkEnd w:id="318"/>
      <w:r>
        <w:rPr>
          <w:b w:val="0"/>
          <w:bCs w:val="0"/>
        </w:rPr>
      </w:r>
      <w:r>
        <w:rPr>
          <w:rFonts w:ascii="Times New Roman" w:hAnsi="Times New Roman" w:cs="Times New Roman" w:eastAsia="Times New Roman" w:hint="default"/>
        </w:rPr>
        <w:t>53</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19"/>
      <w:bookmarkEnd w:id="31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338,833,603.79</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422,706,755.48</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9,475,070.62</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1,652,959.26</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22,255,826.85</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30,187,470.53</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5,289,282.74</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5,451,699.73</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3236"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19,162,393.70</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36,289.66</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3,605,199.95</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375,890,073.66</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482,766,478.65</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支付的其他与经营活动有关的现金" w:id="320"/>
      <w:bookmarkEnd w:id="32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5"/>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52,032,869.50</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50,018,950.73</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62,027,413.01</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50,275,946.63</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9,983,427.61</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10,492,545.58</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44,814,941.72</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27,416,394.30</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1,027,849.29</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1,034,930.00</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支付代收款项</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139,257,206.78</w:t>
            </w:r>
          </w:p>
        </w:tc>
        <w:tc>
          <w:tcPr>
            <w:tcW w:w="3231"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4.210007pt;margin-top:588.01001pt;width:153.3pt;height:40.85pt;mso-position-horizontal-relative:page;mso-position-vertical-relative:page;z-index:-1121152" coordorigin="4484,11760" coordsize="3066,817">
            <v:group style="position:absolute;left:4495;top:11771;width:2;height:392" coordorigin="4495,11771" coordsize="2,392">
              <v:shape style="position:absolute;left:4495;top:11771;width:2;height:392" coordorigin="4495,11771" coordsize="0,392" path="m4495,11771l4495,12162e" filled="false" stroked="true" strokeweight="1.08pt" strokecolor="#ffffff">
                <v:path arrowok="t"/>
              </v:shape>
            </v:group>
            <v:group style="position:absolute;left:4506;top:11771;width:3044;height:392" coordorigin="4506,11771" coordsize="3044,392">
              <v:shape style="position:absolute;left:4506;top:11771;width:3044;height:392" coordorigin="4506,11771" coordsize="3044,392" path="m4506,12162l7549,12162,7549,11771,4506,11771,4506,12162xe" filled="true" fillcolor="#ffffff" stroked="false">
                <v:path arrowok="t"/>
                <v:fill type="solid"/>
              </v:shape>
            </v:group>
            <v:group style="position:absolute;left:4495;top:12174;width:2;height:392" coordorigin="4495,12174" coordsize="2,392">
              <v:shape style="position:absolute;left:4495;top:12174;width:2;height:392" coordorigin="4495,12174" coordsize="0,392" path="m4495,12174l4495,12566e" filled="false" stroked="true" strokeweight="1.08pt" strokecolor="#ffffff">
                <v:path arrowok="t"/>
              </v:shape>
            </v:group>
            <v:group style="position:absolute;left:4506;top:12174;width:3044;height:392" coordorigin="4506,12174" coordsize="3044,392">
              <v:shape style="position:absolute;left:4506;top:12174;width:3044;height:392" coordorigin="4506,12174" coordsize="3044,392" path="m4506,12566l7549,12566,7549,12174,4506,12174,4506,12566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413" w:hRule="exact"/>
        </w:trPr>
        <w:tc>
          <w:tcPr>
            <w:tcW w:w="323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15,045,089.50</w:t>
            </w:r>
          </w:p>
        </w:tc>
        <w:tc>
          <w:tcPr>
            <w:tcW w:w="323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1,715,688.21</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324,188,797.41</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140,954,455.45</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支付的其他与筹资活动有关的现金" w:id="321"/>
      <w:bookmarkEnd w:id="321"/>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6"/>
        <w:gridCol w:w="3231"/>
      </w:tblGrid>
      <w:tr>
        <w:trPr>
          <w:trHeight w:val="396"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购买子公司少数股东权益</w:t>
            </w:r>
          </w:p>
        </w:tc>
        <w:tc>
          <w:tcPr>
            <w:tcW w:w="3236"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15,519,900.00</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12" w:space="0" w:color="000000"/>
              <w:right w:val="single" w:sz="4" w:space="0" w:color="000000"/>
            </w:tcBorders>
          </w:tcPr>
          <w:p>
            <w:pP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15,519,900.00</w:t>
            </w:r>
          </w:p>
        </w:tc>
      </w:tr>
    </w:tbl>
    <w:p>
      <w:pPr>
        <w:spacing w:line="240" w:lineRule="auto" w:before="6"/>
        <w:rPr>
          <w:rFonts w:ascii="宋体" w:hAnsi="宋体" w:cs="宋体" w:eastAsia="宋体" w:hint="default"/>
          <w:sz w:val="19"/>
          <w:szCs w:val="19"/>
        </w:rPr>
      </w:pPr>
    </w:p>
    <w:p>
      <w:pPr>
        <w:pStyle w:val="Heading4"/>
        <w:spacing w:line="240" w:lineRule="auto" w:before="36"/>
        <w:ind w:right="0"/>
        <w:jc w:val="left"/>
        <w:rPr>
          <w:b w:val="0"/>
          <w:bCs w:val="0"/>
        </w:rPr>
      </w:pPr>
      <w:bookmarkStart w:name="54、现金流量表补充资料" w:id="322"/>
      <w:bookmarkEnd w:id="322"/>
      <w:r>
        <w:rPr>
          <w:b w:val="0"/>
          <w:bCs w:val="0"/>
        </w:rPr>
      </w:r>
      <w:r>
        <w:rPr>
          <w:rFonts w:ascii="Times New Roman" w:hAnsi="Times New Roman" w:cs="Times New Roman" w:eastAsia="Times New Roman" w:hint="default"/>
        </w:rPr>
        <w:t>54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23"/>
      <w:bookmarkEnd w:id="32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355"/>
        <w:gridCol w:w="3110"/>
        <w:gridCol w:w="3226"/>
      </w:tblGrid>
      <w:tr>
        <w:trPr>
          <w:trHeight w:val="412" w:hRule="exact"/>
        </w:trPr>
        <w:tc>
          <w:tcPr>
            <w:tcW w:w="335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1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2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22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-63,549,402.01</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108,049,791.82</w:t>
            </w:r>
          </w:p>
        </w:tc>
      </w:tr>
      <w:tr>
        <w:trPr>
          <w:trHeight w:val="401"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241,620,665.91</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77,229,595.51</w:t>
            </w:r>
          </w:p>
        </w:tc>
      </w:tr>
      <w:tr>
        <w:trPr>
          <w:trHeight w:val="716"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51"/>
              <w:ind w:left="7" w:right="86"/>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87,346,374.65</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71,315,651.79</w:t>
            </w:r>
          </w:p>
        </w:tc>
      </w:tr>
      <w:tr>
        <w:trPr>
          <w:trHeight w:val="401"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36,483,782.33</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34,768,960.73</w:t>
            </w:r>
          </w:p>
        </w:tc>
      </w:tr>
      <w:tr>
        <w:trPr>
          <w:trHeight w:val="403"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10,803,235.51</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7,837,626.92</w:t>
            </w:r>
          </w:p>
        </w:tc>
      </w:tr>
      <w:tr>
        <w:trPr>
          <w:trHeight w:val="713"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86"/>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100,872.84</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887,699.62</w:t>
            </w:r>
          </w:p>
        </w:tc>
      </w:tr>
      <w:tr>
        <w:trPr>
          <w:trHeight w:val="403"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328,015.14</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w w:val="95"/>
                <w:sz w:val="18"/>
              </w:rPr>
              <w:t>7,532.58</w:t>
            </w:r>
          </w:p>
        </w:tc>
      </w:tr>
      <w:tr>
        <w:trPr>
          <w:trHeight w:val="401"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55,176,428.81</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54,548,905.17</w:t>
            </w:r>
          </w:p>
        </w:tc>
      </w:tr>
      <w:tr>
        <w:trPr>
          <w:trHeight w:val="403"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-34,096,965.92</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-47,783,051.26</w:t>
            </w:r>
          </w:p>
        </w:tc>
      </w:tr>
      <w:tr>
        <w:trPr>
          <w:trHeight w:val="402"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tabs>
                <w:tab w:pos="2036" w:val="left" w:leader="none"/>
              </w:tabs>
              <w:spacing w:line="240" w:lineRule="auto" w:before="49"/>
              <w:ind w:left="-126"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31,165,531.91</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10,579,874.55</w:t>
            </w:r>
          </w:p>
        </w:tc>
      </w:tr>
      <w:tr>
        <w:trPr>
          <w:trHeight w:val="403"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tabs>
                <w:tab w:pos="2065" w:val="left" w:leader="none"/>
              </w:tabs>
              <w:spacing w:line="240" w:lineRule="auto" w:before="50"/>
              <w:ind w:left="-126"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-1,197,437.07</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-980,536.12</w:t>
            </w:r>
          </w:p>
        </w:tc>
      </w:tr>
      <w:tr>
        <w:trPr>
          <w:trHeight w:val="401"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-12,502,849.70</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-129,149,233.91</w:t>
            </w:r>
          </w:p>
        </w:tc>
      </w:tr>
      <w:tr>
        <w:trPr>
          <w:trHeight w:val="715"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97" w:lineRule="auto" w:before="51"/>
              <w:ind w:left="7" w:right="107"/>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-35,194,139.27</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-82,484,597.24</w:t>
            </w:r>
          </w:p>
        </w:tc>
      </w:tr>
      <w:tr>
        <w:trPr>
          <w:trHeight w:val="713"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49"/>
              <w:ind w:left="7" w:right="107"/>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9,110,520.19</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423,835,490.60</w:t>
            </w:r>
          </w:p>
        </w:tc>
      </w:tr>
      <w:tr>
        <w:trPr>
          <w:trHeight w:val="410" w:hRule="exact"/>
        </w:trPr>
        <w:tc>
          <w:tcPr>
            <w:tcW w:w="335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10"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325,594,633.32</w:t>
            </w:r>
          </w:p>
        </w:tc>
        <w:tc>
          <w:tcPr>
            <w:tcW w:w="32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528,663,710.76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3355"/>
        <w:gridCol w:w="3110"/>
        <w:gridCol w:w="3226"/>
      </w:tblGrid>
      <w:tr>
        <w:trPr>
          <w:trHeight w:val="169" w:hRule="exact"/>
        </w:trPr>
        <w:tc>
          <w:tcPr>
            <w:tcW w:w="3355" w:type="dxa"/>
            <w:vMerge w:val="restart"/>
            <w:tcBorders>
              <w:top w:val="single" w:sz="12" w:space="0" w:color="000000"/>
              <w:left w:val="single" w:sz="12" w:space="0" w:color="000000"/>
              <w:right w:val="single" w:sz="4" w:space="0" w:color="000000"/>
            </w:tcBorders>
            <w:shd w:val="clear" w:color="auto" w:fill="D2D2D2"/>
          </w:tcPr>
          <w:p>
            <w:pPr>
              <w:pStyle w:val="TableParagraph"/>
              <w:spacing w:line="297" w:lineRule="auto" w:before="50"/>
              <w:ind w:left="7"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110" w:type="dxa"/>
            <w:tcBorders>
              <w:top w:val="single" w:sz="12" w:space="0" w:color="000000"/>
              <w:left w:val="single" w:sz="4" w:space="0" w:color="000000"/>
              <w:bottom w:val="nil" w:sz="6" w:space="0" w:color="auto"/>
              <w:right w:val="single" w:sz="4" w:space="0" w:color="000000"/>
            </w:tcBorders>
            <w:shd w:val="clear" w:color="auto" w:fill="D2D2D2"/>
          </w:tcPr>
          <w:p>
            <w:pPr/>
          </w:p>
        </w:tc>
        <w:tc>
          <w:tcPr>
            <w:tcW w:w="3226"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394" w:hRule="exact"/>
        </w:trPr>
        <w:tc>
          <w:tcPr>
            <w:tcW w:w="3355" w:type="dxa"/>
            <w:vMerge/>
            <w:tcBorders>
              <w:left w:val="single" w:sz="12" w:space="0" w:color="000000"/>
              <w:right w:val="single" w:sz="4" w:space="0" w:color="000000"/>
            </w:tcBorders>
            <w:shd w:val="clear" w:color="auto" w:fill="D2D2D2"/>
          </w:tcPr>
          <w:p>
            <w:pPr/>
          </w:p>
        </w:tc>
        <w:tc>
          <w:tcPr>
            <w:tcW w:w="31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96" w:right="0"/>
              <w:jc w:val="left"/>
              <w:rPr>
                <w:rFonts w:ascii="Times New Roman" w:hAnsi="Times New Roman" w:cs="Times New Roman" w:eastAsia="Times New Roman" w:hint="default"/>
                <w:sz w:val="18"/>
                <w:szCs w:val="18"/>
              </w:rPr>
            </w:pPr>
            <w:r>
              <w:rPr>
                <w:rFonts w:ascii="Times New Roman"/>
                <w:sz w:val="18"/>
              </w:rPr>
              <w:t>--</w:t>
            </w:r>
          </w:p>
        </w:tc>
        <w:tc>
          <w:tcPr>
            <w:tcW w:w="3226" w:type="dxa"/>
            <w:tcBorders>
              <w:top w:val="nil" w:sz="6" w:space="0" w:color="auto"/>
              <w:left w:val="single" w:sz="4" w:space="0" w:color="000000"/>
              <w:bottom w:val="nil" w:sz="6" w:space="0" w:color="auto"/>
              <w:right w:val="single" w:sz="12" w:space="0" w:color="000000"/>
            </w:tcBorders>
            <w:shd w:val="clear" w:color="auto" w:fill="D2D2D2"/>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55" w:type="dxa"/>
            <w:vMerge/>
            <w:tcBorders>
              <w:left w:val="single" w:sz="12" w:space="0" w:color="000000"/>
              <w:bottom w:val="single" w:sz="4" w:space="0" w:color="000000"/>
              <w:right w:val="single" w:sz="4" w:space="0" w:color="000000"/>
            </w:tcBorders>
            <w:shd w:val="clear" w:color="auto" w:fill="D2D2D2"/>
          </w:tcPr>
          <w:p>
            <w:pPr/>
          </w:p>
        </w:tc>
        <w:tc>
          <w:tcPr>
            <w:tcW w:w="311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26"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1"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96" w:right="0"/>
              <w:jc w:val="left"/>
              <w:rPr>
                <w:rFonts w:ascii="Times New Roman" w:hAnsi="Times New Roman" w:cs="Times New Roman" w:eastAsia="Times New Roman" w:hint="default"/>
                <w:sz w:val="18"/>
                <w:szCs w:val="18"/>
              </w:rPr>
            </w:pPr>
            <w:r>
              <w:rPr>
                <w:rFonts w:ascii="Times New Roman"/>
                <w:sz w:val="18"/>
              </w:rPr>
              <w:t>--</w:t>
            </w:r>
          </w:p>
        </w:tc>
        <w:tc>
          <w:tcPr>
            <w:tcW w:w="322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1,199,715,466.72</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1,448,127,233.04</w:t>
            </w:r>
          </w:p>
        </w:tc>
      </w:tr>
      <w:tr>
        <w:trPr>
          <w:trHeight w:val="401" w:hRule="exact"/>
        </w:trPr>
        <w:tc>
          <w:tcPr>
            <w:tcW w:w="33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1,448,127,233.04</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771,007,515.74</w:t>
            </w:r>
          </w:p>
        </w:tc>
      </w:tr>
      <w:tr>
        <w:trPr>
          <w:trHeight w:val="410" w:hRule="exact"/>
        </w:trPr>
        <w:tc>
          <w:tcPr>
            <w:tcW w:w="335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110"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-248,411,766.32</w:t>
            </w:r>
          </w:p>
        </w:tc>
        <w:tc>
          <w:tcPr>
            <w:tcW w:w="32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677,119,717.30</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本期支付的取得子公司的现金净额" w:id="324"/>
      <w:bookmarkEnd w:id="32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055"/>
        <w:gridCol w:w="4643"/>
      </w:tblGrid>
      <w:tr>
        <w:trPr>
          <w:trHeight w:val="411" w:hRule="exact"/>
        </w:trPr>
        <w:tc>
          <w:tcPr>
            <w:tcW w:w="5055"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464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8"/>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0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643"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31,225,077.50</w:t>
            </w:r>
          </w:p>
        </w:tc>
      </w:tr>
      <w:tr>
        <w:trPr>
          <w:trHeight w:val="401" w:hRule="exact"/>
        </w:trPr>
        <w:tc>
          <w:tcPr>
            <w:tcW w:w="50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643"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山西腾星</w:t>
            </w:r>
          </w:p>
        </w:tc>
        <w:tc>
          <w:tcPr>
            <w:tcW w:w="46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31,225,077.50</w:t>
            </w:r>
          </w:p>
        </w:tc>
      </w:tr>
      <w:tr>
        <w:trPr>
          <w:trHeight w:val="402" w:hRule="exact"/>
        </w:trPr>
        <w:tc>
          <w:tcPr>
            <w:tcW w:w="50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643"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133,781.56</w:t>
            </w:r>
          </w:p>
        </w:tc>
      </w:tr>
      <w:tr>
        <w:trPr>
          <w:trHeight w:val="402" w:hRule="exact"/>
        </w:trPr>
        <w:tc>
          <w:tcPr>
            <w:tcW w:w="50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643"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5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山西腾星</w:t>
            </w:r>
          </w:p>
        </w:tc>
        <w:tc>
          <w:tcPr>
            <w:tcW w:w="46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133,781.56</w:t>
            </w:r>
          </w:p>
        </w:tc>
      </w:tr>
      <w:tr>
        <w:trPr>
          <w:trHeight w:val="403" w:hRule="exact"/>
        </w:trPr>
        <w:tc>
          <w:tcPr>
            <w:tcW w:w="50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643"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505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643" w:type="dxa"/>
            <w:tcBorders>
              <w:top w:val="single" w:sz="4" w:space="0" w:color="000000"/>
              <w:left w:val="single" w:sz="10" w:space="0" w:color="D2D2D2"/>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31,091,295.94</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本期收到的处置子公司的现金净额" w:id="325"/>
      <w:bookmarkEnd w:id="32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5048"/>
        <w:gridCol w:w="4643"/>
      </w:tblGrid>
      <w:tr>
        <w:trPr>
          <w:trHeight w:val="412" w:hRule="exact"/>
        </w:trPr>
        <w:tc>
          <w:tcPr>
            <w:tcW w:w="5048"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464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04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643"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643"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w w:val="95"/>
                <w:sz w:val="18"/>
              </w:rPr>
              <w:t>2,090.72</w:t>
            </w:r>
          </w:p>
        </w:tc>
      </w:tr>
      <w:tr>
        <w:trPr>
          <w:trHeight w:val="401" w:hRule="exact"/>
        </w:trPr>
        <w:tc>
          <w:tcPr>
            <w:tcW w:w="504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643"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北京威果智能科技有限公司</w:t>
            </w:r>
          </w:p>
        </w:tc>
        <w:tc>
          <w:tcPr>
            <w:tcW w:w="46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w w:val="95"/>
                <w:sz w:val="18"/>
              </w:rPr>
              <w:t>2,090.72</w:t>
            </w:r>
          </w:p>
        </w:tc>
      </w:tr>
      <w:tr>
        <w:trPr>
          <w:trHeight w:val="402" w:hRule="exact"/>
        </w:trPr>
        <w:tc>
          <w:tcPr>
            <w:tcW w:w="504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643"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504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643"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哈尔滨盈江科技有限公司</w:t>
            </w:r>
          </w:p>
        </w:tc>
        <w:tc>
          <w:tcPr>
            <w:tcW w:w="464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10" w:hRule="exact"/>
        </w:trPr>
        <w:tc>
          <w:tcPr>
            <w:tcW w:w="504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64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497,909.28</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4）现金和现金等价物的构成" w:id="326"/>
      <w:bookmarkEnd w:id="32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3372"/>
        <w:gridCol w:w="3099"/>
        <w:gridCol w:w="3219"/>
      </w:tblGrid>
      <w:tr>
        <w:trPr>
          <w:trHeight w:val="406" w:hRule="exact"/>
        </w:trPr>
        <w:tc>
          <w:tcPr>
            <w:tcW w:w="3372"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34"/>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3099"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19"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34"/>
              <w:ind w:left="1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3361"/>
        <w:gridCol w:w="3110"/>
        <w:gridCol w:w="3226"/>
      </w:tblGrid>
      <w:tr>
        <w:trPr>
          <w:trHeight w:val="413" w:hRule="exact"/>
        </w:trPr>
        <w:tc>
          <w:tcPr>
            <w:tcW w:w="336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110" w:type="dxa"/>
            <w:tcBorders>
              <w:top w:val="single" w:sz="12"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1,199,715,466.72</w:t>
            </w:r>
          </w:p>
        </w:tc>
        <w:tc>
          <w:tcPr>
            <w:tcW w:w="322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1,448,127,233.04</w:t>
            </w:r>
          </w:p>
        </w:tc>
      </w:tr>
      <w:tr>
        <w:trPr>
          <w:trHeight w:val="401" w:hRule="exact"/>
        </w:trPr>
        <w:tc>
          <w:tcPr>
            <w:tcW w:w="336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359,146.61</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279,050.29</w:t>
            </w:r>
          </w:p>
        </w:tc>
      </w:tr>
      <w:tr>
        <w:trPr>
          <w:trHeight w:val="403" w:hRule="exact"/>
        </w:trPr>
        <w:tc>
          <w:tcPr>
            <w:tcW w:w="336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1,199,195,372.12</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1,446,994,428.79</w:t>
            </w:r>
          </w:p>
        </w:tc>
      </w:tr>
      <w:tr>
        <w:trPr>
          <w:trHeight w:val="401" w:hRule="exact"/>
        </w:trPr>
        <w:tc>
          <w:tcPr>
            <w:tcW w:w="336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160,947.99</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853,753.96</w:t>
            </w:r>
          </w:p>
        </w:tc>
      </w:tr>
      <w:tr>
        <w:trPr>
          <w:trHeight w:val="410" w:hRule="exact"/>
        </w:trPr>
        <w:tc>
          <w:tcPr>
            <w:tcW w:w="336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二、期末现金及现金等价物余额</w:t>
            </w:r>
          </w:p>
        </w:tc>
        <w:tc>
          <w:tcPr>
            <w:tcW w:w="3110"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1,199,715,466.72</w:t>
            </w:r>
          </w:p>
        </w:tc>
        <w:tc>
          <w:tcPr>
            <w:tcW w:w="322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1,448,127,233.04</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55、所有者权益变动表项目注释" w:id="327"/>
      <w:bookmarkEnd w:id="327"/>
      <w:r>
        <w:rPr>
          <w:b w:val="0"/>
          <w:bCs w:val="0"/>
        </w:rPr>
      </w:r>
      <w:r>
        <w:rPr>
          <w:rFonts w:ascii="Times New Roman" w:hAnsi="Times New Roman" w:cs="Times New Roman" w:eastAsia="Times New Roman" w:hint="default"/>
        </w:rPr>
        <w:t>55</w:t>
      </w:r>
      <w:r>
        <w:rPr/>
        <w:t>、所有者权益变动表项目注释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p>
    <w:p>
      <w:pPr>
        <w:pStyle w:val="BodyText"/>
        <w:spacing w:line="240" w:lineRule="auto" w:before="159"/>
        <w:ind w:left="0" w:right="1135"/>
        <w:jc w:val="right"/>
      </w:pPr>
      <w:r>
        <w:rPr>
          <w:spacing w:val="3"/>
        </w:rPr>
        <w:t>所有者权益变动表</w:t>
      </w:r>
      <w:r>
        <w:rPr>
          <w:rFonts w:ascii="Times New Roman" w:hAnsi="Times New Roman" w:cs="Times New Roman" w:eastAsia="Times New Roman" w:hint="default"/>
          <w:spacing w:val="3"/>
        </w:rPr>
        <w:t>“</w:t>
      </w:r>
      <w:r>
        <w:rPr>
          <w:spacing w:val="3"/>
        </w:rPr>
        <w:t>其他</w:t>
      </w:r>
      <w:r>
        <w:rPr>
          <w:rFonts w:ascii="Times New Roman" w:hAnsi="Times New Roman" w:cs="Times New Roman" w:eastAsia="Times New Roman" w:hint="default"/>
          <w:spacing w:val="3"/>
        </w:rPr>
        <w:t>-</w:t>
      </w:r>
      <w:r>
        <w:rPr>
          <w:spacing w:val="3"/>
        </w:rPr>
        <w:t>资本公积</w:t>
      </w:r>
      <w:r>
        <w:rPr>
          <w:rFonts w:ascii="Times New Roman" w:hAnsi="Times New Roman" w:cs="Times New Roman" w:eastAsia="Times New Roman" w:hint="default"/>
          <w:spacing w:val="3"/>
        </w:rPr>
        <w:t>”</w:t>
      </w:r>
      <w:r>
        <w:rPr>
          <w:spacing w:val="3"/>
        </w:rPr>
        <w:t>项目增加</w:t>
      </w:r>
      <w:r>
        <w:rPr>
          <w:rFonts w:ascii="Times New Roman" w:hAnsi="Times New Roman" w:cs="Times New Roman" w:eastAsia="Times New Roman" w:hint="default"/>
          <w:spacing w:val="3"/>
        </w:rPr>
        <w:t>2,802,767.16</w:t>
      </w:r>
      <w:r>
        <w:rPr>
          <w:spacing w:val="3"/>
        </w:rPr>
        <w:t>元系权益法核算的联营单位泰瑞数创科技</w:t>
      </w:r>
    </w:p>
    <w:p>
      <w:pPr>
        <w:pStyle w:val="BodyText"/>
        <w:spacing w:line="408" w:lineRule="auto" w:before="178"/>
        <w:ind w:right="0"/>
        <w:jc w:val="left"/>
      </w:pPr>
      <w:r>
        <w:rPr>
          <w:spacing w:val="-2"/>
        </w:rPr>
        <w:t>（北京）有限公司增资形成公司享有的被投资单位除净利润、利润分配以及其他综合收益以外所有者权益</w:t>
      </w:r>
      <w:r>
        <w:rPr>
          <w:spacing w:val="-43"/>
        </w:rPr>
        <w:t> </w:t>
      </w:r>
      <w:r>
        <w:rPr>
          <w:spacing w:val="-43"/>
        </w:rPr>
      </w:r>
      <w:r>
        <w:rPr/>
        <w:t>的其他变动所致。</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56、所有权或使用权受到限制的资产" w:id="328"/>
      <w:bookmarkEnd w:id="328"/>
      <w:r>
        <w:rPr>
          <w:b w:val="0"/>
          <w:bCs w:val="0"/>
        </w:rPr>
      </w:r>
      <w:r>
        <w:rPr>
          <w:rFonts w:ascii="Times New Roman" w:hAnsi="Times New Roman" w:cs="Times New Roman" w:eastAsia="Times New Roman" w:hint="default"/>
        </w:rPr>
        <w:t>56</w:t>
      </w:r>
      <w:r>
        <w:rPr/>
        <w:t>、所有权或使用权受到限制的资产</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2"/>
        <w:gridCol w:w="3110"/>
        <w:gridCol w:w="3226"/>
      </w:tblGrid>
      <w:tr>
        <w:trPr>
          <w:trHeight w:val="412" w:hRule="exact"/>
        </w:trPr>
        <w:tc>
          <w:tcPr>
            <w:tcW w:w="336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1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22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10"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11,029,423.88</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保证金存款</w:t>
            </w:r>
          </w:p>
        </w:tc>
      </w:tr>
      <w:tr>
        <w:trPr>
          <w:trHeight w:val="403" w:hRule="exact"/>
        </w:trPr>
        <w:tc>
          <w:tcPr>
            <w:tcW w:w="33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4,701,376.83</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1" w:hRule="exact"/>
        </w:trPr>
        <w:tc>
          <w:tcPr>
            <w:tcW w:w="336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22,916,810.60</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银行借款质押</w:t>
            </w:r>
          </w:p>
        </w:tc>
      </w:tr>
      <w:tr>
        <w:trPr>
          <w:trHeight w:val="403" w:hRule="exact"/>
        </w:trPr>
        <w:tc>
          <w:tcPr>
            <w:tcW w:w="3362"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110"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3,432,234.81</w:t>
            </w:r>
          </w:p>
        </w:tc>
        <w:tc>
          <w:tcPr>
            <w:tcW w:w="322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10" w:hRule="exact"/>
        </w:trPr>
        <w:tc>
          <w:tcPr>
            <w:tcW w:w="336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0" w:type="dxa"/>
            <w:tcBorders>
              <w:top w:val="single" w:sz="4" w:space="0" w:color="000000"/>
              <w:left w:val="single" w:sz="10" w:space="0" w:color="D2D2D2"/>
              <w:bottom w:val="single" w:sz="12"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42,079,846.12</w:t>
            </w:r>
          </w:p>
        </w:tc>
        <w:tc>
          <w:tcPr>
            <w:tcW w:w="3226"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57、外币货币性项目" w:id="329"/>
      <w:bookmarkEnd w:id="329"/>
      <w:r>
        <w:rPr>
          <w:b w:val="0"/>
          <w:bCs w:val="0"/>
        </w:rPr>
      </w:r>
      <w:r>
        <w:rPr>
          <w:rFonts w:ascii="Times New Roman" w:hAnsi="Times New Roman" w:cs="Times New Roman" w:eastAsia="Times New Roman" w:hint="default"/>
        </w:rPr>
        <w:t>57</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30"/>
      <w:bookmarkEnd w:id="33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510"/>
        <w:gridCol w:w="2335"/>
        <w:gridCol w:w="2422"/>
        <w:gridCol w:w="2425"/>
      </w:tblGrid>
      <w:tr>
        <w:trPr>
          <w:trHeight w:val="412" w:hRule="exact"/>
        </w:trPr>
        <w:tc>
          <w:tcPr>
            <w:tcW w:w="251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3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8"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2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2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39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425" w:type="dxa"/>
            <w:tcBorders>
              <w:top w:val="single" w:sz="4" w:space="0" w:color="000000"/>
              <w:left w:val="single" w:sz="10"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14,231,229.72</w:t>
            </w:r>
          </w:p>
        </w:tc>
      </w:tr>
      <w:tr>
        <w:trPr>
          <w:trHeight w:val="401" w:hRule="exact"/>
        </w:trPr>
        <w:tc>
          <w:tcPr>
            <w:tcW w:w="2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1,895,239.69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6.9762</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13,221,571.12</w:t>
            </w:r>
          </w:p>
        </w:tc>
      </w:tr>
      <w:tr>
        <w:trPr>
          <w:trHeight w:val="403" w:hRule="exact"/>
        </w:trPr>
        <w:tc>
          <w:tcPr>
            <w:tcW w:w="2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117,599.12</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7.8155</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919,095.92</w:t>
            </w:r>
          </w:p>
        </w:tc>
      </w:tr>
      <w:tr>
        <w:trPr>
          <w:trHeight w:val="401" w:hRule="exact"/>
        </w:trPr>
        <w:tc>
          <w:tcPr>
            <w:tcW w:w="2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35" w:type="dxa"/>
            <w:tcBorders>
              <w:top w:val="single" w:sz="4" w:space="0" w:color="000000"/>
              <w:left w:val="single" w:sz="10" w:space="0" w:color="D2D2D2"/>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51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8,206.31</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9.1501</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75,088.56</w:t>
            </w:r>
          </w:p>
        </w:tc>
      </w:tr>
      <w:tr>
        <w:trPr>
          <w:trHeight w:val="401" w:hRule="exact"/>
        </w:trPr>
        <w:tc>
          <w:tcPr>
            <w:tcW w:w="2510"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兹罗提</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8,424.50</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1.8368</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15,474.12</w:t>
            </w:r>
          </w:p>
        </w:tc>
      </w:tr>
      <w:tr>
        <w:trPr>
          <w:trHeight w:val="410" w:hRule="exact"/>
        </w:trPr>
        <w:tc>
          <w:tcPr>
            <w:tcW w:w="251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35"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42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4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1,265,032.95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528"/>
        <w:gridCol w:w="2324"/>
        <w:gridCol w:w="2422"/>
        <w:gridCol w:w="2425"/>
      </w:tblGrid>
      <w:tr>
        <w:trPr>
          <w:trHeight w:val="413" w:hRule="exact"/>
        </w:trPr>
        <w:tc>
          <w:tcPr>
            <w:tcW w:w="252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159,431.37</w:t>
            </w:r>
          </w:p>
        </w:tc>
        <w:tc>
          <w:tcPr>
            <w:tcW w:w="24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6.9762</w:t>
            </w:r>
          </w:p>
        </w:tc>
        <w:tc>
          <w:tcPr>
            <w:tcW w:w="242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1,112,225.15</w:t>
            </w:r>
          </w:p>
        </w:tc>
      </w:tr>
      <w:tr>
        <w:trPr>
          <w:trHeight w:val="401" w:hRule="exact"/>
        </w:trPr>
        <w:tc>
          <w:tcPr>
            <w:tcW w:w="25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1591"/>
              <w:jc w:val="right"/>
              <w:rPr>
                <w:rFonts w:ascii="宋体" w:hAnsi="宋体" w:cs="宋体" w:eastAsia="宋体" w:hint="default"/>
                <w:sz w:val="18"/>
                <w:szCs w:val="18"/>
              </w:rPr>
            </w:pPr>
            <w:r>
              <w:rPr>
                <w:rFonts w:ascii="宋体" w:hAnsi="宋体" w:cs="宋体" w:eastAsia="宋体" w:hint="default"/>
                <w:sz w:val="18"/>
                <w:szCs w:val="18"/>
              </w:rPr>
              <w:t>欧元</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19,551.89</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7.8155</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152,807.80</w:t>
            </w:r>
          </w:p>
        </w:tc>
      </w:tr>
      <w:tr>
        <w:trPr>
          <w:trHeight w:val="403" w:hRule="exact"/>
        </w:trPr>
        <w:tc>
          <w:tcPr>
            <w:tcW w:w="25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1591"/>
              <w:jc w:val="right"/>
              <w:rPr>
                <w:rFonts w:ascii="宋体" w:hAnsi="宋体" w:cs="宋体" w:eastAsia="宋体" w:hint="default"/>
                <w:sz w:val="18"/>
                <w:szCs w:val="18"/>
              </w:rPr>
            </w:pPr>
            <w:r>
              <w:rPr>
                <w:rFonts w:ascii="宋体" w:hAnsi="宋体" w:cs="宋体" w:eastAsia="宋体" w:hint="default"/>
                <w:sz w:val="18"/>
                <w:szCs w:val="18"/>
              </w:rPr>
              <w:t>港币</w:t>
            </w:r>
          </w:p>
        </w:tc>
        <w:tc>
          <w:tcPr>
            <w:tcW w:w="2324"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528" w:type="dxa"/>
            <w:tcBorders>
              <w:top w:val="single" w:sz="4" w:space="0" w:color="000000"/>
              <w:left w:val="single" w:sz="12"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5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425"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5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24" w:type="dxa"/>
            <w:tcBorders>
              <w:top w:val="single" w:sz="4" w:space="0" w:color="000000"/>
              <w:left w:val="single" w:sz="10" w:space="0" w:color="D2D2D2"/>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5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right="1591"/>
              <w:jc w:val="right"/>
              <w:rPr>
                <w:rFonts w:ascii="宋体" w:hAnsi="宋体" w:cs="宋体" w:eastAsia="宋体" w:hint="default"/>
                <w:sz w:val="18"/>
                <w:szCs w:val="18"/>
              </w:rPr>
            </w:pPr>
            <w:r>
              <w:rPr>
                <w:rFonts w:ascii="宋体" w:hAnsi="宋体" w:cs="宋体" w:eastAsia="宋体" w:hint="default"/>
                <w:sz w:val="18"/>
                <w:szCs w:val="18"/>
              </w:rPr>
              <w:t>欧元</w:t>
            </w:r>
          </w:p>
        </w:tc>
        <w:tc>
          <w:tcPr>
            <w:tcW w:w="2324" w:type="dxa"/>
            <w:tcBorders>
              <w:top w:val="single" w:sz="4" w:space="0" w:color="000000"/>
              <w:left w:val="single" w:sz="10" w:space="0" w:color="D2D2D2"/>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252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right="1591"/>
              <w:jc w:val="right"/>
              <w:rPr>
                <w:rFonts w:ascii="宋体" w:hAnsi="宋体" w:cs="宋体" w:eastAsia="宋体" w:hint="default"/>
                <w:sz w:val="18"/>
                <w:szCs w:val="18"/>
              </w:rPr>
            </w:pPr>
            <w:r>
              <w:rPr>
                <w:rFonts w:ascii="宋体" w:hAnsi="宋体" w:cs="宋体" w:eastAsia="宋体" w:hint="default"/>
                <w:sz w:val="18"/>
                <w:szCs w:val="18"/>
              </w:rPr>
              <w:t>港币</w:t>
            </w:r>
          </w:p>
        </w:tc>
        <w:tc>
          <w:tcPr>
            <w:tcW w:w="2324" w:type="dxa"/>
            <w:tcBorders>
              <w:top w:val="single" w:sz="4" w:space="0" w:color="000000"/>
              <w:left w:val="single" w:sz="10" w:space="0" w:color="D2D2D2"/>
              <w:bottom w:val="single" w:sz="12" w:space="0" w:color="000000"/>
              <w:right w:val="single" w:sz="4" w:space="0" w:color="000000"/>
            </w:tcBorders>
          </w:tcPr>
          <w:p>
            <w:pPr/>
          </w:p>
        </w:tc>
        <w:tc>
          <w:tcPr>
            <w:tcW w:w="2422" w:type="dxa"/>
            <w:tcBorders>
              <w:top w:val="single" w:sz="4" w:space="0" w:color="000000"/>
              <w:left w:val="single" w:sz="4" w:space="0" w:color="000000"/>
              <w:bottom w:val="single" w:sz="12" w:space="0" w:color="000000"/>
              <w:right w:val="single" w:sz="4" w:space="0" w:color="000000"/>
            </w:tcBorders>
          </w:tcPr>
          <w:p>
            <w:pPr/>
          </w:p>
        </w:tc>
        <w:tc>
          <w:tcPr>
            <w:tcW w:w="2425"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4"/>
        <w:spacing w:line="259" w:lineRule="auto" w:before="36"/>
        <w:ind w:right="0"/>
        <w:jc w:val="left"/>
        <w:rPr>
          <w:b w:val="0"/>
          <w:bCs w:val="0"/>
        </w:rPr>
      </w:pPr>
      <w:bookmarkStart w:name="（2）境外经营实体说明，包括对于重要的境外经营实体，应披露其境外主要经营地、记账" w:id="331"/>
      <w:bookmarkEnd w:id="33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58、政府补助" w:id="332"/>
      <w:bookmarkEnd w:id="332"/>
      <w:r>
        <w:rPr>
          <w:b w:val="0"/>
          <w:bCs w:val="0"/>
        </w:rPr>
      </w:r>
      <w:r>
        <w:rPr>
          <w:rFonts w:ascii="Times New Roman" w:hAnsi="Times New Roman" w:cs="Times New Roman" w:eastAsia="Times New Roman" w:hint="default"/>
        </w:rPr>
        <w:t>58</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33"/>
      <w:bookmarkEnd w:id="33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2424"/>
        <w:gridCol w:w="2425"/>
        <w:gridCol w:w="2424"/>
        <w:gridCol w:w="2425"/>
      </w:tblGrid>
      <w:tr>
        <w:trPr>
          <w:trHeight w:val="396" w:hRule="exact"/>
        </w:trPr>
        <w:tc>
          <w:tcPr>
            <w:tcW w:w="242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种类</w:t>
            </w:r>
          </w:p>
        </w:tc>
        <w:tc>
          <w:tcPr>
            <w:tcW w:w="242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2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398"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6"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城市基础设施配套费</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287,783,500.00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262,376,978.04</w:t>
            </w:r>
            <w:r>
              <w:rPr>
                <w:rFonts w:ascii="宋体" w:hAnsi="宋体" w:cs="宋体" w:eastAsia="宋体" w:hint="default"/>
                <w:spacing w:val="-4"/>
                <w:sz w:val="18"/>
                <w:szCs w:val="18"/>
              </w:rPr>
              <w:t>、其他</w:t>
            </w:r>
            <w:r>
              <w:rPr>
                <w:rFonts w:ascii="宋体" w:hAnsi="宋体" w:cs="宋体" w:eastAsia="宋体" w:hint="default"/>
                <w:sz w:val="18"/>
                <w:szCs w:val="18"/>
              </w:rPr>
              <w:t> 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25,406,521.96</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25,406,521.96</w:t>
            </w:r>
          </w:p>
        </w:tc>
      </w:tr>
      <w:tr>
        <w:trPr>
          <w:trHeight w:val="713"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48"/>
              <w:jc w:val="left"/>
              <w:rPr>
                <w:rFonts w:ascii="宋体" w:hAnsi="宋体" w:cs="宋体" w:eastAsia="宋体" w:hint="default"/>
                <w:sz w:val="18"/>
                <w:szCs w:val="18"/>
              </w:rPr>
            </w:pPr>
            <w:r>
              <w:rPr>
                <w:rFonts w:ascii="宋体" w:hAnsi="宋体" w:cs="宋体" w:eastAsia="宋体" w:hint="default"/>
                <w:sz w:val="18"/>
                <w:szCs w:val="18"/>
              </w:rPr>
              <w:t>基于传感技术的大气质量监测 云平台研究及应用</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2,500,000.00</w:t>
            </w:r>
            <w:r>
              <w:rPr>
                <w:rFonts w:ascii="宋体" w:hAnsi="宋体" w:cs="宋体" w:eastAsia="宋体" w:hint="default"/>
                <w:spacing w:val="-4"/>
                <w:sz w:val="18"/>
                <w:szCs w:val="18"/>
              </w:rPr>
              <w:t>、其他收</w:t>
            </w:r>
            <w:r>
              <w:rPr>
                <w:rFonts w:ascii="宋体" w:hAnsi="宋体" w:cs="宋体" w:eastAsia="宋体" w:hint="default"/>
                <w:sz w:val="18"/>
                <w:szCs w:val="18"/>
              </w:rPr>
              <w:t> 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6,500,000.00</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403"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8,690,520.31</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8,690,520.31</w:t>
            </w:r>
          </w:p>
        </w:tc>
      </w:tr>
      <w:tr>
        <w:trPr>
          <w:trHeight w:val="401"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能源节约补助资金</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7,061,200.00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97" w:lineRule="auto" w:before="51"/>
              <w:ind w:left="1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智能制造新模式</w:t>
            </w:r>
            <w:r>
              <w:rPr>
                <w:rFonts w:ascii="Times New Roman" w:hAnsi="Times New Roman" w:cs="Times New Roman" w:eastAsia="Times New Roman" w:hint="default"/>
                <w:sz w:val="18"/>
                <w:szCs w:val="18"/>
              </w:rPr>
              <w:t>-</w:t>
            </w:r>
            <w:r>
              <w:rPr>
                <w:rFonts w:ascii="宋体" w:hAnsi="宋体" w:cs="宋体" w:eastAsia="宋体" w:hint="default"/>
                <w:sz w:val="18"/>
                <w:szCs w:val="18"/>
              </w:rPr>
              <w:t>传感器智能 制造</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5,400,000.00</w:t>
            </w:r>
          </w:p>
        </w:tc>
      </w:tr>
      <w:tr>
        <w:trPr>
          <w:trHeight w:val="713"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48"/>
              <w:jc w:val="left"/>
              <w:rPr>
                <w:rFonts w:ascii="宋体" w:hAnsi="宋体" w:cs="宋体" w:eastAsia="宋体" w:hint="default"/>
                <w:sz w:val="18"/>
                <w:szCs w:val="18"/>
              </w:rPr>
            </w:pPr>
            <w:r>
              <w:rPr>
                <w:rFonts w:ascii="宋体" w:hAnsi="宋体" w:cs="宋体" w:eastAsia="宋体" w:hint="default"/>
                <w:sz w:val="18"/>
                <w:szCs w:val="18"/>
              </w:rPr>
              <w:t>郑州市失业保险应急稳岗返还 补贴</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5,025,000.00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5,025,000.00</w:t>
            </w:r>
          </w:p>
        </w:tc>
      </w:tr>
      <w:tr>
        <w:trPr>
          <w:trHeight w:val="716"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97" w:lineRule="auto" w:before="52"/>
              <w:ind w:left="1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年建设中国制造强市奖补 专项资金</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4,700,000.00</w:t>
            </w:r>
          </w:p>
        </w:tc>
      </w:tr>
      <w:tr>
        <w:trPr>
          <w:trHeight w:val="713"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49"/>
              <w:ind w:left="14" w:right="134"/>
              <w:jc w:val="left"/>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年科技型企业研 发费用后补助专项资金</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3,870,000.00</w:t>
            </w:r>
          </w:p>
        </w:tc>
      </w:tr>
      <w:tr>
        <w:trPr>
          <w:trHeight w:val="715"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97" w:lineRule="auto" w:before="51"/>
              <w:ind w:left="14" w:right="134"/>
              <w:jc w:val="left"/>
              <w:rPr>
                <w:rFonts w:ascii="宋体" w:hAnsi="宋体" w:cs="宋体" w:eastAsia="宋体" w:hint="default"/>
                <w:sz w:val="18"/>
                <w:szCs w:val="18"/>
              </w:rPr>
            </w:pPr>
            <w:r>
              <w:rPr>
                <w:rFonts w:ascii="宋体" w:hAnsi="宋体" w:cs="宋体" w:eastAsia="宋体" w:hint="default"/>
                <w:sz w:val="18"/>
                <w:szCs w:val="18"/>
              </w:rPr>
              <w:t>郑州高新区管委会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制造 强市</w:t>
            </w:r>
            <w:r>
              <w:rPr>
                <w:rFonts w:ascii="Times New Roman" w:hAnsi="Times New Roman" w:cs="Times New Roman" w:eastAsia="Times New Roman" w:hint="default"/>
                <w:sz w:val="18"/>
                <w:szCs w:val="18"/>
              </w:rPr>
              <w:t>-</w:t>
            </w:r>
            <w:r>
              <w:rPr>
                <w:rFonts w:ascii="宋体" w:hAnsi="宋体" w:cs="宋体" w:eastAsia="宋体" w:hint="default"/>
                <w:sz w:val="18"/>
                <w:szCs w:val="18"/>
              </w:rPr>
              <w:t>融合发展奖励</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22" w:hRule="exact"/>
        </w:trPr>
        <w:tc>
          <w:tcPr>
            <w:tcW w:w="2424" w:type="dxa"/>
            <w:tcBorders>
              <w:top w:val="single" w:sz="4" w:space="0" w:color="000000"/>
              <w:left w:val="single" w:sz="12" w:space="0" w:color="000000"/>
              <w:bottom w:val="single" w:sz="12" w:space="0" w:color="000000"/>
              <w:right w:val="single" w:sz="4" w:space="0" w:color="000000"/>
            </w:tcBorders>
          </w:tcPr>
          <w:p>
            <w:pPr>
              <w:pStyle w:val="TableParagraph"/>
              <w:spacing w:line="300" w:lineRule="auto" w:before="49"/>
              <w:ind w:left="1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年郑州市规上企业研发费 用后补助</w:t>
            </w:r>
          </w:p>
        </w:tc>
        <w:tc>
          <w:tcPr>
            <w:tcW w:w="2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2,553,400.00</w:t>
            </w:r>
          </w:p>
        </w:tc>
        <w:tc>
          <w:tcPr>
            <w:tcW w:w="2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2,553,400.00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24"/>
        <w:gridCol w:w="2425"/>
        <w:gridCol w:w="2424"/>
        <w:gridCol w:w="2425"/>
      </w:tblGrid>
      <w:tr>
        <w:trPr>
          <w:trHeight w:val="725" w:hRule="exact"/>
        </w:trPr>
        <w:tc>
          <w:tcPr>
            <w:tcW w:w="2424" w:type="dxa"/>
            <w:tcBorders>
              <w:top w:val="single" w:sz="12" w:space="0" w:color="000000"/>
              <w:left w:val="single" w:sz="12" w:space="0" w:color="000000"/>
              <w:bottom w:val="single" w:sz="4" w:space="0" w:color="000000"/>
              <w:right w:val="single" w:sz="4" w:space="0" w:color="000000"/>
            </w:tcBorders>
          </w:tcPr>
          <w:p>
            <w:pPr>
              <w:pStyle w:val="TableParagraph"/>
              <w:spacing w:line="316" w:lineRule="auto" w:before="51"/>
              <w:ind w:left="14" w:right="48"/>
              <w:jc w:val="left"/>
              <w:rPr>
                <w:rFonts w:ascii="宋体" w:hAnsi="宋体" w:cs="宋体" w:eastAsia="宋体" w:hint="default"/>
                <w:sz w:val="18"/>
                <w:szCs w:val="18"/>
              </w:rPr>
            </w:pPr>
            <w:r>
              <w:rPr>
                <w:rFonts w:ascii="宋体" w:hAnsi="宋体" w:cs="宋体" w:eastAsia="宋体" w:hint="default"/>
                <w:sz w:val="18"/>
                <w:szCs w:val="18"/>
              </w:rPr>
              <w:t>河南省企业研究开发财政补助 资金</w:t>
            </w:r>
          </w:p>
        </w:tc>
        <w:tc>
          <w:tcPr>
            <w:tcW w:w="24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1,650,000.00</w:t>
            </w:r>
          </w:p>
        </w:tc>
        <w:tc>
          <w:tcPr>
            <w:tcW w:w="24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1,650,000.00</w:t>
            </w:r>
          </w:p>
        </w:tc>
      </w:tr>
      <w:tr>
        <w:trPr>
          <w:trHeight w:val="401"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高新技术企业认定奖励</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1,650,000.00</w:t>
            </w:r>
          </w:p>
        </w:tc>
      </w:tr>
      <w:tr>
        <w:trPr>
          <w:trHeight w:val="715"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48"/>
              <w:jc w:val="left"/>
              <w:rPr>
                <w:rFonts w:ascii="宋体" w:hAnsi="宋体" w:cs="宋体" w:eastAsia="宋体" w:hint="default"/>
                <w:sz w:val="18"/>
                <w:szCs w:val="18"/>
              </w:rPr>
            </w:pPr>
            <w:r>
              <w:rPr>
                <w:rFonts w:ascii="宋体" w:hAnsi="宋体" w:cs="宋体" w:eastAsia="宋体" w:hint="default"/>
                <w:sz w:val="18"/>
                <w:szCs w:val="18"/>
              </w:rPr>
              <w:t>中国人民解放军军事科学院防 化研究院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863 </w:t>
            </w:r>
            <w:r>
              <w:rPr>
                <w:rFonts w:ascii="宋体" w:hAnsi="宋体" w:cs="宋体" w:eastAsia="宋体" w:hint="default"/>
                <w:sz w:val="18"/>
                <w:szCs w:val="18"/>
              </w:rPr>
              <w:t>项目款</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906,200.00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906,200.00</w:t>
            </w:r>
          </w:p>
        </w:tc>
      </w:tr>
      <w:tr>
        <w:trPr>
          <w:trHeight w:val="1025"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309" w:lineRule="auto" w:before="49"/>
              <w:ind w:left="14" w:right="48"/>
              <w:jc w:val="left"/>
              <w:rPr>
                <w:rFonts w:ascii="宋体" w:hAnsi="宋体" w:cs="宋体" w:eastAsia="宋体" w:hint="default"/>
                <w:sz w:val="18"/>
                <w:szCs w:val="18"/>
              </w:rPr>
            </w:pPr>
            <w:r>
              <w:rPr>
                <w:rFonts w:ascii="宋体" w:hAnsi="宋体" w:cs="宋体" w:eastAsia="宋体" w:hint="default"/>
                <w:sz w:val="18"/>
                <w:szCs w:val="18"/>
              </w:rPr>
              <w:t>郑州市商务局机关付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度跨境电商综试区省级专项资 金</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715"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48"/>
              <w:jc w:val="left"/>
              <w:rPr>
                <w:rFonts w:ascii="宋体" w:hAnsi="宋体" w:cs="宋体" w:eastAsia="宋体" w:hint="default"/>
                <w:sz w:val="18"/>
                <w:szCs w:val="18"/>
              </w:rPr>
            </w:pPr>
            <w:r>
              <w:rPr>
                <w:rFonts w:ascii="宋体" w:hAnsi="宋体" w:cs="宋体" w:eastAsia="宋体" w:hint="default"/>
                <w:sz w:val="18"/>
                <w:szCs w:val="18"/>
              </w:rPr>
              <w:t>张江自主创新专项发展资金重 点项目</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1025"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309" w:lineRule="auto" w:before="49"/>
              <w:ind w:left="14" w:right="48"/>
              <w:jc w:val="left"/>
              <w:rPr>
                <w:rFonts w:ascii="宋体" w:hAnsi="宋体" w:cs="宋体" w:eastAsia="宋体" w:hint="default"/>
                <w:sz w:val="18"/>
                <w:szCs w:val="18"/>
              </w:rPr>
            </w:pPr>
            <w:r>
              <w:rPr>
                <w:rFonts w:ascii="宋体" w:hAnsi="宋体" w:cs="宋体" w:eastAsia="宋体" w:hint="default"/>
                <w:sz w:val="18"/>
                <w:szCs w:val="18"/>
              </w:rPr>
              <w:t>郑州高新技术产业开发区管委 会财政金融局补助资金</w:t>
            </w:r>
            <w:r>
              <w:rPr>
                <w:rFonts w:ascii="Times New Roman" w:hAnsi="Times New Roman" w:cs="Times New Roman" w:eastAsia="Times New Roman" w:hint="default"/>
                <w:sz w:val="18"/>
                <w:szCs w:val="18"/>
              </w:rPr>
              <w:t>-</w:t>
            </w:r>
            <w:r>
              <w:rPr>
                <w:rFonts w:ascii="宋体" w:hAnsi="宋体" w:cs="宋体" w:eastAsia="宋体" w:hint="default"/>
                <w:sz w:val="18"/>
                <w:szCs w:val="18"/>
              </w:rPr>
              <w:t>创新 载体投资、参股额奖励</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1027"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309" w:lineRule="auto" w:before="49"/>
              <w:ind w:left="14" w:right="48"/>
              <w:jc w:val="left"/>
              <w:rPr>
                <w:rFonts w:ascii="宋体" w:hAnsi="宋体" w:cs="宋体" w:eastAsia="宋体" w:hint="default"/>
                <w:sz w:val="18"/>
                <w:szCs w:val="18"/>
              </w:rPr>
            </w:pPr>
            <w:r>
              <w:rPr>
                <w:rFonts w:ascii="宋体" w:hAnsi="宋体" w:cs="宋体" w:eastAsia="宋体" w:hint="default"/>
                <w:sz w:val="18"/>
                <w:szCs w:val="18"/>
              </w:rPr>
              <w:t>郑州高新技术产业开发区管委 会财政金融局</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年省先进 制造业发展专项资金</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3"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49"/>
              <w:ind w:left="14" w:right="134"/>
              <w:jc w:val="left"/>
              <w:rPr>
                <w:rFonts w:ascii="宋体" w:hAnsi="宋体" w:cs="宋体" w:eastAsia="宋体" w:hint="default"/>
                <w:sz w:val="18"/>
                <w:szCs w:val="18"/>
              </w:rPr>
            </w:pPr>
            <w:r>
              <w:rPr>
                <w:rFonts w:ascii="宋体" w:hAnsi="宋体" w:cs="宋体" w:eastAsia="宋体" w:hint="default"/>
                <w:sz w:val="18"/>
                <w:szCs w:val="18"/>
              </w:rPr>
              <w:t>福州财政局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年鼓楼区科 技计划项目第一批</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722" w:hRule="exact"/>
        </w:trPr>
        <w:tc>
          <w:tcPr>
            <w:tcW w:w="2424"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49"/>
              <w:ind w:left="14" w:right="48"/>
              <w:jc w:val="left"/>
              <w:rPr>
                <w:rFonts w:ascii="宋体" w:hAnsi="宋体" w:cs="宋体" w:eastAsia="宋体" w:hint="default"/>
                <w:sz w:val="18"/>
                <w:szCs w:val="18"/>
              </w:rPr>
            </w:pPr>
            <w:r>
              <w:rPr>
                <w:rFonts w:ascii="宋体" w:hAnsi="宋体" w:cs="宋体" w:eastAsia="宋体" w:hint="default"/>
                <w:sz w:val="18"/>
                <w:szCs w:val="18"/>
              </w:rPr>
              <w:t>其他与日常活动有关的政府补 助</w:t>
            </w:r>
          </w:p>
        </w:tc>
        <w:tc>
          <w:tcPr>
            <w:tcW w:w="2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3,411,698.87</w:t>
            </w:r>
          </w:p>
        </w:tc>
        <w:tc>
          <w:tcPr>
            <w:tcW w:w="2424" w:type="dxa"/>
            <w:tcBorders>
              <w:top w:val="single" w:sz="4" w:space="0" w:color="000000"/>
              <w:left w:val="single" w:sz="4" w:space="0" w:color="000000"/>
              <w:bottom w:val="single" w:sz="12" w:space="0" w:color="000000"/>
              <w:right w:val="single" w:sz="4" w:space="0" w:color="000000"/>
            </w:tcBorders>
          </w:tcPr>
          <w:p>
            <w:pPr>
              <w:pStyle w:val="TableParagraph"/>
              <w:spacing w:line="340" w:lineRule="auto" w:before="49"/>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65,000.00</w:t>
            </w:r>
            <w:r>
              <w:rPr>
                <w:rFonts w:ascii="宋体" w:hAnsi="宋体" w:cs="宋体" w:eastAsia="宋体" w:hint="default"/>
                <w:sz w:val="18"/>
                <w:szCs w:val="18"/>
              </w:rPr>
              <w:t>、其他收益 </w:t>
            </w:r>
            <w:r>
              <w:rPr>
                <w:rFonts w:ascii="Times New Roman" w:hAnsi="Times New Roman" w:cs="Times New Roman" w:eastAsia="Times New Roman" w:hint="default"/>
                <w:sz w:val="18"/>
                <w:szCs w:val="18"/>
              </w:rPr>
              <w:t>3,346,698.87</w:t>
            </w:r>
          </w:p>
        </w:tc>
        <w:tc>
          <w:tcPr>
            <w:tcW w:w="24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3,346,698.87</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政府补助退回情况" w:id="334"/>
      <w:bookmarkEnd w:id="334"/>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八、合并范围的变更" w:id="335"/>
      <w:bookmarkEnd w:id="335"/>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非同一控制下企业合并" w:id="336"/>
      <w:bookmarkEnd w:id="336"/>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非同一控制下企业合并" w:id="337"/>
      <w:bookmarkEnd w:id="33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73"/>
        <w:gridCol w:w="1075"/>
        <w:gridCol w:w="1090"/>
        <w:gridCol w:w="1075"/>
        <w:gridCol w:w="1073"/>
        <w:gridCol w:w="1075"/>
        <w:gridCol w:w="1070"/>
        <w:gridCol w:w="1093"/>
        <w:gridCol w:w="1073"/>
      </w:tblGrid>
      <w:tr>
        <w:trPr>
          <w:trHeight w:val="1037" w:hRule="exact"/>
        </w:trPr>
        <w:tc>
          <w:tcPr>
            <w:tcW w:w="107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32" w:right="81"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7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41" w:right="83"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51" w:right="8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7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41" w:right="83"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7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41" w:right="81"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7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61" w:right="77"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7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2"/>
              <w:ind w:left="81" w:right="71"/>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22" w:hRule="exact"/>
        </w:trPr>
        <w:tc>
          <w:tcPr>
            <w:tcW w:w="107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山西腾星</w:t>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32,225,000.00</w:t>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100.00%</w:t>
            </w:r>
          </w:p>
        </w:tc>
        <w:tc>
          <w:tcPr>
            <w:tcW w:w="10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0"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工商变更登 记日</w:t>
            </w:r>
          </w:p>
        </w:tc>
        <w:tc>
          <w:tcPr>
            <w:tcW w:w="10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10,531,499.86</w:t>
            </w:r>
          </w:p>
        </w:tc>
        <w:tc>
          <w:tcPr>
            <w:tcW w:w="107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738,669.17</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合并成本及商誉" w:id="338"/>
      <w:bookmarkEnd w:id="33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4831"/>
        <w:gridCol w:w="4860"/>
      </w:tblGrid>
      <w:tr>
        <w:trPr>
          <w:trHeight w:val="412" w:hRule="exact"/>
        </w:trPr>
        <w:tc>
          <w:tcPr>
            <w:tcW w:w="48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86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20" w:right="0"/>
              <w:jc w:val="center"/>
              <w:rPr>
                <w:rFonts w:ascii="宋体" w:hAnsi="宋体" w:cs="宋体" w:eastAsia="宋体" w:hint="default"/>
                <w:sz w:val="18"/>
                <w:szCs w:val="18"/>
              </w:rPr>
            </w:pPr>
            <w:r>
              <w:rPr>
                <w:rFonts w:ascii="宋体" w:hAnsi="宋体" w:cs="宋体" w:eastAsia="宋体" w:hint="default"/>
                <w:sz w:val="18"/>
                <w:szCs w:val="18"/>
              </w:rPr>
              <w:t>山西腾星</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32,225,000.00</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32,225,000.00</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1,875,227.36</w:t>
            </w:r>
          </w:p>
        </w:tc>
      </w:tr>
      <w:tr>
        <w:trPr>
          <w:trHeight w:val="410" w:hRule="exact"/>
        </w:trPr>
        <w:tc>
          <w:tcPr>
            <w:tcW w:w="48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860" w:type="dxa"/>
            <w:tcBorders>
              <w:top w:val="single" w:sz="4" w:space="0" w:color="000000"/>
              <w:left w:val="single" w:sz="12" w:space="0" w:color="D2D2D2"/>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30,349,772.64</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被购买方于购买日可辨认资产、负债" w:id="339"/>
      <w:bookmarkEnd w:id="33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6"/>
        <w:gridCol w:w="3244"/>
        <w:gridCol w:w="3231"/>
      </w:tblGrid>
      <w:tr>
        <w:trPr>
          <w:trHeight w:val="410" w:hRule="exact"/>
        </w:trPr>
        <w:tc>
          <w:tcPr>
            <w:tcW w:w="3216"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6475"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17" w:right="0"/>
              <w:jc w:val="center"/>
              <w:rPr>
                <w:rFonts w:ascii="宋体" w:hAnsi="宋体" w:cs="宋体" w:eastAsia="宋体" w:hint="default"/>
                <w:sz w:val="18"/>
                <w:szCs w:val="18"/>
              </w:rPr>
            </w:pPr>
            <w:r>
              <w:rPr>
                <w:rFonts w:ascii="宋体" w:hAnsi="宋体" w:cs="宋体" w:eastAsia="宋体" w:hint="default"/>
                <w:sz w:val="18"/>
                <w:szCs w:val="18"/>
              </w:rPr>
              <w:t>山西腾星</w:t>
            </w:r>
          </w:p>
        </w:tc>
      </w:tr>
      <w:tr>
        <w:trPr>
          <w:trHeight w:val="403" w:hRule="exact"/>
        </w:trPr>
        <w:tc>
          <w:tcPr>
            <w:tcW w:w="3216"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3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9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23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97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32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2,772,585.78</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2,772,585.78</w:t>
            </w:r>
          </w:p>
        </w:tc>
      </w:tr>
      <w:tr>
        <w:trPr>
          <w:trHeight w:val="403" w:hRule="exact"/>
        </w:trPr>
        <w:tc>
          <w:tcPr>
            <w:tcW w:w="32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2,346,394.73</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2,346,394.73</w:t>
            </w:r>
          </w:p>
        </w:tc>
      </w:tr>
      <w:tr>
        <w:trPr>
          <w:trHeight w:val="401" w:hRule="exact"/>
        </w:trPr>
        <w:tc>
          <w:tcPr>
            <w:tcW w:w="32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426,191.05</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426,191.05</w:t>
            </w:r>
          </w:p>
        </w:tc>
      </w:tr>
      <w:tr>
        <w:trPr>
          <w:trHeight w:val="403" w:hRule="exact"/>
        </w:trPr>
        <w:tc>
          <w:tcPr>
            <w:tcW w:w="32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2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897,358.42</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897,358.42</w:t>
            </w:r>
          </w:p>
        </w:tc>
      </w:tr>
      <w:tr>
        <w:trPr>
          <w:trHeight w:val="401" w:hRule="exact"/>
        </w:trPr>
        <w:tc>
          <w:tcPr>
            <w:tcW w:w="32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897,358.42</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897,358.42</w:t>
            </w:r>
          </w:p>
        </w:tc>
      </w:tr>
      <w:tr>
        <w:trPr>
          <w:trHeight w:val="403" w:hRule="exact"/>
        </w:trPr>
        <w:tc>
          <w:tcPr>
            <w:tcW w:w="32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1,875,227.36</w:t>
            </w:r>
          </w:p>
        </w:tc>
        <w:tc>
          <w:tcPr>
            <w:tcW w:w="32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1,875,227.36</w:t>
            </w:r>
          </w:p>
        </w:tc>
      </w:tr>
      <w:tr>
        <w:trPr>
          <w:trHeight w:val="410" w:hRule="exact"/>
        </w:trPr>
        <w:tc>
          <w:tcPr>
            <w:tcW w:w="321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44"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1,875,227.36</w:t>
            </w:r>
          </w:p>
        </w:tc>
        <w:tc>
          <w:tcPr>
            <w:tcW w:w="32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1,875,227.36</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其他原因的合并范围变动" w:id="340"/>
      <w:bookmarkEnd w:id="340"/>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3"/>
        <w:rPr>
          <w:rFonts w:ascii="宋体" w:hAnsi="宋体" w:cs="宋体" w:eastAsia="宋体" w:hint="default"/>
          <w:sz w:val="13"/>
          <w:szCs w:val="13"/>
        </w:rPr>
      </w:pPr>
    </w:p>
    <w:p>
      <w:pPr>
        <w:pStyle w:val="BodyText"/>
        <w:spacing w:line="386" w:lineRule="auto" w:before="0"/>
        <w:ind w:right="1129"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日，根据子公司炜盛科技与</w:t>
      </w:r>
      <w:r>
        <w:rPr>
          <w:rFonts w:ascii="Times New Roman" w:hAnsi="Times New Roman" w:cs="Times New Roman" w:eastAsia="Times New Roman" w:hint="default"/>
        </w:rPr>
        <w:t>Dr.KaWaiChow</w:t>
      </w:r>
      <w:r>
        <w:rPr/>
        <w:t>签订的设立合资公司的备忘录，在英国设</w:t>
      </w:r>
      <w:r>
        <w:rPr>
          <w:w w:val="100"/>
        </w:rPr>
        <w:t> </w:t>
      </w:r>
      <w:r>
        <w:rPr>
          <w:spacing w:val="-1"/>
        </w:rPr>
        <w:t>立环球传感，炜盛科技持股比例</w:t>
      </w:r>
      <w:r>
        <w:rPr>
          <w:rFonts w:ascii="Times New Roman" w:hAnsi="Times New Roman" w:cs="Times New Roman" w:eastAsia="Times New Roman" w:hint="default"/>
          <w:spacing w:val="-1"/>
        </w:rPr>
        <w:t>75%</w:t>
      </w:r>
      <w:r>
        <w:rPr>
          <w:spacing w:val="-1"/>
        </w:rPr>
        <w:t>，</w:t>
      </w:r>
      <w:r>
        <w:rPr>
          <w:rFonts w:ascii="Times New Roman" w:hAnsi="Times New Roman" w:cs="Times New Roman" w:eastAsia="Times New Roman" w:hint="default"/>
          <w:spacing w:val="-1"/>
        </w:rPr>
        <w:t>2019</w:t>
      </w:r>
      <w:r>
        <w:rPr>
          <w:spacing w:val="-1"/>
        </w:rPr>
        <w:t>年炜盛科技完成相关出资程序，本报告期将环球传感纳入合并</w:t>
      </w:r>
      <w:r>
        <w:rPr>
          <w:spacing w:val="-51"/>
        </w:rPr>
        <w:t> </w:t>
      </w:r>
      <w:r>
        <w:rPr>
          <w:spacing w:val="-51"/>
        </w:rPr>
      </w:r>
      <w:r>
        <w:rPr/>
        <w:t>范围。</w:t>
      </w:r>
    </w:p>
    <w:p>
      <w:pPr>
        <w:pStyle w:val="BodyText"/>
        <w:spacing w:line="386" w:lineRule="auto" w:before="65"/>
        <w:ind w:right="1128" w:firstLine="42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28</w:t>
      </w:r>
      <w:r>
        <w:rPr>
          <w:spacing w:val="-2"/>
        </w:rPr>
        <w:t>日，本公司设立全资子公司汉威香港，</w:t>
      </w:r>
      <w:r>
        <w:rPr>
          <w:rFonts w:ascii="Times New Roman" w:hAnsi="Times New Roman" w:cs="Times New Roman" w:eastAsia="Times New Roman" w:hint="default"/>
          <w:spacing w:val="-2"/>
        </w:rPr>
        <w:t>2019</w:t>
      </w:r>
      <w:r>
        <w:rPr>
          <w:spacing w:val="-2"/>
        </w:rPr>
        <w:t>年完成相关出资程序，本报告期将汉威香</w:t>
      </w:r>
      <w:r>
        <w:rPr>
          <w:w w:val="100"/>
        </w:rPr>
        <w:t> </w:t>
      </w:r>
      <w:r>
        <w:rPr/>
        <w:t>港纳入合并范围。</w:t>
      </w:r>
    </w:p>
    <w:p>
      <w:pPr>
        <w:pStyle w:val="BodyText"/>
        <w:spacing w:line="386" w:lineRule="auto" w:before="65"/>
        <w:ind w:right="1129" w:firstLine="42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6</w:t>
      </w:r>
      <w:r>
        <w:rPr>
          <w:spacing w:val="-1"/>
        </w:rPr>
        <w:t>日，汉威香港设立子公司艾森斯波兰，持股比例</w:t>
      </w:r>
      <w:r>
        <w:rPr>
          <w:rFonts w:ascii="Times New Roman" w:hAnsi="Times New Roman" w:cs="Times New Roman" w:eastAsia="Times New Roman" w:hint="default"/>
          <w:spacing w:val="-1"/>
        </w:rPr>
        <w:t>90%</w:t>
      </w:r>
      <w:r>
        <w:rPr>
          <w:spacing w:val="-1"/>
        </w:rPr>
        <w:t>，</w:t>
      </w:r>
      <w:r>
        <w:rPr>
          <w:rFonts w:ascii="Times New Roman" w:hAnsi="Times New Roman" w:cs="Times New Roman" w:eastAsia="Times New Roman" w:hint="default"/>
          <w:spacing w:val="-1"/>
        </w:rPr>
        <w:t>2019</w:t>
      </w:r>
      <w:r>
        <w:rPr>
          <w:spacing w:val="-1"/>
        </w:rPr>
        <w:t>年完成相关出资程序，本</w:t>
      </w:r>
      <w:r>
        <w:rPr>
          <w:w w:val="100"/>
        </w:rPr>
        <w:t> </w:t>
      </w:r>
      <w:r>
        <w:rPr/>
        <w:t>报告期将艾森斯波兰纳入合并范围。</w:t>
      </w:r>
    </w:p>
    <w:p>
      <w:pPr>
        <w:pStyle w:val="BodyText"/>
        <w:spacing w:line="386" w:lineRule="auto" w:before="65"/>
        <w:ind w:right="1126" w:firstLine="42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日，子公司北京威果智能科技有限公司完成清算并注销，本报告期末不再纳入合并范</w:t>
      </w:r>
      <w:r>
        <w:rPr>
          <w:w w:val="100"/>
        </w:rPr>
        <w:t> </w:t>
      </w:r>
      <w:r>
        <w:rPr/>
        <w:t>围。</w:t>
      </w:r>
    </w:p>
    <w:p>
      <w:pPr>
        <w:spacing w:after="0" w:line="386"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在其他主体中的权益" w:id="341"/>
      <w:bookmarkEnd w:id="341"/>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42"/>
      <w:bookmarkEnd w:id="34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pict>
          <v:group style="position:absolute;margin-left:333.910004pt;margin-top:88.583672pt;width:66.4pt;height:19.6pt;mso-position-horizontal-relative:page;mso-position-vertical-relative:paragraph;z-index:-1121128" coordorigin="6678,1772" coordsize="1328,392">
            <v:shape style="position:absolute;left:6678;top:1772;width:1328;height:392" coordorigin="6678,1772" coordsize="1328,392" path="m6678,2163l8005,2163,8005,1772,6678,1772,6678,2163xe" filled="true" fillcolor="#ffffff" stroked="false">
              <v:path arrowok="t"/>
              <v:fill type="solid"/>
            </v:shape>
            <w10:wrap type="none"/>
          </v:group>
        </w:pict>
      </w:r>
      <w:bookmarkStart w:name="（1）企业集团的构成" w:id="343"/>
      <w:bookmarkEnd w:id="34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90"/>
        <w:gridCol w:w="1385"/>
        <w:gridCol w:w="1385"/>
        <w:gridCol w:w="1385"/>
        <w:gridCol w:w="386"/>
        <w:gridCol w:w="996"/>
        <w:gridCol w:w="1385"/>
        <w:gridCol w:w="1385"/>
      </w:tblGrid>
      <w:tr>
        <w:trPr>
          <w:trHeight w:val="412" w:hRule="exact"/>
        </w:trPr>
        <w:tc>
          <w:tcPr>
            <w:tcW w:w="1390"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5"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85"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85"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68"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85"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90" w:type="dxa"/>
            <w:vMerge/>
            <w:tcBorders>
              <w:left w:val="single" w:sz="12"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85" w:type="dxa"/>
            <w:vMerge/>
            <w:tcBorders>
              <w:left w:val="single" w:sz="4" w:space="0" w:color="000000"/>
              <w:bottom w:val="single" w:sz="4" w:space="0" w:color="000000"/>
              <w:right w:val="single" w:sz="12" w:space="0" w:color="000000"/>
            </w:tcBorders>
            <w:shd w:val="clear" w:color="auto" w:fill="D2D2D2"/>
          </w:tcPr>
          <w:p>
            <w:pPr/>
          </w:p>
        </w:tc>
      </w:tr>
      <w:tr>
        <w:trPr>
          <w:trHeight w:val="1025"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炜盛科技</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82"/>
              <w:jc w:val="both"/>
              <w:rPr>
                <w:rFonts w:ascii="宋体" w:hAnsi="宋体" w:cs="宋体" w:eastAsia="宋体" w:hint="default"/>
                <w:sz w:val="18"/>
                <w:szCs w:val="18"/>
              </w:rPr>
            </w:pPr>
            <w:r>
              <w:rPr>
                <w:rFonts w:ascii="宋体" w:hAnsi="宋体" w:cs="宋体" w:eastAsia="宋体" w:hint="default"/>
                <w:sz w:val="18"/>
                <w:szCs w:val="18"/>
              </w:rPr>
              <w:t>气敏元件、传感 </w:t>
            </w:r>
            <w:r>
              <w:rPr>
                <w:rFonts w:ascii="宋体" w:hAnsi="宋体" w:cs="宋体" w:eastAsia="宋体" w:hint="default"/>
                <w:spacing w:val="-4"/>
                <w:sz w:val="18"/>
                <w:szCs w:val="18"/>
              </w:rPr>
              <w:t>器的开发、生产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销售</w:t>
            </w:r>
          </w:p>
        </w:tc>
        <w:tc>
          <w:tcPr>
            <w:tcW w:w="386" w:type="dxa"/>
            <w:tcBorders>
              <w:top w:val="single" w:sz="4" w:space="0" w:color="000000"/>
              <w:left w:val="single" w:sz="10"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89"/>
              <w:jc w:val="both"/>
              <w:rPr>
                <w:rFonts w:ascii="宋体" w:hAnsi="宋体" w:cs="宋体" w:eastAsia="宋体" w:hint="default"/>
                <w:sz w:val="18"/>
                <w:szCs w:val="18"/>
              </w:rPr>
            </w:pPr>
            <w:r>
              <w:rPr>
                <w:rFonts w:ascii="宋体" w:hAnsi="宋体" w:cs="宋体" w:eastAsia="宋体" w:hint="default"/>
                <w:sz w:val="18"/>
                <w:szCs w:val="18"/>
              </w:rPr>
              <w:t>监控、检测仪表 的研发、生产、 销售</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95.06%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仪器仪表销售</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6" w:right="0"/>
              <w:jc w:val="left"/>
              <w:rPr>
                <w:rFonts w:ascii="Times New Roman" w:hAnsi="Times New Roman" w:cs="Times New Roman" w:eastAsia="Times New Roman" w:hint="default"/>
                <w:sz w:val="18"/>
                <w:szCs w:val="18"/>
              </w:rPr>
            </w:pPr>
            <w:r>
              <w:rPr>
                <w:rFonts w:ascii="Times New Roman"/>
                <w:sz w:val="18"/>
              </w:rPr>
              <w:t>51.00%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技术推广、自主 经营</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公共安全设备及 器材的研发、销 售</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58.00%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9"/>
              <w:jc w:val="both"/>
              <w:rPr>
                <w:rFonts w:ascii="宋体" w:hAnsi="宋体" w:cs="宋体" w:eastAsia="宋体" w:hint="default"/>
                <w:sz w:val="18"/>
                <w:szCs w:val="18"/>
              </w:rPr>
            </w:pPr>
            <w:r>
              <w:rPr>
                <w:rFonts w:ascii="宋体" w:hAnsi="宋体" w:cs="宋体" w:eastAsia="宋体" w:hint="default"/>
                <w:sz w:val="18"/>
                <w:szCs w:val="18"/>
              </w:rPr>
              <w:t>电子地图、地理 信息工程项目开 发</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5"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仪器仪表研发、 生产、销售、技 术服务</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90.59%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7"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公共、环保领域 </w:t>
            </w:r>
            <w:r>
              <w:rPr>
                <w:rFonts w:ascii="Times New Roman" w:hAnsi="Times New Roman" w:cs="Times New Roman" w:eastAsia="Times New Roman" w:hint="default"/>
                <w:sz w:val="18"/>
                <w:szCs w:val="18"/>
              </w:rPr>
              <w:t>SCADA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系统开 发、设计</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51.00%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79"/>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3"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废水、废气环保 工程</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80.00%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8"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9"/>
              <w:jc w:val="both"/>
              <w:rPr>
                <w:rFonts w:ascii="宋体" w:hAnsi="宋体" w:cs="宋体" w:eastAsia="宋体" w:hint="default"/>
                <w:sz w:val="18"/>
                <w:szCs w:val="18"/>
              </w:rPr>
            </w:pPr>
            <w:r>
              <w:rPr>
                <w:rFonts w:ascii="宋体" w:hAnsi="宋体" w:cs="宋体" w:eastAsia="宋体" w:hint="default"/>
                <w:sz w:val="18"/>
                <w:szCs w:val="18"/>
              </w:rPr>
              <w:t>城市基础设施建 设、工程设计及 施工</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65.00%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河南威果</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技术推广服务及 电子产品销售</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60.85%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34" w:hRule="exact"/>
        </w:trPr>
        <w:tc>
          <w:tcPr>
            <w:tcW w:w="139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智能水表及智能 软件系统的研 发、销售</w:t>
            </w:r>
          </w:p>
        </w:tc>
        <w:tc>
          <w:tcPr>
            <w:tcW w:w="1382"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51.00%</w:t>
            </w: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r>
        <w:rPr/>
        <w:pict>
          <v:group style="position:absolute;margin-left:333.910004pt;margin-top:472.869995pt;width:66.4pt;height:19.6pt;mso-position-horizontal-relative:page;mso-position-vertical-relative:page;z-index:-1121104" coordorigin="6678,9457" coordsize="1328,392">
            <v:shape style="position:absolute;left:6678;top:9457;width:1328;height:392" coordorigin="6678,9457" coordsize="1328,392" path="m6678,9849l8005,9849,8005,9457,6678,9457,6678,9849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390"/>
        <w:gridCol w:w="1385"/>
        <w:gridCol w:w="1385"/>
        <w:gridCol w:w="1385"/>
        <w:gridCol w:w="386"/>
        <w:gridCol w:w="996"/>
        <w:gridCol w:w="1385"/>
        <w:gridCol w:w="1385"/>
      </w:tblGrid>
      <w:tr>
        <w:trPr>
          <w:trHeight w:val="725" w:hRule="exact"/>
        </w:trPr>
        <w:tc>
          <w:tcPr>
            <w:tcW w:w="139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316"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软件、系统开发 及管线测漏</w:t>
            </w:r>
          </w:p>
        </w:tc>
        <w:tc>
          <w:tcPr>
            <w:tcW w:w="138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51.00%</w:t>
            </w: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12" w:space="0" w:color="000000"/>
            </w:tcBorders>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3"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软件、系统开发 及运营维护</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99.09%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5"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百隆工程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市政公用工程施 工</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3"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电子产品的研发 及销售</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59.31%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5"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环境监测、公共 卫生检测与评价</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51.00%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5"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4"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城市供热工程的 承包、建设及运 营</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65.00%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上海祥云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数据服务，技术 开发、咨询、服 务</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威研融创</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数据科技等领域 内的技术开发、 咨询</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畅威物联</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9"/>
              <w:jc w:val="both"/>
              <w:rPr>
                <w:rFonts w:ascii="宋体" w:hAnsi="宋体" w:cs="宋体" w:eastAsia="宋体" w:hint="default"/>
                <w:sz w:val="18"/>
                <w:szCs w:val="18"/>
              </w:rPr>
            </w:pPr>
            <w:r>
              <w:rPr>
                <w:rFonts w:ascii="宋体" w:hAnsi="宋体" w:cs="宋体" w:eastAsia="宋体" w:hint="default"/>
                <w:sz w:val="18"/>
                <w:szCs w:val="18"/>
              </w:rPr>
              <w:t>检测仪器仪表的 研发、生产、销 售</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吉地艾斯</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82"/>
              <w:jc w:val="both"/>
              <w:rPr>
                <w:rFonts w:ascii="宋体" w:hAnsi="宋体" w:cs="宋体" w:eastAsia="宋体" w:hint="default"/>
                <w:sz w:val="18"/>
                <w:szCs w:val="18"/>
              </w:rPr>
            </w:pPr>
            <w:r>
              <w:rPr>
                <w:rFonts w:ascii="宋体" w:hAnsi="宋体" w:cs="宋体" w:eastAsia="宋体" w:hint="default"/>
                <w:sz w:val="18"/>
                <w:szCs w:val="18"/>
              </w:rPr>
              <w:t>传感器、检测仪 </w:t>
            </w:r>
            <w:r>
              <w:rPr>
                <w:rFonts w:ascii="宋体" w:hAnsi="宋体" w:cs="宋体" w:eastAsia="宋体" w:hint="default"/>
                <w:spacing w:val="-4"/>
                <w:sz w:val="18"/>
                <w:szCs w:val="18"/>
              </w:rPr>
              <w:t>器的研发、生产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销售</w:t>
            </w:r>
          </w:p>
        </w:tc>
        <w:tc>
          <w:tcPr>
            <w:tcW w:w="386" w:type="dxa"/>
            <w:tcBorders>
              <w:top w:val="single" w:sz="4" w:space="0" w:color="000000"/>
              <w:left w:val="single" w:sz="10"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汉威智慧消防</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消防专用设备研 发、生产、销售</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70.59%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9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宋体" w:hAnsi="宋体" w:cs="宋体" w:eastAsia="宋体" w:hint="default"/>
                <w:sz w:val="18"/>
                <w:szCs w:val="18"/>
              </w:rPr>
            </w:pPr>
            <w:r>
              <w:rPr>
                <w:rFonts w:ascii="宋体" w:hAnsi="宋体" w:cs="宋体" w:eastAsia="宋体" w:hint="default"/>
                <w:sz w:val="18"/>
                <w:szCs w:val="18"/>
              </w:rPr>
              <w:t>山西腾星</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85"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82"/>
              <w:jc w:val="both"/>
              <w:rPr>
                <w:rFonts w:ascii="宋体" w:hAnsi="宋体" w:cs="宋体" w:eastAsia="宋体" w:hint="default"/>
                <w:sz w:val="18"/>
                <w:szCs w:val="18"/>
              </w:rPr>
            </w:pPr>
            <w:r>
              <w:rPr>
                <w:rFonts w:ascii="宋体" w:hAnsi="宋体" w:cs="宋体" w:eastAsia="宋体" w:hint="default"/>
                <w:sz w:val="18"/>
                <w:szCs w:val="18"/>
              </w:rPr>
              <w:t>气敏元件、传感 </w:t>
            </w:r>
            <w:r>
              <w:rPr>
                <w:rFonts w:ascii="宋体" w:hAnsi="宋体" w:cs="宋体" w:eastAsia="宋体" w:hint="default"/>
                <w:spacing w:val="-4"/>
                <w:sz w:val="18"/>
                <w:szCs w:val="18"/>
              </w:rPr>
              <w:t>器的开发、生产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销售</w:t>
            </w:r>
          </w:p>
        </w:tc>
        <w:tc>
          <w:tcPr>
            <w:tcW w:w="386" w:type="dxa"/>
            <w:tcBorders>
              <w:top w:val="single" w:sz="4" w:space="0" w:color="000000"/>
              <w:left w:val="single" w:sz="10"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23" w:hRule="exact"/>
        </w:trPr>
        <w:tc>
          <w:tcPr>
            <w:tcW w:w="139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汉威香港</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49"/>
              <w:ind w:left="23" w:right="89"/>
              <w:jc w:val="left"/>
              <w:rPr>
                <w:rFonts w:ascii="宋体" w:hAnsi="宋体" w:cs="宋体" w:eastAsia="宋体" w:hint="default"/>
                <w:sz w:val="18"/>
                <w:szCs w:val="18"/>
              </w:rPr>
            </w:pPr>
            <w:r>
              <w:rPr>
                <w:rFonts w:ascii="宋体" w:hAnsi="宋体" w:cs="宋体" w:eastAsia="宋体" w:hint="default"/>
                <w:sz w:val="18"/>
                <w:szCs w:val="18"/>
              </w:rPr>
              <w:t>对外投资并购、 进出口贸易</w:t>
            </w:r>
          </w:p>
        </w:tc>
        <w:tc>
          <w:tcPr>
            <w:tcW w:w="1382"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100.00%</w:t>
            </w:r>
          </w:p>
        </w:tc>
        <w:tc>
          <w:tcPr>
            <w:tcW w:w="1385"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5"/>
        <w:rPr>
          <w:rFonts w:ascii="宋体" w:hAnsi="宋体" w:cs="宋体" w:eastAsia="宋体" w:hint="default"/>
          <w:b/>
          <w:bCs/>
          <w:sz w:val="19"/>
          <w:szCs w:val="19"/>
        </w:rPr>
      </w:pPr>
    </w:p>
    <w:p>
      <w:pPr>
        <w:pStyle w:val="Heading4"/>
        <w:spacing w:line="240" w:lineRule="auto" w:before="36"/>
        <w:ind w:right="0"/>
        <w:jc w:val="left"/>
        <w:rPr>
          <w:b w:val="0"/>
          <w:bCs w:val="0"/>
        </w:rPr>
      </w:pPr>
      <w:r>
        <w:rPr/>
        <w:pict>
          <v:group style="position:absolute;margin-left:333.910004pt;margin-top:-84.966324pt;width:66.4pt;height:19.6pt;mso-position-horizontal-relative:page;mso-position-vertical-relative:paragraph;z-index:-1121080" coordorigin="6678,-1699" coordsize="1328,392">
            <v:shape style="position:absolute;left:6678;top:-1699;width:1328;height:392" coordorigin="6678,-1699" coordsize="1328,392" path="m6678,-1308l8005,-1308,8005,-1699,6678,-1699,6678,-1308xe" filled="true" fillcolor="#ffffff" stroked="false">
              <v:path arrowok="t"/>
              <v:fill type="solid"/>
            </v:shape>
            <w10:wrap type="none"/>
          </v:group>
        </w:pict>
      </w:r>
      <w:bookmarkStart w:name="（2）重要的非全资子公司" w:id="344"/>
      <w:bookmarkEnd w:id="34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43"/>
        <w:gridCol w:w="1937"/>
        <w:gridCol w:w="1940"/>
        <w:gridCol w:w="1937"/>
        <w:gridCol w:w="1939"/>
      </w:tblGrid>
      <w:tr>
        <w:trPr>
          <w:trHeight w:val="775" w:hRule="exact"/>
        </w:trPr>
        <w:tc>
          <w:tcPr>
            <w:tcW w:w="194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87" w:right="6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604" w:right="62"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3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10" w:hRule="exact"/>
        </w:trPr>
        <w:tc>
          <w:tcPr>
            <w:tcW w:w="194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20.00%</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904" w:right="0"/>
              <w:jc w:val="left"/>
              <w:rPr>
                <w:rFonts w:ascii="Times New Roman" w:hAnsi="Times New Roman" w:cs="Times New Roman" w:eastAsia="Times New Roman" w:hint="default"/>
                <w:sz w:val="18"/>
                <w:szCs w:val="18"/>
              </w:rPr>
            </w:pPr>
            <w:r>
              <w:rPr>
                <w:rFonts w:ascii="Times New Roman"/>
                <w:sz w:val="18"/>
              </w:rPr>
              <w:t>-5,993,632.16</w:t>
            </w:r>
          </w:p>
        </w:tc>
        <w:tc>
          <w:tcPr>
            <w:tcW w:w="1937" w:type="dxa"/>
            <w:tcBorders>
              <w:top w:val="single" w:sz="4" w:space="0" w:color="000000"/>
              <w:left w:val="single" w:sz="4" w:space="0" w:color="000000"/>
              <w:bottom w:val="single" w:sz="12" w:space="0" w:color="000000"/>
              <w:right w:val="single" w:sz="4" w:space="0" w:color="000000"/>
            </w:tcBorders>
          </w:tcPr>
          <w:p>
            <w:pP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77,880,880.82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44"/>
        <w:gridCol w:w="1937"/>
        <w:gridCol w:w="1940"/>
        <w:gridCol w:w="1937"/>
        <w:gridCol w:w="1939"/>
      </w:tblGrid>
      <w:tr>
        <w:trPr>
          <w:trHeight w:val="413" w:hRule="exact"/>
        </w:trPr>
        <w:tc>
          <w:tcPr>
            <w:tcW w:w="194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9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35.00%</w:t>
            </w:r>
          </w:p>
        </w:tc>
        <w:tc>
          <w:tcPr>
            <w:tcW w:w="19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12,093,902.69</w:t>
            </w:r>
          </w:p>
        </w:tc>
        <w:tc>
          <w:tcPr>
            <w:tcW w:w="19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50,750,000.00</w:t>
            </w:r>
          </w:p>
        </w:tc>
        <w:tc>
          <w:tcPr>
            <w:tcW w:w="193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179,632,025.97</w:t>
            </w:r>
          </w:p>
        </w:tc>
      </w:tr>
      <w:tr>
        <w:trPr>
          <w:trHeight w:val="410" w:hRule="exact"/>
        </w:trPr>
        <w:tc>
          <w:tcPr>
            <w:tcW w:w="194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35.00%</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31,193,504.67</w:t>
            </w: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26,250,000.00</w:t>
            </w: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201,048,767.86</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重要非全资子公司的主要财务信息" w:id="345"/>
      <w:bookmarkEnd w:id="34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398" w:hRule="exact"/>
        </w:trPr>
        <w:tc>
          <w:tcPr>
            <w:tcW w:w="737"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173"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7"/>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12"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49"/>
              <w:ind w:left="273" w:right="83"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6" w:hRule="exact"/>
        </w:trPr>
        <w:tc>
          <w:tcPr>
            <w:tcW w:w="737"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51"/>
              <w:ind w:left="14" w:right="161"/>
              <w:jc w:val="left"/>
              <w:rPr>
                <w:rFonts w:ascii="宋体" w:hAnsi="宋体" w:cs="宋体" w:eastAsia="宋体" w:hint="default"/>
                <w:sz w:val="18"/>
                <w:szCs w:val="18"/>
              </w:rPr>
            </w:pPr>
            <w:r>
              <w:rPr>
                <w:rFonts w:ascii="宋体" w:hAnsi="宋体" w:cs="宋体" w:eastAsia="宋体" w:hint="default"/>
                <w:sz w:val="18"/>
                <w:szCs w:val="18"/>
              </w:rPr>
              <w:t>嘉园环 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341,738,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421.88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472,251,</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136.99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813,989,</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558.87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338,873,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990.75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120,815,</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721.62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459,689,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712.37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336,199,</w:t>
            </w:r>
          </w:p>
          <w:p>
            <w:pPr>
              <w:pStyle w:val="TableParagraph"/>
              <w:spacing w:line="240" w:lineRule="auto" w:before="102"/>
              <w:ind w:left="188" w:right="0"/>
              <w:jc w:val="center"/>
              <w:rPr>
                <w:rFonts w:ascii="Times New Roman" w:hAnsi="Times New Roman" w:cs="Times New Roman" w:eastAsia="Times New Roman" w:hint="default"/>
                <w:sz w:val="18"/>
                <w:szCs w:val="18"/>
              </w:rPr>
            </w:pPr>
            <w:r>
              <w:rPr>
                <w:rFonts w:ascii="Times New Roman"/>
                <w:sz w:val="18"/>
              </w:rPr>
              <w:t>035.53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481,250,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533.54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817,449,</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569.07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297,707,</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028.64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143,685,</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495.16</w:t>
            </w:r>
          </w:p>
        </w:tc>
        <w:tc>
          <w:tcPr>
            <w:tcW w:w="7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441,392,</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523.80</w:t>
            </w:r>
          </w:p>
        </w:tc>
      </w:tr>
      <w:tr>
        <w:trPr>
          <w:trHeight w:val="713" w:hRule="exact"/>
        </w:trPr>
        <w:tc>
          <w:tcPr>
            <w:tcW w:w="737"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61"/>
              <w:jc w:val="left"/>
              <w:rPr>
                <w:rFonts w:ascii="宋体" w:hAnsi="宋体" w:cs="宋体" w:eastAsia="宋体" w:hint="default"/>
                <w:sz w:val="18"/>
                <w:szCs w:val="18"/>
              </w:rPr>
            </w:pPr>
            <w:r>
              <w:rPr>
                <w:rFonts w:ascii="宋体" w:hAnsi="宋体" w:cs="宋体" w:eastAsia="宋体" w:hint="default"/>
                <w:sz w:val="18"/>
                <w:szCs w:val="18"/>
              </w:rPr>
              <w:t>汉威公 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689,638,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705.08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430,172,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496.71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1,119,81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1,201.79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187,843,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589.56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418,733,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252.31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606,576,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841.87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926,732,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583.65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400,305,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302.24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1,327,03</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7,885.89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283,481,</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667.21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419,875,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866.44</w:t>
            </w:r>
          </w:p>
        </w:tc>
        <w:tc>
          <w:tcPr>
            <w:tcW w:w="73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703,357,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533.65</w:t>
            </w:r>
          </w:p>
        </w:tc>
      </w:tr>
      <w:tr>
        <w:trPr>
          <w:trHeight w:val="722" w:hRule="exact"/>
        </w:trPr>
        <w:tc>
          <w:tcPr>
            <w:tcW w:w="737" w:type="dxa"/>
            <w:tcBorders>
              <w:top w:val="single" w:sz="4" w:space="0" w:color="000000"/>
              <w:left w:val="single" w:sz="12" w:space="0" w:color="000000"/>
              <w:bottom w:val="single" w:sz="12" w:space="0" w:color="000000"/>
              <w:right w:val="single" w:sz="4" w:space="0" w:color="000000"/>
            </w:tcBorders>
          </w:tcPr>
          <w:p>
            <w:pPr>
              <w:pStyle w:val="TableParagraph"/>
              <w:spacing w:line="314" w:lineRule="auto" w:before="51"/>
              <w:ind w:left="14" w:right="161"/>
              <w:jc w:val="left"/>
              <w:rPr>
                <w:rFonts w:ascii="宋体" w:hAnsi="宋体" w:cs="宋体" w:eastAsia="宋体" w:hint="default"/>
                <w:sz w:val="18"/>
                <w:szCs w:val="18"/>
              </w:rPr>
            </w:pPr>
            <w:r>
              <w:rPr>
                <w:rFonts w:ascii="宋体" w:hAnsi="宋体" w:cs="宋体" w:eastAsia="宋体" w:hint="default"/>
                <w:sz w:val="18"/>
                <w:szCs w:val="18"/>
              </w:rPr>
              <w:t>汉威智 源</w:t>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1,091,11</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6,112.93</w:t>
            </w:r>
          </w:p>
        </w:tc>
        <w:tc>
          <w:tcPr>
            <w:tcW w:w="7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637,190,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481.84</w:t>
            </w:r>
          </w:p>
        </w:tc>
        <w:tc>
          <w:tcPr>
            <w:tcW w:w="7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1,728,30</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6,594.77</w:t>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384,007,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475.92</w:t>
            </w:r>
          </w:p>
        </w:tc>
        <w:tc>
          <w:tcPr>
            <w:tcW w:w="7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769,874,</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067.81</w:t>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1,153,88</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1,543.73</w:t>
            </w:r>
          </w:p>
        </w:tc>
        <w:tc>
          <w:tcPr>
            <w:tcW w:w="7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1,220,47</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2,413.59</w:t>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487,940,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730.01</w:t>
            </w:r>
          </w:p>
        </w:tc>
        <w:tc>
          <w:tcPr>
            <w:tcW w:w="7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1,708,41</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3,143.60</w:t>
            </w:r>
          </w:p>
        </w:tc>
        <w:tc>
          <w:tcPr>
            <w:tcW w:w="7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572,960,</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678.77</w:t>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575,151,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712.84</w:t>
            </w:r>
          </w:p>
        </w:tc>
        <w:tc>
          <w:tcPr>
            <w:tcW w:w="73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1,148,11</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2,391.61</w:t>
            </w:r>
          </w:p>
        </w:tc>
      </w:tr>
    </w:tbl>
    <w:p>
      <w:pPr>
        <w:spacing w:before="5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13" w:hRule="exact"/>
        </w:trPr>
        <w:tc>
          <w:tcPr>
            <w:tcW w:w="1061"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12"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314" w:lineRule="auto" w:before="49"/>
              <w:ind w:left="259" w:right="6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6" w:hRule="exact"/>
        </w:trPr>
        <w:tc>
          <w:tcPr>
            <w:tcW w:w="1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259,250,839.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-21,757,198.7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-21,757,198.7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-76,053,384.6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326,232,741.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25,318,203.2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25,318,203.2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-15,782,127.3</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0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193,391,895.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34,554,007.6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34,554,007.6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-79,853,668.2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201,754,647.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35,693,361.3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35,693,361.3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43,594,664.3</w:t>
            </w:r>
          </w:p>
          <w:p>
            <w:pPr>
              <w:pStyle w:val="TableParagraph"/>
              <w:spacing w:line="240" w:lineRule="auto" w:before="102"/>
              <w:ind w:right="11"/>
              <w:jc w:val="right"/>
              <w:rPr>
                <w:rFonts w:ascii="Times New Roman" w:hAnsi="Times New Roman" w:cs="Times New Roman" w:eastAsia="Times New Roman" w:hint="default"/>
                <w:sz w:val="18"/>
                <w:szCs w:val="18"/>
              </w:rPr>
            </w:pPr>
            <w:r>
              <w:rPr>
                <w:rFonts w:ascii="Times New Roman"/>
                <w:sz w:val="18"/>
              </w:rPr>
              <w:t>8</w:t>
            </w:r>
          </w:p>
        </w:tc>
      </w:tr>
      <w:tr>
        <w:trPr>
          <w:trHeight w:val="722" w:hRule="exact"/>
        </w:trPr>
        <w:tc>
          <w:tcPr>
            <w:tcW w:w="106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0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559,207,223.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10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89,124,299.0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89,124,299.0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159,297,049.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10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235,374,321.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10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87,089,493.9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87,089,493.9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325,633,821.</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16</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在子公司的所有者权益份额发生变化且仍控制子公司的交易" w:id="346"/>
      <w:bookmarkEnd w:id="34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688" w:lineRule="exact" w:before="18"/>
        <w:ind w:left="573" w:right="0" w:hanging="421"/>
        <w:jc w:val="left"/>
        <w:rPr>
          <w:rFonts w:ascii="宋体" w:hAnsi="宋体" w:cs="宋体" w:eastAsia="宋体" w:hint="default"/>
          <w:sz w:val="21"/>
          <w:szCs w:val="21"/>
        </w:rPr>
      </w:pPr>
      <w:bookmarkStart w:name="（1）在子公司所有者权益份额发生变化的情况说明" w:id="347"/>
      <w:bookmarkEnd w:id="3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100"/>
          <w:sz w:val="21"/>
          <w:szCs w:val="21"/>
        </w:rPr>
        <w:t> </w:t>
      </w:r>
      <w:r>
        <w:rPr>
          <w:rFonts w:ascii="宋体" w:hAnsi="宋体" w:cs="宋体" w:eastAsia="宋体" w:hint="default"/>
          <w:spacing w:val="-3"/>
          <w:sz w:val="21"/>
          <w:szCs w:val="21"/>
        </w:rPr>
        <w:t>根据</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日签订的《增资协议书》，本公司对苏州能斯达增资</w:t>
      </w:r>
      <w:r>
        <w:rPr>
          <w:rFonts w:ascii="Times New Roman" w:hAnsi="Times New Roman" w:cs="Times New Roman" w:eastAsia="Times New Roman" w:hint="default"/>
          <w:spacing w:val="-3"/>
          <w:sz w:val="21"/>
          <w:szCs w:val="21"/>
        </w:rPr>
        <w:t>417.00</w:t>
      </w:r>
      <w:r>
        <w:rPr>
          <w:rFonts w:ascii="宋体" w:hAnsi="宋体" w:cs="宋体" w:eastAsia="宋体" w:hint="default"/>
          <w:spacing w:val="-3"/>
          <w:sz w:val="21"/>
          <w:szCs w:val="21"/>
        </w:rPr>
        <w:t>万元，增资后持有苏州能</w:t>
      </w:r>
    </w:p>
    <w:p>
      <w:pPr>
        <w:pStyle w:val="BodyText"/>
        <w:spacing w:line="240" w:lineRule="auto" w:before="85"/>
        <w:ind w:right="0"/>
        <w:jc w:val="left"/>
      </w:pPr>
      <w:r>
        <w:rPr/>
        <w:t>斯达股权比例由</w:t>
      </w:r>
      <w:r>
        <w:rPr>
          <w:rFonts w:ascii="Times New Roman" w:hAnsi="Times New Roman" w:cs="Times New Roman" w:eastAsia="Times New Roman" w:hint="default"/>
        </w:rPr>
        <w:t>51.00%</w:t>
      </w:r>
      <w:r>
        <w:rPr/>
        <w:t>变更为</w:t>
      </w:r>
      <w:r>
        <w:rPr>
          <w:rFonts w:ascii="Times New Roman" w:hAnsi="Times New Roman" w:cs="Times New Roman" w:eastAsia="Times New Roman" w:hint="default"/>
        </w:rPr>
        <w:t>59.31%</w:t>
      </w:r>
      <w:r>
        <w:rPr/>
        <w:t>。</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bookmarkStart w:name="（2）交易对于少数股东权益及归属于母公司所有者权益的影响" w:id="348"/>
      <w:bookmarkEnd w:id="34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831"/>
        <w:gridCol w:w="4860"/>
      </w:tblGrid>
      <w:tr>
        <w:trPr>
          <w:trHeight w:val="412" w:hRule="exact"/>
        </w:trPr>
        <w:tc>
          <w:tcPr>
            <w:tcW w:w="4831"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486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17" w:right="0"/>
              <w:jc w:val="center"/>
              <w:rPr>
                <w:rFonts w:ascii="宋体" w:hAnsi="宋体" w:cs="宋体" w:eastAsia="宋体" w:hint="default"/>
                <w:sz w:val="18"/>
                <w:szCs w:val="18"/>
              </w:rPr>
            </w:pPr>
            <w:r>
              <w:rPr>
                <w:rFonts w:ascii="宋体" w:hAnsi="宋体" w:cs="宋体" w:eastAsia="宋体" w:hint="default"/>
                <w:sz w:val="18"/>
                <w:szCs w:val="18"/>
              </w:rPr>
              <w:t>苏州能斯达</w:t>
            </w:r>
          </w:p>
        </w:tc>
      </w:tr>
      <w:tr>
        <w:trPr>
          <w:trHeight w:val="410" w:hRule="exact"/>
        </w:trPr>
        <w:tc>
          <w:tcPr>
            <w:tcW w:w="48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860" w:type="dxa"/>
            <w:tcBorders>
              <w:top w:val="single" w:sz="4" w:space="0" w:color="000000"/>
              <w:left w:val="single" w:sz="12" w:space="0" w:color="D2D2D2"/>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4,170,000.00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4837"/>
        <w:gridCol w:w="4860"/>
      </w:tblGrid>
      <w:tr>
        <w:trPr>
          <w:trHeight w:val="412" w:hRule="exact"/>
        </w:trPr>
        <w:tc>
          <w:tcPr>
            <w:tcW w:w="483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860" w:type="dxa"/>
            <w:tcBorders>
              <w:top w:val="single" w:sz="12" w:space="0" w:color="000000"/>
              <w:left w:val="single" w:sz="12" w:space="0" w:color="D2D2D2"/>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4,170,000.00</w:t>
            </w:r>
          </w:p>
        </w:tc>
      </w:tr>
      <w:tr>
        <w:trPr>
          <w:trHeight w:val="401" w:hRule="exact"/>
        </w:trPr>
        <w:tc>
          <w:tcPr>
            <w:tcW w:w="4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4,170,000.00</w:t>
            </w:r>
          </w:p>
        </w:tc>
      </w:tr>
      <w:tr>
        <w:trPr>
          <w:trHeight w:val="403" w:hRule="exact"/>
        </w:trPr>
        <w:tc>
          <w:tcPr>
            <w:tcW w:w="4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2,541,424.68</w:t>
            </w:r>
          </w:p>
        </w:tc>
      </w:tr>
      <w:tr>
        <w:trPr>
          <w:trHeight w:val="401" w:hRule="exact"/>
        </w:trPr>
        <w:tc>
          <w:tcPr>
            <w:tcW w:w="48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1,628,575.32</w:t>
            </w:r>
          </w:p>
        </w:tc>
      </w:tr>
      <w:tr>
        <w:trPr>
          <w:trHeight w:val="410" w:hRule="exact"/>
        </w:trPr>
        <w:tc>
          <w:tcPr>
            <w:tcW w:w="483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860" w:type="dxa"/>
            <w:tcBorders>
              <w:top w:val="single" w:sz="4" w:space="0" w:color="000000"/>
              <w:left w:val="single" w:sz="12" w:space="0" w:color="D2D2D2"/>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1,628,575.32</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在合营安排或联营企业中的权益" w:id="349"/>
      <w:bookmarkEnd w:id="34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不重要的合营企业和联营企业的汇总财务信息" w:id="350"/>
      <w:bookmarkEnd w:id="350"/>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353"/>
        <w:gridCol w:w="3110"/>
        <w:gridCol w:w="3229"/>
      </w:tblGrid>
      <w:tr>
        <w:trPr>
          <w:trHeight w:val="412" w:hRule="exact"/>
        </w:trPr>
        <w:tc>
          <w:tcPr>
            <w:tcW w:w="3353"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31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22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7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22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54,111,843.59</w:t>
            </w:r>
          </w:p>
        </w:tc>
        <w:tc>
          <w:tcPr>
            <w:tcW w:w="3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51,552,398.54</w:t>
            </w:r>
          </w:p>
        </w:tc>
      </w:tr>
      <w:tr>
        <w:trPr>
          <w:trHeight w:val="401"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22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2,559,445.05</w:t>
            </w:r>
          </w:p>
        </w:tc>
        <w:tc>
          <w:tcPr>
            <w:tcW w:w="3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1,034,349.93</w:t>
            </w:r>
          </w:p>
        </w:tc>
      </w:tr>
      <w:tr>
        <w:trPr>
          <w:trHeight w:val="401"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2,559,445.05</w:t>
            </w:r>
          </w:p>
        </w:tc>
        <w:tc>
          <w:tcPr>
            <w:tcW w:w="3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1,034,349.93</w:t>
            </w:r>
          </w:p>
        </w:tc>
      </w:tr>
      <w:tr>
        <w:trPr>
          <w:trHeight w:val="403"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322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53,826,210.52</w:t>
            </w:r>
          </w:p>
        </w:tc>
        <w:tc>
          <w:tcPr>
            <w:tcW w:w="3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44,289,503.40</w:t>
            </w:r>
          </w:p>
        </w:tc>
      </w:tr>
      <w:tr>
        <w:trPr>
          <w:trHeight w:val="404"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322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6,733,939.96</w:t>
            </w:r>
          </w:p>
        </w:tc>
        <w:tc>
          <w:tcPr>
            <w:tcW w:w="3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3,415,496.81</w:t>
            </w:r>
          </w:p>
        </w:tc>
      </w:tr>
      <w:tr>
        <w:trPr>
          <w:trHeight w:val="410" w:hRule="exact"/>
        </w:trPr>
        <w:tc>
          <w:tcPr>
            <w:tcW w:w="335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110" w:type="dxa"/>
            <w:tcBorders>
              <w:top w:val="single" w:sz="4" w:space="0" w:color="000000"/>
              <w:left w:val="single" w:sz="12" w:space="0" w:color="D2D2D2"/>
              <w:bottom w:val="single" w:sz="12"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6,733,939.96</w:t>
            </w:r>
          </w:p>
        </w:tc>
        <w:tc>
          <w:tcPr>
            <w:tcW w:w="322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3,415,496.81</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十、与金融工具相关的风险" w:id="351"/>
      <w:bookmarkEnd w:id="351"/>
      <w:r>
        <w:rPr>
          <w:b w:val="0"/>
          <w:bCs w:val="0"/>
        </w:rPr>
      </w:r>
      <w:r>
        <w:rPr/>
        <w:t>十、与金融工具相关的风险</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before="0"/>
        <w:ind w:right="1126" w:firstLine="420"/>
        <w:jc w:val="both"/>
      </w:pPr>
      <w:r>
        <w:rPr>
          <w:spacing w:val="-2"/>
        </w:rPr>
        <w:t>公司的主要金融工具包括货币资金、应收票据、应收账款、其他应收款等，各项金融工具的详细情况</w:t>
      </w:r>
      <w:r>
        <w:rPr>
          <w:w w:val="100"/>
        </w:rPr>
        <w:t> </w:t>
      </w:r>
      <w:r>
        <w:rPr>
          <w:spacing w:val="-2"/>
        </w:rPr>
        <w:t>说明见本附注五相关项目。与这些金融工具有关的风险，以及公司为降低这些风险所采取的风险管理政策</w:t>
      </w:r>
      <w:r>
        <w:rPr>
          <w:spacing w:val="-43"/>
        </w:rPr>
        <w:t> </w:t>
      </w:r>
      <w:r>
        <w:rPr>
          <w:spacing w:val="-43"/>
        </w:rPr>
      </w:r>
      <w:r>
        <w:rPr/>
        <w:t>如下所述。公司管理层对这些风险敞口进行管理和监控以确保将上述风险控制在限定的范围之内。</w:t>
      </w:r>
    </w:p>
    <w:p>
      <w:pPr>
        <w:pStyle w:val="BodyText"/>
        <w:spacing w:line="408" w:lineRule="auto"/>
        <w:ind w:right="1126" w:firstLine="420"/>
        <w:jc w:val="both"/>
      </w:pPr>
      <w:r>
        <w:rPr>
          <w:spacing w:val="-2"/>
        </w:rPr>
        <w:t>公司从事风险管理的目标是在风险和收益之间取得适当的平衡，力求降低金融风险对公司财务业绩的</w:t>
      </w:r>
      <w:r>
        <w:rPr>
          <w:w w:val="100"/>
        </w:rPr>
        <w:t> </w:t>
      </w:r>
      <w:r>
        <w:rPr>
          <w:spacing w:val="-2"/>
        </w:rPr>
        <w:t>不利影响。基于该风险管理目标，公司已制定风险管理政策以辨别和分析公司所面临的风险，设定适当的</w:t>
      </w:r>
      <w:r>
        <w:rPr>
          <w:spacing w:val="-44"/>
        </w:rPr>
        <w:t> </w:t>
      </w:r>
      <w:r>
        <w:rPr>
          <w:spacing w:val="-44"/>
        </w:rPr>
      </w:r>
      <w:r>
        <w:rPr>
          <w:spacing w:val="-2"/>
        </w:rPr>
        <w:t>风险可接受水平并设计相应的内部控制程序，以监控公司的风险水平。公司会定期审阅这些风险管理政策</w:t>
      </w:r>
      <w:r>
        <w:rPr>
          <w:spacing w:val="-42"/>
        </w:rPr>
        <w:t> </w:t>
      </w:r>
      <w:r>
        <w:rPr>
          <w:spacing w:val="-42"/>
        </w:rPr>
      </w:r>
      <w:r>
        <w:rPr>
          <w:spacing w:val="-2"/>
        </w:rPr>
        <w:t>及有关内部控制系统，以适应市场情况或公司经营活动的改变。公司的内部审计部门也定期或随机检查内</w:t>
      </w:r>
      <w:r>
        <w:rPr>
          <w:spacing w:val="-44"/>
        </w:rPr>
        <w:t> </w:t>
      </w:r>
      <w:r>
        <w:rPr>
          <w:spacing w:val="-44"/>
        </w:rPr>
      </w:r>
      <w:r>
        <w:rPr/>
        <w:t>部控制系统的执行是否符合风险管理政策。</w:t>
      </w:r>
    </w:p>
    <w:p>
      <w:pPr>
        <w:pStyle w:val="BodyText"/>
        <w:spacing w:line="240" w:lineRule="auto"/>
        <w:ind w:left="573" w:right="0"/>
        <w:jc w:val="left"/>
      </w:pPr>
      <w:r>
        <w:rPr/>
        <w:t>公司的金融工具导致的主要风险是信用风险、流动性风险、市场风险。</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（一）信用风险</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6" w:firstLine="420"/>
        <w:jc w:val="both"/>
      </w:pPr>
      <w:r>
        <w:rPr>
          <w:spacing w:val="-2"/>
        </w:rPr>
        <w:t>信用风险，是指金融工具的一方不履行义务，造成另一方发生财务损失的风险。公司的信用风险主要</w:t>
      </w:r>
      <w:r>
        <w:rPr>
          <w:w w:val="100"/>
        </w:rPr>
        <w:t> </w:t>
      </w:r>
      <w:r>
        <w:rPr/>
        <w:t>来自银行存款和应收款项。为控制上述相关风险，公司分别采取了以下措施：</w:t>
      </w:r>
    </w:p>
    <w:p>
      <w:pPr>
        <w:pStyle w:val="BodyText"/>
        <w:spacing w:line="398" w:lineRule="auto"/>
        <w:ind w:left="573" w:right="3914"/>
        <w:jc w:val="left"/>
      </w:pPr>
      <w:r>
        <w:rPr>
          <w:rFonts w:ascii="Times New Roman" w:hAnsi="Times New Roman" w:cs="Times New Roman" w:eastAsia="Times New Roman" w:hint="default"/>
        </w:rPr>
        <w:t>1.</w:t>
      </w:r>
      <w:r>
        <w:rPr/>
        <w:t>银行存款</w:t>
      </w:r>
      <w:r>
        <w:rPr>
          <w:spacing w:val="-103"/>
        </w:rPr>
        <w:t> </w:t>
      </w:r>
      <w:r>
        <w:rPr>
          <w:spacing w:val="-103"/>
        </w:rPr>
      </w:r>
      <w:r>
        <w:rPr>
          <w:spacing w:val="-2"/>
        </w:rPr>
        <w:t>公司将银行存款存放于信用评级较高的金融机构，其信用风险较低。</w:t>
      </w:r>
      <w:r>
        <w:rPr>
          <w:spacing w:val="-48"/>
        </w:rPr>
        <w:t> </w:t>
      </w:r>
      <w:r>
        <w:rPr>
          <w:spacing w:val="-48"/>
        </w:rPr>
      </w:r>
      <w:r>
        <w:rPr>
          <w:rFonts w:ascii="Times New Roman" w:hAnsi="Times New Roman" w:cs="Times New Roman" w:eastAsia="Times New Roman" w:hint="default"/>
        </w:rPr>
        <w:t>2.</w:t>
      </w:r>
      <w:r>
        <w:rPr/>
        <w:t>应收款项</w:t>
      </w:r>
    </w:p>
    <w:p>
      <w:pPr>
        <w:pStyle w:val="BodyText"/>
        <w:spacing w:line="400" w:lineRule="auto" w:before="24"/>
        <w:ind w:right="1126" w:firstLine="420"/>
        <w:jc w:val="both"/>
      </w:pPr>
      <w:r>
        <w:rPr>
          <w:spacing w:val="-2"/>
        </w:rPr>
        <w:t>公司定期及持续对采用信用方式交易的客户进行信用评估。根据信用评估结果，公司选择与经认可的</w:t>
      </w:r>
      <w:r>
        <w:rPr>
          <w:w w:val="100"/>
        </w:rPr>
        <w:t> </w:t>
      </w:r>
      <w:r>
        <w:rPr>
          <w:spacing w:val="-2"/>
        </w:rPr>
        <w:t>且信用良好的客户进行交易，并对其应收款项余额进行监控，以确保公司不会面临重大坏账风险。由于公</w:t>
      </w:r>
      <w:r>
        <w:rPr>
          <w:spacing w:val="-44"/>
        </w:rPr>
        <w:t> </w:t>
      </w:r>
      <w:r>
        <w:rPr>
          <w:spacing w:val="-44"/>
        </w:rPr>
      </w:r>
      <w:r>
        <w:rPr/>
        <w:t>司的应收账款风险点分布于多个合作方和多个客户，截至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日，公司应收账款的</w:t>
      </w:r>
      <w:r>
        <w:rPr>
          <w:rFonts w:ascii="Times New Roman" w:hAnsi="Times New Roman" w:cs="Times New Roman" w:eastAsia="Times New Roman" w:hint="default"/>
        </w:rPr>
        <w:t>14.63%(2018</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11.17%)</w:t>
      </w:r>
      <w:r>
        <w:rPr/>
        <w:t>源于余额前五名客户，公司不存在重大的信用集中风险。</w:t>
      </w:r>
    </w:p>
    <w:p>
      <w:pPr>
        <w:pStyle w:val="BodyText"/>
        <w:spacing w:line="240" w:lineRule="auto" w:before="21"/>
        <w:ind w:left="573" w:right="0"/>
        <w:jc w:val="left"/>
      </w:pPr>
      <w:r>
        <w:rPr/>
        <w:t>公司所承受的最大信用风险敞口为资产负债表中每项金融资产的账面价值。</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（二）流动性风险</w:t>
      </w:r>
      <w:r>
        <w:rPr>
          <w:w w:val="100"/>
        </w:rPr>
        <w:t> </w:t>
      </w:r>
      <w:r>
        <w:rPr>
          <w:spacing w:val="-2"/>
        </w:rPr>
        <w:t>流动性风险，是指在履行以交付现金或其他金融资产的方式结算的义务时发生资金短缺的风险。管理</w:t>
      </w:r>
    </w:p>
    <w:p>
      <w:pPr>
        <w:pStyle w:val="BodyText"/>
        <w:spacing w:line="408" w:lineRule="auto"/>
        <w:ind w:right="0"/>
        <w:jc w:val="left"/>
      </w:pPr>
      <w:r>
        <w:rPr>
          <w:spacing w:val="-2"/>
        </w:rPr>
        <w:t>流动风险时，公司保持管理层认为充分的现金及现金等价物并对其进行监控，以满足本公司经营需要，并</w:t>
      </w:r>
      <w:r>
        <w:rPr>
          <w:spacing w:val="-43"/>
        </w:rPr>
        <w:t> </w:t>
      </w:r>
      <w:r>
        <w:rPr>
          <w:spacing w:val="-43"/>
        </w:rPr>
      </w:r>
      <w:r>
        <w:rPr/>
        <w:t>降低现金流量波动的影响。</w:t>
      </w:r>
    </w:p>
    <w:p>
      <w:pPr>
        <w:pStyle w:val="BodyText"/>
        <w:spacing w:line="240" w:lineRule="auto"/>
        <w:ind w:left="573" w:right="0"/>
        <w:jc w:val="left"/>
      </w:pPr>
      <w:r>
        <w:rPr/>
        <w:t>截止</w:t>
      </w:r>
      <w:r>
        <w:rPr>
          <w:rFonts w:ascii="Times New Roman" w:hAnsi="Times New Roman" w:cs="Times New Roman" w:eastAsia="Times New Roman" w:hint="default"/>
        </w:rPr>
        <w:t>2019</w:t>
      </w:r>
      <w:r>
        <w:rPr>
          <w:rFonts w:ascii="Times New Roman" w:hAnsi="Times New Roman" w:cs="Times New Roman" w:eastAsia="Times New Roman" w:hint="default"/>
          <w:spacing w:val="28"/>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日，公司流动性充足，流动性风险较低。</w:t>
      </w:r>
    </w:p>
    <w:p>
      <w:pPr>
        <w:pStyle w:val="BodyText"/>
        <w:spacing w:line="408" w:lineRule="auto" w:before="177"/>
        <w:ind w:left="657" w:right="0" w:hanging="84"/>
        <w:jc w:val="left"/>
      </w:pPr>
      <w:r>
        <w:rPr/>
        <w:t>（三）市场风险</w:t>
      </w:r>
      <w:r>
        <w:rPr>
          <w:spacing w:val="-103"/>
        </w:rPr>
        <w:t> </w:t>
      </w:r>
      <w:r>
        <w:rPr>
          <w:spacing w:val="-103"/>
        </w:rPr>
      </w:r>
      <w:r>
        <w:rPr>
          <w:spacing w:val="-2"/>
        </w:rPr>
        <w:t>金融工具的市场风险，是指金融工具的公允价值或未来现金流量因市场价格变动而发生波动的风险，</w:t>
      </w:r>
    </w:p>
    <w:p>
      <w:pPr>
        <w:pStyle w:val="BodyText"/>
        <w:spacing w:line="240" w:lineRule="auto"/>
        <w:ind w:right="0"/>
        <w:jc w:val="left"/>
      </w:pPr>
      <w:r>
        <w:rPr/>
        <w:t>包括汇率风险、利率风险和其他价格风险。</w:t>
      </w:r>
    </w:p>
    <w:p>
      <w:pPr>
        <w:spacing w:line="240" w:lineRule="auto" w:before="10"/>
        <w:rPr>
          <w:rFonts w:ascii="宋体" w:hAnsi="宋体" w:cs="宋体" w:eastAsia="宋体" w:hint="default"/>
          <w:sz w:val="14"/>
          <w:szCs w:val="14"/>
        </w:rPr>
      </w:pPr>
    </w:p>
    <w:p>
      <w:pPr>
        <w:pStyle w:val="BodyText"/>
        <w:spacing w:line="386" w:lineRule="auto" w:before="0"/>
        <w:ind w:left="573" w:right="1119"/>
        <w:jc w:val="left"/>
      </w:pPr>
      <w:r>
        <w:rPr>
          <w:rFonts w:ascii="Times New Roman" w:hAnsi="Times New Roman" w:cs="Times New Roman" w:eastAsia="Times New Roman" w:hint="default"/>
        </w:rPr>
        <w:t>1.</w:t>
      </w:r>
      <w:r>
        <w:rPr/>
        <w:t>汇率风险</w:t>
      </w:r>
      <w:r>
        <w:rPr>
          <w:spacing w:val="-103"/>
        </w:rPr>
        <w:t> </w:t>
      </w:r>
      <w:r>
        <w:rPr>
          <w:spacing w:val="-103"/>
        </w:rPr>
      </w:r>
      <w:r>
        <w:rPr>
          <w:spacing w:val="-2"/>
        </w:rPr>
        <w:t>汇率风险，是指金融工具的公允价值或未来现金流量因外汇汇率变动而发生波动的风险。汇率风险可</w:t>
      </w:r>
    </w:p>
    <w:p>
      <w:pPr>
        <w:pStyle w:val="BodyText"/>
        <w:spacing w:line="408" w:lineRule="auto" w:before="65"/>
        <w:ind w:right="0"/>
        <w:jc w:val="left"/>
      </w:pPr>
      <w:r>
        <w:rPr>
          <w:spacing w:val="-2"/>
        </w:rPr>
        <w:t>源于以记账本位币之外的外币进行计价的金融工具。公司的主要经营位于中国境内，主要业务以人民币结</w:t>
      </w:r>
      <w:r>
        <w:rPr>
          <w:spacing w:val="-44"/>
        </w:rPr>
        <w:t> </w:t>
      </w:r>
      <w:r>
        <w:rPr>
          <w:spacing w:val="-44"/>
        </w:rPr>
      </w:r>
      <w:r>
        <w:rPr/>
        <w:t>算，不存在重大汇率风险。</w:t>
      </w:r>
    </w:p>
    <w:p>
      <w:pPr>
        <w:pStyle w:val="BodyText"/>
        <w:spacing w:line="386" w:lineRule="auto"/>
        <w:ind w:left="573" w:right="1113"/>
        <w:jc w:val="left"/>
      </w:pPr>
      <w:r>
        <w:rPr>
          <w:rFonts w:ascii="Times New Roman" w:hAnsi="Times New Roman" w:cs="Times New Roman" w:eastAsia="Times New Roman" w:hint="default"/>
        </w:rPr>
        <w:t>2</w:t>
      </w:r>
      <w:r>
        <w:rPr>
          <w:rFonts w:ascii="宋体" w:hAnsi="宋体" w:cs="宋体" w:eastAsia="宋体" w:hint="default"/>
        </w:rPr>
        <w:t>.</w:t>
      </w:r>
      <w:r>
        <w:rPr/>
        <w:t>利率风险</w:t>
      </w:r>
      <w:r>
        <w:rPr>
          <w:spacing w:val="-102"/>
        </w:rPr>
        <w:t> </w:t>
      </w:r>
      <w:r>
        <w:rPr>
          <w:spacing w:val="-102"/>
        </w:rPr>
      </w:r>
      <w:r>
        <w:rPr/>
        <w:t>利率风险，是指金融工具的公允价值或未来现金流量因市场利率变动而发生波动的风险。</w:t>
      </w:r>
      <w:r>
        <w:rPr>
          <w:spacing w:val="86"/>
        </w:rPr>
        <w:t> </w:t>
      </w:r>
      <w:r>
        <w:rPr/>
        <w:t>利率风险</w:t>
      </w:r>
    </w:p>
    <w:p>
      <w:pPr>
        <w:pStyle w:val="BodyText"/>
        <w:spacing w:line="408" w:lineRule="auto" w:before="65"/>
        <w:ind w:left="573" w:right="0" w:hanging="421"/>
        <w:jc w:val="left"/>
      </w:pPr>
      <w:r>
        <w:rPr>
          <w:spacing w:val="-2"/>
        </w:rPr>
        <w:t>可源于已确认的计息金融工具和未确认的金融工具（如某些贷款承诺）。</w:t>
      </w:r>
      <w:r>
        <w:rPr>
          <w:spacing w:val="-44"/>
        </w:rPr>
        <w:t> </w:t>
      </w:r>
      <w:r>
        <w:rPr>
          <w:spacing w:val="-44"/>
        </w:rPr>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日，公司不存在对外计息借款，不存在利率风险。</w:t>
      </w:r>
    </w:p>
    <w:p>
      <w:pPr>
        <w:spacing w:after="0" w:line="408"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公允价值的披露" w:id="352"/>
      <w:bookmarkEnd w:id="352"/>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353"/>
      <w:bookmarkEnd w:id="35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003"/>
        <w:gridCol w:w="1871"/>
        <w:gridCol w:w="1940"/>
        <w:gridCol w:w="1937"/>
        <w:gridCol w:w="1939"/>
      </w:tblGrid>
      <w:tr>
        <w:trPr>
          <w:trHeight w:val="215" w:hRule="exact"/>
        </w:trPr>
        <w:tc>
          <w:tcPr>
            <w:tcW w:w="2003" w:type="dxa"/>
            <w:tcBorders>
              <w:top w:val="single" w:sz="12" w:space="0" w:color="000000"/>
              <w:left w:val="single" w:sz="12" w:space="0" w:color="000000"/>
              <w:bottom w:val="nil" w:sz="6" w:space="0" w:color="auto"/>
              <w:right w:val="single" w:sz="4" w:space="0" w:color="000000"/>
            </w:tcBorders>
            <w:shd w:val="clear" w:color="auto" w:fill="D2D2D2"/>
          </w:tcPr>
          <w:p>
            <w:pPr/>
          </w:p>
        </w:tc>
        <w:tc>
          <w:tcPr>
            <w:tcW w:w="7688" w:type="dxa"/>
            <w:gridSpan w:val="4"/>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47"/>
              <w:ind w:left="2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2" w:hRule="exact"/>
        </w:trPr>
        <w:tc>
          <w:tcPr>
            <w:tcW w:w="2003"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7688" w:type="dxa"/>
            <w:gridSpan w:val="4"/>
            <w:vMerge/>
            <w:tcBorders>
              <w:left w:val="single" w:sz="4" w:space="0" w:color="000000"/>
              <w:bottom w:val="single" w:sz="4" w:space="0" w:color="000000"/>
              <w:right w:val="single" w:sz="12" w:space="0" w:color="000000"/>
            </w:tcBorders>
            <w:shd w:val="clear" w:color="auto" w:fill="D2D2D2"/>
          </w:tcPr>
          <w:p>
            <w:pPr/>
          </w:p>
        </w:tc>
      </w:tr>
      <w:tr>
        <w:trPr>
          <w:trHeight w:val="199" w:hRule="exact"/>
        </w:trPr>
        <w:tc>
          <w:tcPr>
            <w:tcW w:w="2003" w:type="dxa"/>
            <w:vMerge/>
            <w:tcBorders>
              <w:left w:val="single" w:sz="12" w:space="0" w:color="000000"/>
              <w:bottom w:val="nil" w:sz="6" w:space="0" w:color="auto"/>
              <w:right w:val="single" w:sz="4" w:space="0" w:color="000000"/>
            </w:tcBorders>
            <w:shd w:val="clear" w:color="auto" w:fill="D2D2D2"/>
          </w:tcPr>
          <w:p>
            <w:pPr/>
          </w:p>
        </w:tc>
        <w:tc>
          <w:tcPr>
            <w:tcW w:w="1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7"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39"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6" w:hRule="exact"/>
        </w:trPr>
        <w:tc>
          <w:tcPr>
            <w:tcW w:w="2003" w:type="dxa"/>
            <w:tcBorders>
              <w:top w:val="nil" w:sz="6" w:space="0" w:color="auto"/>
              <w:left w:val="single" w:sz="12" w:space="0" w:color="000000"/>
              <w:bottom w:val="single" w:sz="4" w:space="0" w:color="000000"/>
              <w:right w:val="single" w:sz="4" w:space="0" w:color="000000"/>
            </w:tcBorders>
            <w:shd w:val="clear" w:color="auto" w:fill="D2D2D2"/>
          </w:tcPr>
          <w:p>
            <w:pPr/>
          </w:p>
        </w:tc>
        <w:tc>
          <w:tcPr>
            <w:tcW w:w="1871"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20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持续的公允价值计量</w:t>
            </w: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04" w:right="0"/>
              <w:jc w:val="left"/>
              <w:rPr>
                <w:rFonts w:ascii="Times New Roman" w:hAnsi="Times New Roman" w:cs="Times New Roman" w:eastAsia="Times New Roman" w:hint="default"/>
                <w:sz w:val="18"/>
                <w:szCs w:val="18"/>
              </w:rPr>
            </w:pPr>
            <w:r>
              <w:rPr>
                <w:rFonts w:ascii="Times New Roman"/>
                <w:sz w:val="18"/>
              </w:rPr>
              <w:t>--</w:t>
            </w:r>
          </w:p>
        </w:tc>
        <w:tc>
          <w:tcPr>
            <w:tcW w:w="193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1"/>
              <w:ind w:left="90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0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（一）其他债权投资</w:t>
            </w:r>
          </w:p>
        </w:tc>
        <w:tc>
          <w:tcPr>
            <w:tcW w:w="1871" w:type="dxa"/>
            <w:tcBorders>
              <w:top w:val="single" w:sz="4" w:space="0" w:color="000000"/>
              <w:left w:val="single" w:sz="9"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1" w:right="0"/>
              <w:jc w:val="left"/>
              <w:rPr>
                <w:rFonts w:ascii="Times New Roman" w:hAnsi="Times New Roman" w:cs="Times New Roman" w:eastAsia="Times New Roman" w:hint="default"/>
                <w:sz w:val="18"/>
                <w:szCs w:val="18"/>
              </w:rPr>
            </w:pPr>
            <w:r>
              <w:rPr>
                <w:rFonts w:ascii="Times New Roman"/>
                <w:sz w:val="18"/>
              </w:rPr>
              <w:t>16,908,920.00</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16,908,920.00</w:t>
            </w:r>
          </w:p>
        </w:tc>
      </w:tr>
      <w:tr>
        <w:trPr>
          <w:trHeight w:val="403" w:hRule="exact"/>
        </w:trPr>
        <w:tc>
          <w:tcPr>
            <w:tcW w:w="200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（二）其他权益工具投资</w:t>
            </w:r>
          </w:p>
        </w:tc>
        <w:tc>
          <w:tcPr>
            <w:tcW w:w="1871" w:type="dxa"/>
            <w:tcBorders>
              <w:top w:val="single" w:sz="4" w:space="0" w:color="000000"/>
              <w:left w:val="single" w:sz="9"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1" w:right="0"/>
              <w:jc w:val="left"/>
              <w:rPr>
                <w:rFonts w:ascii="Times New Roman" w:hAnsi="Times New Roman" w:cs="Times New Roman" w:eastAsia="Times New Roman" w:hint="default"/>
                <w:sz w:val="18"/>
                <w:szCs w:val="18"/>
              </w:rPr>
            </w:pPr>
            <w:r>
              <w:rPr>
                <w:rFonts w:ascii="Times New Roman"/>
                <w:sz w:val="18"/>
              </w:rPr>
              <w:t>48,100,001.00</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48,100,001.00</w:t>
            </w:r>
          </w:p>
        </w:tc>
      </w:tr>
      <w:tr>
        <w:trPr>
          <w:trHeight w:val="723" w:hRule="exact"/>
        </w:trPr>
        <w:tc>
          <w:tcPr>
            <w:tcW w:w="200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49"/>
              <w:ind w:left="7" w:right="174"/>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71" w:type="dxa"/>
            <w:tcBorders>
              <w:top w:val="single" w:sz="4" w:space="0" w:color="000000"/>
              <w:left w:val="single" w:sz="9" w:space="0" w:color="D2D2D2"/>
              <w:bottom w:val="single" w:sz="12" w:space="0" w:color="000000"/>
              <w:right w:val="single" w:sz="4" w:space="0" w:color="000000"/>
            </w:tcBorders>
          </w:tcPr>
          <w:p>
            <w:pPr/>
          </w:p>
        </w:tc>
        <w:tc>
          <w:tcPr>
            <w:tcW w:w="1940" w:type="dxa"/>
            <w:tcBorders>
              <w:top w:val="single" w:sz="4" w:space="0" w:color="000000"/>
              <w:left w:val="single" w:sz="4" w:space="0" w:color="000000"/>
              <w:bottom w:val="single" w:sz="12" w:space="0" w:color="000000"/>
              <w:right w:val="single" w:sz="4" w:space="0" w:color="000000"/>
            </w:tcBorders>
          </w:tcPr>
          <w:p>
            <w:pP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65,008,921.00</w:t>
            </w: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65,008,921.00</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持续和非持续第三层次公允价值计量项目，采用的估值技术和重要参数的定性及定量信" w:id="354"/>
      <w:bookmarkEnd w:id="354"/>
      <w:r>
        <w:rPr>
          <w:b w:val="0"/>
          <w:bCs w:val="0"/>
        </w:rPr>
      </w:r>
      <w:r>
        <w:rPr>
          <w:rFonts w:ascii="Times New Roman" w:hAnsi="Times New Roman" w:cs="Times New Roman" w:eastAsia="Times New Roman" w:hint="default"/>
        </w:rPr>
        <w:t>2</w:t>
      </w:r>
      <w:r>
        <w:rPr/>
        <w:t>、持续和非持续第三层次公允价值计量项目，采用的估值技术和重要参数的定性及定量信息</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26" w:firstLine="420"/>
        <w:jc w:val="both"/>
      </w:pPr>
      <w:r>
        <w:rPr>
          <w:spacing w:val="2"/>
        </w:rPr>
        <w:t>本公司指定以公允价值计量且其变动计入其他综合收益的金融资产系出于战略目的而计划长期持有</w:t>
      </w:r>
      <w:r>
        <w:rPr>
          <w:w w:val="100"/>
        </w:rPr>
        <w:t> </w:t>
      </w:r>
      <w:r>
        <w:rPr>
          <w:spacing w:val="-2"/>
        </w:rPr>
        <w:t>的非上市公司股权，以第三层次公允价值计量，公司利用初始确认日后可获得的关于被投资方业绩和经营</w:t>
      </w:r>
      <w:r>
        <w:rPr>
          <w:spacing w:val="-43"/>
        </w:rPr>
        <w:t> </w:t>
      </w:r>
      <w:r>
        <w:rPr>
          <w:spacing w:val="-43"/>
        </w:rPr>
      </w:r>
      <w:r>
        <w:rPr/>
        <w:t>的所有信息判断成本能够代表对公允价值的最佳估计，以投资成本作为金融资产的公允价值。</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不以公允价值计量的金融资产和金融负债的公允价值情况" w:id="355"/>
      <w:bookmarkEnd w:id="355"/>
      <w:r>
        <w:rPr>
          <w:b w:val="0"/>
          <w:bCs w:val="0"/>
        </w:rPr>
      </w:r>
      <w:r>
        <w:rPr>
          <w:rFonts w:ascii="Times New Roman" w:hAnsi="Times New Roman" w:cs="Times New Roman" w:eastAsia="Times New Roman" w:hint="default"/>
        </w:rPr>
        <w:t>3</w:t>
      </w:r>
      <w:r>
        <w:rPr/>
        <w:t>、不以公允价值计量的金融资产和金融负债的公允价值情况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26" w:firstLine="420"/>
        <w:jc w:val="both"/>
      </w:pPr>
      <w:r>
        <w:rPr>
          <w:spacing w:val="-2"/>
        </w:rPr>
        <w:t>本公司以摊余成本计量的金融资产和金融负债主要包括：货币资金、应收票据、应收账款、其他应收</w:t>
      </w:r>
      <w:r>
        <w:rPr>
          <w:w w:val="100"/>
        </w:rPr>
        <w:t> </w:t>
      </w:r>
      <w:r>
        <w:rPr/>
        <w:t>款、其他流动资产、应付账款、其他应付款等。</w:t>
      </w:r>
    </w:p>
    <w:p>
      <w:pPr>
        <w:pStyle w:val="BodyText"/>
        <w:spacing w:line="240" w:lineRule="auto"/>
        <w:ind w:left="573" w:right="0"/>
        <w:jc w:val="left"/>
      </w:pPr>
      <w:r>
        <w:rPr/>
        <w:t>不以公允价值计量的金融资产和金融负债的账面价值与公允价值相差很小。</w:t>
      </w:r>
    </w:p>
    <w:p>
      <w:pPr>
        <w:spacing w:line="240" w:lineRule="auto" w:before="11"/>
        <w:rPr>
          <w:rFonts w:ascii="宋体" w:hAnsi="宋体" w:cs="宋体" w:eastAsia="宋体" w:hint="default"/>
          <w:sz w:val="29"/>
          <w:szCs w:val="29"/>
        </w:rPr>
      </w:pPr>
    </w:p>
    <w:p>
      <w:pPr>
        <w:spacing w:line="506" w:lineRule="auto" w:before="0"/>
        <w:ind w:left="152" w:right="7874" w:firstLine="0"/>
        <w:jc w:val="left"/>
        <w:rPr>
          <w:rFonts w:ascii="宋体" w:hAnsi="宋体" w:cs="宋体" w:eastAsia="宋体" w:hint="default"/>
          <w:sz w:val="18"/>
          <w:szCs w:val="18"/>
        </w:rPr>
      </w:pPr>
      <w:bookmarkStart w:name="十二、关联方及关联交易" w:id="356"/>
      <w:bookmarkEnd w:id="356"/>
      <w:r>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357"/>
      <w:bookmarkEnd w:id="35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100"/>
          <w:sz w:val="21"/>
          <w:szCs w:val="21"/>
        </w:rPr>
        <w:t> </w:t>
      </w:r>
      <w:r>
        <w:rPr>
          <w:rFonts w:ascii="宋体" w:hAnsi="宋体" w:cs="宋体" w:eastAsia="宋体" w:hint="default"/>
          <w:sz w:val="18"/>
          <w:szCs w:val="18"/>
        </w:rPr>
        <w:t>本企业最终控制方是任红军、钟超。</w:t>
      </w:r>
    </w:p>
    <w:p>
      <w:pPr>
        <w:spacing w:line="547" w:lineRule="auto" w:before="154"/>
        <w:ind w:left="152" w:right="4680" w:firstLine="0"/>
        <w:jc w:val="left"/>
        <w:rPr>
          <w:rFonts w:ascii="宋体" w:hAnsi="宋体" w:cs="宋体" w:eastAsia="宋体" w:hint="default"/>
          <w:sz w:val="21"/>
          <w:szCs w:val="21"/>
        </w:rPr>
      </w:pPr>
      <w:bookmarkStart w:name="2、本企业的子公司情况" w:id="358"/>
      <w:bookmarkEnd w:id="35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本企业子公司的情况详见附注九、在其他主体中的权益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、在子公司的权益。 </w:t>
      </w:r>
      <w:bookmarkStart w:name="3、本企业合营和联营企业情况" w:id="359"/>
      <w:bookmarkEnd w:id="359"/>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57" w:lineRule="auto" w:before="46"/>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本企业重要的合营或联营企业详见附注九、在其他主体中权益。 本期与本公司发生关联方交易，或前期与本公司发生关联方交易形成余额的其他合营或联营企业情况如下：</w:t>
      </w:r>
    </w:p>
    <w:p>
      <w:pPr>
        <w:spacing w:after="0" w:line="357"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4847"/>
        <w:gridCol w:w="4851"/>
      </w:tblGrid>
      <w:tr>
        <w:trPr>
          <w:trHeight w:val="396" w:hRule="exact"/>
        </w:trPr>
        <w:tc>
          <w:tcPr>
            <w:tcW w:w="484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1598"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85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6"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郑州高新梧桐水务有限公司</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84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河南中盾云安信息科技有限公司</w:t>
            </w:r>
          </w:p>
        </w:tc>
        <w:tc>
          <w:tcPr>
            <w:tcW w:w="48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10" w:hRule="exact"/>
        </w:trPr>
        <w:tc>
          <w:tcPr>
            <w:tcW w:w="484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泰瑞数创科技（北京）有限公司</w:t>
            </w:r>
          </w:p>
        </w:tc>
        <w:tc>
          <w:tcPr>
            <w:tcW w:w="485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4、其他关联方情况" w:id="360"/>
      <w:bookmarkEnd w:id="36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4847"/>
        <w:gridCol w:w="4851"/>
      </w:tblGrid>
      <w:tr>
        <w:trPr>
          <w:trHeight w:val="396" w:hRule="exact"/>
        </w:trPr>
        <w:tc>
          <w:tcPr>
            <w:tcW w:w="484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1" w:right="7"/>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85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1430"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10" w:hRule="exact"/>
        </w:trPr>
        <w:tc>
          <w:tcPr>
            <w:tcW w:w="484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董事、监事及高级管理人员</w:t>
            </w:r>
          </w:p>
        </w:tc>
        <w:tc>
          <w:tcPr>
            <w:tcW w:w="485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line="240" w:lineRule="auto" w:before="6"/>
        <w:rPr>
          <w:rFonts w:ascii="宋体" w:hAnsi="宋体" w:cs="宋体" w:eastAsia="宋体" w:hint="default"/>
          <w:b/>
          <w:bCs/>
          <w:sz w:val="19"/>
          <w:szCs w:val="19"/>
        </w:rPr>
      </w:pPr>
    </w:p>
    <w:p>
      <w:pPr>
        <w:pStyle w:val="Heading4"/>
        <w:spacing w:line="240" w:lineRule="auto" w:before="36"/>
        <w:ind w:right="0"/>
        <w:jc w:val="left"/>
        <w:rPr>
          <w:b w:val="0"/>
          <w:bCs w:val="0"/>
        </w:rPr>
      </w:pPr>
      <w:bookmarkStart w:name="5、关联交易情况" w:id="361"/>
      <w:bookmarkEnd w:id="36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362"/>
      <w:bookmarkEnd w:id="36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563"/>
        <w:gridCol w:w="1474"/>
        <w:gridCol w:w="1474"/>
        <w:gridCol w:w="1731"/>
        <w:gridCol w:w="1729"/>
        <w:gridCol w:w="1728"/>
      </w:tblGrid>
      <w:tr>
        <w:trPr>
          <w:trHeight w:val="396" w:hRule="exact"/>
        </w:trPr>
        <w:tc>
          <w:tcPr>
            <w:tcW w:w="156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497"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9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8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3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3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2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3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2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63"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51"/>
              <w:ind w:left="14" w:right="87"/>
              <w:jc w:val="left"/>
              <w:rPr>
                <w:rFonts w:ascii="宋体" w:hAnsi="宋体" w:cs="宋体" w:eastAsia="宋体" w:hint="default"/>
                <w:sz w:val="18"/>
                <w:szCs w:val="18"/>
              </w:rPr>
            </w:pPr>
            <w:r>
              <w:rPr>
                <w:rFonts w:ascii="宋体" w:hAnsi="宋体" w:cs="宋体" w:eastAsia="宋体" w:hint="default"/>
                <w:sz w:val="18"/>
                <w:szCs w:val="18"/>
              </w:rPr>
              <w:t>郑州高新梧桐水务 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自来水</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44,722,303.45</w:t>
            </w:r>
          </w:p>
        </w:tc>
        <w:tc>
          <w:tcPr>
            <w:tcW w:w="1731"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39,800,531.99</w:t>
            </w:r>
          </w:p>
        </w:tc>
      </w:tr>
      <w:tr>
        <w:trPr>
          <w:trHeight w:val="723" w:hRule="exact"/>
        </w:trPr>
        <w:tc>
          <w:tcPr>
            <w:tcW w:w="1563"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49"/>
              <w:ind w:left="14" w:right="87"/>
              <w:jc w:val="left"/>
              <w:rPr>
                <w:rFonts w:ascii="宋体" w:hAnsi="宋体" w:cs="宋体" w:eastAsia="宋体" w:hint="default"/>
                <w:sz w:val="18"/>
                <w:szCs w:val="18"/>
              </w:rPr>
            </w:pPr>
            <w:r>
              <w:rPr>
                <w:rFonts w:ascii="宋体" w:hAnsi="宋体" w:cs="宋体" w:eastAsia="宋体" w:hint="default"/>
                <w:sz w:val="18"/>
                <w:szCs w:val="18"/>
              </w:rPr>
              <w:t>泰瑞数创科技（北 京）有限公司</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数据采集</w:t>
            </w:r>
          </w:p>
        </w:tc>
        <w:tc>
          <w:tcPr>
            <w:tcW w:w="1474" w:type="dxa"/>
            <w:tcBorders>
              <w:top w:val="single" w:sz="4" w:space="0" w:color="000000"/>
              <w:left w:val="single" w:sz="4" w:space="0" w:color="000000"/>
              <w:bottom w:val="single" w:sz="12" w:space="0" w:color="000000"/>
              <w:right w:val="single" w:sz="4" w:space="0" w:color="000000"/>
            </w:tcBorders>
          </w:tcPr>
          <w:p>
            <w:pPr/>
          </w:p>
        </w:tc>
        <w:tc>
          <w:tcPr>
            <w:tcW w:w="1731" w:type="dxa"/>
            <w:tcBorders>
              <w:top w:val="single" w:sz="4" w:space="0" w:color="000000"/>
              <w:left w:val="single" w:sz="4" w:space="0" w:color="000000"/>
              <w:bottom w:val="single" w:sz="12" w:space="0" w:color="000000"/>
              <w:right w:val="single" w:sz="4" w:space="0" w:color="000000"/>
            </w:tcBorders>
          </w:tcPr>
          <w:p>
            <w:pPr/>
          </w:p>
        </w:tc>
        <w:tc>
          <w:tcPr>
            <w:tcW w:w="1729" w:type="dxa"/>
            <w:tcBorders>
              <w:top w:val="single" w:sz="4" w:space="0" w:color="000000"/>
              <w:left w:val="single" w:sz="4" w:space="0" w:color="000000"/>
              <w:bottom w:val="single" w:sz="12" w:space="0" w:color="000000"/>
              <w:right w:val="single" w:sz="4" w:space="0" w:color="000000"/>
            </w:tcBorders>
          </w:tcPr>
          <w:p>
            <w:pPr/>
          </w:p>
        </w:tc>
        <w:tc>
          <w:tcPr>
            <w:tcW w:w="172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708,000.00</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关联担保情况" w:id="363"/>
      <w:bookmarkEnd w:id="363"/>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937"/>
        <w:gridCol w:w="1942"/>
        <w:gridCol w:w="1940"/>
        <w:gridCol w:w="1940"/>
        <w:gridCol w:w="1939"/>
      </w:tblGrid>
      <w:tr>
        <w:trPr>
          <w:trHeight w:val="398" w:hRule="exact"/>
        </w:trPr>
        <w:tc>
          <w:tcPr>
            <w:tcW w:w="193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4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60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15"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4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16"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3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64"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22" w:hRule="exact"/>
        </w:trPr>
        <w:tc>
          <w:tcPr>
            <w:tcW w:w="1937" w:type="dxa"/>
            <w:tcBorders>
              <w:top w:val="single" w:sz="4" w:space="0" w:color="000000"/>
              <w:left w:val="single" w:sz="12" w:space="0" w:color="000000"/>
              <w:bottom w:val="single" w:sz="12" w:space="0" w:color="000000"/>
              <w:right w:val="single" w:sz="4" w:space="0" w:color="000000"/>
            </w:tcBorders>
          </w:tcPr>
          <w:p>
            <w:pPr>
              <w:pStyle w:val="TableParagraph"/>
              <w:spacing w:line="314" w:lineRule="auto" w:before="49"/>
              <w:ind w:left="14" w:right="101"/>
              <w:jc w:val="left"/>
              <w:rPr>
                <w:rFonts w:ascii="宋体" w:hAnsi="宋体" w:cs="宋体" w:eastAsia="宋体" w:hint="default"/>
                <w:sz w:val="18"/>
                <w:szCs w:val="18"/>
              </w:rPr>
            </w:pPr>
            <w:r>
              <w:rPr>
                <w:rFonts w:ascii="宋体" w:hAnsi="宋体" w:cs="宋体" w:eastAsia="宋体" w:hint="default"/>
                <w:sz w:val="18"/>
                <w:szCs w:val="18"/>
              </w:rPr>
              <w:t>郑州高新梧桐水务有限 公司</w:t>
            </w:r>
          </w:p>
        </w:tc>
        <w:tc>
          <w:tcPr>
            <w:tcW w:w="19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4" w:right="0"/>
              <w:jc w:val="left"/>
              <w:rPr>
                <w:rFonts w:ascii="Times New Roman" w:hAnsi="Times New Roman" w:cs="Times New Roman" w:eastAsia="Times New Roman" w:hint="default"/>
                <w:sz w:val="18"/>
                <w:szCs w:val="18"/>
              </w:rPr>
            </w:pPr>
            <w:r>
              <w:rPr>
                <w:rFonts w:ascii="Times New Roman"/>
                <w:sz w:val="18"/>
              </w:rPr>
              <w:t>33,000,000.00</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关键管理人员报酬" w:id="364"/>
      <w:bookmarkEnd w:id="364"/>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8"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7,580,100.00</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6,548,300.00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6、关联方应收应付款项" w:id="365"/>
      <w:bookmarkEnd w:id="36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366"/>
      <w:bookmarkEnd w:id="36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18"/>
        <w:gridCol w:w="1618"/>
        <w:gridCol w:w="1615"/>
        <w:gridCol w:w="1616"/>
        <w:gridCol w:w="1616"/>
        <w:gridCol w:w="1615"/>
      </w:tblGrid>
      <w:tr>
        <w:trPr>
          <w:trHeight w:val="413" w:hRule="exact"/>
        </w:trPr>
        <w:tc>
          <w:tcPr>
            <w:tcW w:w="1618"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18"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231"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18" w:type="dxa"/>
            <w:vMerge/>
            <w:tcBorders>
              <w:left w:val="single" w:sz="12" w:space="0" w:color="000000"/>
              <w:bottom w:val="single" w:sz="4" w:space="0" w:color="000000"/>
              <w:right w:val="single" w:sz="4" w:space="0" w:color="000000"/>
            </w:tcBorders>
            <w:shd w:val="clear" w:color="auto" w:fill="D2D2D2"/>
          </w:tcPr>
          <w:p>
            <w:pPr/>
          </w:p>
        </w:tc>
        <w:tc>
          <w:tcPr>
            <w:tcW w:w="1618" w:type="dxa"/>
            <w:vMerge/>
            <w:tcBorders>
              <w:left w:val="single" w:sz="4" w:space="0" w:color="000000"/>
              <w:bottom w:val="single" w:sz="4" w:space="0" w:color="000000"/>
              <w:right w:val="single" w:sz="4" w:space="0" w:color="000000"/>
            </w:tcBorders>
            <w:shd w:val="clear" w:color="auto" w:fill="D2D2D2"/>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5"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22" w:hRule="exact"/>
        </w:trPr>
        <w:tc>
          <w:tcPr>
            <w:tcW w:w="161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142"/>
              <w:jc w:val="left"/>
              <w:rPr>
                <w:rFonts w:ascii="宋体" w:hAnsi="宋体" w:cs="宋体" w:eastAsia="宋体" w:hint="default"/>
                <w:sz w:val="18"/>
                <w:szCs w:val="18"/>
              </w:rPr>
            </w:pPr>
            <w:r>
              <w:rPr>
                <w:rFonts w:ascii="宋体" w:hAnsi="宋体" w:cs="宋体" w:eastAsia="宋体" w:hint="default"/>
                <w:sz w:val="18"/>
                <w:szCs w:val="18"/>
              </w:rPr>
              <w:t>郑州高新梧桐水务 有限公司</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3,425,400.00</w:t>
            </w:r>
          </w:p>
        </w:tc>
        <w:tc>
          <w:tcPr>
            <w:tcW w:w="1616" w:type="dxa"/>
            <w:tcBorders>
              <w:top w:val="single" w:sz="4" w:space="0" w:color="000000"/>
              <w:left w:val="single" w:sz="4" w:space="0" w:color="000000"/>
              <w:bottom w:val="single" w:sz="12" w:space="0" w:color="000000"/>
              <w:right w:val="single" w:sz="4" w:space="0" w:color="000000"/>
            </w:tcBorders>
          </w:tcPr>
          <w:p>
            <w:pPr/>
          </w:p>
        </w:tc>
        <w:tc>
          <w:tcPr>
            <w:tcW w:w="1616" w:type="dxa"/>
            <w:tcBorders>
              <w:top w:val="single" w:sz="4" w:space="0" w:color="000000"/>
              <w:left w:val="single" w:sz="4" w:space="0" w:color="000000"/>
              <w:bottom w:val="single" w:sz="12" w:space="0" w:color="000000"/>
              <w:right w:val="single" w:sz="4" w:space="0" w:color="000000"/>
            </w:tcBorders>
          </w:tcPr>
          <w:p>
            <w:pPr/>
          </w:p>
        </w:tc>
        <w:tc>
          <w:tcPr>
            <w:tcW w:w="1615"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应付项目" w:id="367"/>
      <w:bookmarkEnd w:id="36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2422"/>
        <w:gridCol w:w="2427"/>
        <w:gridCol w:w="2424"/>
        <w:gridCol w:w="2425"/>
      </w:tblGrid>
      <w:tr>
        <w:trPr>
          <w:trHeight w:val="396" w:hRule="exact"/>
        </w:trPr>
        <w:tc>
          <w:tcPr>
            <w:tcW w:w="242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9"/>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2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66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2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66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22" w:hRule="exact"/>
        </w:trPr>
        <w:tc>
          <w:tcPr>
            <w:tcW w:w="242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7"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泰瑞数创科技（北京）有限公 司</w:t>
            </w:r>
          </w:p>
        </w:tc>
        <w:tc>
          <w:tcPr>
            <w:tcW w:w="2424" w:type="dxa"/>
            <w:tcBorders>
              <w:top w:val="single" w:sz="4" w:space="0" w:color="000000"/>
              <w:left w:val="single" w:sz="4" w:space="0" w:color="000000"/>
              <w:bottom w:val="single" w:sz="12" w:space="0" w:color="000000"/>
              <w:right w:val="single" w:sz="4" w:space="0" w:color="000000"/>
            </w:tcBorders>
          </w:tcPr>
          <w:p>
            <w:pPr/>
          </w:p>
        </w:tc>
        <w:tc>
          <w:tcPr>
            <w:tcW w:w="24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7" w:right="0"/>
              <w:jc w:val="left"/>
              <w:rPr>
                <w:rFonts w:ascii="Times New Roman" w:hAnsi="Times New Roman" w:cs="Times New Roman" w:eastAsia="Times New Roman" w:hint="default"/>
                <w:sz w:val="18"/>
                <w:szCs w:val="18"/>
              </w:rPr>
            </w:pPr>
            <w:r>
              <w:rPr>
                <w:rFonts w:ascii="Times New Roman"/>
                <w:sz w:val="18"/>
              </w:rPr>
              <w:t>3,530,400.00</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十三、承诺及或有事项" w:id="368"/>
      <w:bookmarkEnd w:id="368"/>
      <w:r>
        <w:rPr>
          <w:b w:val="0"/>
          <w:bCs w:val="0"/>
        </w:rPr>
      </w: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369"/>
      <w:bookmarkEnd w:id="36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7"/>
        <w:ind w:left="573" w:right="0"/>
        <w:jc w:val="left"/>
      </w:pPr>
      <w:r>
        <w:rPr/>
        <w:t>报告期无重要的承诺事项。</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或有事项" w:id="370"/>
      <w:bookmarkEnd w:id="37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371"/>
      <w:bookmarkEnd w:id="37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30"/>
          <w:szCs w:val="30"/>
        </w:rPr>
      </w:pPr>
    </w:p>
    <w:p>
      <w:pPr>
        <w:pStyle w:val="BodyText"/>
        <w:spacing w:line="386" w:lineRule="auto" w:before="0"/>
        <w:ind w:right="1126" w:firstLine="420"/>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23</w:t>
      </w:r>
      <w:r>
        <w:rPr>
          <w:spacing w:val="-2"/>
        </w:rPr>
        <w:t>日，公司孙公司高新供水为其合营公司郑州高新梧桐水务有限公司借款</w:t>
      </w:r>
      <w:r>
        <w:rPr>
          <w:rFonts w:ascii="Times New Roman" w:hAnsi="Times New Roman" w:cs="Times New Roman" w:eastAsia="Times New Roman" w:hint="default"/>
          <w:spacing w:val="-2"/>
        </w:rPr>
        <w:t>6,500.00</w:t>
      </w:r>
      <w:r>
        <w:rPr>
          <w:spacing w:val="-2"/>
        </w:rPr>
        <w:t>万元提供</w:t>
      </w:r>
      <w:r>
        <w:rPr>
          <w:w w:val="100"/>
        </w:rPr>
        <w:t> </w:t>
      </w:r>
      <w:r>
        <w:rPr/>
        <w:t>担保，该项借款截止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日尚未到期，借款余额</w:t>
      </w:r>
      <w:r>
        <w:rPr>
          <w:rFonts w:ascii="Times New Roman" w:hAnsi="Times New Roman" w:cs="Times New Roman" w:eastAsia="Times New Roman" w:hint="default"/>
        </w:rPr>
        <w:t>3,300.00</w:t>
      </w:r>
      <w:r>
        <w:rPr/>
        <w:t>万元。截止报告期末，郑州高新梧桐水</w:t>
      </w:r>
      <w:r>
        <w:rPr>
          <w:spacing w:val="-28"/>
        </w:rPr>
        <w:t> </w:t>
      </w:r>
      <w:r>
        <w:rPr>
          <w:spacing w:val="-28"/>
        </w:rPr>
      </w:r>
      <w:r>
        <w:rPr/>
        <w:t>务有限公司经营及财务状况正常，公司无需确认或有负债。</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公司没有需要披露的重要或有事项，也应予以说明" w:id="372"/>
      <w:bookmarkEnd w:id="37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十四、资产负债表日后事项" w:id="373"/>
      <w:bookmarkEnd w:id="373"/>
      <w:r>
        <w:rPr>
          <w:b w:val="0"/>
          <w:bCs w:val="0"/>
        </w:rPr>
      </w: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利润分配情况" w:id="374"/>
      <w:bookmarkEnd w:id="374"/>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5049"/>
        <w:gridCol w:w="4647"/>
      </w:tblGrid>
      <w:tr>
        <w:trPr>
          <w:trHeight w:val="412" w:hRule="exact"/>
        </w:trPr>
        <w:tc>
          <w:tcPr>
            <w:tcW w:w="504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64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6,446,501.73</w:t>
            </w:r>
          </w:p>
        </w:tc>
      </w:tr>
      <w:tr>
        <w:trPr>
          <w:trHeight w:val="410" w:hRule="exact"/>
        </w:trPr>
        <w:tc>
          <w:tcPr>
            <w:tcW w:w="504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6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6,446,501.73</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其他资产负债表日后事项说明" w:id="375"/>
      <w:bookmarkEnd w:id="375"/>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6"/>
        <w:rPr>
          <w:rFonts w:ascii="宋体" w:hAnsi="宋体" w:cs="宋体" w:eastAsia="宋体" w:hint="default"/>
          <w:b/>
          <w:bCs/>
          <w:sz w:val="30"/>
          <w:szCs w:val="30"/>
        </w:rPr>
      </w:pPr>
    </w:p>
    <w:p>
      <w:pPr>
        <w:pStyle w:val="BodyText"/>
        <w:spacing w:line="386" w:lineRule="auto" w:before="0"/>
        <w:ind w:right="1090" w:firstLine="420"/>
        <w:jc w:val="right"/>
      </w:pPr>
      <w:r>
        <w:rPr>
          <w:rFonts w:ascii="Times New Roman" w:hAnsi="Times New Roman" w:cs="Times New Roman" w:eastAsia="Times New Roman" w:hint="default"/>
        </w:rPr>
        <w:t>1</w:t>
      </w:r>
      <w:r>
        <w:rPr/>
        <w:t>．收购苏州能斯达少数股权，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日，公司与苏州能斯达少数股东张珽、陈立桅签署股权</w:t>
      </w:r>
      <w:r>
        <w:rPr>
          <w:w w:val="100"/>
        </w:rPr>
        <w:t> </w:t>
      </w:r>
      <w:r>
        <w:rPr>
          <w:spacing w:val="-3"/>
        </w:rPr>
        <w:t>转让协议，公司以现金</w:t>
      </w:r>
      <w:r>
        <w:rPr>
          <w:rFonts w:ascii="Times New Roman" w:hAnsi="Times New Roman" w:cs="Times New Roman" w:eastAsia="Times New Roman" w:hint="default"/>
          <w:spacing w:val="-3"/>
        </w:rPr>
        <w:t>222.08</w:t>
      </w:r>
      <w:r>
        <w:rPr>
          <w:spacing w:val="-3"/>
        </w:rPr>
        <w:t>万元收购张珽、陈立桅合计持有的苏州能斯达</w:t>
      </w:r>
      <w:r>
        <w:rPr>
          <w:rFonts w:ascii="Times New Roman" w:hAnsi="Times New Roman" w:cs="Times New Roman" w:eastAsia="Times New Roman" w:hint="default"/>
          <w:spacing w:val="-3"/>
        </w:rPr>
        <w:t>9.04%</w:t>
      </w:r>
      <w:r>
        <w:rPr>
          <w:spacing w:val="-3"/>
        </w:rPr>
        <w:t>的股权，</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w:t>
      </w:r>
      <w:r>
        <w:rPr>
          <w:spacing w:val="-3"/>
        </w:rPr>
        <w:t>日已</w:t>
      </w:r>
      <w:r>
        <w:rPr>
          <w:spacing w:val="-3"/>
          <w:w w:val="100"/>
        </w:rPr>
        <w:t> </w:t>
      </w:r>
      <w:r>
        <w:rPr>
          <w:spacing w:val="-2"/>
        </w:rPr>
        <w:t>完成工商变更，股权转让后公司共持有苏州能斯达</w:t>
      </w:r>
      <w:r>
        <w:rPr>
          <w:rFonts w:ascii="Times New Roman" w:hAnsi="Times New Roman" w:cs="Times New Roman" w:eastAsia="Times New Roman" w:hint="default"/>
          <w:spacing w:val="-2"/>
        </w:rPr>
        <w:t>68.35%</w:t>
      </w:r>
      <w:r>
        <w:rPr>
          <w:spacing w:val="-2"/>
        </w:rPr>
        <w:t>股权，截至本报告披露日该股权转让款已支付。</w:t>
      </w:r>
      <w:r>
        <w:rPr>
          <w:spacing w:val="-41"/>
        </w:rPr>
        <w:t> </w:t>
      </w:r>
      <w:r>
        <w:rPr>
          <w:spacing w:val="-41"/>
        </w:rPr>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11</w:t>
      </w:r>
      <w:r>
        <w:rPr>
          <w:spacing w:val="2"/>
        </w:rPr>
        <w:t>日，公司与嘉园环保少数股东高孔兴、黄开坚分别签订股权转让协议，公司以现金</w:t>
      </w:r>
    </w:p>
    <w:p>
      <w:pPr>
        <w:pStyle w:val="BodyText"/>
        <w:spacing w:line="386" w:lineRule="auto" w:before="36"/>
        <w:ind w:left="0" w:right="1090"/>
        <w:jc w:val="right"/>
      </w:pPr>
      <w:r>
        <w:rPr>
          <w:rFonts w:ascii="Times New Roman" w:hAnsi="Times New Roman" w:cs="Times New Roman" w:eastAsia="Times New Roman" w:hint="default"/>
          <w:spacing w:val="-1"/>
        </w:rPr>
        <w:t>12,282,492.60</w:t>
      </w:r>
      <w:r>
        <w:rPr>
          <w:spacing w:val="-1"/>
        </w:rPr>
        <w:t>元、</w:t>
      </w:r>
      <w:r>
        <w:rPr>
          <w:rFonts w:ascii="Times New Roman" w:hAnsi="Times New Roman" w:cs="Times New Roman" w:eastAsia="Times New Roman" w:hint="default"/>
          <w:spacing w:val="-1"/>
        </w:rPr>
        <w:t>1,383,958.80</w:t>
      </w:r>
      <w:r>
        <w:rPr>
          <w:spacing w:val="-1"/>
        </w:rPr>
        <w:t>元收购高孔兴、黄开坚持有的嘉园环保</w:t>
      </w:r>
      <w:r>
        <w:rPr>
          <w:rFonts w:ascii="Times New Roman" w:hAnsi="Times New Roman" w:cs="Times New Roman" w:eastAsia="Times New Roman" w:hint="default"/>
          <w:spacing w:val="-1"/>
        </w:rPr>
        <w:t>2.92%</w:t>
      </w:r>
      <w:r>
        <w:rPr>
          <w:spacing w:val="-1"/>
        </w:rPr>
        <w:t>、</w:t>
      </w:r>
      <w:r>
        <w:rPr>
          <w:rFonts w:ascii="Times New Roman" w:hAnsi="Times New Roman" w:cs="Times New Roman" w:eastAsia="Times New Roman" w:hint="default"/>
          <w:spacing w:val="-1"/>
        </w:rPr>
        <w:t>0.33%</w:t>
      </w:r>
      <w:r>
        <w:rPr>
          <w:spacing w:val="-1"/>
        </w:rPr>
        <w:t>股权，</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11</w:t>
      </w:r>
      <w:r>
        <w:rPr>
          <w:spacing w:val="-1"/>
        </w:rPr>
        <w:t>日</w:t>
      </w:r>
      <w:r>
        <w:rPr>
          <w:spacing w:val="-52"/>
        </w:rPr>
        <w:t> </w:t>
      </w:r>
      <w:r>
        <w:rPr>
          <w:spacing w:val="-2"/>
        </w:rPr>
        <w:t>已完成工商变更，股权转让后公司共持有嘉园环保</w:t>
      </w:r>
      <w:r>
        <w:rPr>
          <w:rFonts w:ascii="Times New Roman" w:hAnsi="Times New Roman" w:cs="Times New Roman" w:eastAsia="Times New Roman" w:hint="default"/>
          <w:spacing w:val="-2"/>
        </w:rPr>
        <w:t>83.25%</w:t>
      </w:r>
      <w:r>
        <w:rPr>
          <w:spacing w:val="-2"/>
        </w:rPr>
        <w:t>股权，截至本报告披露日该股权转让款已支付。</w:t>
      </w:r>
      <w:r>
        <w:rPr>
          <w:spacing w:val="-41"/>
        </w:rPr>
        <w:t> </w:t>
      </w:r>
      <w:r>
        <w:rPr>
          <w:spacing w:val="-41"/>
        </w:rPr>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日，公司与汉威智能仪表少数股东青岛积成电子股份有限公司签订股权转让协议，公</w:t>
      </w:r>
    </w:p>
    <w:p>
      <w:pPr>
        <w:pStyle w:val="BodyText"/>
        <w:spacing w:line="386" w:lineRule="auto" w:before="35"/>
        <w:ind w:right="0"/>
        <w:jc w:val="left"/>
      </w:pPr>
      <w:r>
        <w:rPr/>
        <w:t>司</w:t>
      </w:r>
      <w:r>
        <w:rPr>
          <w:spacing w:val="-28"/>
        </w:rPr>
        <w:t> </w:t>
      </w:r>
      <w:r>
        <w:rPr/>
        <w:t>以</w:t>
      </w:r>
      <w:r>
        <w:rPr>
          <w:spacing w:val="-28"/>
        </w:rPr>
        <w:t> </w:t>
      </w:r>
      <w:r>
        <w:rPr/>
        <w:t>现</w:t>
      </w:r>
      <w:r>
        <w:rPr>
          <w:spacing w:val="-25"/>
        </w:rPr>
        <w:t> </w:t>
      </w:r>
      <w:r>
        <w:rPr/>
        <w:t>金</w:t>
      </w:r>
      <w:r>
        <w:rPr>
          <w:spacing w:val="-27"/>
        </w:rPr>
        <w:t> </w:t>
      </w:r>
      <w:r>
        <w:rPr>
          <w:rFonts w:ascii="Times New Roman" w:hAnsi="Times New Roman" w:cs="Times New Roman" w:eastAsia="Times New Roman" w:hint="default"/>
        </w:rPr>
        <w:t>5,160,000.00</w:t>
      </w:r>
      <w:r>
        <w:rPr>
          <w:rFonts w:ascii="Times New Roman" w:hAnsi="Times New Roman" w:cs="Times New Roman" w:eastAsia="Times New Roman" w:hint="default"/>
          <w:spacing w:val="25"/>
        </w:rPr>
        <w:t> </w:t>
      </w:r>
      <w:r>
        <w:rPr/>
        <w:t>元</w:t>
      </w:r>
      <w:r>
        <w:rPr>
          <w:spacing w:val="-28"/>
        </w:rPr>
        <w:t> </w:t>
      </w:r>
      <w:r>
        <w:rPr/>
        <w:t>收</w:t>
      </w:r>
      <w:r>
        <w:rPr>
          <w:spacing w:val="-28"/>
        </w:rPr>
        <w:t> </w:t>
      </w:r>
      <w:r>
        <w:rPr/>
        <w:t>购</w:t>
      </w:r>
      <w:r>
        <w:rPr>
          <w:spacing w:val="-25"/>
        </w:rPr>
        <w:t> </w:t>
      </w:r>
      <w:r>
        <w:rPr/>
        <w:t>青</w:t>
      </w:r>
      <w:r>
        <w:rPr>
          <w:spacing w:val="-28"/>
        </w:rPr>
        <w:t> </w:t>
      </w:r>
      <w:r>
        <w:rPr/>
        <w:t>岛</w:t>
      </w:r>
      <w:r>
        <w:rPr>
          <w:spacing w:val="-28"/>
        </w:rPr>
        <w:t> </w:t>
      </w:r>
      <w:r>
        <w:rPr/>
        <w:t>积</w:t>
      </w:r>
      <w:r>
        <w:rPr>
          <w:spacing w:val="-28"/>
        </w:rPr>
        <w:t> </w:t>
      </w:r>
      <w:r>
        <w:rPr/>
        <w:t>成</w:t>
      </w:r>
      <w:r>
        <w:rPr>
          <w:spacing w:val="-28"/>
        </w:rPr>
        <w:t> </w:t>
      </w:r>
      <w:r>
        <w:rPr/>
        <w:t>电</w:t>
      </w:r>
      <w:r>
        <w:rPr>
          <w:spacing w:val="-28"/>
        </w:rPr>
        <w:t> </w:t>
      </w:r>
      <w:r>
        <w:rPr/>
        <w:t>子</w:t>
      </w:r>
      <w:r>
        <w:rPr>
          <w:spacing w:val="-28"/>
        </w:rPr>
        <w:t> </w:t>
      </w:r>
      <w:r>
        <w:rPr/>
        <w:t>股</w:t>
      </w:r>
      <w:r>
        <w:rPr>
          <w:spacing w:val="-28"/>
        </w:rPr>
        <w:t> </w:t>
      </w:r>
      <w:r>
        <w:rPr/>
        <w:t>份</w:t>
      </w:r>
      <w:r>
        <w:rPr>
          <w:spacing w:val="-25"/>
        </w:rPr>
        <w:t> </w:t>
      </w:r>
      <w:r>
        <w:rPr/>
        <w:t>有</w:t>
      </w:r>
      <w:r>
        <w:rPr>
          <w:spacing w:val="-28"/>
        </w:rPr>
        <w:t> </w:t>
      </w:r>
      <w:r>
        <w:rPr/>
        <w:t>限</w:t>
      </w:r>
      <w:r>
        <w:rPr>
          <w:spacing w:val="-28"/>
        </w:rPr>
        <w:t> </w:t>
      </w:r>
      <w:r>
        <w:rPr/>
        <w:t>公</w:t>
      </w:r>
      <w:r>
        <w:rPr>
          <w:spacing w:val="-28"/>
        </w:rPr>
        <w:t> </w:t>
      </w:r>
      <w:r>
        <w:rPr/>
        <w:t>司</w:t>
      </w:r>
      <w:r>
        <w:rPr>
          <w:spacing w:val="-28"/>
        </w:rPr>
        <w:t> </w:t>
      </w:r>
      <w:r>
        <w:rPr/>
        <w:t>持</w:t>
      </w:r>
      <w:r>
        <w:rPr>
          <w:spacing w:val="-28"/>
        </w:rPr>
        <w:t> </w:t>
      </w:r>
      <w:r>
        <w:rPr/>
        <w:t>有</w:t>
      </w:r>
      <w:r>
        <w:rPr>
          <w:spacing w:val="-28"/>
        </w:rPr>
        <w:t> </w:t>
      </w:r>
      <w:r>
        <w:rPr/>
        <w:t>汉</w:t>
      </w:r>
      <w:r>
        <w:rPr>
          <w:spacing w:val="-28"/>
        </w:rPr>
        <w:t> </w:t>
      </w:r>
      <w:r>
        <w:rPr/>
        <w:t>威</w:t>
      </w:r>
      <w:r>
        <w:rPr>
          <w:spacing w:val="-25"/>
        </w:rPr>
        <w:t> </w:t>
      </w:r>
      <w:r>
        <w:rPr/>
        <w:t>智</w:t>
      </w:r>
      <w:r>
        <w:rPr>
          <w:spacing w:val="-28"/>
        </w:rPr>
        <w:t> </w:t>
      </w:r>
      <w:r>
        <w:rPr/>
        <w:t>能</w:t>
      </w:r>
      <w:r>
        <w:rPr>
          <w:spacing w:val="-28"/>
        </w:rPr>
        <w:t> </w:t>
      </w:r>
      <w:r>
        <w:rPr/>
        <w:t>仪</w:t>
      </w:r>
      <w:r>
        <w:rPr>
          <w:spacing w:val="-28"/>
        </w:rPr>
        <w:t> </w:t>
      </w:r>
      <w:r>
        <w:rPr/>
        <w:t>表</w:t>
      </w:r>
      <w:r>
        <w:rPr>
          <w:spacing w:val="-20"/>
        </w:rPr>
        <w:t> </w:t>
      </w:r>
      <w:r>
        <w:rPr>
          <w:rFonts w:ascii="Times New Roman" w:hAnsi="Times New Roman" w:cs="Times New Roman" w:eastAsia="Times New Roman" w:hint="default"/>
        </w:rPr>
        <w:t>30%</w:t>
      </w:r>
      <w:r>
        <w:rPr>
          <w:rFonts w:ascii="Times New Roman" w:hAnsi="Times New Roman" w:cs="Times New Roman" w:eastAsia="Times New Roman" w:hint="default"/>
          <w:spacing w:val="26"/>
        </w:rPr>
        <w:t> </w:t>
      </w:r>
      <w:r>
        <w:rPr/>
        <w:t>股</w:t>
      </w:r>
      <w:r>
        <w:rPr>
          <w:w w:val="100"/>
        </w:rPr>
        <w:t> </w:t>
      </w:r>
      <w:r>
        <w:rPr/>
        <w:t>权，</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日已完成工商变更，截至本报告披露日该股权转让款已支付。</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十五、其他重要事项" w:id="376"/>
      <w:bookmarkEnd w:id="376"/>
      <w:r>
        <w:rPr>
          <w:b w:val="0"/>
          <w:bCs w:val="0"/>
        </w:rPr>
      </w: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分部信息" w:id="377"/>
      <w:bookmarkEnd w:id="377"/>
      <w:r>
        <w:rPr>
          <w:b w:val="0"/>
          <w:bCs w:val="0"/>
        </w:rPr>
      </w:r>
      <w:r>
        <w:rPr>
          <w:rFonts w:ascii="Times New Roman" w:hAnsi="Times New Roman" w:cs="Times New Roman" w:eastAsia="Times New Roman" w:hint="default"/>
        </w:rPr>
        <w:t>1</w:t>
      </w:r>
      <w:r>
        <w:rPr/>
        <w:t>、分部信息</w:t>
      </w:r>
      <w:r>
        <w:rPr>
          <w:b w:val="0"/>
          <w:bCs w:val="0"/>
        </w:rPr>
      </w:r>
    </w:p>
    <w:p>
      <w:pPr>
        <w:spacing w:line="692" w:lineRule="exact" w:before="13"/>
        <w:ind w:left="573" w:right="6794" w:hanging="421"/>
        <w:jc w:val="left"/>
        <w:rPr>
          <w:rFonts w:ascii="宋体" w:hAnsi="宋体" w:cs="宋体" w:eastAsia="宋体" w:hint="default"/>
          <w:sz w:val="21"/>
          <w:szCs w:val="21"/>
        </w:rPr>
      </w:pPr>
      <w:bookmarkStart w:name="（1）报告分部的确定依据与会计政策" w:id="378"/>
      <w:bookmarkEnd w:id="3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分部报告的确定依据与会计政策：</w:t>
      </w:r>
    </w:p>
    <w:p>
      <w:pPr>
        <w:pStyle w:val="BodyText"/>
        <w:spacing w:line="408" w:lineRule="auto" w:before="84"/>
        <w:ind w:left="573" w:right="0"/>
        <w:jc w:val="left"/>
      </w:pPr>
      <w:r>
        <w:rPr/>
        <w:t>本公司以内部组织结构、管理要求、内部报告制度为依据确定业务分部。</w:t>
      </w:r>
      <w:r>
        <w:rPr>
          <w:w w:val="100"/>
        </w:rPr>
        <w:t> </w:t>
      </w:r>
      <w:r>
        <w:rPr>
          <w:spacing w:val="-2"/>
        </w:rPr>
        <w:t>本公司的业务分部是指同时满足下列条件的组成部分：该组成部分能够在日常活动中产生收入、发生</w:t>
      </w:r>
    </w:p>
    <w:p>
      <w:pPr>
        <w:pStyle w:val="BodyText"/>
        <w:spacing w:line="408" w:lineRule="auto"/>
        <w:ind w:right="0"/>
        <w:jc w:val="left"/>
      </w:pPr>
      <w:r>
        <w:rPr>
          <w:spacing w:val="-2"/>
        </w:rPr>
        <w:t>费用；管理层能够定期评价该组成部分的经营成果，以决定向其配置资源、评价其业绩；能够取得该组成</w:t>
      </w:r>
      <w:r>
        <w:rPr>
          <w:spacing w:val="-47"/>
        </w:rPr>
        <w:t> </w:t>
      </w:r>
      <w:r>
        <w:rPr>
          <w:spacing w:val="-47"/>
        </w:rPr>
      </w:r>
      <w:r>
        <w:rPr/>
        <w:t>部分的财务状况、经营成果和现金流量等有关会计信息。</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2）报告分部的财务信息" w:id="379"/>
      <w:bookmarkEnd w:id="37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67"/>
        <w:gridCol w:w="1399"/>
        <w:gridCol w:w="1385"/>
        <w:gridCol w:w="1385"/>
        <w:gridCol w:w="1385"/>
        <w:gridCol w:w="1385"/>
        <w:gridCol w:w="1385"/>
      </w:tblGrid>
      <w:tr>
        <w:trPr>
          <w:trHeight w:val="412" w:hRule="exact"/>
        </w:trPr>
        <w:tc>
          <w:tcPr>
            <w:tcW w:w="13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9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传感器</w:t>
            </w:r>
          </w:p>
        </w:tc>
        <w:tc>
          <w:tcPr>
            <w:tcW w:w="13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工业安全</w:t>
            </w:r>
          </w:p>
        </w:tc>
        <w:tc>
          <w:tcPr>
            <w:tcW w:w="13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智慧市政</w:t>
            </w:r>
          </w:p>
        </w:tc>
        <w:tc>
          <w:tcPr>
            <w:tcW w:w="13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智慧环保</w:t>
            </w:r>
          </w:p>
        </w:tc>
        <w:tc>
          <w:tcPr>
            <w:tcW w:w="13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7"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8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3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78"/>
              <w:jc w:val="left"/>
              <w:rPr>
                <w:rFonts w:ascii="宋体" w:hAnsi="宋体" w:cs="宋体" w:eastAsia="宋体" w:hint="default"/>
                <w:sz w:val="18"/>
                <w:szCs w:val="18"/>
              </w:rPr>
            </w:pPr>
            <w:r>
              <w:rPr>
                <w:rFonts w:ascii="宋体" w:hAnsi="宋体" w:cs="宋体" w:eastAsia="宋体" w:hint="default"/>
                <w:sz w:val="18"/>
                <w:szCs w:val="18"/>
              </w:rPr>
              <w:t>一、主营业务收 入</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180,990,950.39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376,791,804.68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876,715,136.31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383,349,258.61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-48,168,860.35</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1,769,678,289.64</w:t>
            </w:r>
          </w:p>
        </w:tc>
      </w:tr>
      <w:tr>
        <w:trPr>
          <w:trHeight w:val="722" w:hRule="exact"/>
        </w:trPr>
        <w:tc>
          <w:tcPr>
            <w:tcW w:w="13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4" w:lineRule="auto" w:before="51"/>
              <w:ind w:left="7" w:right="78"/>
              <w:jc w:val="left"/>
              <w:rPr>
                <w:rFonts w:ascii="宋体" w:hAnsi="宋体" w:cs="宋体" w:eastAsia="宋体" w:hint="default"/>
                <w:sz w:val="18"/>
                <w:szCs w:val="18"/>
              </w:rPr>
            </w:pPr>
            <w:r>
              <w:rPr>
                <w:rFonts w:ascii="宋体" w:hAnsi="宋体" w:cs="宋体" w:eastAsia="宋体" w:hint="default"/>
                <w:sz w:val="18"/>
                <w:szCs w:val="18"/>
              </w:rPr>
              <w:t>二、主营业务成 本</w:t>
            </w:r>
          </w:p>
        </w:tc>
        <w:tc>
          <w:tcPr>
            <w:tcW w:w="1399"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110,266,607.14</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202,460,515.16</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657,888,483.77</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288,902,553.49</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-43,390,665.57</w:t>
            </w: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1,216,127,493.99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384"/>
        <w:gridCol w:w="1388"/>
        <w:gridCol w:w="1385"/>
        <w:gridCol w:w="1385"/>
        <w:gridCol w:w="1385"/>
        <w:gridCol w:w="1385"/>
        <w:gridCol w:w="1385"/>
      </w:tblGrid>
      <w:tr>
        <w:trPr>
          <w:trHeight w:val="1037" w:hRule="exact"/>
        </w:trPr>
        <w:tc>
          <w:tcPr>
            <w:tcW w:w="138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1"/>
              <w:ind w:left="13" w:right="89"/>
              <w:jc w:val="both"/>
              <w:rPr>
                <w:rFonts w:ascii="宋体" w:hAnsi="宋体" w:cs="宋体" w:eastAsia="宋体" w:hint="default"/>
                <w:sz w:val="18"/>
                <w:szCs w:val="18"/>
              </w:rPr>
            </w:pPr>
            <w:r>
              <w:rPr>
                <w:rFonts w:ascii="宋体" w:hAnsi="宋体" w:cs="宋体" w:eastAsia="宋体" w:hint="default"/>
                <w:sz w:val="18"/>
                <w:szCs w:val="18"/>
              </w:rPr>
              <w:t>三、对联营和合 营企业的投资收 益</w:t>
            </w:r>
          </w:p>
        </w:tc>
        <w:tc>
          <w:tcPr>
            <w:tcW w:w="1388"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6,733,939.96</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2,559,445.05</w:t>
            </w: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4" w:space="0" w:color="000000"/>
            </w:tcBorders>
          </w:tcPr>
          <w:p>
            <w:pPr/>
          </w:p>
        </w:tc>
        <w:tc>
          <w:tcPr>
            <w:tcW w:w="138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9,293,385.01</w:t>
            </w:r>
          </w:p>
        </w:tc>
      </w:tr>
      <w:tr>
        <w:trPr>
          <w:trHeight w:val="71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89"/>
              <w:jc w:val="left"/>
              <w:rPr>
                <w:rFonts w:ascii="宋体" w:hAnsi="宋体" w:cs="宋体" w:eastAsia="宋体" w:hint="default"/>
                <w:sz w:val="18"/>
                <w:szCs w:val="18"/>
              </w:rPr>
            </w:pPr>
            <w:r>
              <w:rPr>
                <w:rFonts w:ascii="宋体" w:hAnsi="宋体" w:cs="宋体" w:eastAsia="宋体" w:hint="default"/>
                <w:sz w:val="18"/>
                <w:szCs w:val="18"/>
              </w:rPr>
              <w:t>四、资产减值损 失</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4,995,596.53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124,972,870.22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13,039,055.11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2,644,621.08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95,968,522.97</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241,620,665.91</w:t>
            </w:r>
          </w:p>
        </w:tc>
      </w:tr>
      <w:tr>
        <w:trPr>
          <w:trHeight w:val="715"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13" w:right="89"/>
              <w:jc w:val="left"/>
              <w:rPr>
                <w:rFonts w:ascii="宋体" w:hAnsi="宋体" w:cs="宋体" w:eastAsia="宋体" w:hint="default"/>
                <w:sz w:val="18"/>
                <w:szCs w:val="18"/>
              </w:rPr>
            </w:pPr>
            <w:r>
              <w:rPr>
                <w:rFonts w:ascii="宋体" w:hAnsi="宋体" w:cs="宋体" w:eastAsia="宋体" w:hint="default"/>
                <w:sz w:val="18"/>
                <w:szCs w:val="18"/>
              </w:rPr>
              <w:t>五、折旧费和摊 销费</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5,585,737.79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26,660,563.15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54,735,503.89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38,596,450.17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9,055,137.49</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134,633,392.49</w:t>
            </w: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六、利润总额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35,079,073.78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62,941,531.58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161,181,349.57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-10,503,763.50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-250,232,254.03</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-1,534,062.60</w:t>
            </w:r>
          </w:p>
        </w:tc>
      </w:tr>
      <w:tr>
        <w:trPr>
          <w:trHeight w:val="403"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3,649,536.77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5,053,053.47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49,475,609.15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5,516,787.72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-1,679,647.70</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62,015,339.41</w:t>
            </w:r>
          </w:p>
        </w:tc>
      </w:tr>
      <w:tr>
        <w:trPr>
          <w:trHeight w:val="401"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八、净利润</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31,429,537.01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57,888,478.11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111,705,740.42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-16,020,551.22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-248,552,606.33</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-63,549,402.01</w:t>
            </w:r>
          </w:p>
        </w:tc>
      </w:tr>
      <w:tr>
        <w:trPr>
          <w:trHeight w:val="404" w:hRule="exact"/>
        </w:trPr>
        <w:tc>
          <w:tcPr>
            <w:tcW w:w="13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207,852,318.38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3,121,197,467.63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3,380,162,387.61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928,058,080.38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-2,833,691,349.37</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4,803,578,904.63</w:t>
            </w:r>
          </w:p>
        </w:tc>
      </w:tr>
      <w:tr>
        <w:trPr>
          <w:trHeight w:val="410" w:hRule="exact"/>
        </w:trPr>
        <w:tc>
          <w:tcPr>
            <w:tcW w:w="138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43,470,261.72</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1,879,576,230.75</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1,888,914,462.84</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504,715,803.97</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-1,383,983,214.96</w:t>
            </w: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2,932,693,544.32</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其他" w:id="380"/>
      <w:bookmarkEnd w:id="380"/>
      <w:r>
        <w:rPr>
          <w:b w:val="0"/>
          <w:bCs w:val="0"/>
        </w:rPr>
      </w:r>
      <w:r>
        <w:rPr>
          <w:rFonts w:ascii="Times New Roman" w:hAnsi="Times New Roman" w:cs="Times New Roman" w:eastAsia="Times New Roman" w:hint="default"/>
        </w:rPr>
        <w:t>2</w:t>
      </w:r>
      <w:r>
        <w:rPr/>
        <w:t>、其他</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26" w:firstLine="420"/>
        <w:jc w:val="both"/>
      </w:pPr>
      <w:r>
        <w:rPr>
          <w:rFonts w:ascii="宋体" w:hAnsi="宋体" w:cs="宋体" w:eastAsia="宋体" w:hint="default"/>
          <w:spacing w:val="-2"/>
        </w:rPr>
        <w:t>1.2019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16</w:t>
      </w:r>
      <w:r>
        <w:rPr>
          <w:spacing w:val="-2"/>
        </w:rPr>
        <w:t>日，公司与招商证券资产管理有限公司签署《股权回购协议书》，公司以现金</w:t>
      </w:r>
      <w:r>
        <w:rPr>
          <w:rFonts w:ascii="宋体" w:hAnsi="宋体" w:cs="宋体" w:eastAsia="宋体" w:hint="default"/>
          <w:spacing w:val="-2"/>
        </w:rPr>
        <w:t>20,000</w:t>
      </w:r>
      <w:r>
        <w:rPr>
          <w:rFonts w:ascii="宋体" w:hAnsi="宋体" w:cs="宋体" w:eastAsia="宋体" w:hint="default"/>
          <w:w w:val="100"/>
        </w:rPr>
        <w:t> </w:t>
      </w:r>
      <w:r>
        <w:rPr>
          <w:spacing w:val="-2"/>
        </w:rPr>
        <w:t>万元提前回购招商证券资产管理有限公司持有的嘉园环保</w:t>
      </w:r>
      <w:r>
        <w:rPr>
          <w:rFonts w:ascii="宋体" w:hAnsi="宋体" w:cs="宋体" w:eastAsia="宋体" w:hint="default"/>
          <w:spacing w:val="-2"/>
        </w:rPr>
        <w:t>19.33%</w:t>
      </w:r>
      <w:r>
        <w:rPr>
          <w:spacing w:val="-2"/>
        </w:rPr>
        <w:t>股权，</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8</w:t>
      </w:r>
      <w:r>
        <w:rPr>
          <w:spacing w:val="-2"/>
        </w:rPr>
        <w:t>日在回购前提下的股权</w:t>
      </w:r>
      <w:r>
        <w:rPr>
          <w:spacing w:val="-31"/>
        </w:rPr>
        <w:t> </w:t>
      </w:r>
      <w:r>
        <w:rPr>
          <w:spacing w:val="-31"/>
        </w:rPr>
      </w:r>
      <w:r>
        <w:rPr/>
        <w:t>融资筹资已全部清偿完毕，嘉园环保相应股权已重新变更登记在公司名下。</w:t>
      </w:r>
    </w:p>
    <w:p>
      <w:pPr>
        <w:pStyle w:val="BodyText"/>
        <w:spacing w:line="408" w:lineRule="auto"/>
        <w:ind w:right="1129" w:firstLine="420"/>
        <w:jc w:val="both"/>
      </w:pPr>
      <w:r>
        <w:rPr>
          <w:rFonts w:ascii="宋体" w:hAnsi="宋体" w:cs="宋体" w:eastAsia="宋体" w:hint="default"/>
        </w:rPr>
        <w:t>2.2019</w:t>
      </w:r>
      <w:r>
        <w:rPr/>
        <w:t>年</w:t>
      </w:r>
      <w:r>
        <w:rPr>
          <w:rFonts w:ascii="宋体" w:hAnsi="宋体" w:cs="宋体" w:eastAsia="宋体" w:hint="default"/>
        </w:rPr>
        <w:t>7</w:t>
      </w:r>
      <w:r>
        <w:rPr/>
        <w:t>月</w:t>
      </w:r>
      <w:r>
        <w:rPr>
          <w:rFonts w:ascii="宋体" w:hAnsi="宋体" w:cs="宋体" w:eastAsia="宋体" w:hint="default"/>
        </w:rPr>
        <w:t>20</w:t>
      </w:r>
      <w:r>
        <w:rPr/>
        <w:t>日，嘉园环保原股东已完成缴纳全部现金补偿款义务，嘉园环保</w:t>
      </w:r>
      <w:r>
        <w:rPr>
          <w:rFonts w:ascii="宋体" w:hAnsi="宋体" w:cs="宋体" w:eastAsia="宋体" w:hint="default"/>
        </w:rPr>
        <w:t>2016</w:t>
      </w:r>
      <w:r>
        <w:rPr/>
        <w:t>年度未达成业绩</w:t>
      </w:r>
      <w:r>
        <w:rPr>
          <w:w w:val="100"/>
        </w:rPr>
        <w:t> </w:t>
      </w:r>
      <w:r>
        <w:rPr/>
        <w:t>承诺暨现金补偿事项进展完毕。</w:t>
      </w:r>
    </w:p>
    <w:p>
      <w:pPr>
        <w:pStyle w:val="BodyText"/>
        <w:spacing w:line="408" w:lineRule="auto"/>
        <w:ind w:right="1127" w:firstLine="420"/>
        <w:jc w:val="both"/>
      </w:pPr>
      <w:r>
        <w:rPr>
          <w:rFonts w:ascii="宋体" w:hAnsi="宋体" w:cs="宋体" w:eastAsia="宋体" w:hint="default"/>
        </w:rPr>
        <w:t>3.</w:t>
      </w:r>
      <w:r>
        <w:rPr/>
        <w:t>公司于</w:t>
      </w:r>
      <w:r>
        <w:rPr>
          <w:rFonts w:ascii="宋体" w:hAnsi="宋体" w:cs="宋体" w:eastAsia="宋体" w:hint="default"/>
        </w:rPr>
        <w:t>2015</w:t>
      </w:r>
      <w:r>
        <w:rPr/>
        <w:t>年</w:t>
      </w:r>
      <w:r>
        <w:rPr>
          <w:rFonts w:ascii="宋体" w:hAnsi="宋体" w:cs="宋体" w:eastAsia="宋体" w:hint="default"/>
        </w:rPr>
        <w:t>7</w:t>
      </w:r>
      <w:r>
        <w:rPr/>
        <w:t>月以</w:t>
      </w:r>
      <w:r>
        <w:rPr>
          <w:rFonts w:ascii="宋体" w:hAnsi="宋体" w:cs="宋体" w:eastAsia="宋体" w:hint="default"/>
        </w:rPr>
        <w:t>3,000</w:t>
      </w:r>
      <w:r>
        <w:rPr/>
        <w:t>万增资河南华夏海纳创业投资集团有限公司，持有该公司</w:t>
      </w:r>
      <w:r>
        <w:rPr>
          <w:rFonts w:ascii="宋体" w:hAnsi="宋体" w:cs="宋体" w:eastAsia="宋体" w:hint="default"/>
        </w:rPr>
        <w:t>5.45%</w:t>
      </w:r>
      <w:r>
        <w:rPr/>
        <w:t>股权。后</w:t>
      </w:r>
      <w:r>
        <w:rPr>
          <w:w w:val="100"/>
        </w:rPr>
        <w:t> </w:t>
      </w:r>
      <w:r>
        <w:rPr/>
        <w:t>因触发投资协议约定的股权回购和业绩承诺补偿相关条款，公司于</w:t>
      </w:r>
      <w:r>
        <w:rPr>
          <w:rFonts w:ascii="宋体" w:hAnsi="宋体" w:cs="宋体" w:eastAsia="宋体" w:hint="default"/>
        </w:rPr>
        <w:t>2019</w:t>
      </w:r>
      <w:r>
        <w:rPr/>
        <w:t>年</w:t>
      </w:r>
      <w:r>
        <w:rPr>
          <w:rFonts w:ascii="宋体" w:hAnsi="宋体" w:cs="宋体" w:eastAsia="宋体" w:hint="default"/>
        </w:rPr>
        <w:t>4</w:t>
      </w:r>
      <w:r>
        <w:rPr/>
        <w:t>月向郑州市中级人民法院提起</w:t>
      </w:r>
      <w:r>
        <w:rPr>
          <w:spacing w:val="-25"/>
        </w:rPr>
        <w:t> </w:t>
      </w:r>
      <w:r>
        <w:rPr>
          <w:spacing w:val="-25"/>
        </w:rPr>
      </w:r>
      <w:r>
        <w:rPr>
          <w:spacing w:val="-2"/>
        </w:rPr>
        <w:t>诉讼。根据判决结果，华夏海纳股东李明、李祺应回购汉威科技持有的华夏海纳全部股权。</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16</w:t>
      </w:r>
      <w:r>
        <w:rPr>
          <w:rFonts w:ascii="宋体" w:hAnsi="宋体" w:cs="宋体" w:eastAsia="宋体" w:hint="default"/>
          <w:spacing w:val="-40"/>
        </w:rPr>
        <w:t> </w:t>
      </w:r>
      <w:r>
        <w:rPr>
          <w:spacing w:val="-2"/>
        </w:rPr>
        <w:t>日，公司与李明、李祺、华夏海纳及郑州赛微云计算产业园有限公司签署《抵债协议》，并于同日与郑州</w:t>
      </w:r>
      <w:r>
        <w:rPr>
          <w:spacing w:val="-42"/>
        </w:rPr>
        <w:t> </w:t>
      </w:r>
      <w:r>
        <w:rPr>
          <w:spacing w:val="-42"/>
        </w:rPr>
      </w:r>
      <w:r>
        <w:rPr>
          <w:spacing w:val="-2"/>
        </w:rPr>
        <w:t>赛微云计算产业园有限公司签订《郑州大数据产业房产转让销售合同》，该诉讼事项至此终止。截至报告</w:t>
      </w:r>
      <w:r>
        <w:rPr>
          <w:spacing w:val="-47"/>
        </w:rPr>
        <w:t> </w:t>
      </w:r>
      <w:r>
        <w:rPr>
          <w:spacing w:val="-47"/>
        </w:rPr>
      </w:r>
      <w:r>
        <w:rPr/>
        <w:t>日，房产尚未交付，股权变更尚未办理。</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十六、母公司财务报表主要项目注释" w:id="381"/>
      <w:bookmarkEnd w:id="381"/>
      <w:r>
        <w:rPr>
          <w:b w:val="0"/>
          <w:bCs w:val="0"/>
        </w:rPr>
      </w: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应收账款" w:id="382"/>
      <w:bookmarkEnd w:id="382"/>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383"/>
      <w:bookmarkEnd w:id="38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635"/>
        <w:gridCol w:w="1527"/>
        <w:gridCol w:w="1524"/>
        <w:gridCol w:w="790"/>
        <w:gridCol w:w="1572"/>
        <w:gridCol w:w="1589"/>
        <w:gridCol w:w="931"/>
      </w:tblGrid>
      <w:tr>
        <w:trPr>
          <w:trHeight w:val="397" w:hRule="exact"/>
        </w:trPr>
        <w:tc>
          <w:tcPr>
            <w:tcW w:w="1635"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2" w:hRule="exact"/>
        </w:trPr>
        <w:tc>
          <w:tcPr>
            <w:tcW w:w="1635" w:type="dxa"/>
            <w:vMerge/>
            <w:tcBorders>
              <w:left w:val="single" w:sz="12" w:space="0" w:color="000000"/>
              <w:bottom w:val="single" w:sz="12" w:space="0" w:color="000000"/>
              <w:right w:val="single" w:sz="4" w:space="0" w:color="000000"/>
            </w:tcBorders>
            <w:shd w:val="clear" w:color="auto" w:fill="D2D2D2"/>
          </w:tcPr>
          <w:p>
            <w:pPr/>
          </w:p>
        </w:tc>
        <w:tc>
          <w:tcPr>
            <w:tcW w:w="152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0"/>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170" w:hRule="exact"/>
        </w:trPr>
        <w:tc>
          <w:tcPr>
            <w:tcW w:w="1635" w:type="dxa"/>
            <w:vMerge w:val="restart"/>
            <w:tcBorders>
              <w:top w:val="single" w:sz="12" w:space="0" w:color="000000"/>
              <w:left w:val="single" w:sz="12" w:space="0" w:color="000000"/>
              <w:right w:val="single" w:sz="4" w:space="0" w:color="FFFFFF"/>
            </w:tcBorders>
            <w:shd w:val="clear" w:color="auto" w:fill="D2D2D2"/>
          </w:tcPr>
          <w:p>
            <w:pPr/>
          </w:p>
        </w:tc>
        <w:tc>
          <w:tcPr>
            <w:tcW w:w="763" w:type="dxa"/>
            <w:tcBorders>
              <w:top w:val="single" w:sz="12" w:space="0" w:color="000000"/>
              <w:left w:val="single" w:sz="4" w:space="0" w:color="FFFFFF"/>
              <w:bottom w:val="nil" w:sz="6" w:space="0" w:color="auto"/>
              <w:right w:val="single" w:sz="4" w:space="0" w:color="000000"/>
            </w:tcBorders>
            <w:shd w:val="clear" w:color="auto" w:fill="D2D2D2"/>
          </w:tcPr>
          <w:p>
            <w:pPr/>
          </w:p>
        </w:tc>
        <w:tc>
          <w:tcPr>
            <w:tcW w:w="764" w:type="dxa"/>
            <w:tcBorders>
              <w:top w:val="single" w:sz="12" w:space="0" w:color="000000"/>
              <w:left w:val="single" w:sz="4" w:space="0" w:color="000000"/>
              <w:bottom w:val="nil" w:sz="6" w:space="0" w:color="auto"/>
              <w:right w:val="single" w:sz="4" w:space="0" w:color="000000"/>
            </w:tcBorders>
            <w:shd w:val="clear" w:color="auto" w:fill="D2D2D2"/>
          </w:tcPr>
          <w:p>
            <w:pPr/>
          </w:p>
        </w:tc>
        <w:tc>
          <w:tcPr>
            <w:tcW w:w="761" w:type="dxa"/>
            <w:tcBorders>
              <w:top w:val="single" w:sz="12"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12" w:space="0" w:color="000000"/>
              <w:left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12" w:space="0" w:color="000000"/>
              <w:left w:val="single" w:sz="4" w:space="0" w:color="000000"/>
              <w:right w:val="single" w:sz="4" w:space="0" w:color="000000"/>
            </w:tcBorders>
            <w:shd w:val="clear" w:color="auto" w:fill="D2D2D2"/>
          </w:tcPr>
          <w:p>
            <w:pPr/>
          </w:p>
        </w:tc>
        <w:tc>
          <w:tcPr>
            <w:tcW w:w="775" w:type="dxa"/>
            <w:tcBorders>
              <w:top w:val="single" w:sz="12" w:space="0" w:color="000000"/>
              <w:left w:val="single" w:sz="4" w:space="0" w:color="000000"/>
              <w:bottom w:val="nil" w:sz="6" w:space="0" w:color="auto"/>
              <w:right w:val="single" w:sz="4" w:space="0" w:color="000000"/>
            </w:tcBorders>
            <w:shd w:val="clear" w:color="auto" w:fill="D2D2D2"/>
          </w:tcPr>
          <w:p>
            <w:pPr/>
          </w:p>
        </w:tc>
        <w:tc>
          <w:tcPr>
            <w:tcW w:w="797" w:type="dxa"/>
            <w:tcBorders>
              <w:top w:val="single" w:sz="12" w:space="0" w:color="000000"/>
              <w:left w:val="single" w:sz="4" w:space="0" w:color="000000"/>
              <w:bottom w:val="nil" w:sz="6" w:space="0" w:color="auto"/>
              <w:right w:val="single" w:sz="4" w:space="0" w:color="000000"/>
            </w:tcBorders>
            <w:shd w:val="clear" w:color="auto" w:fill="D2D2D2"/>
          </w:tcPr>
          <w:p>
            <w:pPr/>
          </w:p>
        </w:tc>
        <w:tc>
          <w:tcPr>
            <w:tcW w:w="800" w:type="dxa"/>
            <w:tcBorders>
              <w:top w:val="single" w:sz="12" w:space="0" w:color="000000"/>
              <w:left w:val="single" w:sz="4" w:space="0" w:color="000000"/>
              <w:bottom w:val="nil" w:sz="6" w:space="0" w:color="auto"/>
              <w:right w:val="single" w:sz="4" w:space="0" w:color="000000"/>
            </w:tcBorders>
            <w:shd w:val="clear" w:color="auto" w:fill="D2D2D2"/>
          </w:tcPr>
          <w:p>
            <w:pPr/>
          </w:p>
        </w:tc>
        <w:tc>
          <w:tcPr>
            <w:tcW w:w="790" w:type="dxa"/>
            <w:tcBorders>
              <w:top w:val="single" w:sz="12"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single" w:sz="12" w:space="0" w:color="000000"/>
              <w:left w:val="single" w:sz="4" w:space="0" w:color="000000"/>
              <w:right w:val="single" w:sz="12" w:space="0" w:color="000000"/>
            </w:tcBorders>
            <w:shd w:val="clear" w:color="auto" w:fill="D2D2D2"/>
          </w:tcPr>
          <w:p>
            <w:pPr/>
          </w:p>
        </w:tc>
      </w:tr>
      <w:tr>
        <w:trPr>
          <w:trHeight w:val="394" w:hRule="exact"/>
        </w:trPr>
        <w:tc>
          <w:tcPr>
            <w:tcW w:w="1635" w:type="dxa"/>
            <w:vMerge/>
            <w:tcBorders>
              <w:left w:val="single" w:sz="12" w:space="0" w:color="000000"/>
              <w:right w:val="single" w:sz="4" w:space="0" w:color="FFFFFF"/>
            </w:tcBorders>
            <w:shd w:val="clear" w:color="auto" w:fill="D2D2D2"/>
          </w:tcPr>
          <w:p>
            <w:pPr/>
          </w:p>
        </w:tc>
        <w:tc>
          <w:tcPr>
            <w:tcW w:w="763"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right w:val="single" w:sz="12" w:space="0" w:color="000000"/>
            </w:tcBorders>
            <w:shd w:val="clear" w:color="auto" w:fill="D2D2D2"/>
          </w:tcPr>
          <w:p>
            <w:pPr/>
          </w:p>
        </w:tc>
      </w:tr>
      <w:tr>
        <w:trPr>
          <w:trHeight w:val="161" w:hRule="exact"/>
        </w:trPr>
        <w:tc>
          <w:tcPr>
            <w:tcW w:w="1635" w:type="dxa"/>
            <w:vMerge/>
            <w:tcBorders>
              <w:left w:val="single" w:sz="12" w:space="0" w:color="000000"/>
              <w:bottom w:val="single" w:sz="4" w:space="0" w:color="000000"/>
              <w:right w:val="single" w:sz="4" w:space="0" w:color="FFFFFF"/>
            </w:tcBorders>
            <w:shd w:val="clear" w:color="auto" w:fill="D2D2D2"/>
          </w:tcPr>
          <w:p>
            <w:pPr/>
          </w:p>
        </w:tc>
        <w:tc>
          <w:tcPr>
            <w:tcW w:w="763" w:type="dxa"/>
            <w:tcBorders>
              <w:top w:val="nil" w:sz="6" w:space="0" w:color="auto"/>
              <w:left w:val="single" w:sz="4" w:space="0" w:color="FFFFFF"/>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12" w:space="0" w:color="000000"/>
            </w:tcBorders>
            <w:shd w:val="clear" w:color="auto" w:fill="D2D2D2"/>
          </w:tcPr>
          <w:p>
            <w:pPr/>
          </w:p>
        </w:tc>
      </w:tr>
      <w:tr>
        <w:trPr>
          <w:trHeight w:val="713" w:hRule="exact"/>
        </w:trPr>
        <w:tc>
          <w:tcPr>
            <w:tcW w:w="1635" w:type="dxa"/>
            <w:tcBorders>
              <w:top w:val="single" w:sz="4" w:space="0" w:color="000000"/>
              <w:left w:val="single" w:sz="12" w:space="0" w:color="000000"/>
              <w:bottom w:val="single" w:sz="4" w:space="0" w:color="000000"/>
              <w:right w:val="single" w:sz="4" w:space="0" w:color="FFFFFF"/>
            </w:tcBorders>
            <w:shd w:val="clear" w:color="auto" w:fill="D2D2D2"/>
          </w:tcPr>
          <w:p>
            <w:pPr>
              <w:pStyle w:val="TableParagraph"/>
              <w:spacing w:line="316" w:lineRule="auto" w:before="49"/>
              <w:ind w:left="1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233,043,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273.22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23,328,1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73.53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209,715,0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99.69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192,069,2</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11.99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22,164,60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11.54%</w:t>
            </w:r>
          </w:p>
        </w:tc>
        <w:tc>
          <w:tcPr>
            <w:tcW w:w="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169,904,61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1.53</w:t>
            </w:r>
          </w:p>
        </w:tc>
      </w:tr>
      <w:tr>
        <w:trPr>
          <w:trHeight w:val="403" w:hRule="exact"/>
        </w:trPr>
        <w:tc>
          <w:tcPr>
            <w:tcW w:w="1635" w:type="dxa"/>
            <w:tcBorders>
              <w:top w:val="single" w:sz="4" w:space="0" w:color="000000"/>
              <w:left w:val="single" w:sz="12" w:space="0" w:color="000000"/>
              <w:bottom w:val="single" w:sz="4" w:space="0" w:color="000000"/>
              <w:right w:val="single" w:sz="4" w:space="0" w:color="FFFFFF"/>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FFFFFF"/>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713" w:hRule="exact"/>
        </w:trPr>
        <w:tc>
          <w:tcPr>
            <w:tcW w:w="1635" w:type="dxa"/>
            <w:tcBorders>
              <w:top w:val="single" w:sz="4" w:space="0" w:color="000000"/>
              <w:left w:val="single" w:sz="12"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：物联网业务</w:t>
            </w:r>
          </w:p>
        </w:tc>
        <w:tc>
          <w:tcPr>
            <w:tcW w:w="7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174,699,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919.23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74.96%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23,328,1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73.53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151,371,7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45.70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161,319,7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74.75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83.99%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22,164,60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13.74%</w:t>
            </w:r>
          </w:p>
        </w:tc>
        <w:tc>
          <w:tcPr>
            <w:tcW w:w="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139,155,17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4.29</w:t>
            </w:r>
          </w:p>
        </w:tc>
      </w:tr>
      <w:tr>
        <w:trPr>
          <w:trHeight w:val="715" w:hRule="exact"/>
        </w:trPr>
        <w:tc>
          <w:tcPr>
            <w:tcW w:w="1635" w:type="dxa"/>
            <w:tcBorders>
              <w:top w:val="single" w:sz="4" w:space="0" w:color="000000"/>
              <w:left w:val="single" w:sz="12" w:space="0" w:color="000000"/>
              <w:bottom w:val="single" w:sz="4" w:space="0" w:color="000000"/>
              <w:right w:val="single" w:sz="4" w:space="0" w:color="FFFFFF"/>
            </w:tcBorders>
          </w:tcPr>
          <w:p>
            <w:pPr>
              <w:pStyle w:val="TableParagraph"/>
              <w:spacing w:line="300" w:lineRule="auto" w:before="49"/>
              <w:ind w:left="14" w:right="21"/>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：应收关联方 客户</w:t>
            </w:r>
          </w:p>
        </w:tc>
        <w:tc>
          <w:tcPr>
            <w:tcW w:w="76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58,343,3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53.99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25.04%</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58,343,35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3.99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30,749,43</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7.24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16.01%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30,749,437.</w:t>
            </w:r>
          </w:p>
          <w:p>
            <w:pPr>
              <w:pStyle w:val="TableParagraph"/>
              <w:spacing w:line="240" w:lineRule="auto" w:before="105"/>
              <w:ind w:right="7"/>
              <w:jc w:val="right"/>
              <w:rPr>
                <w:rFonts w:ascii="Times New Roman" w:hAnsi="Times New Roman" w:cs="Times New Roman" w:eastAsia="Times New Roman" w:hint="default"/>
                <w:sz w:val="18"/>
                <w:szCs w:val="18"/>
              </w:rPr>
            </w:pPr>
            <w:r>
              <w:rPr>
                <w:rFonts w:ascii="Times New Roman"/>
                <w:sz w:val="18"/>
              </w:rPr>
              <w:t>24</w:t>
            </w:r>
          </w:p>
        </w:tc>
      </w:tr>
      <w:tr>
        <w:trPr>
          <w:trHeight w:val="723" w:hRule="exact"/>
        </w:trPr>
        <w:tc>
          <w:tcPr>
            <w:tcW w:w="1635" w:type="dxa"/>
            <w:tcBorders>
              <w:top w:val="single" w:sz="4" w:space="0" w:color="000000"/>
              <w:left w:val="single" w:sz="12" w:space="0" w:color="000000"/>
              <w:bottom w:val="single" w:sz="12" w:space="0" w:color="000000"/>
              <w:right w:val="single" w:sz="4" w:space="0" w:color="FF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FFFFFF"/>
              <w:bottom w:val="single" w:sz="12"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233,043,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273.22</w:t>
            </w:r>
          </w:p>
        </w:tc>
        <w:tc>
          <w:tcPr>
            <w:tcW w:w="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23,328,1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73.53</w:t>
            </w:r>
          </w:p>
        </w:tc>
        <w:tc>
          <w:tcPr>
            <w:tcW w:w="7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10.01%</w:t>
            </w:r>
          </w:p>
        </w:tc>
        <w:tc>
          <w:tcPr>
            <w:tcW w:w="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209,715,0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99.69</w:t>
            </w:r>
          </w:p>
        </w:tc>
        <w:tc>
          <w:tcPr>
            <w:tcW w:w="7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192,069,2</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11.99</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22,164,60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0.46</w:t>
            </w:r>
          </w:p>
        </w:tc>
        <w:tc>
          <w:tcPr>
            <w:tcW w:w="7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11.54%</w:t>
            </w:r>
          </w:p>
        </w:tc>
        <w:tc>
          <w:tcPr>
            <w:tcW w:w="9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169,904,61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1.53</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23,328,173.53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24"/>
        <w:gridCol w:w="2425"/>
        <w:gridCol w:w="2424"/>
        <w:gridCol w:w="2425"/>
      </w:tblGrid>
      <w:tr>
        <w:trPr>
          <w:trHeight w:val="412" w:hRule="exact"/>
        </w:trPr>
        <w:tc>
          <w:tcPr>
            <w:tcW w:w="2424"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名称</w:t>
            </w:r>
          </w:p>
        </w:tc>
        <w:tc>
          <w:tcPr>
            <w:tcW w:w="7274"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24" w:type="dxa"/>
            <w:vMerge/>
            <w:tcBorders>
              <w:left w:val="single" w:sz="12" w:space="0" w:color="000000"/>
              <w:bottom w:val="single" w:sz="4" w:space="0" w:color="000000"/>
              <w:right w:val="single" w:sz="4" w:space="0" w:color="000000"/>
            </w:tcBorders>
            <w:shd w:val="clear" w:color="auto" w:fill="D2D2D2"/>
          </w:tcPr>
          <w:p>
            <w:pPr/>
          </w:p>
        </w:tc>
        <w:tc>
          <w:tcPr>
            <w:tcW w:w="2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5"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：物联网业务</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174,699,919.23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23,328,173.53</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13.35%</w:t>
            </w:r>
          </w:p>
        </w:tc>
      </w:tr>
      <w:tr>
        <w:trPr>
          <w:trHeight w:val="401" w:hRule="exact"/>
        </w:trPr>
        <w:tc>
          <w:tcPr>
            <w:tcW w:w="24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：应收关联方客户</w:t>
            </w:r>
          </w:p>
        </w:tc>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58,343,353.99</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5"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242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233,043,273.22</w:t>
            </w:r>
          </w:p>
        </w:tc>
        <w:tc>
          <w:tcPr>
            <w:tcW w:w="2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23,328,173.53</w:t>
            </w:r>
          </w:p>
        </w:tc>
        <w:tc>
          <w:tcPr>
            <w:tcW w:w="2425"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1"/>
        <w:rPr>
          <w:rFonts w:ascii="宋体" w:hAnsi="宋体" w:cs="宋体" w:eastAsia="宋体" w:hint="default"/>
          <w:sz w:val="13"/>
          <w:szCs w:val="13"/>
        </w:rPr>
      </w:pPr>
    </w:p>
    <w:p>
      <w:pPr>
        <w:pStyle w:val="BodyText"/>
        <w:spacing w:line="408" w:lineRule="auto" w:before="0"/>
        <w:ind w:right="1119" w:firstLine="420"/>
        <w:jc w:val="left"/>
      </w:pPr>
      <w:r>
        <w:rPr>
          <w:spacing w:val="-2"/>
        </w:rPr>
        <w:t>根据信用风险特征将应收账款划分为若干组合，在组合基础上计算预期信用损失，确定组合的依据如</w:t>
      </w:r>
      <w:r>
        <w:rPr>
          <w:w w:val="100"/>
        </w:rPr>
        <w:t> </w:t>
      </w:r>
      <w:r>
        <w:rPr/>
        <w:t>下：</w:t>
      </w:r>
    </w:p>
    <w:p>
      <w:pPr>
        <w:pStyle w:val="BodyText"/>
        <w:spacing w:line="386" w:lineRule="auto"/>
        <w:ind w:left="573" w:right="6474"/>
        <w:jc w:val="left"/>
      </w:pPr>
      <w:r>
        <w:rPr/>
        <w:t>应收账款组合</w:t>
      </w:r>
      <w:r>
        <w:rPr>
          <w:rFonts w:ascii="Times New Roman" w:hAnsi="Times New Roman" w:cs="Times New Roman" w:eastAsia="Times New Roman" w:hint="default"/>
        </w:rPr>
        <w:t>1</w:t>
      </w:r>
      <w:r>
        <w:rPr/>
        <w:t>：物联网业务</w:t>
      </w:r>
      <w:r>
        <w:rPr>
          <w:w w:val="100"/>
        </w:rPr>
        <w:t> </w:t>
      </w:r>
      <w:r>
        <w:rPr>
          <w:spacing w:val="-2"/>
        </w:rPr>
        <w:t>应收账款组合</w:t>
      </w:r>
      <w:r>
        <w:rPr>
          <w:rFonts w:ascii="Times New Roman" w:hAnsi="Times New Roman" w:cs="Times New Roman" w:eastAsia="Times New Roman" w:hint="default"/>
          <w:spacing w:val="-2"/>
        </w:rPr>
        <w:t>2</w:t>
      </w:r>
      <w:r>
        <w:rPr>
          <w:spacing w:val="-2"/>
        </w:rPr>
        <w:t>：合并范围内关联方客户</w:t>
      </w:r>
    </w:p>
    <w:p>
      <w:pPr>
        <w:spacing w:before="20"/>
        <w:ind w:left="152" w:right="0"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如是按照预期信用损失一般模型计提应收账款坏账准备，请参照其他应收款的披露方式披露坏账准备的相关信息：</w:t>
      </w:r>
    </w:p>
    <w:p>
      <w:pPr>
        <w:spacing w:line="338" w:lineRule="auto" w:before="117"/>
        <w:ind w:left="152" w:right="84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4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831"/>
        <w:gridCol w:w="4860"/>
      </w:tblGrid>
      <w:tr>
        <w:trPr>
          <w:trHeight w:val="412" w:hRule="exact"/>
        </w:trPr>
        <w:tc>
          <w:tcPr>
            <w:tcW w:w="48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486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2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178,934,689.08</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23,849,523.30</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13,312,150.03</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16,946,910.81</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6,660,172.89</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2,258,406.58</w:t>
            </w:r>
          </w:p>
        </w:tc>
      </w:tr>
      <w:tr>
        <w:trPr>
          <w:trHeight w:val="410" w:hRule="exact"/>
        </w:trPr>
        <w:tc>
          <w:tcPr>
            <w:tcW w:w="48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860" w:type="dxa"/>
            <w:tcBorders>
              <w:top w:val="single" w:sz="4" w:space="0" w:color="000000"/>
              <w:left w:val="single" w:sz="12" w:space="0" w:color="D2D2D2"/>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8,028,331.34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4837"/>
        <w:gridCol w:w="4860"/>
      </w:tblGrid>
      <w:tr>
        <w:trPr>
          <w:trHeight w:val="419" w:hRule="exact"/>
        </w:trPr>
        <w:tc>
          <w:tcPr>
            <w:tcW w:w="4837"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60" w:type="dxa"/>
            <w:tcBorders>
              <w:top w:val="single" w:sz="12" w:space="0" w:color="000000"/>
              <w:left w:val="single" w:sz="12" w:space="0" w:color="D2D2D2"/>
              <w:bottom w:val="single" w:sz="12"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233,043,273.22</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本期计提、收回或转回的坏账准备情况" w:id="384"/>
      <w:bookmarkEnd w:id="38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20"/>
        <w:gridCol w:w="1616"/>
        <w:gridCol w:w="1615"/>
        <w:gridCol w:w="1616"/>
        <w:gridCol w:w="1616"/>
        <w:gridCol w:w="1615"/>
      </w:tblGrid>
      <w:tr>
        <w:trPr>
          <w:trHeight w:val="413" w:hRule="exact"/>
        </w:trPr>
        <w:tc>
          <w:tcPr>
            <w:tcW w:w="1620"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类别</w:t>
            </w:r>
          </w:p>
        </w:tc>
        <w:tc>
          <w:tcPr>
            <w:tcW w:w="1616"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47"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615"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620" w:type="dxa"/>
            <w:vMerge/>
            <w:tcBorders>
              <w:left w:val="single" w:sz="12"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4"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615" w:type="dxa"/>
            <w:vMerge/>
            <w:tcBorders>
              <w:left w:val="single" w:sz="4" w:space="0" w:color="000000"/>
              <w:bottom w:val="single" w:sz="4" w:space="0" w:color="000000"/>
              <w:right w:val="single" w:sz="12" w:space="0" w:color="000000"/>
            </w:tcBorders>
            <w:shd w:val="clear" w:color="auto" w:fill="D2D2D2"/>
          </w:tcPr>
          <w:p>
            <w:pPr/>
          </w:p>
        </w:tc>
      </w:tr>
      <w:tr>
        <w:trPr>
          <w:trHeight w:val="401" w:hRule="exact"/>
        </w:trPr>
        <w:tc>
          <w:tcPr>
            <w:tcW w:w="16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22,164,600.46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3,586,368.20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6,850.00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2,429,645.13</w:t>
            </w:r>
          </w:p>
        </w:tc>
        <w:tc>
          <w:tcPr>
            <w:tcW w:w="16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23,328,173.53</w:t>
            </w:r>
          </w:p>
        </w:tc>
      </w:tr>
      <w:tr>
        <w:trPr>
          <w:trHeight w:val="410" w:hRule="exact"/>
        </w:trPr>
        <w:tc>
          <w:tcPr>
            <w:tcW w:w="162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22,164,600.46</w:t>
            </w:r>
          </w:p>
        </w:tc>
        <w:tc>
          <w:tcPr>
            <w:tcW w:w="1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3,586,368.20</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6,850.00</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2,429,645.13</w:t>
            </w:r>
          </w:p>
        </w:tc>
        <w:tc>
          <w:tcPr>
            <w:tcW w:w="16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23,328,173.53</w:t>
            </w:r>
          </w:p>
        </w:tc>
      </w:tr>
    </w:tbl>
    <w:p>
      <w:pPr>
        <w:spacing w:line="240" w:lineRule="auto" w:before="6"/>
        <w:rPr>
          <w:rFonts w:ascii="宋体" w:hAnsi="宋体" w:cs="宋体" w:eastAsia="宋体" w:hint="default"/>
          <w:sz w:val="19"/>
          <w:szCs w:val="19"/>
        </w:rPr>
      </w:pPr>
    </w:p>
    <w:p>
      <w:pPr>
        <w:pStyle w:val="Heading4"/>
        <w:spacing w:line="240" w:lineRule="auto" w:before="36"/>
        <w:ind w:right="0"/>
        <w:jc w:val="left"/>
        <w:rPr>
          <w:b w:val="0"/>
          <w:bCs w:val="0"/>
        </w:rPr>
      </w:pPr>
      <w:bookmarkStart w:name="（3）本期实际核销的应收账款情况" w:id="385"/>
      <w:bookmarkEnd w:id="38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5051"/>
        <w:gridCol w:w="4647"/>
      </w:tblGrid>
      <w:tr>
        <w:trPr>
          <w:trHeight w:val="396" w:hRule="exact"/>
        </w:trPr>
        <w:tc>
          <w:tcPr>
            <w:tcW w:w="505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64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10" w:hRule="exact"/>
        </w:trPr>
        <w:tc>
          <w:tcPr>
            <w:tcW w:w="505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核销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46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2,429,645.13</w:t>
            </w:r>
          </w:p>
        </w:tc>
      </w:tr>
    </w:tbl>
    <w:p>
      <w:pPr>
        <w:spacing w:line="357" w:lineRule="auto" w:before="51"/>
        <w:ind w:left="152" w:right="6974" w:firstLine="0"/>
        <w:jc w:val="left"/>
        <w:rPr>
          <w:rFonts w:ascii="宋体" w:hAnsi="宋体" w:cs="宋体" w:eastAsia="宋体" w:hint="default"/>
          <w:sz w:val="18"/>
          <w:szCs w:val="18"/>
        </w:rPr>
      </w:pPr>
      <w:r>
        <w:rPr>
          <w:rFonts w:ascii="宋体" w:hAnsi="宋体" w:cs="宋体" w:eastAsia="宋体" w:hint="default"/>
          <w:sz w:val="18"/>
          <w:szCs w:val="18"/>
        </w:rPr>
        <w:t>应收账款核销说明： 账龄超过五年且无法收回，经管理层审批核销。</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4）按欠款方归集的期末余额前五名的应收账款情况" w:id="386"/>
      <w:bookmarkEnd w:id="38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80"/>
        <w:gridCol w:w="2269"/>
        <w:gridCol w:w="2424"/>
        <w:gridCol w:w="2425"/>
      </w:tblGrid>
      <w:tr>
        <w:trPr>
          <w:trHeight w:val="722" w:hRule="exact"/>
        </w:trPr>
        <w:tc>
          <w:tcPr>
            <w:tcW w:w="258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4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7" w:right="34" w:hanging="990"/>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42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5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河南汉威智慧安全科技有限公司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25,704,875.63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11.03%</w:t>
            </w:r>
          </w:p>
        </w:tc>
        <w:tc>
          <w:tcPr>
            <w:tcW w:w="2425"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25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郑州畅威物联网科技有限公司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23,639,709.93</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10.14%</w:t>
            </w:r>
          </w:p>
        </w:tc>
        <w:tc>
          <w:tcPr>
            <w:tcW w:w="242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5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浙江石油化工有限公司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12,783,171.02</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5.49%</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669,838.16</w:t>
            </w:r>
          </w:p>
        </w:tc>
      </w:tr>
      <w:tr>
        <w:trPr>
          <w:trHeight w:val="401" w:hRule="exact"/>
        </w:trPr>
        <w:tc>
          <w:tcPr>
            <w:tcW w:w="25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郑州市公安局交通警察支队</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10,874,790.24</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1,168,236.82</w:t>
            </w:r>
          </w:p>
        </w:tc>
      </w:tr>
      <w:tr>
        <w:trPr>
          <w:trHeight w:val="403" w:hRule="exact"/>
        </w:trPr>
        <w:tc>
          <w:tcPr>
            <w:tcW w:w="25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河北华燃长通燃气有限公司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8,127,951.00</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3.49%</w:t>
            </w:r>
          </w:p>
        </w:tc>
        <w:tc>
          <w:tcPr>
            <w:tcW w:w="24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489,772.23</w:t>
            </w:r>
          </w:p>
        </w:tc>
      </w:tr>
      <w:tr>
        <w:trPr>
          <w:trHeight w:val="410" w:hRule="exact"/>
        </w:trPr>
        <w:tc>
          <w:tcPr>
            <w:tcW w:w="258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81,130,497.82</w:t>
            </w:r>
          </w:p>
        </w:tc>
        <w:tc>
          <w:tcPr>
            <w:tcW w:w="2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34.82%</w:t>
            </w:r>
          </w:p>
        </w:tc>
        <w:tc>
          <w:tcPr>
            <w:tcW w:w="2425" w:type="dxa"/>
            <w:tcBorders>
              <w:top w:val="single" w:sz="4" w:space="0" w:color="000000"/>
              <w:left w:val="single" w:sz="4" w:space="0" w:color="000000"/>
              <w:bottom w:val="single" w:sz="12" w:space="0" w:color="000000"/>
              <w:right w:val="single" w:sz="12" w:space="0" w:color="000000"/>
            </w:tcBorders>
            <w:shd w:val="clear" w:color="auto" w:fill="D2D2D2"/>
          </w:tcPr>
          <w:p>
            <w:pPr/>
          </w:p>
        </w:tc>
      </w:tr>
    </w:tbl>
    <w:p>
      <w:pPr>
        <w:spacing w:line="240" w:lineRule="auto" w:before="6"/>
        <w:rPr>
          <w:rFonts w:ascii="宋体" w:hAnsi="宋体" w:cs="宋体" w:eastAsia="宋体" w:hint="default"/>
          <w:sz w:val="19"/>
          <w:szCs w:val="19"/>
        </w:rPr>
      </w:pPr>
    </w:p>
    <w:p>
      <w:pPr>
        <w:pStyle w:val="Heading4"/>
        <w:spacing w:line="240" w:lineRule="auto" w:before="36"/>
        <w:ind w:right="0"/>
        <w:jc w:val="left"/>
        <w:rPr>
          <w:b w:val="0"/>
          <w:bCs w:val="0"/>
        </w:rPr>
      </w:pPr>
      <w:bookmarkStart w:name="2、其他应收款" w:id="387"/>
      <w:bookmarkEnd w:id="38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213"/>
        <w:gridCol w:w="3244"/>
        <w:gridCol w:w="3233"/>
      </w:tblGrid>
      <w:tr>
        <w:trPr>
          <w:trHeight w:val="412" w:hRule="exact"/>
        </w:trPr>
        <w:tc>
          <w:tcPr>
            <w:tcW w:w="321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1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194,784,316.76</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192,288,697.27</w:t>
            </w:r>
          </w:p>
        </w:tc>
      </w:tr>
      <w:tr>
        <w:trPr>
          <w:trHeight w:val="410" w:hRule="exact"/>
        </w:trPr>
        <w:tc>
          <w:tcPr>
            <w:tcW w:w="321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4"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194,784,316.76</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192,288,697.27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1）其他应收款" w:id="388"/>
      <w:bookmarkEnd w:id="388"/>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按款项性质分类情况" w:id="389"/>
      <w:bookmarkEnd w:id="38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3231"/>
        <w:gridCol w:w="3233"/>
        <w:gridCol w:w="3233"/>
      </w:tblGrid>
      <w:tr>
        <w:trPr>
          <w:trHeight w:val="398" w:hRule="exact"/>
        </w:trPr>
        <w:tc>
          <w:tcPr>
            <w:tcW w:w="32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2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07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2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4"/>
              <w:ind w:left="107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188,713,393.69</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165,875,840.24</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押金和保证金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6,633,123.55</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5,146,662.05</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164,111.22</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278,000.00</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补偿款</w:t>
            </w:r>
          </w:p>
        </w:tc>
        <w:tc>
          <w:tcPr>
            <w:tcW w:w="3233" w:type="dxa"/>
            <w:tcBorders>
              <w:top w:val="single" w:sz="4" w:space="0" w:color="000000"/>
              <w:left w:val="single" w:sz="4" w:space="0" w:color="000000"/>
              <w:bottom w:val="single" w:sz="4" w:space="0" w:color="000000"/>
              <w:right w:val="single" w:sz="4" w:space="0" w:color="000000"/>
            </w:tcBorders>
          </w:tcPr>
          <w:p>
            <w:pP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26,508,432.53</w:t>
            </w:r>
          </w:p>
        </w:tc>
      </w:tr>
      <w:tr>
        <w:trPr>
          <w:trHeight w:val="401"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523,301.00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828,899.33</w:t>
            </w:r>
          </w:p>
        </w:tc>
      </w:tr>
      <w:tr>
        <w:trPr>
          <w:trHeight w:val="403" w:hRule="exact"/>
        </w:trPr>
        <w:tc>
          <w:tcPr>
            <w:tcW w:w="323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-1,249,612.70</w:t>
            </w:r>
          </w:p>
        </w:tc>
        <w:tc>
          <w:tcPr>
            <w:tcW w:w="32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-6,349,136.88</w:t>
            </w:r>
          </w:p>
        </w:tc>
      </w:tr>
      <w:tr>
        <w:trPr>
          <w:trHeight w:val="410" w:hRule="exact"/>
        </w:trPr>
        <w:tc>
          <w:tcPr>
            <w:tcW w:w="32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194,784,316.76</w:t>
            </w:r>
          </w:p>
        </w:tc>
        <w:tc>
          <w:tcPr>
            <w:tcW w:w="32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192,288,697.27</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坏账准备计提情况" w:id="390"/>
      <w:bookmarkEnd w:id="39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924"/>
        <w:gridCol w:w="1682"/>
        <w:gridCol w:w="2129"/>
        <w:gridCol w:w="2127"/>
        <w:gridCol w:w="1829"/>
      </w:tblGrid>
      <w:tr>
        <w:trPr>
          <w:trHeight w:val="412" w:hRule="exact"/>
        </w:trPr>
        <w:tc>
          <w:tcPr>
            <w:tcW w:w="1924" w:type="dxa"/>
            <w:tcBorders>
              <w:top w:val="single" w:sz="12" w:space="0" w:color="000000"/>
              <w:left w:val="single" w:sz="12" w:space="0" w:color="000000"/>
              <w:bottom w:val="nil" w:sz="6" w:space="0" w:color="auto"/>
              <w:right w:val="single" w:sz="4" w:space="0" w:color="000000"/>
            </w:tcBorders>
            <w:shd w:val="clear" w:color="auto" w:fill="D2D2D2"/>
          </w:tcPr>
          <w:p>
            <w:pPr/>
          </w:p>
        </w:tc>
        <w:tc>
          <w:tcPr>
            <w:tcW w:w="168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8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2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2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29" w:type="dxa"/>
            <w:tcBorders>
              <w:top w:val="single" w:sz="12" w:space="0" w:color="000000"/>
              <w:left w:val="single" w:sz="4" w:space="0" w:color="000000"/>
              <w:bottom w:val="nil" w:sz="6" w:space="0" w:color="auto"/>
              <w:right w:val="single" w:sz="12" w:space="0" w:color="000000"/>
            </w:tcBorders>
            <w:shd w:val="clear" w:color="auto" w:fill="D2D2D2"/>
          </w:tcPr>
          <w:p>
            <w:pPr/>
          </w:p>
        </w:tc>
      </w:tr>
      <w:tr>
        <w:trPr>
          <w:trHeight w:val="350" w:hRule="exact"/>
        </w:trPr>
        <w:tc>
          <w:tcPr>
            <w:tcW w:w="1924" w:type="dxa"/>
            <w:tcBorders>
              <w:top w:val="nil" w:sz="6" w:space="0" w:color="auto"/>
              <w:left w:val="single" w:sz="12" w:space="0" w:color="000000"/>
              <w:bottom w:val="nil" w:sz="6" w:space="0" w:color="auto"/>
              <w:right w:val="single" w:sz="4" w:space="0" w:color="000000"/>
            </w:tcBorders>
            <w:shd w:val="clear" w:color="auto" w:fill="D2D2D2"/>
          </w:tcPr>
          <w:p>
            <w:pPr>
              <w:pStyle w:val="TableParagraph"/>
              <w:spacing w:line="240" w:lineRule="auto" w:before="8"/>
              <w:ind w:left="58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82"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72" w:right="62" w:hanging="49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1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29" w:type="dxa"/>
            <w:tcBorders>
              <w:top w:val="nil" w:sz="6" w:space="0" w:color="auto"/>
              <w:left w:val="single" w:sz="4" w:space="0" w:color="000000"/>
              <w:bottom w:val="nil" w:sz="6" w:space="0" w:color="auto"/>
              <w:right w:val="single" w:sz="12" w:space="0" w:color="000000"/>
            </w:tcBorders>
            <w:shd w:val="clear" w:color="auto" w:fill="D2D2D2"/>
          </w:tcPr>
          <w:p>
            <w:pPr>
              <w:pStyle w:val="TableParagraph"/>
              <w:spacing w:line="240" w:lineRule="auto" w:before="8"/>
              <w:ind w:left="72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24" w:type="dxa"/>
            <w:tcBorders>
              <w:top w:val="nil" w:sz="6" w:space="0" w:color="auto"/>
              <w:left w:val="single" w:sz="12" w:space="0" w:color="000000"/>
              <w:bottom w:val="single" w:sz="4" w:space="0" w:color="000000"/>
              <w:right w:val="single" w:sz="4" w:space="0" w:color="000000"/>
            </w:tcBorders>
            <w:shd w:val="clear" w:color="auto" w:fill="D2D2D2"/>
          </w:tcPr>
          <w:p>
            <w:pPr/>
          </w:p>
        </w:tc>
        <w:tc>
          <w:tcPr>
            <w:tcW w:w="1682" w:type="dxa"/>
            <w:vMerge/>
            <w:tcBorders>
              <w:left w:val="single" w:sz="4" w:space="0" w:color="000000"/>
              <w:bottom w:val="single" w:sz="4" w:space="0" w:color="000000"/>
              <w:right w:val="single" w:sz="4" w:space="0" w:color="000000"/>
            </w:tcBorders>
            <w:shd w:val="clear" w:color="auto" w:fill="D2D2D2"/>
          </w:tcPr>
          <w:p>
            <w:pPr/>
          </w:p>
        </w:tc>
        <w:tc>
          <w:tcPr>
            <w:tcW w:w="2129"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829"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4" w:hRule="exact"/>
        </w:trPr>
        <w:tc>
          <w:tcPr>
            <w:tcW w:w="19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6,349,136.88</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6,349,136.88</w:t>
            </w:r>
          </w:p>
        </w:tc>
      </w:tr>
      <w:tr>
        <w:trPr>
          <w:trHeight w:val="161" w:hRule="exact"/>
        </w:trPr>
        <w:tc>
          <w:tcPr>
            <w:tcW w:w="1924" w:type="dxa"/>
            <w:vMerge w:val="restart"/>
            <w:tcBorders>
              <w:top w:val="single" w:sz="4" w:space="0" w:color="000000"/>
              <w:left w:val="single" w:sz="12" w:space="0" w:color="000000"/>
              <w:right w:val="single" w:sz="4" w:space="0" w:color="000000"/>
            </w:tcBorders>
            <w:shd w:val="clear" w:color="auto" w:fill="D2D2D2"/>
          </w:tcPr>
          <w:p>
            <w:pPr>
              <w:pStyle w:val="TableParagraph"/>
              <w:spacing w:line="297" w:lineRule="auto" w:before="49"/>
              <w:ind w:left="7"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29"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391" w:hRule="exact"/>
        </w:trPr>
        <w:tc>
          <w:tcPr>
            <w:tcW w:w="1924" w:type="dxa"/>
            <w:vMerge/>
            <w:tcBorders>
              <w:left w:val="single" w:sz="12" w:space="0" w:color="000000"/>
              <w:right w:val="single" w:sz="4" w:space="0" w:color="000000"/>
            </w:tcBorders>
            <w:shd w:val="clear" w:color="auto" w:fill="D2D2D2"/>
          </w:tcPr>
          <w:p>
            <w:pPr/>
          </w:p>
        </w:tc>
        <w:tc>
          <w:tcPr>
            <w:tcW w:w="16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29" w:type="dxa"/>
            <w:tcBorders>
              <w:top w:val="nil" w:sz="6" w:space="0" w:color="auto"/>
              <w:left w:val="single" w:sz="4" w:space="0" w:color="000000"/>
              <w:bottom w:val="nil" w:sz="6" w:space="0" w:color="auto"/>
              <w:right w:val="single" w:sz="12" w:space="0" w:color="000000"/>
            </w:tcBorders>
            <w:shd w:val="clear" w:color="auto" w:fill="D2D2D2"/>
          </w:tcPr>
          <w:p>
            <w:pPr>
              <w:pStyle w:val="TableParagraph"/>
              <w:spacing w:line="240" w:lineRule="auto" w:before="91"/>
              <w:ind w:left="7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24" w:type="dxa"/>
            <w:vMerge/>
            <w:tcBorders>
              <w:left w:val="single" w:sz="12" w:space="0" w:color="000000"/>
              <w:bottom w:val="single" w:sz="4" w:space="0" w:color="000000"/>
              <w:right w:val="single" w:sz="4" w:space="0" w:color="000000"/>
            </w:tcBorders>
            <w:shd w:val="clear" w:color="auto" w:fill="D2D2D2"/>
          </w:tcPr>
          <w:p>
            <w:pPr/>
          </w:p>
        </w:tc>
        <w:tc>
          <w:tcPr>
            <w:tcW w:w="1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29" w:type="dxa"/>
            <w:tcBorders>
              <w:top w:val="nil" w:sz="6" w:space="0" w:color="auto"/>
              <w:left w:val="single" w:sz="4" w:space="0" w:color="000000"/>
              <w:bottom w:val="single" w:sz="4" w:space="0" w:color="000000"/>
              <w:right w:val="single" w:sz="12" w:space="0" w:color="000000"/>
            </w:tcBorders>
            <w:shd w:val="clear" w:color="auto" w:fill="D2D2D2"/>
          </w:tcPr>
          <w:p>
            <w:pPr/>
          </w:p>
        </w:tc>
      </w:tr>
      <w:tr>
        <w:trPr>
          <w:trHeight w:val="403" w:hRule="exact"/>
        </w:trPr>
        <w:tc>
          <w:tcPr>
            <w:tcW w:w="19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-5,099,524.18</w:t>
            </w:r>
          </w:p>
        </w:tc>
        <w:tc>
          <w:tcPr>
            <w:tcW w:w="2129"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-5,099,524.18</w:t>
            </w:r>
          </w:p>
        </w:tc>
      </w:tr>
      <w:tr>
        <w:trPr>
          <w:trHeight w:val="410" w:hRule="exact"/>
        </w:trPr>
        <w:tc>
          <w:tcPr>
            <w:tcW w:w="192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82"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1,249,612.70</w:t>
            </w:r>
          </w:p>
        </w:tc>
        <w:tc>
          <w:tcPr>
            <w:tcW w:w="2129" w:type="dxa"/>
            <w:tcBorders>
              <w:top w:val="single" w:sz="4" w:space="0" w:color="000000"/>
              <w:left w:val="single" w:sz="4" w:space="0" w:color="000000"/>
              <w:bottom w:val="single" w:sz="12" w:space="0" w:color="000000"/>
              <w:right w:val="single" w:sz="4" w:space="0" w:color="000000"/>
            </w:tcBorders>
          </w:tcPr>
          <w:p>
            <w:pPr/>
          </w:p>
        </w:tc>
        <w:tc>
          <w:tcPr>
            <w:tcW w:w="2127" w:type="dxa"/>
            <w:tcBorders>
              <w:top w:val="single" w:sz="4" w:space="0" w:color="000000"/>
              <w:left w:val="single" w:sz="4" w:space="0" w:color="000000"/>
              <w:bottom w:val="single" w:sz="12" w:space="0" w:color="000000"/>
              <w:right w:val="single" w:sz="4" w:space="0" w:color="000000"/>
            </w:tcBorders>
          </w:tcPr>
          <w:p>
            <w:pPr/>
          </w:p>
        </w:tc>
        <w:tc>
          <w:tcPr>
            <w:tcW w:w="182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1,249,612.70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51"/>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4831"/>
        <w:gridCol w:w="4860"/>
      </w:tblGrid>
      <w:tr>
        <w:trPr>
          <w:trHeight w:val="412" w:hRule="exact"/>
        </w:trPr>
        <w:tc>
          <w:tcPr>
            <w:tcW w:w="483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486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2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170,261,238.26</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8,018,320.70</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16,740,847.50</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1,013,523.00</w:t>
            </w:r>
          </w:p>
        </w:tc>
      </w:tr>
      <w:tr>
        <w:trPr>
          <w:trHeight w:val="401"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376,863.00</w:t>
            </w:r>
          </w:p>
        </w:tc>
      </w:tr>
      <w:tr>
        <w:trPr>
          <w:trHeight w:val="403" w:hRule="exact"/>
        </w:trPr>
        <w:tc>
          <w:tcPr>
            <w:tcW w:w="483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860" w:type="dxa"/>
            <w:tcBorders>
              <w:top w:val="single" w:sz="4" w:space="0" w:color="000000"/>
              <w:left w:val="single" w:sz="12" w:space="0" w:color="D2D2D2"/>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10" w:hRule="exact"/>
        </w:trPr>
        <w:tc>
          <w:tcPr>
            <w:tcW w:w="483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860" w:type="dxa"/>
            <w:tcBorders>
              <w:top w:val="single" w:sz="4" w:space="0" w:color="000000"/>
              <w:left w:val="single" w:sz="12" w:space="0" w:color="D2D2D2"/>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626,660.00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4837"/>
        <w:gridCol w:w="4860"/>
      </w:tblGrid>
      <w:tr>
        <w:trPr>
          <w:trHeight w:val="419" w:hRule="exact"/>
        </w:trPr>
        <w:tc>
          <w:tcPr>
            <w:tcW w:w="4837"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60" w:type="dxa"/>
            <w:tcBorders>
              <w:top w:val="single" w:sz="12" w:space="0" w:color="000000"/>
              <w:left w:val="single" w:sz="12" w:space="0" w:color="D2D2D2"/>
              <w:bottom w:val="single" w:sz="12" w:space="0" w:color="000000"/>
              <w:right w:val="single" w:sz="12"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196,033,929.46</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本期计提、收回或转回的坏账准备情况" w:id="391"/>
      <w:bookmarkEnd w:id="39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321"/>
        <w:gridCol w:w="1613"/>
        <w:gridCol w:w="1613"/>
        <w:gridCol w:w="1321"/>
        <w:gridCol w:w="1915"/>
      </w:tblGrid>
      <w:tr>
        <w:trPr>
          <w:trHeight w:val="413" w:hRule="exact"/>
        </w:trPr>
        <w:tc>
          <w:tcPr>
            <w:tcW w:w="1916"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1321"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547"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915"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12" w:space="0" w:color="000000"/>
              <w:bottom w:val="single" w:sz="4" w:space="0" w:color="000000"/>
              <w:right w:val="single" w:sz="4" w:space="0" w:color="000000"/>
            </w:tcBorders>
            <w:shd w:val="clear" w:color="auto" w:fill="D2D2D2"/>
          </w:tcPr>
          <w:p>
            <w:pPr/>
          </w:p>
        </w:tc>
        <w:tc>
          <w:tcPr>
            <w:tcW w:w="1321" w:type="dxa"/>
            <w:vMerge/>
            <w:tcBorders>
              <w:left w:val="single" w:sz="4" w:space="0" w:color="000000"/>
              <w:bottom w:val="single" w:sz="4" w:space="0" w:color="000000"/>
              <w:right w:val="single" w:sz="4" w:space="0" w:color="000000"/>
            </w:tcBorders>
            <w:shd w:val="clear" w:color="auto" w:fill="D2D2D2"/>
          </w:tcPr>
          <w:p>
            <w:pP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915" w:type="dxa"/>
            <w:vMerge/>
            <w:tcBorders>
              <w:left w:val="single" w:sz="4" w:space="0" w:color="000000"/>
              <w:bottom w:val="single" w:sz="4" w:space="0" w:color="000000"/>
              <w:right w:val="single" w:sz="12" w:space="0" w:color="000000"/>
            </w:tcBorders>
            <w:shd w:val="clear" w:color="auto" w:fill="D2D2D2"/>
          </w:tcPr>
          <w:p>
            <w:pPr/>
          </w:p>
        </w:tc>
      </w:tr>
      <w:tr>
        <w:trPr>
          <w:trHeight w:val="401"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账龄分析</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6,349,136.88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-5,099,524.18</w:t>
            </w:r>
          </w:p>
        </w:tc>
        <w:tc>
          <w:tcPr>
            <w:tcW w:w="1613"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1,249,612.70</w:t>
            </w:r>
          </w:p>
        </w:tc>
      </w:tr>
      <w:tr>
        <w:trPr>
          <w:trHeight w:val="410" w:hRule="exact"/>
        </w:trPr>
        <w:tc>
          <w:tcPr>
            <w:tcW w:w="191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6,349,136.88</w:t>
            </w:r>
          </w:p>
        </w:tc>
        <w:tc>
          <w:tcPr>
            <w:tcW w:w="1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-5,099,524.18</w:t>
            </w:r>
          </w:p>
        </w:tc>
        <w:tc>
          <w:tcPr>
            <w:tcW w:w="1613" w:type="dxa"/>
            <w:tcBorders>
              <w:top w:val="single" w:sz="4" w:space="0" w:color="000000"/>
              <w:left w:val="single" w:sz="4" w:space="0" w:color="000000"/>
              <w:bottom w:val="single" w:sz="12" w:space="0" w:color="000000"/>
              <w:right w:val="single" w:sz="4" w:space="0" w:color="000000"/>
            </w:tcBorders>
          </w:tcPr>
          <w:p>
            <w:pPr/>
          </w:p>
        </w:tc>
        <w:tc>
          <w:tcPr>
            <w:tcW w:w="1321" w:type="dxa"/>
            <w:tcBorders>
              <w:top w:val="single" w:sz="4" w:space="0" w:color="000000"/>
              <w:left w:val="single" w:sz="4" w:space="0" w:color="000000"/>
              <w:bottom w:val="single" w:sz="12" w:space="0" w:color="000000"/>
              <w:right w:val="single" w:sz="4" w:space="0" w:color="000000"/>
            </w:tcBorders>
          </w:tcPr>
          <w:p>
            <w:pPr/>
          </w:p>
        </w:tc>
        <w:tc>
          <w:tcPr>
            <w:tcW w:w="19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1,249,612.70</w:t>
            </w:r>
          </w:p>
        </w:tc>
      </w:tr>
    </w:tbl>
    <w:p>
      <w:pPr>
        <w:spacing w:line="240" w:lineRule="auto" w:before="6"/>
        <w:rPr>
          <w:rFonts w:ascii="宋体" w:hAnsi="宋体" w:cs="宋体" w:eastAsia="宋体" w:hint="default"/>
          <w:sz w:val="19"/>
          <w:szCs w:val="19"/>
        </w:rPr>
      </w:pPr>
    </w:p>
    <w:p>
      <w:pPr>
        <w:pStyle w:val="Heading4"/>
        <w:spacing w:line="240" w:lineRule="auto" w:before="36"/>
        <w:ind w:right="0"/>
        <w:jc w:val="left"/>
        <w:rPr>
          <w:b w:val="0"/>
          <w:bCs w:val="0"/>
        </w:rPr>
      </w:pPr>
      <w:bookmarkStart w:name="4）按欠款方归集的期末余额前五名的其他应收款情况" w:id="392"/>
      <w:bookmarkEnd w:id="392"/>
      <w:r>
        <w:rPr>
          <w:b w:val="0"/>
          <w:bCs w:val="0"/>
        </w:rPr>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1570"/>
        <w:gridCol w:w="1572"/>
        <w:gridCol w:w="1572"/>
        <w:gridCol w:w="1637"/>
        <w:gridCol w:w="1637"/>
      </w:tblGrid>
      <w:tr>
        <w:trPr>
          <w:trHeight w:val="725" w:hRule="exact"/>
        </w:trPr>
        <w:tc>
          <w:tcPr>
            <w:tcW w:w="170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7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7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93" w:right="92"/>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3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嘉园环保有限公司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139,070,000.00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70.94%</w:t>
            </w:r>
          </w:p>
        </w:tc>
        <w:tc>
          <w:tcPr>
            <w:tcW w:w="1637"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49"/>
              <w:ind w:left="14" w:right="53"/>
              <w:jc w:val="left"/>
              <w:rPr>
                <w:rFonts w:ascii="宋体" w:hAnsi="宋体" w:cs="宋体" w:eastAsia="宋体" w:hint="default"/>
                <w:sz w:val="18"/>
                <w:szCs w:val="18"/>
              </w:rPr>
            </w:pPr>
            <w:r>
              <w:rPr>
                <w:rFonts w:ascii="宋体" w:hAnsi="宋体" w:cs="宋体" w:eastAsia="宋体" w:hint="default"/>
                <w:sz w:val="18"/>
                <w:szCs w:val="18"/>
              </w:rPr>
              <w:t>郑州高新供水有限责 任公司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8.16%</w:t>
            </w:r>
          </w:p>
        </w:tc>
        <w:tc>
          <w:tcPr>
            <w:tcW w:w="1637"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left"/>
              <w:rPr>
                <w:rFonts w:ascii="宋体" w:hAnsi="宋体" w:cs="宋体" w:eastAsia="宋体" w:hint="default"/>
                <w:sz w:val="18"/>
                <w:szCs w:val="18"/>
              </w:rPr>
            </w:pPr>
            <w:r>
              <w:rPr>
                <w:rFonts w:ascii="宋体" w:hAnsi="宋体" w:cs="宋体" w:eastAsia="宋体" w:hint="default"/>
                <w:sz w:val="18"/>
                <w:szCs w:val="18"/>
              </w:rPr>
              <w:t>鞍山易兴自动化工程 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7.65%</w:t>
            </w:r>
          </w:p>
        </w:tc>
        <w:tc>
          <w:tcPr>
            <w:tcW w:w="1637" w:type="dxa"/>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4" w:lineRule="auto" w:before="49"/>
              <w:ind w:left="14" w:right="53"/>
              <w:jc w:val="left"/>
              <w:rPr>
                <w:rFonts w:ascii="宋体" w:hAnsi="宋体" w:cs="宋体" w:eastAsia="宋体" w:hint="default"/>
                <w:sz w:val="18"/>
                <w:szCs w:val="18"/>
              </w:rPr>
            </w:pPr>
            <w:r>
              <w:rPr>
                <w:rFonts w:ascii="宋体" w:hAnsi="宋体" w:cs="宋体" w:eastAsia="宋体" w:hint="default"/>
                <w:sz w:val="18"/>
                <w:szCs w:val="18"/>
              </w:rPr>
              <w:t>北京智威宇讯科技有 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3.06%</w:t>
            </w:r>
          </w:p>
        </w:tc>
        <w:tc>
          <w:tcPr>
            <w:tcW w:w="1637"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53"/>
              <w:jc w:val="left"/>
              <w:rPr>
                <w:rFonts w:ascii="宋体" w:hAnsi="宋体" w:cs="宋体" w:eastAsia="宋体" w:hint="default"/>
                <w:sz w:val="18"/>
                <w:szCs w:val="18"/>
              </w:rPr>
            </w:pPr>
            <w:r>
              <w:rPr>
                <w:rFonts w:ascii="宋体" w:hAnsi="宋体" w:cs="宋体" w:eastAsia="宋体" w:hint="default"/>
                <w:sz w:val="18"/>
                <w:szCs w:val="18"/>
              </w:rPr>
              <w:t>河南雪城软件有限公 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4,993,393.69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2.55%</w:t>
            </w:r>
          </w:p>
        </w:tc>
        <w:tc>
          <w:tcPr>
            <w:tcW w:w="1637"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170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0"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72" w:type="dxa"/>
            <w:tcBorders>
              <w:top w:val="single" w:sz="4" w:space="0" w:color="000000"/>
              <w:left w:val="single" w:sz="10" w:space="0" w:color="D2D2D2"/>
              <w:bottom w:val="single" w:sz="12"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181,063,393.69</w:t>
            </w:r>
          </w:p>
        </w:tc>
        <w:tc>
          <w:tcPr>
            <w:tcW w:w="1572"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92.36%</w:t>
            </w:r>
          </w:p>
        </w:tc>
        <w:tc>
          <w:tcPr>
            <w:tcW w:w="1637"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3、长期股权投资" w:id="393"/>
      <w:bookmarkEnd w:id="39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70"/>
        <w:gridCol w:w="1399"/>
        <w:gridCol w:w="1385"/>
        <w:gridCol w:w="1385"/>
        <w:gridCol w:w="1382"/>
        <w:gridCol w:w="1385"/>
        <w:gridCol w:w="1385"/>
      </w:tblGrid>
      <w:tr>
        <w:trPr>
          <w:trHeight w:val="215" w:hRule="exact"/>
        </w:trPr>
        <w:tc>
          <w:tcPr>
            <w:tcW w:w="1370" w:type="dxa"/>
            <w:tcBorders>
              <w:top w:val="single" w:sz="12" w:space="0" w:color="000000"/>
              <w:left w:val="single" w:sz="12" w:space="0" w:color="000000"/>
              <w:bottom w:val="nil" w:sz="6" w:space="0" w:color="auto"/>
              <w:right w:val="single" w:sz="4" w:space="0" w:color="000000"/>
            </w:tcBorders>
            <w:shd w:val="clear" w:color="auto" w:fill="D2D2D2"/>
          </w:tcPr>
          <w:p>
            <w:pPr/>
          </w:p>
        </w:tc>
        <w:tc>
          <w:tcPr>
            <w:tcW w:w="4169" w:type="dxa"/>
            <w:gridSpan w:val="3"/>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47"/>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53" w:type="dxa"/>
            <w:gridSpan w:val="3"/>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47"/>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370"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4169" w:type="dxa"/>
            <w:gridSpan w:val="3"/>
            <w:vMerge/>
            <w:tcBorders>
              <w:left w:val="single" w:sz="4" w:space="0" w:color="000000"/>
              <w:bottom w:val="single" w:sz="4" w:space="0" w:color="000000"/>
              <w:right w:val="single" w:sz="4" w:space="0" w:color="000000"/>
            </w:tcBorders>
            <w:shd w:val="clear" w:color="auto" w:fill="D2D2D2"/>
          </w:tcPr>
          <w:p>
            <w:pPr/>
          </w:p>
        </w:tc>
        <w:tc>
          <w:tcPr>
            <w:tcW w:w="4153" w:type="dxa"/>
            <w:gridSpan w:val="3"/>
            <w:vMerge/>
            <w:tcBorders>
              <w:left w:val="single" w:sz="4" w:space="0" w:color="000000"/>
              <w:bottom w:val="single" w:sz="4" w:space="0" w:color="000000"/>
              <w:right w:val="single" w:sz="12" w:space="0" w:color="000000"/>
            </w:tcBorders>
            <w:shd w:val="clear" w:color="auto" w:fill="D2D2D2"/>
          </w:tcPr>
          <w:p>
            <w:pPr/>
          </w:p>
        </w:tc>
      </w:tr>
      <w:tr>
        <w:trPr>
          <w:trHeight w:val="199" w:hRule="exact"/>
        </w:trPr>
        <w:tc>
          <w:tcPr>
            <w:tcW w:w="1370" w:type="dxa"/>
            <w:vMerge/>
            <w:tcBorders>
              <w:left w:val="single" w:sz="12"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5"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70" w:type="dxa"/>
            <w:tcBorders>
              <w:top w:val="nil" w:sz="6" w:space="0" w:color="auto"/>
              <w:left w:val="single" w:sz="12"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2"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3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1,763,598,207.56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152,182,234.20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1,611,415,973.36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1,689,267,298.56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28,091,674.90</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1,661,175,623.66</w:t>
            </w:r>
          </w:p>
        </w:tc>
      </w:tr>
      <w:tr>
        <w:trPr>
          <w:trHeight w:val="713" w:hRule="exact"/>
        </w:trPr>
        <w:tc>
          <w:tcPr>
            <w:tcW w:w="137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4" w:lineRule="auto" w:before="49"/>
              <w:ind w:left="7" w:right="81"/>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53,826,210.52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53,826,210.52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44,289,503.40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44,289,503.40</w:t>
            </w:r>
          </w:p>
        </w:tc>
      </w:tr>
      <w:tr>
        <w:trPr>
          <w:trHeight w:val="410" w:hRule="exact"/>
        </w:trPr>
        <w:tc>
          <w:tcPr>
            <w:tcW w:w="137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9"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1,817,424,418.08</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152,182,234.20</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1,665,242,183.88</w:t>
            </w:r>
          </w:p>
        </w:tc>
        <w:tc>
          <w:tcPr>
            <w:tcW w:w="1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1,733,556,801.96</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28,091,674.90</w:t>
            </w: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1,705,465,127.06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bookmarkStart w:name="（1）对子公司投资" w:id="394"/>
      <w:bookmarkEnd w:id="39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41"/>
        <w:gridCol w:w="1315"/>
        <w:gridCol w:w="1138"/>
        <w:gridCol w:w="1138"/>
        <w:gridCol w:w="1181"/>
        <w:gridCol w:w="1188"/>
        <w:gridCol w:w="1309"/>
        <w:gridCol w:w="1188"/>
      </w:tblGrid>
      <w:tr>
        <w:trPr>
          <w:trHeight w:val="412" w:hRule="exact"/>
        </w:trPr>
        <w:tc>
          <w:tcPr>
            <w:tcW w:w="1241"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15" w:type="dxa"/>
            <w:vMerge w:val="restart"/>
            <w:tcBorders>
              <w:top w:val="single" w:sz="12" w:space="0" w:color="000000"/>
              <w:left w:val="single" w:sz="4" w:space="0" w:color="000000"/>
              <w:right w:val="single" w:sz="4" w:space="0" w:color="000000"/>
            </w:tcBorders>
            <w:shd w:val="clear" w:color="auto" w:fill="D2D2D2"/>
          </w:tcPr>
          <w:p>
            <w:pPr>
              <w:pStyle w:val="TableParagraph"/>
              <w:spacing w:line="300" w:lineRule="auto" w:before="93"/>
              <w:ind w:left="443" w:right="7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4645" w:type="dxa"/>
            <w:gridSpan w:val="4"/>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09" w:type="dxa"/>
            <w:vMerge w:val="restart"/>
            <w:tcBorders>
              <w:top w:val="single" w:sz="12" w:space="0" w:color="000000"/>
              <w:left w:val="single" w:sz="4" w:space="0" w:color="000000"/>
              <w:right w:val="single" w:sz="4" w:space="0" w:color="000000"/>
            </w:tcBorders>
            <w:shd w:val="clear" w:color="auto" w:fill="D2D2D2"/>
          </w:tcPr>
          <w:p>
            <w:pPr>
              <w:pStyle w:val="TableParagraph"/>
              <w:spacing w:line="300" w:lineRule="auto" w:before="93"/>
              <w:ind w:left="439" w:right="77"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188" w:type="dxa"/>
            <w:vMerge w:val="restart"/>
            <w:tcBorders>
              <w:top w:val="single" w:sz="12" w:space="0" w:color="000000"/>
              <w:left w:val="single" w:sz="4" w:space="0" w:color="000000"/>
              <w:right w:val="single" w:sz="12" w:space="0" w:color="000000"/>
            </w:tcBorders>
            <w:shd w:val="clear" w:color="auto" w:fill="D2D2D2"/>
          </w:tcPr>
          <w:p>
            <w:pPr>
              <w:pStyle w:val="TableParagraph"/>
              <w:spacing w:line="316" w:lineRule="auto" w:before="93"/>
              <w:ind w:left="407" w:right="38"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41" w:type="dxa"/>
            <w:vMerge/>
            <w:tcBorders>
              <w:left w:val="single" w:sz="12"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计提减值准备</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09" w:type="dxa"/>
            <w:vMerge/>
            <w:tcBorders>
              <w:left w:val="single" w:sz="4" w:space="0" w:color="000000"/>
              <w:bottom w:val="single" w:sz="4" w:space="0" w:color="000000"/>
              <w:right w:val="single" w:sz="4" w:space="0" w:color="000000"/>
            </w:tcBorders>
            <w:shd w:val="clear" w:color="auto" w:fill="D2D2D2"/>
          </w:tcPr>
          <w:p>
            <w:pPr/>
          </w:p>
        </w:tc>
        <w:tc>
          <w:tcPr>
            <w:tcW w:w="1188" w:type="dxa"/>
            <w:vMerge/>
            <w:tcBorders>
              <w:left w:val="single" w:sz="4" w:space="0" w:color="000000"/>
              <w:bottom w:val="single" w:sz="4" w:space="0" w:color="000000"/>
              <w:right w:val="single" w:sz="12" w:space="0" w:color="000000"/>
            </w:tcBorders>
            <w:shd w:val="clear" w:color="auto" w:fill="D2D2D2"/>
          </w:tcPr>
          <w:p>
            <w:pPr/>
          </w:p>
        </w:tc>
      </w:tr>
      <w:tr>
        <w:trPr>
          <w:trHeight w:val="401"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炜盛科技</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40,238,715.82</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40,238,715.82</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汉威智慧安全</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41,686,910.38</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41,686,910.38</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沈阳汉威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智威宇讯</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上海中威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23,875,000.00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23,875,000.00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沈阳金建</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100,367,990.51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20,090,560.90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86,277,429.61</w:t>
            </w:r>
          </w:p>
        </w:tc>
        <w:tc>
          <w:tcPr>
            <w:tcW w:w="1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20,090,560.90</w:t>
            </w:r>
          </w:p>
        </w:tc>
      </w:tr>
      <w:tr>
        <w:trPr>
          <w:trHeight w:val="401"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苏州能斯达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2,455,378.30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6,625,378.30</w:t>
            </w:r>
          </w:p>
        </w:tc>
        <w:tc>
          <w:tcPr>
            <w:tcW w:w="1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2,794,464.15</w:t>
            </w:r>
          </w:p>
        </w:tc>
      </w:tr>
      <w:tr>
        <w:trPr>
          <w:trHeight w:val="403"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上海英吉森</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4,241,307.24</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4,241,307.24</w:t>
            </w:r>
          </w:p>
        </w:tc>
        <w:tc>
          <w:tcPr>
            <w:tcW w:w="1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17,774,592.76</w:t>
            </w:r>
          </w:p>
        </w:tc>
      </w:tr>
      <w:tr>
        <w:trPr>
          <w:trHeight w:val="401"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鞍山易兴</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18,956,582.01</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18,956,582.01</w:t>
            </w:r>
          </w:p>
        </w:tc>
        <w:tc>
          <w:tcPr>
            <w:tcW w:w="1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7,522,617.99</w:t>
            </w:r>
          </w:p>
        </w:tc>
      </w:tr>
      <w:tr>
        <w:trPr>
          <w:trHeight w:val="403"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嘉园环保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439,999,998.40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103,999,998.40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336,000,000.00</w:t>
            </w:r>
          </w:p>
        </w:tc>
        <w:tc>
          <w:tcPr>
            <w:tcW w:w="1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103,999,998.40</w:t>
            </w:r>
          </w:p>
        </w:tc>
      </w:tr>
      <w:tr>
        <w:trPr>
          <w:trHeight w:val="401"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汉威公用</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295,406,900.00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295,406,900.00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北京威果</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12,170,000.00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汉威智能仪表</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广东龙泉</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20,981,961.00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20,981,961.00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雪城软件</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71,778,700.00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71,778,700.00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汉威智源</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277,481,900.00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277,481,900.00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德析检测</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威研融创</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142,293,780.00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171,293,780.00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畅威物联</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百隆工程</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吉地艾斯</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535,500.00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535,500.00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上海祥云</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汉威智慧消防</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河南威果</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6,085,000.00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6,085,000.00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山西腾星</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32,225,000.00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32,225,000.00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4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汉威香港</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105,909.00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105,909.00</w:t>
            </w:r>
          </w:p>
        </w:tc>
        <w:tc>
          <w:tcPr>
            <w:tcW w:w="1188"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124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1,661,175,623.66</w:t>
            </w:r>
          </w:p>
        </w:tc>
        <w:tc>
          <w:tcPr>
            <w:tcW w:w="11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86,500,909.00</w:t>
            </w:r>
          </w:p>
        </w:tc>
        <w:tc>
          <w:tcPr>
            <w:tcW w:w="11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12,170,000.00</w:t>
            </w:r>
          </w:p>
        </w:tc>
        <w:tc>
          <w:tcPr>
            <w:tcW w:w="11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124,090,559.30</w:t>
            </w:r>
          </w:p>
        </w:tc>
        <w:tc>
          <w:tcPr>
            <w:tcW w:w="1188" w:type="dxa"/>
            <w:tcBorders>
              <w:top w:val="single" w:sz="4" w:space="0" w:color="000000"/>
              <w:left w:val="single" w:sz="4" w:space="0" w:color="000000"/>
              <w:bottom w:val="single" w:sz="12" w:space="0" w:color="000000"/>
              <w:right w:val="single" w:sz="4" w:space="0" w:color="000000"/>
            </w:tcBorders>
          </w:tcPr>
          <w:p>
            <w:pPr/>
          </w:p>
        </w:tc>
        <w:tc>
          <w:tcPr>
            <w:tcW w:w="13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1,611,415,973.36</w:t>
            </w:r>
          </w:p>
        </w:tc>
        <w:tc>
          <w:tcPr>
            <w:tcW w:w="1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152,182,234.20</w:t>
            </w: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bookmarkStart w:name="（2）对联营、合营企业投资" w:id="395"/>
      <w:bookmarkEnd w:id="39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89"/>
        <w:gridCol w:w="1092"/>
        <w:gridCol w:w="686"/>
        <w:gridCol w:w="689"/>
        <w:gridCol w:w="1001"/>
        <w:gridCol w:w="691"/>
        <w:gridCol w:w="1001"/>
        <w:gridCol w:w="689"/>
        <w:gridCol w:w="689"/>
        <w:gridCol w:w="689"/>
        <w:gridCol w:w="1090"/>
        <w:gridCol w:w="691"/>
      </w:tblGrid>
      <w:tr>
        <w:trPr>
          <w:trHeight w:val="413" w:hRule="exact"/>
        </w:trPr>
        <w:tc>
          <w:tcPr>
            <w:tcW w:w="689"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240" w:right="68" w:hanging="181"/>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1092"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00" w:lineRule="auto"/>
              <w:ind w:left="239" w:right="60"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6136" w:type="dxa"/>
            <w:gridSpan w:val="8"/>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0"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00" w:lineRule="auto"/>
              <w:ind w:left="240" w:right="5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691"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71" w:right="59"/>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7" w:hRule="exact"/>
        </w:trPr>
        <w:tc>
          <w:tcPr>
            <w:tcW w:w="689" w:type="dxa"/>
            <w:vMerge/>
            <w:tcBorders>
              <w:left w:val="single" w:sz="12"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5"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0" w:right="68"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3"/>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05" w:right="45" w:hanging="361"/>
              <w:jc w:val="left"/>
              <w:rPr>
                <w:rFonts w:ascii="宋体" w:hAnsi="宋体" w:cs="宋体" w:eastAsia="宋体" w:hint="default"/>
                <w:sz w:val="18"/>
                <w:szCs w:val="18"/>
              </w:rPr>
            </w:pPr>
            <w:r>
              <w:rPr>
                <w:rFonts w:ascii="宋体" w:hAnsi="宋体" w:cs="宋体" w:eastAsia="宋体" w:hint="default"/>
                <w:sz w:val="18"/>
                <w:szCs w:val="18"/>
              </w:rPr>
              <w:t>其他权益变 动</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9698" w:type="dxa"/>
            <w:gridSpan w:val="1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698" w:type="dxa"/>
            <w:gridSpan w:val="1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2" w:hRule="exact"/>
        </w:trPr>
        <w:tc>
          <w:tcPr>
            <w:tcW w:w="689"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49"/>
              <w:ind w:left="14" w:right="113"/>
              <w:jc w:val="both"/>
              <w:rPr>
                <w:rFonts w:ascii="宋体" w:hAnsi="宋体" w:cs="宋体" w:eastAsia="宋体" w:hint="default"/>
                <w:sz w:val="18"/>
                <w:szCs w:val="18"/>
              </w:rPr>
            </w:pPr>
            <w:r>
              <w:rPr>
                <w:rFonts w:ascii="宋体" w:hAnsi="宋体" w:cs="宋体" w:eastAsia="宋体" w:hint="default"/>
                <w:sz w:val="18"/>
                <w:szCs w:val="18"/>
              </w:rPr>
              <w:t>河南中 盾云安 信息科 技有限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6,463,207.05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3,235,931.79</w:t>
            </w:r>
          </w:p>
        </w:tc>
        <w:tc>
          <w:tcPr>
            <w:tcW w:w="6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9,699,138.84</w:t>
            </w:r>
          </w:p>
        </w:tc>
        <w:tc>
          <w:tcPr>
            <w:tcW w:w="691" w:type="dxa"/>
            <w:tcBorders>
              <w:top w:val="single" w:sz="4" w:space="0" w:color="000000"/>
              <w:left w:val="single" w:sz="4" w:space="0" w:color="000000"/>
              <w:bottom w:val="single" w:sz="4" w:space="0" w:color="000000"/>
              <w:right w:val="single" w:sz="12" w:space="0" w:color="000000"/>
            </w:tcBorders>
          </w:tcPr>
          <w:p>
            <w:pPr/>
          </w:p>
        </w:tc>
      </w:tr>
      <w:tr>
        <w:trPr>
          <w:trHeight w:val="1649" w:hRule="exact"/>
        </w:trPr>
        <w:tc>
          <w:tcPr>
            <w:tcW w:w="68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49"/>
              <w:ind w:left="14" w:right="113"/>
              <w:jc w:val="left"/>
              <w:rPr>
                <w:rFonts w:ascii="宋体" w:hAnsi="宋体" w:cs="宋体" w:eastAsia="宋体" w:hint="default"/>
                <w:sz w:val="18"/>
                <w:szCs w:val="18"/>
              </w:rPr>
            </w:pPr>
            <w:r>
              <w:rPr>
                <w:rFonts w:ascii="宋体" w:hAnsi="宋体" w:cs="宋体" w:eastAsia="宋体" w:hint="default"/>
                <w:sz w:val="18"/>
                <w:szCs w:val="18"/>
              </w:rPr>
              <w:t>泰瑞数 创科技</w:t>
            </w:r>
          </w:p>
          <w:p>
            <w:pPr>
              <w:pStyle w:val="TableParagraph"/>
              <w:spacing w:line="316" w:lineRule="auto" w:before="19"/>
              <w:ind w:left="14" w:right="-34"/>
              <w:jc w:val="left"/>
              <w:rPr>
                <w:rFonts w:ascii="宋体" w:hAnsi="宋体" w:cs="宋体" w:eastAsia="宋体" w:hint="default"/>
                <w:sz w:val="18"/>
                <w:szCs w:val="18"/>
              </w:rPr>
            </w:pPr>
            <w:r>
              <w:rPr>
                <w:rFonts w:ascii="宋体" w:hAnsi="宋体" w:cs="宋体" w:eastAsia="宋体" w:hint="default"/>
                <w:spacing w:val="-8"/>
                <w:sz w:val="18"/>
                <w:szCs w:val="18"/>
              </w:rPr>
              <w:t>（北京）</w:t>
            </w:r>
            <w:r>
              <w:rPr>
                <w:rFonts w:ascii="宋体" w:hAnsi="宋体" w:cs="宋体" w:eastAsia="宋体" w:hint="default"/>
                <w:spacing w:val="-31"/>
                <w:sz w:val="18"/>
                <w:szCs w:val="18"/>
              </w:rPr>
              <w:t> </w:t>
            </w:r>
            <w:r>
              <w:rPr>
                <w:rFonts w:ascii="宋体" w:hAnsi="宋体" w:cs="宋体" w:eastAsia="宋体" w:hint="default"/>
                <w:sz w:val="18"/>
                <w:szCs w:val="18"/>
              </w:rPr>
              <w:t>有限公</w:t>
            </w:r>
            <w:r>
              <w:rPr>
                <w:rFonts w:ascii="宋体" w:hAnsi="宋体" w:cs="宋体" w:eastAsia="宋体" w:hint="default"/>
                <w:sz w:val="18"/>
                <w:szCs w:val="18"/>
              </w:rPr>
              <w:t>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37,826,296.35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3,498,008.17</w:t>
            </w:r>
          </w:p>
        </w:tc>
        <w:tc>
          <w:tcPr>
            <w:tcW w:w="6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2,802,767.16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44,127,071.68</w:t>
            </w:r>
          </w:p>
        </w:tc>
        <w:tc>
          <w:tcPr>
            <w:tcW w:w="69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6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44,289,503.40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6,733,939.96</w:t>
            </w:r>
          </w:p>
        </w:tc>
        <w:tc>
          <w:tcPr>
            <w:tcW w:w="69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2,802,767.16</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53,826,210.52</w:t>
            </w:r>
          </w:p>
        </w:tc>
        <w:tc>
          <w:tcPr>
            <w:tcW w:w="691" w:type="dxa"/>
            <w:tcBorders>
              <w:top w:val="single" w:sz="4" w:space="0" w:color="000000"/>
              <w:left w:val="single" w:sz="4" w:space="0" w:color="000000"/>
              <w:bottom w:val="single" w:sz="4" w:space="0" w:color="000000"/>
              <w:right w:val="single" w:sz="12" w:space="0" w:color="000000"/>
            </w:tcBorders>
          </w:tcPr>
          <w:p>
            <w:pPr/>
          </w:p>
        </w:tc>
      </w:tr>
      <w:tr>
        <w:trPr>
          <w:trHeight w:val="410" w:hRule="exact"/>
        </w:trPr>
        <w:tc>
          <w:tcPr>
            <w:tcW w:w="68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44,289,503.40</w:t>
            </w:r>
          </w:p>
        </w:tc>
        <w:tc>
          <w:tcPr>
            <w:tcW w:w="686" w:type="dxa"/>
            <w:tcBorders>
              <w:top w:val="single" w:sz="4" w:space="0" w:color="000000"/>
              <w:left w:val="single" w:sz="4" w:space="0" w:color="000000"/>
              <w:bottom w:val="single" w:sz="12" w:space="0" w:color="000000"/>
              <w:right w:val="single" w:sz="4" w:space="0" w:color="000000"/>
            </w:tcBorders>
          </w:tcPr>
          <w:p>
            <w:pPr/>
          </w:p>
        </w:tc>
        <w:tc>
          <w:tcPr>
            <w:tcW w:w="689" w:type="dxa"/>
            <w:tcBorders>
              <w:top w:val="single" w:sz="4" w:space="0" w:color="000000"/>
              <w:left w:val="single" w:sz="4" w:space="0" w:color="000000"/>
              <w:bottom w:val="single" w:sz="12" w:space="0" w:color="000000"/>
              <w:right w:val="single" w:sz="4" w:space="0" w:color="000000"/>
            </w:tcBorders>
          </w:tcPr>
          <w:p>
            <w:pPr/>
          </w:p>
        </w:tc>
        <w:tc>
          <w:tcPr>
            <w:tcW w:w="10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6,733,939.96</w:t>
            </w:r>
          </w:p>
        </w:tc>
        <w:tc>
          <w:tcPr>
            <w:tcW w:w="691" w:type="dxa"/>
            <w:tcBorders>
              <w:top w:val="single" w:sz="4" w:space="0" w:color="000000"/>
              <w:left w:val="single" w:sz="4" w:space="0" w:color="000000"/>
              <w:bottom w:val="single" w:sz="12" w:space="0" w:color="000000"/>
              <w:right w:val="single" w:sz="4" w:space="0" w:color="000000"/>
            </w:tcBorders>
          </w:tcPr>
          <w:p>
            <w:pPr/>
          </w:p>
        </w:tc>
        <w:tc>
          <w:tcPr>
            <w:tcW w:w="10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2,802,767.16</w:t>
            </w:r>
          </w:p>
        </w:tc>
        <w:tc>
          <w:tcPr>
            <w:tcW w:w="689" w:type="dxa"/>
            <w:tcBorders>
              <w:top w:val="single" w:sz="4" w:space="0" w:color="000000"/>
              <w:left w:val="single" w:sz="4" w:space="0" w:color="000000"/>
              <w:bottom w:val="single" w:sz="12" w:space="0" w:color="000000"/>
              <w:right w:val="single" w:sz="4" w:space="0" w:color="000000"/>
            </w:tcBorders>
          </w:tcPr>
          <w:p>
            <w:pPr/>
          </w:p>
        </w:tc>
        <w:tc>
          <w:tcPr>
            <w:tcW w:w="689" w:type="dxa"/>
            <w:tcBorders>
              <w:top w:val="single" w:sz="4" w:space="0" w:color="000000"/>
              <w:left w:val="single" w:sz="4" w:space="0" w:color="000000"/>
              <w:bottom w:val="single" w:sz="12" w:space="0" w:color="000000"/>
              <w:right w:val="single" w:sz="4" w:space="0" w:color="000000"/>
            </w:tcBorders>
          </w:tcPr>
          <w:p>
            <w:pPr/>
          </w:p>
        </w:tc>
        <w:tc>
          <w:tcPr>
            <w:tcW w:w="689" w:type="dxa"/>
            <w:tcBorders>
              <w:top w:val="single" w:sz="4" w:space="0" w:color="000000"/>
              <w:left w:val="single" w:sz="4" w:space="0" w:color="000000"/>
              <w:bottom w:val="single" w:sz="12" w:space="0" w:color="000000"/>
              <w:right w:val="single" w:sz="4" w:space="0" w:color="000000"/>
            </w:tcBorders>
          </w:tcPr>
          <w:p>
            <w:pPr/>
          </w:p>
        </w:tc>
        <w:tc>
          <w:tcPr>
            <w:tcW w:w="10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53,826,210.52</w:t>
            </w:r>
          </w:p>
        </w:tc>
        <w:tc>
          <w:tcPr>
            <w:tcW w:w="691"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r>
        <w:rPr/>
        <w:pict>
          <v:group style="position:absolute;margin-left:90.024002pt;margin-top:-105.63633pt;width:52.8pt;height:20.65pt;mso-position-horizontal-relative:page;mso-position-vertical-relative:paragraph;z-index:-1121056" coordorigin="1800,-2113" coordsize="1056,413">
            <v:group style="position:absolute;left:1811;top:-2102;width:2;height:392" coordorigin="1811,-2102" coordsize="2,392">
              <v:shape style="position:absolute;left:1811;top:-2102;width:2;height:392" coordorigin="1811,-2102" coordsize="0,392" path="m1811,-2102l1811,-1711e" filled="false" stroked="true" strokeweight="1.08pt" strokecolor="#ffffff">
                <v:path arrowok="t"/>
              </v:shape>
            </v:group>
            <v:group style="position:absolute;left:1822;top:-2102;width:1035;height:392" coordorigin="1822,-2102" coordsize="1035,392">
              <v:shape style="position:absolute;left:1822;top:-2102;width:1035;height:392" coordorigin="1822,-2102" coordsize="1035,392" path="m1822,-1711l2856,-1711,2856,-2102,1822,-2102,1822,-1711xe" filled="true" fillcolor="#ffffff" stroked="false">
                <v:path arrowok="t"/>
                <v:fill type="solid"/>
              </v:shape>
            </v:group>
            <w10:wrap type="none"/>
          </v:group>
        </w:pict>
      </w:r>
      <w:bookmarkStart w:name="4、营业收入和营业成本" w:id="396"/>
      <w:bookmarkEnd w:id="39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015"/>
        <w:gridCol w:w="1859"/>
        <w:gridCol w:w="1940"/>
        <w:gridCol w:w="1937"/>
        <w:gridCol w:w="1939"/>
      </w:tblGrid>
      <w:tr>
        <w:trPr>
          <w:trHeight w:val="215" w:hRule="exact"/>
        </w:trPr>
        <w:tc>
          <w:tcPr>
            <w:tcW w:w="2015"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799" w:type="dxa"/>
            <w:gridSpan w:val="2"/>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77"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2015"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right="15"/>
              <w:jc w:val="center"/>
              <w:rPr>
                <w:rFonts w:ascii="宋体" w:hAnsi="宋体" w:cs="宋体" w:eastAsia="宋体" w:hint="default"/>
                <w:sz w:val="18"/>
                <w:szCs w:val="18"/>
              </w:rPr>
            </w:pPr>
            <w:r>
              <w:rPr>
                <w:rFonts w:ascii="宋体" w:hAnsi="宋体" w:cs="宋体" w:eastAsia="宋体" w:hint="default"/>
                <w:sz w:val="18"/>
                <w:szCs w:val="18"/>
              </w:rPr>
              <w:t>项目</w:t>
            </w:r>
          </w:p>
        </w:tc>
        <w:tc>
          <w:tcPr>
            <w:tcW w:w="3799" w:type="dxa"/>
            <w:gridSpan w:val="2"/>
            <w:vMerge/>
            <w:tcBorders>
              <w:left w:val="single" w:sz="4" w:space="0" w:color="000000"/>
              <w:bottom w:val="single" w:sz="4" w:space="0" w:color="000000"/>
              <w:right w:val="single" w:sz="4" w:space="0" w:color="000000"/>
            </w:tcBorders>
            <w:shd w:val="clear" w:color="auto" w:fill="D2D2D2"/>
          </w:tcPr>
          <w:p>
            <w:pPr/>
          </w:p>
        </w:tc>
        <w:tc>
          <w:tcPr>
            <w:tcW w:w="3877" w:type="dxa"/>
            <w:gridSpan w:val="2"/>
            <w:vMerge/>
            <w:tcBorders>
              <w:left w:val="single" w:sz="4" w:space="0" w:color="000000"/>
              <w:bottom w:val="single" w:sz="4" w:space="0" w:color="000000"/>
              <w:right w:val="single" w:sz="12" w:space="0" w:color="000000"/>
            </w:tcBorders>
            <w:shd w:val="clear" w:color="auto" w:fill="D2D2D2"/>
          </w:tcPr>
          <w:p>
            <w:pPr/>
          </w:p>
        </w:tc>
      </w:tr>
      <w:tr>
        <w:trPr>
          <w:trHeight w:val="202" w:hRule="exact"/>
        </w:trPr>
        <w:tc>
          <w:tcPr>
            <w:tcW w:w="2015" w:type="dxa"/>
            <w:vMerge/>
            <w:tcBorders>
              <w:left w:val="single" w:sz="12" w:space="0" w:color="000000"/>
              <w:bottom w:val="nil" w:sz="6" w:space="0" w:color="auto"/>
              <w:right w:val="single" w:sz="4" w:space="0" w:color="000000"/>
            </w:tcBorders>
            <w:shd w:val="clear" w:color="auto" w:fill="D2D2D2"/>
          </w:tcPr>
          <w:p>
            <w:pPr/>
          </w:p>
        </w:tc>
        <w:tc>
          <w:tcPr>
            <w:tcW w:w="18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39"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2015" w:type="dxa"/>
            <w:tcBorders>
              <w:top w:val="nil" w:sz="6" w:space="0" w:color="auto"/>
              <w:left w:val="single" w:sz="12" w:space="0" w:color="000000"/>
              <w:bottom w:val="single" w:sz="4" w:space="0" w:color="000000"/>
              <w:right w:val="single" w:sz="4" w:space="0" w:color="000000"/>
            </w:tcBorders>
            <w:shd w:val="clear" w:color="auto" w:fill="D2D2D2"/>
          </w:tcPr>
          <w:p>
            <w:pPr/>
          </w:p>
        </w:tc>
        <w:tc>
          <w:tcPr>
            <w:tcW w:w="1859" w:type="dxa"/>
            <w:vMerge/>
            <w:tcBorders>
              <w:left w:val="single" w:sz="4" w:space="0" w:color="000000"/>
              <w:bottom w:val="single" w:sz="4" w:space="0" w:color="000000"/>
              <w:right w:val="single" w:sz="4" w:space="0" w:color="000000"/>
            </w:tcBorders>
            <w:shd w:val="clear" w:color="auto" w:fill="D2D2D2"/>
          </w:tcPr>
          <w:p>
            <w:pPr/>
          </w:p>
        </w:tc>
        <w:tc>
          <w:tcPr>
            <w:tcW w:w="1940"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201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313,138,425.77</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189,809,656.28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280,490,713.94</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171,775,082.90</w:t>
            </w:r>
          </w:p>
        </w:tc>
      </w:tr>
      <w:tr>
        <w:trPr>
          <w:trHeight w:val="401" w:hRule="exact"/>
        </w:trPr>
        <w:tc>
          <w:tcPr>
            <w:tcW w:w="201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53,497,279.48</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23,907,698.23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43,548,057.35</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19,188,667.84</w:t>
            </w:r>
          </w:p>
        </w:tc>
      </w:tr>
      <w:tr>
        <w:trPr>
          <w:trHeight w:val="410" w:hRule="exact"/>
        </w:trPr>
        <w:tc>
          <w:tcPr>
            <w:tcW w:w="201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9" w:type="dxa"/>
            <w:tcBorders>
              <w:top w:val="single" w:sz="4" w:space="0" w:color="000000"/>
              <w:left w:val="single" w:sz="9" w:space="0" w:color="D2D2D2"/>
              <w:bottom w:val="single" w:sz="12"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366,635,705.25</w:t>
            </w:r>
          </w:p>
        </w:tc>
        <w:tc>
          <w:tcPr>
            <w:tcW w:w="1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213,717,354.51</w:t>
            </w: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324,038,771.29</w:t>
            </w: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190,963,750.74</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bookmarkStart w:name="5、投资收益" w:id="397"/>
      <w:bookmarkEnd w:id="39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353"/>
        <w:gridCol w:w="3110"/>
        <w:gridCol w:w="3229"/>
      </w:tblGrid>
      <w:tr>
        <w:trPr>
          <w:trHeight w:val="412" w:hRule="exact"/>
        </w:trPr>
        <w:tc>
          <w:tcPr>
            <w:tcW w:w="335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1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2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8"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144,020,000.00</w:t>
            </w:r>
          </w:p>
        </w:tc>
        <w:tc>
          <w:tcPr>
            <w:tcW w:w="3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41,856,000.00</w:t>
            </w:r>
          </w:p>
        </w:tc>
      </w:tr>
      <w:tr>
        <w:trPr>
          <w:trHeight w:val="403"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6,733,939.96</w:t>
            </w:r>
          </w:p>
        </w:tc>
        <w:tc>
          <w:tcPr>
            <w:tcW w:w="3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3,415,496.81</w:t>
            </w:r>
          </w:p>
        </w:tc>
      </w:tr>
      <w:tr>
        <w:trPr>
          <w:trHeight w:val="410" w:hRule="exact"/>
        </w:trPr>
        <w:tc>
          <w:tcPr>
            <w:tcW w:w="335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10" w:type="dxa"/>
            <w:tcBorders>
              <w:top w:val="single" w:sz="4" w:space="0" w:color="000000"/>
              <w:left w:val="single" w:sz="12" w:space="0" w:color="D2D2D2"/>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-6,085,000.00</w:t>
            </w:r>
          </w:p>
        </w:tc>
        <w:tc>
          <w:tcPr>
            <w:tcW w:w="3229"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3369"/>
        <w:gridCol w:w="3099"/>
        <w:gridCol w:w="3229"/>
      </w:tblGrid>
      <w:tr>
        <w:trPr>
          <w:trHeight w:val="413" w:hRule="exact"/>
        </w:trPr>
        <w:tc>
          <w:tcPr>
            <w:tcW w:w="3369"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或有对价实现的投资收益</w:t>
            </w:r>
          </w:p>
        </w:tc>
        <w:tc>
          <w:tcPr>
            <w:tcW w:w="30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229" w:type="dxa"/>
            <w:tcBorders>
              <w:top w:val="single" w:sz="12" w:space="0" w:color="000000"/>
              <w:left w:val="single" w:sz="4" w:space="0" w:color="000000"/>
              <w:bottom w:val="single" w:sz="4" w:space="0" w:color="000000"/>
              <w:right w:val="single" w:sz="12" w:space="0" w:color="000000"/>
            </w:tcBorders>
          </w:tcPr>
          <w:p>
            <w:pPr/>
          </w:p>
        </w:tc>
      </w:tr>
      <w:tr>
        <w:trPr>
          <w:trHeight w:val="401" w:hRule="exact"/>
        </w:trPr>
        <w:tc>
          <w:tcPr>
            <w:tcW w:w="3369" w:type="dxa"/>
            <w:tcBorders>
              <w:top w:val="single" w:sz="4"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1,380,657.52</w:t>
            </w:r>
          </w:p>
        </w:tc>
        <w:tc>
          <w:tcPr>
            <w:tcW w:w="322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7,425,193.57</w:t>
            </w:r>
          </w:p>
        </w:tc>
      </w:tr>
      <w:tr>
        <w:trPr>
          <w:trHeight w:val="410" w:hRule="exact"/>
        </w:trPr>
        <w:tc>
          <w:tcPr>
            <w:tcW w:w="33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150,049,597.48</w:t>
            </w:r>
          </w:p>
        </w:tc>
        <w:tc>
          <w:tcPr>
            <w:tcW w:w="322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52,696,690.38</w:t>
            </w: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bookmarkStart w:name="十七、补充资料" w:id="398"/>
      <w:bookmarkEnd w:id="398"/>
      <w:r>
        <w:rPr>
          <w:b w:val="0"/>
          <w:bCs w:val="0"/>
        </w:rPr>
      </w:r>
      <w:r>
        <w:rPr/>
        <w:t>十七、补充资料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99"/>
      <w:bookmarkEnd w:id="39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353"/>
        <w:gridCol w:w="3110"/>
        <w:gridCol w:w="3229"/>
      </w:tblGrid>
      <w:tr>
        <w:trPr>
          <w:trHeight w:val="412" w:hRule="exact"/>
        </w:trPr>
        <w:tc>
          <w:tcPr>
            <w:tcW w:w="335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1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2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7"/>
              <w:ind w:left="1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-428,887.98</w:t>
            </w:r>
          </w:p>
        </w:tc>
        <w:tc>
          <w:tcPr>
            <w:tcW w:w="3229"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49"/>
              <w:ind w:left="7" w:right="84"/>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128,581,486.32</w:t>
            </w:r>
          </w:p>
        </w:tc>
        <w:tc>
          <w:tcPr>
            <w:tcW w:w="3229"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-267,345.03</w:t>
            </w:r>
          </w:p>
        </w:tc>
        <w:tc>
          <w:tcPr>
            <w:tcW w:w="322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341,405.04</w:t>
            </w:r>
          </w:p>
        </w:tc>
        <w:tc>
          <w:tcPr>
            <w:tcW w:w="3229"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4,916,795.46</w:t>
            </w:r>
          </w:p>
        </w:tc>
        <w:tc>
          <w:tcPr>
            <w:tcW w:w="322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19,460,100.36</w:t>
            </w:r>
          </w:p>
        </w:tc>
        <w:tc>
          <w:tcPr>
            <w:tcW w:w="3229"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3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1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24,248,130.41</w:t>
            </w:r>
          </w:p>
        </w:tc>
        <w:tc>
          <w:tcPr>
            <w:tcW w:w="3229" w:type="dxa"/>
            <w:tcBorders>
              <w:top w:val="single" w:sz="4" w:space="0" w:color="000000"/>
              <w:left w:val="single" w:sz="4" w:space="0" w:color="000000"/>
              <w:bottom w:val="single" w:sz="4" w:space="0" w:color="000000"/>
              <w:right w:val="single" w:sz="12" w:space="0" w:color="000000"/>
            </w:tcBorders>
          </w:tcPr>
          <w:p>
            <w:pPr/>
          </w:p>
        </w:tc>
      </w:tr>
      <w:tr>
        <w:trPr>
          <w:trHeight w:val="411" w:hRule="exact"/>
        </w:trPr>
        <w:tc>
          <w:tcPr>
            <w:tcW w:w="335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10" w:type="dxa"/>
            <w:tcBorders>
              <w:top w:val="single" w:sz="4" w:space="0" w:color="000000"/>
              <w:left w:val="single" w:sz="12" w:space="0" w:color="D2D2D2"/>
              <w:bottom w:val="single" w:sz="12"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89,435,223.04</w:t>
            </w:r>
          </w:p>
        </w:tc>
        <w:tc>
          <w:tcPr>
            <w:tcW w:w="3229"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2、净资产收益率及每股收益" w:id="400"/>
      <w:bookmarkEnd w:id="40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691"/>
        <w:gridCol w:w="3123"/>
        <w:gridCol w:w="1937"/>
        <w:gridCol w:w="1939"/>
      </w:tblGrid>
      <w:tr>
        <w:trPr>
          <w:trHeight w:val="216" w:hRule="exact"/>
        </w:trPr>
        <w:tc>
          <w:tcPr>
            <w:tcW w:w="2691" w:type="dxa"/>
            <w:tcBorders>
              <w:top w:val="single" w:sz="12" w:space="0" w:color="000000"/>
              <w:left w:val="single" w:sz="12" w:space="0" w:color="000000"/>
              <w:bottom w:val="nil" w:sz="6" w:space="0" w:color="auto"/>
              <w:right w:val="single" w:sz="4" w:space="0" w:color="000000"/>
            </w:tcBorders>
            <w:shd w:val="clear" w:color="auto" w:fill="D2D2D2"/>
          </w:tcPr>
          <w:p>
            <w:pPr/>
          </w:p>
        </w:tc>
        <w:tc>
          <w:tcPr>
            <w:tcW w:w="3123" w:type="dxa"/>
            <w:tcBorders>
              <w:top w:val="single" w:sz="12" w:space="0" w:color="000000"/>
              <w:left w:val="single" w:sz="4" w:space="0" w:color="000000"/>
              <w:bottom w:val="nil" w:sz="6" w:space="0" w:color="auto"/>
              <w:right w:val="single" w:sz="4" w:space="0" w:color="000000"/>
            </w:tcBorders>
            <w:shd w:val="clear" w:color="auto" w:fill="D2D2D2"/>
          </w:tcPr>
          <w:p>
            <w:pPr/>
          </w:p>
        </w:tc>
        <w:tc>
          <w:tcPr>
            <w:tcW w:w="3877" w:type="dxa"/>
            <w:gridSpan w:val="2"/>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91" w:type="dxa"/>
            <w:vMerge w:val="restart"/>
            <w:tcBorders>
              <w:top w:val="nil" w:sz="6" w:space="0" w:color="auto"/>
              <w:left w:val="single" w:sz="12"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77" w:type="dxa"/>
            <w:gridSpan w:val="2"/>
            <w:vMerge/>
            <w:tcBorders>
              <w:left w:val="single" w:sz="4" w:space="0" w:color="000000"/>
              <w:bottom w:val="single" w:sz="4" w:space="0" w:color="000000"/>
              <w:right w:val="single" w:sz="12" w:space="0" w:color="000000"/>
            </w:tcBorders>
            <w:shd w:val="clear" w:color="auto" w:fill="D2D2D2"/>
          </w:tcPr>
          <w:p>
            <w:pPr/>
          </w:p>
        </w:tc>
      </w:tr>
      <w:tr>
        <w:trPr>
          <w:trHeight w:val="202" w:hRule="exact"/>
        </w:trPr>
        <w:tc>
          <w:tcPr>
            <w:tcW w:w="2691" w:type="dxa"/>
            <w:vMerge/>
            <w:tcBorders>
              <w:left w:val="single" w:sz="12" w:space="0" w:color="000000"/>
              <w:bottom w:val="nil" w:sz="6" w:space="0" w:color="auto"/>
              <w:right w:val="single" w:sz="4" w:space="0" w:color="000000"/>
            </w:tcBorders>
            <w:shd w:val="clear" w:color="auto" w:fill="D2D2D2"/>
          </w:tcPr>
          <w:p>
            <w:pPr/>
          </w:p>
        </w:tc>
        <w:tc>
          <w:tcPr>
            <w:tcW w:w="3123" w:type="dxa"/>
            <w:vMerge/>
            <w:tcBorders>
              <w:left w:val="single" w:sz="4" w:space="0" w:color="000000"/>
              <w:bottom w:val="nil" w:sz="6" w:space="0" w:color="auto"/>
              <w:right w:val="single" w:sz="4" w:space="0" w:color="000000"/>
            </w:tcBorders>
            <w:shd w:val="clear" w:color="auto" w:fill="D2D2D2"/>
          </w:tcPr>
          <w:p>
            <w:pP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9"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53"/>
              <w:ind w:left="4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91" w:type="dxa"/>
            <w:tcBorders>
              <w:top w:val="nil" w:sz="6" w:space="0" w:color="auto"/>
              <w:left w:val="single" w:sz="12" w:space="0" w:color="000000"/>
              <w:bottom w:val="single" w:sz="4" w:space="0" w:color="000000"/>
              <w:right w:val="single" w:sz="4" w:space="0" w:color="000000"/>
            </w:tcBorders>
            <w:shd w:val="clear" w:color="auto" w:fill="D2D2D2"/>
          </w:tcPr>
          <w:p>
            <w:pPr/>
          </w:p>
        </w:tc>
        <w:tc>
          <w:tcPr>
            <w:tcW w:w="3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c>
          <w:tcPr>
            <w:tcW w:w="1939" w:type="dxa"/>
            <w:vMerge/>
            <w:tcBorders>
              <w:left w:val="single" w:sz="4" w:space="0" w:color="000000"/>
              <w:bottom w:val="single" w:sz="4" w:space="0" w:color="000000"/>
              <w:right w:val="single" w:sz="12" w:space="0" w:color="000000"/>
            </w:tcBorders>
            <w:shd w:val="clear" w:color="auto" w:fill="D2D2D2"/>
          </w:tcPr>
          <w:p>
            <w:pPr/>
          </w:p>
        </w:tc>
      </w:tr>
      <w:tr>
        <w:trPr>
          <w:trHeight w:val="404" w:hRule="exact"/>
        </w:trPr>
        <w:tc>
          <w:tcPr>
            <w:tcW w:w="26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1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-0.35</w:t>
            </w:r>
          </w:p>
        </w:tc>
        <w:tc>
          <w:tcPr>
            <w:tcW w:w="193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-0.35</w:t>
            </w:r>
          </w:p>
        </w:tc>
      </w:tr>
      <w:tr>
        <w:trPr>
          <w:trHeight w:val="722" w:hRule="exact"/>
        </w:trPr>
        <w:tc>
          <w:tcPr>
            <w:tcW w:w="26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49"/>
              <w:ind w:left="7" w:right="14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123" w:type="dxa"/>
            <w:tcBorders>
              <w:top w:val="single" w:sz="4" w:space="0" w:color="000000"/>
              <w:left w:val="single" w:sz="10" w:space="0" w:color="D2D2D2"/>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-13.78%</w:t>
            </w:r>
          </w:p>
        </w:tc>
        <w:tc>
          <w:tcPr>
            <w:tcW w:w="19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-0.66</w:t>
            </w:r>
          </w:p>
        </w:tc>
        <w:tc>
          <w:tcPr>
            <w:tcW w:w="193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-0.66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0"/>
        <w:jc w:val="left"/>
        <w:rPr>
          <w:b w:val="0"/>
          <w:bCs w:val="0"/>
        </w:rPr>
      </w:pPr>
      <w:bookmarkStart w:name="第十三节 备查文件目录" w:id="401"/>
      <w:bookmarkEnd w:id="401"/>
      <w:r>
        <w:rPr>
          <w:b w:val="0"/>
          <w:bCs w:val="0"/>
        </w:rPr>
      </w:r>
      <w:bookmarkStart w:name="_bookmark12" w:id="402"/>
      <w:bookmarkEnd w:id="402"/>
      <w:r>
        <w:rPr>
          <w:b w:val="0"/>
          <w:bCs w:val="0"/>
        </w:rPr>
      </w:r>
      <w:r>
        <w:rPr/>
        <w:t>第十三节</w:t>
      </w:r>
      <w:r>
        <w:rPr>
          <w:spacing w:val="-6"/>
        </w:rPr>
        <w:t> </w:t>
      </w:r>
      <w:r>
        <w:rPr/>
        <w:t>备查文件目录</w:t>
      </w:r>
      <w:r>
        <w:rPr>
          <w:b w:val="0"/>
          <w:bCs w:val="0"/>
        </w:rPr>
      </w:r>
    </w:p>
    <w:p>
      <w:pPr>
        <w:spacing w:line="240" w:lineRule="auto" w:before="13"/>
        <w:rPr>
          <w:rFonts w:ascii="宋体" w:hAnsi="宋体" w:cs="宋体" w:eastAsia="宋体" w:hint="default"/>
          <w:b/>
          <w:bCs/>
          <w:sz w:val="46"/>
          <w:szCs w:val="46"/>
        </w:rPr>
      </w:pPr>
    </w:p>
    <w:p>
      <w:pPr>
        <w:pStyle w:val="BodyText"/>
        <w:spacing w:line="408" w:lineRule="auto" w:before="0"/>
        <w:ind w:left="573" w:right="2348"/>
        <w:jc w:val="left"/>
      </w:pPr>
      <w:r>
        <w:rPr>
          <w:spacing w:val="-2"/>
        </w:rPr>
        <w:t>一、载有法定代表人、主管会计工作负责人、会计机构负责人签名并盖章的财务报表。</w:t>
      </w:r>
      <w:r>
        <w:rPr>
          <w:spacing w:val="-32"/>
        </w:rPr>
        <w:t> </w:t>
      </w:r>
      <w:r>
        <w:rPr>
          <w:spacing w:val="-32"/>
        </w:rPr>
      </w:r>
      <w:r>
        <w:rPr/>
        <w:t>二、载有会计师事务所盖章、注册会计师签名并盖章的审计报告原件。</w:t>
      </w:r>
      <w:r>
        <w:rPr>
          <w:w w:val="100"/>
        </w:rPr>
        <w:t> </w:t>
      </w:r>
      <w:r>
        <w:rPr/>
        <w:t>三、报告期内在巨潮资讯网上公开披露过的所有公司文件的正本及公告的原稿。</w:t>
      </w:r>
      <w:r>
        <w:rPr>
          <w:w w:val="100"/>
        </w:rPr>
        <w:t> </w:t>
      </w:r>
      <w:r>
        <w:rPr/>
        <w:t>四、其他相关资料。</w:t>
      </w:r>
    </w:p>
    <w:p>
      <w:pPr>
        <w:pStyle w:val="BodyText"/>
        <w:spacing w:line="240" w:lineRule="auto"/>
        <w:ind w:left="573" w:right="0"/>
        <w:jc w:val="left"/>
      </w:pPr>
      <w:r>
        <w:rPr/>
        <w:t>以上备查文件的备置地点：公司证券投资部办公室。</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1704" type="#_x0000_t75" stroked="false">
          <v:imagedata r:id="rId1" o:title=""/>
        </v:shape>
      </w:pict>
    </w:r>
    <w:r>
      <w:rPr/>
      <w:pict>
        <v:shape style="position:absolute;margin-left:533.099976pt;margin-top:795.637939pt;width:6.5pt;height:11pt;mso-position-horizontal-relative:page;mso-position-vertical-relative:page;z-index:-11216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1656" type="#_x0000_t75" stroked="false">
          <v:imagedata r:id="rId1" o:title=""/>
        </v:shape>
      </w:pict>
    </w:r>
    <w:r>
      <w:rPr/>
      <w:pict>
        <v:shape style="position:absolute;margin-left:527.659973pt;margin-top:781.933899pt;width:13.15pt;height:11pt;mso-position-horizontal-relative:page;mso-position-vertical-relative:page;z-index:-1121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1608" type="#_x0000_t75" stroked="false">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1584" type="#_x0000_t75" stroked="false">
          <v:imagedata r:id="rId1" o:title=""/>
        </v:shape>
      </w:pict>
    </w:r>
    <w:r>
      <w:rPr/>
      <w:pict>
        <v:shape style="position:absolute;margin-left:527.659973pt;margin-top:781.933899pt;width:13.15pt;height:11pt;mso-position-horizontal-relative:page;mso-position-vertical-relative:page;z-index:-1121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1536" type="#_x0000_t75" stroked="false">
          <v:imagedata r:id="rId1" o:title=""/>
        </v:shape>
      </w:pict>
    </w:r>
    <w:r>
      <w:rPr/>
      <w:pict>
        <v:shape style="position:absolute;margin-left:524.099976pt;margin-top:781.933899pt;width:15.7pt;height:11pt;mso-position-horizontal-relative:page;mso-position-vertical-relative:page;z-index:-1121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1488" type="#_x0000_t75" stroked="false">
          <v:imagedata r:id="rId1" o:title=""/>
        </v:shape>
      </w:pict>
    </w:r>
    <w:r>
      <w:rPr/>
      <w:pict>
        <v:shape style="position:absolute;margin-left:523.099976pt;margin-top:781.933899pt;width:17.7pt;height:11pt;mso-position-horizontal-relative:page;mso-position-vertical-relative:page;z-index:-1121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1440" type="#_x0000_t75" stroked="false">
          <v:imagedata r:id="rId1" o:title=""/>
        </v:shape>
      </w:pict>
    </w:r>
    <w:r>
      <w:rPr/>
      <w:pict>
        <v:shape style="position:absolute;margin-left:523.460022pt;margin-top:781.933899pt;width:17.3pt;height:11pt;mso-position-horizontal-relative:page;mso-position-vertical-relative:page;z-index:-1121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1392" type="#_x0000_t75" stroked="false">
          <v:imagedata r:id="rId1" o:title=""/>
        </v:shape>
      </w:pict>
    </w:r>
    <w:r>
      <w:rPr/>
      <w:pict>
        <v:shape style="position:absolute;margin-left:523.099976pt;margin-top:781.933899pt;width:17.7pt;height:11pt;mso-position-horizontal-relative:page;mso-position-vertical-relative:page;z-index:-1121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121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6"/>
      <w:ind w:left="152"/>
    </w:pPr>
    <w:rPr>
      <w:rFonts w:ascii="宋体" w:hAnsi="宋体" w:eastAsia="宋体"/>
      <w:sz w:val="28"/>
      <w:szCs w:val="28"/>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573"/>
      <w:outlineLvl w:val="3"/>
    </w:pPr>
    <w:rPr>
      <w:rFonts w:ascii="黑体" w:hAnsi="黑体" w:eastAsia="黑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hanwei.cn/" TargetMode="External"/><Relationship Id="rId10" Type="http://schemas.openxmlformats.org/officeDocument/2006/relationships/hyperlink" Target="mailto:hwdz@hwsensor.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3.jpeg"/><Relationship Id="rId15" Type="http://schemas.openxmlformats.org/officeDocument/2006/relationships/hyperlink" Target="http://rs.p5w.net/" TargetMode="External"/><Relationship Id="rId16" Type="http://schemas.openxmlformats.org/officeDocument/2006/relationships/hyperlink" Target="http://ircs.p5w.net/ircs/ssgs/index.do" TargetMode="Externa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汉威科技集团股份有限公司</dc:creator>
  <dc:title>汉威科技集团股份有限公司2019年年度报告全文</dc:title>
  <dcterms:created xsi:type="dcterms:W3CDTF">2020-05-19T01:47:59Z</dcterms:created>
  <dcterms:modified xsi:type="dcterms:W3CDTF">2020-05-19T01:47:59Z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Microsoft® Office Word 2007</vt:lpwstr>
  </property>
  <property fmtid="{D5CDD505-2E9C-101B-9397-08002B2CF9AE}" pid="4" name="LastSaved">
    <vt:filetime>2020-05-18T00:00:00Z</vt:filetime>
  </property>
</Properties>
</file>