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457200" cy="4508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57200" cy="450850"/>
                    </a:xfrm>
                    <a:prstGeom prst="rect"/>
                  </pic:spPr>
                </pic:pic>
              </a:graphicData>
            </a:graphic>
          </wp:inline>
        </w:drawing>
      </w:r>
    </w:p>
    <w:p>
      <w:pPr>
        <w:pStyle w:val="Style2"/>
        <w:keepNext w:val="0"/>
        <w:keepLines w:val="0"/>
        <w:widowControl w:val="0"/>
        <w:shd w:val="clear" w:color="auto" w:fill="auto"/>
        <w:bidi w:val="0"/>
        <w:spacing w:before="0" w:after="560" w:line="240" w:lineRule="auto"/>
        <w:ind w:left="0" w:right="0" w:firstLine="0"/>
        <w:jc w:val="center"/>
        <w:rPr>
          <w:sz w:val="30"/>
          <w:szCs w:val="30"/>
        </w:rPr>
      </w:pPr>
      <w:r>
        <w:rPr>
          <w:rFonts w:ascii="Arial" w:eastAsia="Arial" w:hAnsi="Arial" w:cs="Arial"/>
          <w:b/>
          <w:bCs/>
          <w:color w:val="153676"/>
          <w:spacing w:val="0"/>
          <w:w w:val="100"/>
          <w:position w:val="0"/>
          <w:sz w:val="30"/>
          <w:szCs w:val="30"/>
        </w:rPr>
        <w:t>Hanwei</w:t>
      </w:r>
    </w:p>
    <w:p>
      <w:pPr>
        <w:pStyle w:val="Style2"/>
        <w:keepNext w:val="0"/>
        <w:keepLines w:val="0"/>
        <w:widowControl w:val="0"/>
        <w:shd w:val="clear" w:color="auto" w:fill="auto"/>
        <w:bidi w:val="0"/>
        <w:spacing w:before="0" w:after="380" w:line="240" w:lineRule="auto"/>
        <w:ind w:left="0" w:right="0" w:firstLine="0"/>
        <w:jc w:val="center"/>
        <w:rPr>
          <w:sz w:val="36"/>
          <w:szCs w:val="36"/>
        </w:rPr>
      </w:pPr>
      <w:r>
        <w:rPr>
          <w:b/>
          <w:bCs/>
          <w:color w:val="000000"/>
          <w:spacing w:val="0"/>
          <w:w w:val="100"/>
          <w:position w:val="0"/>
          <w:sz w:val="36"/>
          <w:szCs w:val="36"/>
        </w:rPr>
        <w:t>汉威科技集团股份有限公司</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480" w:line="240" w:lineRule="auto"/>
        <w:ind w:left="0" w:right="0" w:firstLine="0"/>
        <w:jc w:val="center"/>
        <w:rPr>
          <w:sz w:val="32"/>
          <w:szCs w:val="32"/>
        </w:rPr>
        <w:sectPr>
          <w:footnotePr>
            <w:pos w:val="pageBottom"/>
            <w:numFmt w:val="decimal"/>
            <w:numRestart w:val="continuous"/>
          </w:footnotePr>
          <w:pgSz w:w="11900" w:h="16840"/>
          <w:pgMar w:top="3015" w:right="1107" w:bottom="3015" w:left="1112"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8"/>
        <w:keepNext/>
        <w:keepLines/>
        <w:widowControl w:val="0"/>
        <w:shd w:val="clear" w:color="auto" w:fill="auto"/>
        <w:bidi w:val="0"/>
        <w:spacing w:before="640" w:after="38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0"/>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公司董事会、监事会及董事、监事、高级管理人员保证年度报告内容的真实、准确、完整，不存在虚 假记载、误导性陈述或者重大遗漏，并承担个别和连带的法律责任。</w:t>
      </w:r>
    </w:p>
    <w:p>
      <w:pPr>
        <w:pStyle w:val="Style10"/>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公司负责人任红军、主管会计工作负责人刘瑞玲及会计机构负责人</w:t>
      </w:r>
      <w:r>
        <w:rPr>
          <w:b/>
          <w:bCs/>
          <w:color w:val="000000"/>
          <w:spacing w:val="0"/>
          <w:w w:val="100"/>
          <w:position w:val="0"/>
        </w:rPr>
        <w:t>（</w:t>
      </w:r>
      <w:r>
        <w:rPr>
          <w:color w:val="000000"/>
          <w:spacing w:val="0"/>
          <w:w w:val="100"/>
          <w:position w:val="0"/>
        </w:rPr>
        <w:t>会计主管人员</w:t>
      </w:r>
      <w:r>
        <w:rPr>
          <w:b/>
          <w:bCs/>
          <w:color w:val="000000"/>
          <w:spacing w:val="0"/>
          <w:w w:val="100"/>
          <w:position w:val="0"/>
        </w:rPr>
        <w:t>）</w:t>
      </w:r>
      <w:r>
        <w:rPr>
          <w:color w:val="000000"/>
          <w:spacing w:val="0"/>
          <w:w w:val="100"/>
          <w:position w:val="0"/>
        </w:rPr>
        <w:t>肖桂华声明：保证 本年度报告中财务报告的真实、准确、完整。</w:t>
      </w:r>
    </w:p>
    <w:p>
      <w:pPr>
        <w:pStyle w:val="Style10"/>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本报告中涉及未来计划或规划等前瞻性陈述的，均不构成公司对投资者的实质承诺，投资者及相关人 士均应当对此保持足够的风险认识，并且应当理解计划、预测与承诺之间的差异。</w:t>
      </w:r>
    </w:p>
    <w:p>
      <w:pPr>
        <w:pStyle w:val="Style10"/>
        <w:keepNext w:val="0"/>
        <w:keepLines w:val="0"/>
        <w:widowControl w:val="0"/>
        <w:shd w:val="clear" w:color="auto" w:fill="auto"/>
        <w:tabs>
          <w:tab w:pos="796" w:val="left"/>
        </w:tabs>
        <w:bidi w:val="0"/>
        <w:spacing w:before="0" w:after="100" w:line="467" w:lineRule="exact"/>
        <w:ind w:left="0" w:right="0" w:firstLine="440"/>
        <w:jc w:val="both"/>
      </w:pPr>
      <w:bookmarkStart w:id="4" w:name="bookmark4"/>
      <w:r>
        <w:rPr>
          <w:rFonts w:ascii="Times New Roman" w:eastAsia="Times New Roman" w:hAnsi="Times New Roman" w:cs="Times New Roman"/>
          <w:b/>
          <w:bCs/>
          <w:color w:val="000000"/>
          <w:spacing w:val="0"/>
          <w:w w:val="100"/>
          <w:position w:val="0"/>
        </w:rPr>
        <w:t>1</w:t>
      </w:r>
      <w:bookmarkEnd w:id="4"/>
      <w:r>
        <w:rPr>
          <w:b/>
          <w:bCs/>
          <w:color w:val="000000"/>
          <w:spacing w:val="0"/>
          <w:w w:val="100"/>
          <w:position w:val="0"/>
        </w:rPr>
        <w:t>、</w:t>
        <w:tab/>
        <w:t>物联网行业竞争加剧带来的市场风险</w:t>
      </w:r>
    </w:p>
    <w:p>
      <w:pPr>
        <w:pStyle w:val="Style10"/>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近年来，物联网行业市场竞争日趋激烈，智慧城市、智慧环保等垂直应用领域的蓬勃发展逐渐吸引了 大批市场竞争对手及联合体，同时公司还面临来自国际企业的竞争。如果公司不能保持现有的核心技术优 势、品牌优势与重点市场的既有优势，并不断开发新产品与开拓新市场，公司将受行业分化和竞争加剧的 影响丧失领先优势，对公司未来业绩增长产生不利影响。为此，公司将不断加强自主研发及对外合作，持 续增加产品、服务的种类和业务覆盖范围，持续巩固以传感器核心的物联网综合解决方案优势，不断完善 物联网产业生态圈，增强获得项目订单的竞争实力。</w:t>
      </w:r>
    </w:p>
    <w:p>
      <w:pPr>
        <w:pStyle w:val="Style10"/>
        <w:keepNext w:val="0"/>
        <w:keepLines w:val="0"/>
        <w:widowControl w:val="0"/>
        <w:shd w:val="clear" w:color="auto" w:fill="auto"/>
        <w:tabs>
          <w:tab w:pos="806" w:val="left"/>
        </w:tabs>
        <w:bidi w:val="0"/>
        <w:spacing w:before="0" w:after="100" w:line="467" w:lineRule="exact"/>
        <w:ind w:left="0" w:right="0" w:firstLine="440"/>
        <w:jc w:val="both"/>
      </w:pPr>
      <w:bookmarkStart w:id="5" w:name="bookmark5"/>
      <w:r>
        <w:rPr>
          <w:rFonts w:ascii="Times New Roman" w:eastAsia="Times New Roman" w:hAnsi="Times New Roman" w:cs="Times New Roman"/>
          <w:b/>
          <w:bCs/>
          <w:color w:val="000000"/>
          <w:spacing w:val="0"/>
          <w:w w:val="100"/>
          <w:position w:val="0"/>
        </w:rPr>
        <w:t>2</w:t>
      </w:r>
      <w:bookmarkEnd w:id="5"/>
      <w:r>
        <w:rPr>
          <w:b/>
          <w:bCs/>
          <w:color w:val="000000"/>
          <w:spacing w:val="0"/>
          <w:w w:val="100"/>
          <w:position w:val="0"/>
        </w:rPr>
        <w:t>、</w:t>
        <w:tab/>
        <w:t>创新能力不足带来的技术风险</w:t>
      </w:r>
    </w:p>
    <w:p>
      <w:pPr>
        <w:pStyle w:val="Style10"/>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公司所处的物联网行业正处于快速发展的时期，无论在硬件或者软件方面，未来下游应用都将随着客 户需求的逐步提高出现快速迭代，如果公司不能保持核心技术的持续领先，将面临技术落后的风险。公司 提供的传感器、智能终端设备以及物联网综合解决方案均具有软硬件核心的自主知识产权，未来公司将始 终强化技术研发创新能力，在气体传感器细分领域保持国内龙头地位，并不断朝着高端、智能传感器方向 研发创新，同时继续实施并购战略，在国内外寻求先进的技术标的，进一步保持并加强行业技术领先的优 势。</w:t>
      </w:r>
    </w:p>
    <w:p>
      <w:pPr>
        <w:pStyle w:val="Style10"/>
        <w:keepNext w:val="0"/>
        <w:keepLines w:val="0"/>
        <w:widowControl w:val="0"/>
        <w:shd w:val="clear" w:color="auto" w:fill="auto"/>
        <w:tabs>
          <w:tab w:pos="806" w:val="left"/>
        </w:tabs>
        <w:bidi w:val="0"/>
        <w:spacing w:before="0" w:after="100" w:line="467" w:lineRule="exact"/>
        <w:ind w:left="0" w:right="0" w:firstLine="440"/>
        <w:jc w:val="both"/>
      </w:pPr>
      <w:bookmarkStart w:id="6" w:name="bookmark6"/>
      <w:r>
        <w:rPr>
          <w:rFonts w:ascii="Times New Roman" w:eastAsia="Times New Roman" w:hAnsi="Times New Roman" w:cs="Times New Roman"/>
          <w:b/>
          <w:bCs/>
          <w:color w:val="000000"/>
          <w:spacing w:val="0"/>
          <w:w w:val="100"/>
          <w:position w:val="0"/>
        </w:rPr>
        <w:t>3</w:t>
      </w:r>
      <w:bookmarkEnd w:id="6"/>
      <w:r>
        <w:rPr>
          <w:b/>
          <w:bCs/>
          <w:color w:val="000000"/>
          <w:spacing w:val="0"/>
          <w:w w:val="100"/>
          <w:position w:val="0"/>
        </w:rPr>
        <w:t>、</w:t>
        <w:tab/>
        <w:t>集团化经营带来的管理风险</w:t>
      </w:r>
    </w:p>
    <w:p>
      <w:pPr>
        <w:pStyle w:val="Style10"/>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公司近几年来通过坚持“内生增长</w:t>
      </w:r>
      <w:r>
        <w:rPr>
          <w:b/>
          <w:bCs/>
          <w:color w:val="000000"/>
          <w:spacing w:val="0"/>
          <w:w w:val="100"/>
          <w:position w:val="0"/>
        </w:rPr>
        <w:t>+</w:t>
      </w:r>
      <w:r>
        <w:rPr>
          <w:color w:val="000000"/>
          <w:spacing w:val="0"/>
          <w:w w:val="100"/>
          <w:position w:val="0"/>
        </w:rPr>
        <w:t xml:space="preserve">外延并购”的战略途径，构建了以传感器为核心的物联网产业生 态集团。目前，公司旗下二十余家全资及控股子公司，地理区域遍布全国，客户和服务领域更加广泛，如 果公司集团化管控能力不足，将存在无法充分发挥产业协同性的风险。为此，公司将进一步完善集团化管 </w:t>
      </w:r>
      <w:r>
        <w:rPr>
          <w:color w:val="000000"/>
          <w:spacing w:val="0"/>
          <w:w w:val="100"/>
          <w:position w:val="0"/>
        </w:rPr>
        <w:t>控制度，夯实集团化管理的基础，以物联网产业生态圈为牵引，增进各子公司之间的业务协同，真正形成 融合统一的物联网产业集团。</w:t>
      </w:r>
    </w:p>
    <w:p>
      <w:pPr>
        <w:pStyle w:val="Style10"/>
        <w:keepNext w:val="0"/>
        <w:keepLines w:val="0"/>
        <w:widowControl w:val="0"/>
        <w:shd w:val="clear" w:color="auto" w:fill="auto"/>
        <w:bidi w:val="0"/>
        <w:spacing w:before="0" w:after="80" w:line="470" w:lineRule="exact"/>
        <w:ind w:left="0" w:right="0" w:firstLine="440"/>
        <w:jc w:val="left"/>
      </w:pPr>
      <w:r>
        <w:rPr>
          <w:color w:val="000000"/>
          <w:spacing w:val="0"/>
          <w:w w:val="100"/>
          <w:position w:val="0"/>
        </w:rPr>
        <w:t>公司经本次董事会审议通过的利润分配预案为：以</w:t>
      </w:r>
      <w:r>
        <w:rPr>
          <w:b/>
          <w:bCs/>
          <w:color w:val="000000"/>
          <w:spacing w:val="0"/>
          <w:w w:val="100"/>
          <w:position w:val="0"/>
        </w:rPr>
        <w:t>324,387,155</w:t>
      </w:r>
      <w:r>
        <w:rPr>
          <w:color w:val="000000"/>
          <w:spacing w:val="0"/>
          <w:w w:val="100"/>
          <w:position w:val="0"/>
        </w:rPr>
        <w:t>为基数，向全体股东每</w:t>
      </w:r>
      <w:r>
        <w:rPr>
          <w:b/>
          <w:bCs/>
          <w:color w:val="000000"/>
          <w:spacing w:val="0"/>
          <w:w w:val="100"/>
          <w:position w:val="0"/>
        </w:rPr>
        <w:t>10</w:t>
      </w:r>
      <w:r>
        <w:rPr>
          <w:color w:val="000000"/>
          <w:spacing w:val="0"/>
          <w:w w:val="100"/>
          <w:position w:val="0"/>
        </w:rPr>
        <w:t>股派发现金 红利</w:t>
      </w:r>
      <w:r>
        <w:rPr>
          <w:b/>
          <w:bCs/>
          <w:color w:val="000000"/>
          <w:spacing w:val="0"/>
          <w:w w:val="100"/>
          <w:position w:val="0"/>
        </w:rPr>
        <w:t>0.80</w:t>
      </w:r>
      <w:r>
        <w:rPr>
          <w:color w:val="000000"/>
          <w:spacing w:val="0"/>
          <w:w w:val="100"/>
          <w:position w:val="0"/>
        </w:rPr>
        <w:t>元（含税），送红股</w:t>
      </w:r>
      <w:r>
        <w:rPr>
          <w:b/>
          <w:bCs/>
          <w:color w:val="000000"/>
          <w:spacing w:val="0"/>
          <w:w w:val="100"/>
          <w:position w:val="0"/>
        </w:rPr>
        <w:t>0</w:t>
      </w:r>
      <w:r>
        <w:rPr>
          <w:color w:val="000000"/>
          <w:spacing w:val="0"/>
          <w:w w:val="100"/>
          <w:position w:val="0"/>
        </w:rPr>
        <w:t>股（含税），以资本公积金向全体股东每</w:t>
      </w:r>
      <w:r>
        <w:rPr>
          <w:b/>
          <w:bCs/>
          <w:color w:val="000000"/>
          <w:spacing w:val="0"/>
          <w:w w:val="100"/>
          <w:position w:val="0"/>
        </w:rPr>
        <w:t>10</w:t>
      </w:r>
      <w:r>
        <w:rPr>
          <w:color w:val="000000"/>
          <w:spacing w:val="0"/>
          <w:w w:val="100"/>
          <w:position w:val="0"/>
        </w:rPr>
        <w:t>股转增</w:t>
      </w:r>
      <w:r>
        <w:rPr>
          <w:b/>
          <w:bCs/>
          <w:color w:val="000000"/>
          <w:spacing w:val="0"/>
          <w:w w:val="100"/>
          <w:position w:val="0"/>
        </w:rPr>
        <w:t>0</w:t>
      </w:r>
      <w:r>
        <w:rPr>
          <w:color w:val="000000"/>
          <w:spacing w:val="0"/>
          <w:w w:val="100"/>
          <w:position w:val="0"/>
        </w:rPr>
        <w:t>股。</w:t>
      </w:r>
    </w:p>
    <w:p>
      <w:pPr>
        <w:pStyle w:val="Style10"/>
        <w:keepNext w:val="0"/>
        <w:keepLines w:val="0"/>
        <w:widowControl w:val="0"/>
        <w:shd w:val="clear" w:color="auto" w:fill="auto"/>
        <w:bidi w:val="0"/>
        <w:spacing w:before="0" w:after="80" w:line="470" w:lineRule="exact"/>
        <w:ind w:left="0" w:right="0" w:firstLine="440"/>
        <w:jc w:val="left"/>
        <w:sectPr>
          <w:footnotePr>
            <w:pos w:val="pageBottom"/>
            <w:numFmt w:val="decimal"/>
            <w:numRestart w:val="continuous"/>
          </w:footnotePr>
          <w:pgSz w:w="11900" w:h="16840"/>
          <w:pgMar w:top="1321" w:right="1107" w:bottom="1479" w:left="1112" w:header="0" w:footer="3" w:gutter="0"/>
          <w:cols w:space="720"/>
          <w:noEndnote/>
          <w:rtlGutter w:val="0"/>
          <w:docGrid w:linePitch="360"/>
        </w:sectPr>
      </w:pPr>
      <w:r>
        <w:rPr>
          <w:color w:val="000000"/>
          <w:spacing w:val="0"/>
          <w:w w:val="100"/>
          <w:position w:val="0"/>
        </w:rPr>
        <w:t>本报告中涉及数据尾数之和如有差异，系四舍五入造成。</w:t>
      </w:r>
    </w:p>
    <w:p>
      <w:pPr>
        <w:pStyle w:val="Style2"/>
        <w:keepNext w:val="0"/>
        <w:keepLines w:val="0"/>
        <w:widowControl w:val="0"/>
        <w:shd w:val="clear" w:color="auto" w:fill="auto"/>
        <w:bidi w:val="0"/>
        <w:spacing w:before="260" w:after="580" w:line="240" w:lineRule="auto"/>
        <w:ind w:left="0" w:right="0" w:firstLine="0"/>
        <w:jc w:val="center"/>
        <w:rPr>
          <w:sz w:val="32"/>
          <w:szCs w:val="32"/>
        </w:rPr>
      </w:pPr>
      <w:r>
        <w:rPr>
          <w:b/>
          <w:bCs/>
          <w:color w:val="000000"/>
          <w:spacing w:val="0"/>
          <w:w w:val="100"/>
          <w:position w:val="0"/>
          <w:sz w:val="32"/>
          <w:szCs w:val="32"/>
        </w:rPr>
        <w:t>致全体股东的一封信</w:t>
      </w:r>
    </w:p>
    <w:p>
      <w:pPr>
        <w:pStyle w:val="Style10"/>
        <w:keepNext w:val="0"/>
        <w:keepLines w:val="0"/>
        <w:widowControl w:val="0"/>
        <w:shd w:val="clear" w:color="auto" w:fill="auto"/>
        <w:bidi w:val="0"/>
        <w:spacing w:before="0" w:after="0" w:line="469" w:lineRule="exact"/>
        <w:ind w:left="0" w:right="0" w:firstLine="0"/>
        <w:jc w:val="left"/>
      </w:pPr>
      <w:r>
        <w:rPr>
          <w:color w:val="000000"/>
          <w:spacing w:val="0"/>
          <w:w w:val="100"/>
          <w:position w:val="0"/>
        </w:rPr>
        <w:t>各位股东朋友：</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春风拂面，又一个报告季如约而至。</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2021年是风起云涌的一年，我们比以往任何时候都更加清晰地感到时代的脉动，“百年未有之大变局” 正在生动演绎，国家迎来了建党100周年伟大的历史节点，如期打赢脱贫攻坚战、实现全面小康，“十四 五”顺利开局，十九届六中全会胜利召开。我们比任何时候都更加切身感受到科技的力量，全社会对以大 数据、云计算、人工智能、物联网等为代表的新一代信息技术认识从抽象走向深刻，万物互联由过去人们 的畅想，成为即将到来的现实。同时，卡脖子清单犹如悬在中国科技人头上的达摩克利斯之剑，激励我们 不停向前。</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2021年又是负重前行的一年。在国际形势复杂多变、疫情袭扰、郑州洪涝灾害和供应链不畅、大宗商 品涨价等叠加挑战下，汉威整体延续了稳步发展、总体良好的态势，顺利驶入了高质量发展的快车道。几 年时间的磨砺，汉威应对风险和复杂局面的能力有了极大提升，企业整体呈现出“底盘稳、韧性强、动力 足、潜力大”的新局面。这些成绩的取得，在于优良的营商环境、政策，在于全体股东们长期的信任与支 持，在于汉威人迎难而上、承压奋进的拼搏精神。在此，一并表示感谢！</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去年以来，国家各部委、各地方乃至各行业、产业“十四五规划”陆续出台，各类支撑产业发展的政 策也密集下发。综合来看，硬科技、先进制造、物联网、数字经济、低碳环保、专精特新等成为热词，随 着新基建、双循环、数字化转型、自主可控、双碳战略等相关政策不断落地，作为硬科技重要代表的新一 代信息技术，芯片、传感器、物联网备受关注并成为我国创新突破的重点方向。这与汉威的发展思路和产 业布局高度契合，为汉威高质量发展提供了良好的政策环境和战略指引。</w:t>
      </w:r>
    </w:p>
    <w:p>
      <w:pPr>
        <w:pStyle w:val="Style10"/>
        <w:keepNext w:val="0"/>
        <w:keepLines w:val="0"/>
        <w:widowControl w:val="0"/>
        <w:shd w:val="clear" w:color="auto" w:fill="auto"/>
        <w:bidi w:val="0"/>
        <w:spacing w:before="0" w:after="300" w:line="469" w:lineRule="exact"/>
        <w:ind w:left="0" w:right="0" w:firstLine="440"/>
        <w:jc w:val="both"/>
      </w:pPr>
      <w:r>
        <w:rPr>
          <w:color w:val="000000"/>
          <w:spacing w:val="0"/>
          <w:w w:val="100"/>
          <w:position w:val="0"/>
        </w:rPr>
        <w:t>回顾汉威成长史，我们似乎总是能够与国家科技战略、产业战略亲密相伴，难道只是幸运与巧合？汉 威科技自1998年创业、2009年创业板首批上市，已经走过了二十三个春秋。我们从传感器出发，沿产业 链不断拓展，坚持自主创新发展业务的同时，积极运用资本手段完善业务布局，打造了涵盖传感器、智能 仪表、物联网平台和应用的闭环产业链，构建了较为完善的以传感器为核心的物联网生态，并平稳度过并 购扩张整合期，经历了资本市场波动的洗礼。我们始终坚持“为客户求价值，为员工求富足，为股东求回 报，为企业求长远，为社会求和谐，为民族求复兴”的使命，坚守初心，专注主业，专心致志搞创新，踏 踏实实做产品、做产业，心无旁鹫，坚定前行。没有去追赶时髦而迷失方向，没有因短期利益而损害长期 持续发展。对于身处何方、走向何处，我们始终有清醒的认知，就是遵循技术发展、产业发展的底层逻辑， 瞄准并满足社会经济发展、行业客户不断升级的需求。</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符合时代潮流的事，注定就是热点。传感器、物联网、大数据、云平台、区块链、数字挛生……既是 面向未来的技术品种，也指向应用行业市场，无论这些是不是热点，在数字化、智慧化时代都有广阔前景， 自然也是汉威战略布局和产业发展的必然方向。我们无法预知未来还有哪些热点出现，但我们坚信，只要 我们锚定“以传感器为核心的物联网解决方案引领者”的发展战略，坚持自主创新，深耕核心技术，瞄准 行业需求，未来就一定会有越来越多的热点和机遇与汉威不期而遇。</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不忘初心，方能行稳致远；准确识变，才会基业长青。“十四五”时期是物联网行业发展的重要历史 性窗口期。在政策加码、市场需求释放和资本加持等多重因素驱动下，国内物联网产业发展将迎来黄金期， 传感器一物联网行业的天花板将快速打开，物联网技术将发挥更大的作用，物联网场景应用将更加广泛， 对产业制造、智慧生活、城市管理带来更加深远的影响，传感器作为智慧化时代信息采集端的关键器件也 将迎来需求爆发。</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新的一年，在面临大好局面的同时，我们也深知会遇到诸多挑战。从来没有一帆风顺，只有奋勇前行。 我们将坚持长期主义价值观，坚持“战略引领、创新驱动、平台支撑、协同发力”的发展方针，大力推进 传感器的销售转化，强化传感器业务发展，并不断拓宽传感器赛道；加速安全仪表、物联网市场推广，提 升市场份额、增厚业绩。同时，继续加大创新力度，提升创新效率，沿产业链展开协同创新，为可持续高 质量发展增添动力。具体的发展计划可以关注年报正文“管理层讨论与分析”章节有关内容。</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时势造英雄。恰逢伟大时代，我们相信每一个踏踏实实做产业的企业都是这个时代的英雄，都能够为 产业升级、社会发展、民族复兴增光添彩。能与志同道合的投资者、合作伙伴、员工一起共创未来，是我 们的幸运。我们真诚希望大家能够一如既往地关注、支持汉威的成长与发展，携手共进！</w:t>
      </w:r>
    </w:p>
    <w:p>
      <w:pPr>
        <w:pStyle w:val="Style10"/>
        <w:keepNext w:val="0"/>
        <w:keepLines w:val="0"/>
        <w:widowControl w:val="0"/>
        <w:shd w:val="clear" w:color="auto" w:fill="auto"/>
        <w:bidi w:val="0"/>
        <w:spacing w:before="0" w:after="940" w:line="467" w:lineRule="exact"/>
        <w:ind w:left="0" w:right="0" w:firstLine="440"/>
        <w:jc w:val="both"/>
      </w:pPr>
      <w:r>
        <w:rPr>
          <w:color w:val="000000"/>
          <w:spacing w:val="0"/>
          <w:w w:val="100"/>
          <w:position w:val="0"/>
        </w:rPr>
        <w:t>最后，祝愿祖国昌盛、产业繁荣，祝愿全体股东事业兴旺、幸福美满！</w:t>
      </w:r>
    </w:p>
    <w:p>
      <w:pPr>
        <w:pStyle w:val="Style10"/>
        <w:keepNext w:val="0"/>
        <w:keepLines w:val="0"/>
        <w:widowControl w:val="0"/>
        <w:shd w:val="clear" w:color="auto" w:fill="auto"/>
        <w:bidi w:val="0"/>
        <w:spacing w:before="0" w:after="0" w:line="467" w:lineRule="exact"/>
        <w:ind w:left="0" w:right="1400" w:firstLine="0"/>
        <w:jc w:val="right"/>
      </w:pPr>
      <w:r>
        <w:rPr>
          <w:color w:val="000000"/>
          <w:spacing w:val="0"/>
          <w:w w:val="100"/>
          <w:position w:val="0"/>
        </w:rPr>
        <w:t>汉威科技集团董事长任红军</w:t>
      </w:r>
    </w:p>
    <w:p>
      <w:pPr>
        <w:pStyle w:val="Style10"/>
        <w:keepNext w:val="0"/>
        <w:keepLines w:val="0"/>
        <w:widowControl w:val="0"/>
        <w:shd w:val="clear" w:color="auto" w:fill="auto"/>
        <w:bidi w:val="0"/>
        <w:spacing w:before="0" w:after="0" w:line="467" w:lineRule="exact"/>
        <w:ind w:left="0" w:right="1400" w:firstLine="0"/>
        <w:jc w:val="right"/>
        <w:sectPr>
          <w:footnotePr>
            <w:pos w:val="pageBottom"/>
            <w:numFmt w:val="decimal"/>
            <w:numRestart w:val="continuous"/>
          </w:footnotePr>
          <w:pgSz w:w="11900" w:h="16840"/>
          <w:pgMar w:top="1321" w:right="1003" w:bottom="1633" w:left="1106" w:header="0" w:footer="3" w:gutter="0"/>
          <w:cols w:space="720"/>
          <w:noEndnote/>
          <w:rtlGutter w:val="0"/>
          <w:docGrid w:linePitch="360"/>
        </w:sectPr>
      </w:pPr>
      <w:r>
        <w:rPr>
          <w:color w:val="000000"/>
          <w:spacing w:val="0"/>
          <w:w w:val="100"/>
          <w:position w:val="0"/>
        </w:rPr>
        <w:t>2022年3月30日</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b/>
          <w:bCs/>
          <w:color w:val="000000"/>
          <w:spacing w:val="0"/>
          <w:w w:val="100"/>
          <w:position w:val="0"/>
          <w:sz w:val="36"/>
          <w:szCs w:val="36"/>
        </w:rPr>
        <w:t>目录</w:t>
      </w:r>
    </w:p>
    <w:p>
      <w:pPr>
        <w:pStyle w:val="Style14"/>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14"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57"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16</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281"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467"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94</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498"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99</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632" w:tooltip="Current Document">
        <w:r>
          <w:rPr>
            <w:color w:val="000000"/>
            <w:spacing w:val="0"/>
            <w:w w:val="100"/>
            <w:position w:val="0"/>
          </w:rPr>
          <w:t>第七节 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111</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697"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120</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701"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121</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sectPr>
          <w:footnotePr>
            <w:pos w:val="pageBottom"/>
            <w:numFmt w:val="decimal"/>
            <w:numRestart w:val="continuous"/>
          </w:footnotePr>
          <w:pgSz w:w="11900" w:h="16840"/>
          <w:pgMar w:top="2857" w:right="1107" w:bottom="2857" w:left="1112" w:header="0" w:footer="3" w:gutter="0"/>
          <w:cols w:space="720"/>
          <w:noEndnote/>
          <w:rtlGutter w:val="0"/>
          <w:docGrid w:linePitch="360"/>
        </w:sectPr>
      </w:pPr>
      <w:hyperlink w:anchor="bookmark705"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122</w:t>
        </w:r>
      </w:hyperlink>
      <w:r>
        <w:fldChar w:fldCharType="end"/>
      </w:r>
    </w:p>
    <w:p>
      <w:pPr>
        <w:pStyle w:val="Style2"/>
        <w:keepNext w:val="0"/>
        <w:keepLines w:val="0"/>
        <w:widowControl w:val="0"/>
        <w:shd w:val="clear" w:color="auto" w:fill="auto"/>
        <w:bidi w:val="0"/>
        <w:spacing w:before="780" w:after="680" w:line="240" w:lineRule="auto"/>
        <w:ind w:left="0" w:right="0" w:firstLine="0"/>
        <w:jc w:val="center"/>
        <w:rPr>
          <w:sz w:val="32"/>
          <w:szCs w:val="32"/>
        </w:rPr>
      </w:pPr>
      <w:r>
        <w:rPr>
          <w:b/>
          <w:bCs/>
          <w:color w:val="000000"/>
          <w:spacing w:val="0"/>
          <w:w w:val="100"/>
          <w:position w:val="0"/>
          <w:sz w:val="32"/>
          <w:szCs w:val="32"/>
        </w:rPr>
        <w:t>备查文件目录</w:t>
      </w:r>
    </w:p>
    <w:p>
      <w:pPr>
        <w:pStyle w:val="Style10"/>
        <w:keepNext w:val="0"/>
        <w:keepLines w:val="0"/>
        <w:widowControl w:val="0"/>
        <w:shd w:val="clear" w:color="auto" w:fill="auto"/>
        <w:tabs>
          <w:tab w:pos="914" w:val="left"/>
        </w:tabs>
        <w:bidi w:val="0"/>
        <w:spacing w:before="0" w:after="80" w:line="475" w:lineRule="exact"/>
        <w:ind w:left="0" w:right="0" w:firstLine="440"/>
        <w:jc w:val="left"/>
      </w:pPr>
      <w:bookmarkStart w:id="7" w:name="bookmark7"/>
      <w:r>
        <w:rPr>
          <w:color w:val="000000"/>
          <w:spacing w:val="0"/>
          <w:w w:val="100"/>
          <w:position w:val="0"/>
        </w:rPr>
        <w:t>一</w:t>
      </w:r>
      <w:bookmarkEnd w:id="7"/>
      <w:r>
        <w:rPr>
          <w:color w:val="000000"/>
          <w:spacing w:val="0"/>
          <w:w w:val="100"/>
          <w:position w:val="0"/>
        </w:rPr>
        <w:t>、</w:t>
        <w:tab/>
        <w:t>载有公司法定代表人任红军先生签名的</w:t>
      </w:r>
      <w:r>
        <w:rPr>
          <w:b/>
          <w:bCs/>
          <w:color w:val="000000"/>
          <w:spacing w:val="0"/>
          <w:w w:val="100"/>
          <w:position w:val="0"/>
        </w:rPr>
        <w:t>2021</w:t>
      </w:r>
      <w:r>
        <w:rPr>
          <w:color w:val="000000"/>
          <w:spacing w:val="0"/>
          <w:w w:val="100"/>
          <w:position w:val="0"/>
        </w:rPr>
        <w:t>年年度报告文件原件；</w:t>
      </w:r>
    </w:p>
    <w:p>
      <w:pPr>
        <w:pStyle w:val="Style10"/>
        <w:keepNext w:val="0"/>
        <w:keepLines w:val="0"/>
        <w:widowControl w:val="0"/>
        <w:shd w:val="clear" w:color="auto" w:fill="auto"/>
        <w:tabs>
          <w:tab w:pos="896" w:val="left"/>
        </w:tabs>
        <w:bidi w:val="0"/>
        <w:spacing w:before="0" w:after="80" w:line="475" w:lineRule="exact"/>
        <w:ind w:left="0" w:right="0" w:firstLine="440"/>
        <w:jc w:val="left"/>
      </w:pPr>
      <w:bookmarkStart w:id="8" w:name="bookmark8"/>
      <w:r>
        <w:rPr>
          <w:color w:val="000000"/>
          <w:spacing w:val="0"/>
          <w:w w:val="100"/>
          <w:position w:val="0"/>
        </w:rPr>
        <w:t>二</w:t>
      </w:r>
      <w:bookmarkEnd w:id="8"/>
      <w:r>
        <w:rPr>
          <w:color w:val="000000"/>
          <w:spacing w:val="0"/>
          <w:w w:val="100"/>
          <w:position w:val="0"/>
        </w:rPr>
        <w:t>、</w:t>
        <w:tab/>
        <w:t>载有公司法定代表人任红军先生、主管会计工作负责人刘瑞玲女士、会计机构负责人肖桂华女士 签名并盖章的财务报表；</w:t>
      </w:r>
    </w:p>
    <w:p>
      <w:pPr>
        <w:pStyle w:val="Style10"/>
        <w:keepNext w:val="0"/>
        <w:keepLines w:val="0"/>
        <w:widowControl w:val="0"/>
        <w:shd w:val="clear" w:color="auto" w:fill="auto"/>
        <w:tabs>
          <w:tab w:pos="918" w:val="left"/>
        </w:tabs>
        <w:bidi w:val="0"/>
        <w:spacing w:before="0" w:after="80" w:line="475" w:lineRule="exact"/>
        <w:ind w:left="0" w:right="0" w:firstLine="440"/>
        <w:jc w:val="left"/>
      </w:pPr>
      <w:bookmarkStart w:id="9" w:name="bookmark9"/>
      <w:r>
        <w:rPr>
          <w:color w:val="000000"/>
          <w:spacing w:val="0"/>
          <w:w w:val="100"/>
          <w:position w:val="0"/>
        </w:rPr>
        <w:t>三</w:t>
      </w:r>
      <w:bookmarkEnd w:id="9"/>
      <w:r>
        <w:rPr>
          <w:color w:val="000000"/>
          <w:spacing w:val="0"/>
          <w:w w:val="100"/>
          <w:position w:val="0"/>
        </w:rPr>
        <w:t>、</w:t>
        <w:tab/>
        <w:t>报告期内在中国证监会指定网站上公开披露过的所有公司文件的正本及公告的原件；</w:t>
      </w:r>
    </w:p>
    <w:p>
      <w:pPr>
        <w:pStyle w:val="Style10"/>
        <w:keepNext w:val="0"/>
        <w:keepLines w:val="0"/>
        <w:widowControl w:val="0"/>
        <w:shd w:val="clear" w:color="auto" w:fill="auto"/>
        <w:tabs>
          <w:tab w:pos="918" w:val="left"/>
        </w:tabs>
        <w:bidi w:val="0"/>
        <w:spacing w:before="0" w:after="80" w:line="475" w:lineRule="exact"/>
        <w:ind w:left="0" w:right="0" w:firstLine="440"/>
        <w:jc w:val="left"/>
      </w:pPr>
      <w:bookmarkStart w:id="10" w:name="bookmark10"/>
      <w:r>
        <w:rPr>
          <w:color w:val="000000"/>
          <w:spacing w:val="0"/>
          <w:w w:val="100"/>
          <w:position w:val="0"/>
        </w:rPr>
        <w:t>四</w:t>
      </w:r>
      <w:bookmarkEnd w:id="10"/>
      <w:r>
        <w:rPr>
          <w:color w:val="000000"/>
          <w:spacing w:val="0"/>
          <w:w w:val="100"/>
          <w:position w:val="0"/>
        </w:rPr>
        <w:t>、</w:t>
        <w:tab/>
        <w:t>其他相关资料；</w:t>
      </w:r>
    </w:p>
    <w:p>
      <w:pPr>
        <w:pStyle w:val="Style10"/>
        <w:keepNext w:val="0"/>
        <w:keepLines w:val="0"/>
        <w:widowControl w:val="0"/>
        <w:shd w:val="clear" w:color="auto" w:fill="auto"/>
        <w:tabs>
          <w:tab w:pos="918" w:val="left"/>
        </w:tabs>
        <w:bidi w:val="0"/>
        <w:spacing w:before="0" w:after="80" w:line="475" w:lineRule="exact"/>
        <w:ind w:left="0" w:right="0" w:firstLine="440"/>
        <w:jc w:val="left"/>
      </w:pPr>
      <w:bookmarkStart w:id="11" w:name="bookmark11"/>
      <w:r>
        <w:rPr>
          <w:color w:val="000000"/>
          <w:spacing w:val="0"/>
          <w:w w:val="100"/>
          <w:position w:val="0"/>
        </w:rPr>
        <w:t>五</w:t>
      </w:r>
      <w:bookmarkEnd w:id="11"/>
      <w:r>
        <w:rPr>
          <w:color w:val="000000"/>
          <w:spacing w:val="0"/>
          <w:w w:val="100"/>
          <w:position w:val="0"/>
        </w:rPr>
        <w:t>、</w:t>
        <w:tab/>
        <w:t>以上备查文件的置备地点：公司证券投资部办公室。</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年度报告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汉威科技集团股份有限公司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年年度报告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sz w:val="18"/>
                <w:szCs w:val="18"/>
              </w:rPr>
              <w:t>月</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汉威科技集团股份有限公司董事会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汉威科技集团股份有限公司监事会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汉威科技集团股份有限公司股东大会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创业板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深圳证券交易所创业板</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汉威科技、公司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汉威科技集团股份有限公司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炜盛科技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郑州炜盛电子科技有限公司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信阳炜盛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信阳炜盛电子科技有限公司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沈阳金建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沈阳金建数字城市软件有限公司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嘉园环保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嘉园环保有限公司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汉威公用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郑州汉威公用事业科技有限公司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郑州汉威智源科技有限公司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高新供水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郑州高新供水有限责任公司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水务工程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郑州高新水务工程有限公司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高新热力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郑州高新热力有限责任公司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热力工程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河南高新时代热力工程有限公司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鞍山易兴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鞍山易兴自动化工程有限公司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广东龙泉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广东龙泉科技有限公司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雪城软件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河南雪城软件有限公司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和阳环境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河南和阳环境科技有限公司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汉威智慧安全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河南汉威智慧安全科技有限公司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沈阳汉威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沈阳汉威科技有限公司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智威宇讯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北京智威宇讯科技有限公司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上海中威天安公共安全科技有限公司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上海英吉森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英吉森安全消防系统（上海）有限公司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威果科技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河南威果智能科技有限公司</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汉威智能仪表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郑州汉威智能仪表有限公司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德析检测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郑州德析检测技术有限公司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汉威祥云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汉威祥云（上海）数据服务有限公司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威研融创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上海威研融创实业有限公司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畅威物联网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郑州畅威物联网科技有限公司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苏州能斯达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苏州能斯达电子科技有限公司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吉地艾斯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郑州吉地艾斯仪器有限公司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国仪投资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国仪投资（深圳）合伙企业（有限合伙）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中盾云安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河南中盾云安信息科技有限公司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泰瑞数创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泰瑞数创科技（北京）有限公司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百隆工程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河南省百隆建筑工程有限公司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易度传感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郑州易度传感技术有限公司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福建恒嘉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福建恒嘉环保设备有限公司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东山嘉园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嘉园（东山）水处理有限公司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福建嘉园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福建嘉园环保有限责任公司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福州丰泽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福州丰泽自动化有限公司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合肥嘉园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合肥嘉园水处理投资有限公司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重庆嘉恒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重庆市巴南区嘉恒污水处理有限公司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福安嘉园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福安市嘉园水处理有限公司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光山嘉园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光山县嘉园水处理有限公司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上海嘉园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上海嘉园环保科技有限公司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汉威智慧消防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河南汉威智慧消防科技有限公司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梧桐水务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郑州高新梧桐水务有限公司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山西腾星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山西腾星传感技术有限公司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旭海光电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徐州旭海光电科技有限公司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中水智慧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中水智慧水务科技（北京）有限公司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中泰创安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新疆中泰创安环境科技股份有限公司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艾森斯波兰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艾森斯波兰有限公司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汉威科技集团（香港）有限公司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中敏传感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河南中敏传感器技术研究院有限公司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深圳汉威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深圳汉威物联有限公司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天津迅尔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天津市迅尔仪表科技有限公司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苏州柔智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苏州柔智电子科技合伙企业（有限合伙）</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新立电子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新立汽车电子（台州）有限公司</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区块链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分布式数据存储、点对点传输、共识机制、加密算法等计算机技术 的新型应用模式。</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工业互联网平台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在传统云平台的基础上叠加物联网、大数据、人工智能等新兴技术， 构建更精准、实时、高效的数据采集体系，建设包括存储、集成、 访问、分析、管理功能的智能平台，实现工业技术、经验、知识模 型化、软件化、复用化，以工业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的形式为制造企业各类创新应 用，最终形成资源富集、多方参与、合作共赢、协同演进的制造业 生态，其构架包括边缘、平台（工业</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sz w:val="18"/>
                <w:szCs w:val="18"/>
              </w:rPr>
              <w:t>）、</w:t>
            </w:r>
            <w:r>
              <w:rPr>
                <w:color w:val="000000"/>
                <w:spacing w:val="0"/>
                <w:w w:val="100"/>
                <w:position w:val="0"/>
                <w:sz w:val="18"/>
                <w:szCs w:val="18"/>
              </w:rPr>
              <w:t>应用三大核心层级。</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气体传感器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利用特定气体发生物理或化学变化所释放出的有效信号，从而实现 对该种气体成分、浓度进行感知和测量的元器件。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半导体类气体传感器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利用气体在半导体气敏材料表面所进行的吸附或反应而引起元件 电信号的变化来进行检测的气体传感器。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催化燃烧类气体传感器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利用可燃性气体氧化燃烧放热使电热丝温度升高、电阻值发生变化 的原理进行气体检测的气体传感器。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电化学类气体传感器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利用气体的电化学效应进行检测的传感器。气体在传感器电极上发 生电化学氧化还原反应并释放出电荷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产生电信号，电信号的大小与 气体浓度成正比。</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红外光学类气体传感器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利用不同气体对红外线不同波谱段的光谱吸收原理来检测气体的 种类及浓度，利用此种原理工作的气体传感器称为红外光学类气体 传感器。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柔性传感器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采用柔性材料作为基底制成的传感器，具有良好的柔韧性、延展性， 可自由弯曲和折叠，能够更加方便的对复杂的被测量标的进行检 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PID</w:t>
            </w:r>
            <w:r>
              <w:rPr>
                <w:color w:val="000000"/>
                <w:spacing w:val="0"/>
                <w:w w:val="100"/>
                <w:position w:val="0"/>
                <w:sz w:val="18"/>
                <w:szCs w:val="18"/>
              </w:rPr>
              <w:t>传感器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由紫外光源和气室构成。紫外发光原理与日光灯管相同，只是频率 高，能量大。被测气体到达气室后，被紫外灯发射的紫外光电离产 生电荷流，气体浓度和电荷流的大小正相关，测量电荷流即可测得 气体浓度。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气体检测仪器仪表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利用气体传感器采集生成的气体浓度信号，由配套电路进行处理， 实现气体探测及控制等各项具体功能的仪器仪表。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SCADA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Supervisory Control And DataAcquisition</w:t>
            </w:r>
            <w:r>
              <w:rPr>
                <w:color w:val="000000"/>
                <w:spacing w:val="0"/>
                <w:w w:val="100"/>
                <w:position w:val="0"/>
                <w:sz w:val="18"/>
                <w:szCs w:val="18"/>
              </w:rPr>
              <w:t>，</w:t>
            </w:r>
            <w:r>
              <w:rPr>
                <w:color w:val="000000"/>
                <w:spacing w:val="0"/>
                <w:w w:val="100"/>
                <w:position w:val="0"/>
                <w:sz w:val="18"/>
                <w:szCs w:val="18"/>
              </w:rPr>
              <w:t>即数据采集与监视控制系 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VOCs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Volatile Organic Compounds</w:t>
            </w:r>
            <w:r>
              <w:rPr>
                <w:color w:val="000000"/>
                <w:spacing w:val="0"/>
                <w:w w:val="100"/>
                <w:position w:val="0"/>
                <w:sz w:val="18"/>
                <w:szCs w:val="18"/>
              </w:rPr>
              <w:t>，</w:t>
            </w:r>
            <w:r>
              <w:rPr>
                <w:color w:val="000000"/>
                <w:spacing w:val="0"/>
                <w:w w:val="100"/>
                <w:position w:val="0"/>
                <w:sz w:val="18"/>
                <w:szCs w:val="18"/>
              </w:rPr>
              <w:t>即挥发性有机物。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GIS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Geographic Information System</w:t>
            </w:r>
            <w:r>
              <w:rPr>
                <w:color w:val="000000"/>
                <w:spacing w:val="0"/>
                <w:w w:val="100"/>
                <w:position w:val="0"/>
                <w:sz w:val="18"/>
                <w:szCs w:val="18"/>
              </w:rPr>
              <w:t xml:space="preserve">， </w:t>
            </w:r>
            <w:r>
              <w:rPr>
                <w:color w:val="000000"/>
                <w:spacing w:val="0"/>
                <w:w w:val="100"/>
                <w:position w:val="0"/>
                <w:sz w:val="18"/>
                <w:szCs w:val="18"/>
              </w:rPr>
              <w:t>即地理信息系统。</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空间信息技术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主要包括北斗、</w:t>
            </w:r>
            <w:r>
              <w:rPr>
                <w:rFonts w:ascii="Times New Roman" w:eastAsia="Times New Roman" w:hAnsi="Times New Roman" w:cs="Times New Roman"/>
                <w:color w:val="000000"/>
                <w:spacing w:val="0"/>
                <w:w w:val="100"/>
                <w:position w:val="0"/>
                <w:sz w:val="18"/>
                <w:szCs w:val="18"/>
              </w:rPr>
              <w:t>GPS</w:t>
            </w:r>
            <w:r>
              <w:rPr>
                <w:color w:val="000000"/>
                <w:spacing w:val="0"/>
                <w:w w:val="100"/>
                <w:position w:val="0"/>
                <w:sz w:val="18"/>
                <w:szCs w:val="18"/>
              </w:rPr>
              <w:t>卫星定位授时技术，</w:t>
            </w:r>
            <w:r>
              <w:rPr>
                <w:rFonts w:ascii="Times New Roman" w:eastAsia="Times New Roman" w:hAnsi="Times New Roman" w:cs="Times New Roman"/>
                <w:color w:val="000000"/>
                <w:spacing w:val="0"/>
                <w:w w:val="100"/>
                <w:position w:val="0"/>
                <w:sz w:val="18"/>
                <w:szCs w:val="18"/>
              </w:rPr>
              <w:t>GIS</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BIM</w:t>
            </w:r>
            <w:r>
              <w:rPr>
                <w:color w:val="000000"/>
                <w:spacing w:val="0"/>
                <w:w w:val="100"/>
                <w:position w:val="0"/>
                <w:sz w:val="18"/>
                <w:szCs w:val="18"/>
              </w:rPr>
              <w:t>及三维测绘技 术，进行空间数据的采集、量测、分析、存储、管理、显示、传播 和应用，并对传感数据、事件进行标记、融合，以全面展现事物信 息并深度应用的综合性信息技术。</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NB-IoT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Narrow Band Internet ofThings</w:t>
            </w:r>
            <w:r>
              <w:rPr>
                <w:color w:val="000000"/>
                <w:spacing w:val="0"/>
                <w:w w:val="100"/>
                <w:position w:val="0"/>
                <w:sz w:val="18"/>
                <w:szCs w:val="18"/>
              </w:rPr>
              <w:t>，</w:t>
            </w:r>
            <w:r>
              <w:rPr>
                <w:color w:val="000000"/>
                <w:spacing w:val="0"/>
                <w:w w:val="100"/>
                <w:position w:val="0"/>
                <w:sz w:val="18"/>
                <w:szCs w:val="18"/>
              </w:rPr>
              <w:t>即窄带物联网技术，</w:t>
            </w:r>
            <w:r>
              <w:rPr>
                <w:rFonts w:ascii="Times New Roman" w:eastAsia="Times New Roman" w:hAnsi="Times New Roman" w:cs="Times New Roman"/>
                <w:color w:val="000000"/>
                <w:spacing w:val="0"/>
                <w:w w:val="100"/>
                <w:position w:val="0"/>
                <w:sz w:val="18"/>
                <w:szCs w:val="18"/>
              </w:rPr>
              <w:t xml:space="preserve">NB-IoT </w:t>
            </w:r>
            <w:r>
              <w:rPr>
                <w:color w:val="000000"/>
                <w:spacing w:val="0"/>
                <w:w w:val="100"/>
                <w:position w:val="0"/>
                <w:sz w:val="18"/>
                <w:szCs w:val="18"/>
              </w:rPr>
              <w:t>构建于 蜂窝网络，只消耗大约</w:t>
            </w:r>
            <w:r>
              <w:rPr>
                <w:rFonts w:ascii="Times New Roman" w:eastAsia="Times New Roman" w:hAnsi="Times New Roman" w:cs="Times New Roman"/>
                <w:color w:val="000000"/>
                <w:spacing w:val="0"/>
                <w:w w:val="100"/>
                <w:position w:val="0"/>
                <w:sz w:val="18"/>
                <w:szCs w:val="18"/>
              </w:rPr>
              <w:t>180KHz</w:t>
            </w:r>
            <w:r>
              <w:rPr>
                <w:color w:val="000000"/>
                <w:spacing w:val="0"/>
                <w:w w:val="100"/>
                <w:position w:val="0"/>
                <w:sz w:val="18"/>
                <w:szCs w:val="18"/>
              </w:rPr>
              <w:t>的带宽，可直接部署于</w:t>
            </w:r>
            <w:r>
              <w:rPr>
                <w:rFonts w:ascii="Times New Roman" w:eastAsia="Times New Roman" w:hAnsi="Times New Roman" w:cs="Times New Roman"/>
                <w:color w:val="000000"/>
                <w:spacing w:val="0"/>
                <w:w w:val="100"/>
                <w:position w:val="0"/>
                <w:sz w:val="18"/>
                <w:szCs w:val="18"/>
              </w:rPr>
              <w:t>GSM</w:t>
            </w:r>
            <w:r>
              <w:rPr>
                <w:color w:val="000000"/>
                <w:spacing w:val="0"/>
                <w:w w:val="100"/>
                <w:position w:val="0"/>
                <w:sz w:val="18"/>
                <w:szCs w:val="18"/>
              </w:rPr>
              <w:t xml:space="preserve">网络、 </w:t>
            </w:r>
            <w:r>
              <w:rPr>
                <w:rFonts w:ascii="Times New Roman" w:eastAsia="Times New Roman" w:hAnsi="Times New Roman" w:cs="Times New Roman"/>
                <w:color w:val="000000"/>
                <w:spacing w:val="0"/>
                <w:w w:val="100"/>
                <w:position w:val="0"/>
                <w:sz w:val="18"/>
                <w:szCs w:val="18"/>
              </w:rPr>
              <w:t>UMTS</w:t>
            </w:r>
            <w:r>
              <w:rPr>
                <w:color w:val="000000"/>
                <w:spacing w:val="0"/>
                <w:w w:val="100"/>
                <w:position w:val="0"/>
                <w:sz w:val="18"/>
                <w:szCs w:val="18"/>
              </w:rPr>
              <w:t>网络或</w:t>
            </w:r>
            <w:r>
              <w:rPr>
                <w:rFonts w:ascii="Times New Roman" w:eastAsia="Times New Roman" w:hAnsi="Times New Roman" w:cs="Times New Roman"/>
                <w:color w:val="000000"/>
                <w:spacing w:val="0"/>
                <w:w w:val="100"/>
                <w:position w:val="0"/>
                <w:sz w:val="18"/>
                <w:szCs w:val="18"/>
              </w:rPr>
              <w:t>LTE</w:t>
            </w:r>
            <w:r>
              <w:rPr>
                <w:color w:val="000000"/>
                <w:spacing w:val="0"/>
                <w:w w:val="100"/>
                <w:position w:val="0"/>
                <w:sz w:val="18"/>
                <w:szCs w:val="18"/>
              </w:rPr>
              <w:t>网络，以降低部署成本、实现平滑升级，也被</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叫作低功耗广域网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LPWAN</w:t>
            </w:r>
            <w:r>
              <w:rPr>
                <w:color w:val="000000"/>
                <w:spacing w:val="0"/>
                <w:w w:val="100"/>
                <w:position w:val="0"/>
                <w:sz w:val="18"/>
                <w:szCs w:val="18"/>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MEMS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Micro-Electro-Mechanical System</w:t>
            </w:r>
            <w:r>
              <w:rPr>
                <w:color w:val="000000"/>
                <w:spacing w:val="0"/>
                <w:w w:val="100"/>
                <w:position w:val="0"/>
                <w:sz w:val="18"/>
                <w:szCs w:val="18"/>
              </w:rPr>
              <w:t>,</w:t>
            </w:r>
            <w:r>
              <w:rPr>
                <w:color w:val="000000"/>
                <w:spacing w:val="0"/>
                <w:w w:val="100"/>
                <w:position w:val="0"/>
                <w:sz w:val="18"/>
                <w:szCs w:val="18"/>
              </w:rPr>
              <w:t>即微机电系统，也叫做微电子机 械系统、微系统、微机械等，指尺寸在几毫米乃至更小的高科技装 置，是集微传感器、微执行器、微机械结构、微电源微能源、信号 处理和控制电路、高性能电子集成器件、接口、通信等于一体的微 型器件或系统。</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GDS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Gas Detection and Alarm System</w:t>
            </w:r>
            <w:r>
              <w:rPr>
                <w:color w:val="000000"/>
                <w:spacing w:val="0"/>
                <w:w w:val="100"/>
                <w:position w:val="0"/>
                <w:sz w:val="18"/>
                <w:szCs w:val="18"/>
              </w:rPr>
              <w:t>，</w:t>
            </w:r>
            <w:r>
              <w:rPr>
                <w:color w:val="000000"/>
                <w:spacing w:val="0"/>
                <w:w w:val="100"/>
                <w:position w:val="0"/>
                <w:sz w:val="18"/>
                <w:szCs w:val="18"/>
              </w:rPr>
              <w:t>即气体检测报警系统。该系统基于 开放的系统结构，具备与其他品牌的系统设备（平台）通过工业标 准通讯、平台和协议实现集成和信息交换，协议包括</w:t>
            </w:r>
            <w:r>
              <w:rPr>
                <w:rFonts w:ascii="Times New Roman" w:eastAsia="Times New Roman" w:hAnsi="Times New Roman" w:cs="Times New Roman"/>
                <w:color w:val="000000"/>
                <w:spacing w:val="0"/>
                <w:w w:val="100"/>
                <w:position w:val="0"/>
                <w:sz w:val="18"/>
                <w:szCs w:val="18"/>
              </w:rPr>
              <w:t>MODBUS</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TCP/IP </w:t>
            </w:r>
            <w:r>
              <w:rPr>
                <w:color w:val="000000"/>
                <w:spacing w:val="0"/>
                <w:w w:val="100"/>
                <w:position w:val="0"/>
                <w:sz w:val="18"/>
                <w:szCs w:val="18"/>
              </w:rPr>
              <w:t xml:space="preserve">和 </w:t>
            </w:r>
            <w:r>
              <w:rPr>
                <w:rFonts w:ascii="Times New Roman" w:eastAsia="Times New Roman" w:hAnsi="Times New Roman" w:cs="Times New Roman"/>
                <w:color w:val="000000"/>
                <w:spacing w:val="0"/>
                <w:w w:val="100"/>
                <w:position w:val="0"/>
                <w:sz w:val="18"/>
                <w:szCs w:val="18"/>
              </w:rPr>
              <w:t>OPC</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FGS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FireAlarm and Gas Detector System</w:t>
            </w:r>
            <w:r>
              <w:rPr>
                <w:color w:val="000000"/>
                <w:spacing w:val="0"/>
                <w:w w:val="100"/>
                <w:position w:val="0"/>
                <w:sz w:val="18"/>
                <w:szCs w:val="18"/>
              </w:rPr>
              <w:t>，</w:t>
            </w:r>
            <w:r>
              <w:rPr>
                <w:color w:val="000000"/>
                <w:spacing w:val="0"/>
                <w:w w:val="100"/>
                <w:position w:val="0"/>
                <w:sz w:val="18"/>
                <w:szCs w:val="18"/>
              </w:rPr>
              <w:t>即火灾报警和气体检测系统。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HSSE</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即</w:t>
            </w:r>
            <w:r>
              <w:rPr>
                <w:rFonts w:ascii="Times New Roman" w:eastAsia="Times New Roman" w:hAnsi="Times New Roman" w:cs="Times New Roman"/>
                <w:color w:val="000000"/>
                <w:spacing w:val="0"/>
                <w:w w:val="100"/>
                <w:position w:val="0"/>
                <w:sz w:val="18"/>
                <w:szCs w:val="18"/>
              </w:rPr>
              <w:t>Health,Safe,Security,Environment</w:t>
            </w:r>
            <w:r>
              <w:rPr>
                <w:color w:val="000000"/>
                <w:spacing w:val="0"/>
                <w:w w:val="100"/>
                <w:position w:val="0"/>
                <w:sz w:val="18"/>
                <w:szCs w:val="18"/>
              </w:rPr>
              <w:t>的简称，代表涉及安全的四个主 要方面的管理工作：健康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w:t>
            </w:r>
            <w:r>
              <w:rPr>
                <w:color w:val="000000"/>
                <w:spacing w:val="0"/>
                <w:w w:val="100"/>
                <w:position w:val="0"/>
                <w:sz w:val="18"/>
                <w:szCs w:val="18"/>
              </w:rPr>
              <w:t>）、</w:t>
            </w:r>
            <w:r>
              <w:rPr>
                <w:color w:val="000000"/>
                <w:spacing w:val="0"/>
                <w:w w:val="100"/>
                <w:position w:val="0"/>
                <w:sz w:val="18"/>
                <w:szCs w:val="18"/>
              </w:rPr>
              <w:t>安全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w:t>
            </w:r>
            <w:r>
              <w:rPr>
                <w:color w:val="000000"/>
                <w:spacing w:val="0"/>
                <w:w w:val="100"/>
                <w:position w:val="0"/>
                <w:sz w:val="18"/>
                <w:szCs w:val="18"/>
              </w:rPr>
              <w:t>）、</w:t>
            </w:r>
            <w:r>
              <w:rPr>
                <w:color w:val="000000"/>
                <w:spacing w:val="0"/>
                <w:w w:val="100"/>
                <w:position w:val="0"/>
                <w:sz w:val="18"/>
                <w:szCs w:val="18"/>
              </w:rPr>
              <w:t>安保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w:t>
            </w:r>
            <w:r>
              <w:rPr>
                <w:color w:val="000000"/>
                <w:spacing w:val="0"/>
                <w:w w:val="100"/>
                <w:position w:val="0"/>
                <w:sz w:val="18"/>
                <w:szCs w:val="18"/>
              </w:rPr>
              <w:t>）</w:t>
            </w:r>
            <w:r>
              <w:rPr>
                <w:color w:val="000000"/>
                <w:spacing w:val="0"/>
                <w:w w:val="100"/>
                <w:position w:val="0"/>
                <w:sz w:val="18"/>
                <w:szCs w:val="18"/>
              </w:rPr>
              <w:t>和环境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PLC</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Programmable Logic Controller</w:t>
            </w:r>
            <w:r>
              <w:rPr>
                <w:color w:val="000000"/>
                <w:spacing w:val="0"/>
                <w:w w:val="100"/>
                <w:position w:val="0"/>
                <w:sz w:val="18"/>
                <w:szCs w:val="18"/>
              </w:rPr>
              <w:t>，</w:t>
            </w:r>
            <w:r>
              <w:rPr>
                <w:color w:val="000000"/>
                <w:spacing w:val="0"/>
                <w:w w:val="100"/>
                <w:position w:val="0"/>
                <w:sz w:val="18"/>
                <w:szCs w:val="18"/>
              </w:rPr>
              <w:t>即可编程逻辑控制器，专为工业生 产设计的一种数字运算操作的电子装置。</w:t>
            </w:r>
          </w:p>
        </w:tc>
      </w:tr>
    </w:tbl>
    <w:p>
      <w:pPr>
        <w:sectPr>
          <w:footnotePr>
            <w:pos w:val="pageBottom"/>
            <w:numFmt w:val="decimal"/>
            <w:numRestart w:val="continuous"/>
          </w:footnotePr>
          <w:pgSz w:w="11900" w:h="16840"/>
          <w:pgMar w:top="1441" w:right="1136" w:bottom="1599" w:left="1083" w:header="0" w:footer="3" w:gutter="0"/>
          <w:cols w:space="720"/>
          <w:noEndnote/>
          <w:rtlGutter w:val="0"/>
          <w:docGrid w:linePitch="360"/>
        </w:sectPr>
      </w:pPr>
    </w:p>
    <w:p>
      <w:pPr>
        <w:pStyle w:val="Style8"/>
        <w:keepNext/>
        <w:keepLines/>
        <w:widowControl w:val="0"/>
        <w:shd w:val="clear" w:color="auto" w:fill="auto"/>
        <w:bidi w:val="0"/>
        <w:spacing w:before="480" w:after="540" w:line="240" w:lineRule="auto"/>
        <w:ind w:left="0" w:right="0" w:firstLine="0"/>
        <w:jc w:val="center"/>
      </w:pPr>
      <w:bookmarkStart w:id="12" w:name="bookmark12"/>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bookmarkEnd w:id="12"/>
    </w:p>
    <w:p>
      <w:pPr>
        <w:pStyle w:val="Style19"/>
        <w:keepNext/>
        <w:keepLines/>
        <w:widowControl w:val="0"/>
        <w:shd w:val="clear" w:color="auto" w:fill="auto"/>
        <w:bidi w:val="0"/>
        <w:spacing w:before="0" w:line="240" w:lineRule="auto"/>
        <w:ind w:left="0" w:right="0" w:firstLine="240"/>
        <w:jc w:val="left"/>
      </w:pPr>
      <w:bookmarkStart w:id="16" w:name="bookmark16"/>
      <w:bookmarkStart w:id="17" w:name="bookmark17"/>
      <w:bookmarkStart w:id="18" w:name="bookmark18"/>
      <w:r>
        <w:rPr>
          <w:color w:val="000000"/>
          <w:spacing w:val="0"/>
          <w:w w:val="100"/>
          <w:position w:val="0"/>
          <w:sz w:val="24"/>
          <w:szCs w:val="24"/>
        </w:rPr>
        <w:t>、公司信息</w:t>
      </w:r>
      <w:bookmarkEnd w:id="16"/>
      <w:bookmarkEnd w:id="17"/>
      <w:bookmarkEnd w:id="18"/>
    </w:p>
    <w:tbl>
      <w:tblPr>
        <w:tblOverlap w:val="never"/>
        <w:jc w:val="center"/>
        <w:tblLayout w:type="fixed"/>
      </w:tblPr>
      <w:tblGrid>
        <w:gridCol w:w="2290"/>
        <w:gridCol w:w="72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04" w:val="left"/>
                <w:tab w:pos="5083" w:val="left"/>
              </w:tabs>
              <w:bidi w:val="0"/>
              <w:spacing w:before="0" w:after="0" w:line="240" w:lineRule="auto"/>
              <w:ind w:left="0" w:right="0" w:firstLine="0"/>
              <w:jc w:val="left"/>
              <w:rPr>
                <w:sz w:val="18"/>
                <w:szCs w:val="18"/>
              </w:rPr>
            </w:pPr>
            <w:r>
              <w:rPr>
                <w:color w:val="000000"/>
                <w:spacing w:val="0"/>
                <w:w w:val="100"/>
                <w:position w:val="0"/>
                <w:sz w:val="18"/>
                <w:szCs w:val="18"/>
              </w:rPr>
              <w:t>汉威科技</w:t>
              <w:tab/>
              <w:t>股票代码</w:t>
              <w:tab/>
            </w:r>
            <w:r>
              <w:rPr>
                <w:rFonts w:ascii="Times New Roman" w:eastAsia="Times New Roman" w:hAnsi="Times New Roman" w:cs="Times New Roman"/>
                <w:color w:val="000000"/>
                <w:spacing w:val="0"/>
                <w:w w:val="100"/>
                <w:position w:val="0"/>
                <w:sz w:val="18"/>
                <w:szCs w:val="18"/>
              </w:rPr>
              <w:t>300007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汉威科技集团股份有限公司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汉威科技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Hanwei Electronics Group Corporation</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Hanwei Electronics</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任红军</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郑州高新开发区雪松路</w:t>
            </w:r>
            <w:r>
              <w:rPr>
                <w:rFonts w:ascii="Times New Roman" w:eastAsia="Times New Roman" w:hAnsi="Times New Roman" w:cs="Times New Roman"/>
                <w:color w:val="000000"/>
                <w:spacing w:val="0"/>
                <w:w w:val="100"/>
                <w:position w:val="0"/>
                <w:sz w:val="18"/>
                <w:szCs w:val="18"/>
              </w:rPr>
              <w:t>169</w:t>
            </w:r>
            <w:r>
              <w:rPr>
                <w:color w:val="000000"/>
                <w:spacing w:val="0"/>
                <w:w w:val="100"/>
                <w:position w:val="0"/>
                <w:sz w:val="18"/>
                <w:szCs w:val="18"/>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公司注册地址历史变更情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郑州高新开发区雪松路</w:t>
            </w:r>
            <w:r>
              <w:rPr>
                <w:rFonts w:ascii="Times New Roman" w:eastAsia="Times New Roman" w:hAnsi="Times New Roman" w:cs="Times New Roman"/>
                <w:color w:val="000000"/>
                <w:spacing w:val="0"/>
                <w:w w:val="100"/>
                <w:position w:val="0"/>
                <w:sz w:val="18"/>
                <w:szCs w:val="18"/>
              </w:rPr>
              <w:t>169</w:t>
            </w:r>
            <w:r>
              <w:rPr>
                <w:color w:val="000000"/>
                <w:spacing w:val="0"/>
                <w:w w:val="100"/>
                <w:position w:val="0"/>
                <w:sz w:val="18"/>
                <w:szCs w:val="18"/>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"http://www.hanwei.cn" </w:instrText>
            </w:r>
            <w:r>
              <w:fldChar w:fldCharType="separate"/>
            </w:r>
            <w:r>
              <w:rPr>
                <w:rFonts w:ascii="Times New Roman" w:eastAsia="Times New Roman" w:hAnsi="Times New Roman" w:cs="Times New Roman"/>
                <w:color w:val="000000"/>
                <w:spacing w:val="0"/>
                <w:w w:val="100"/>
                <w:position w:val="0"/>
                <w:sz w:val="18"/>
                <w:szCs w:val="18"/>
              </w:rPr>
              <w:t>www.hanwei.cn</w:t>
            </w:r>
            <w:r>
              <w:fldChar w:fldCharType="end"/>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"mailto:hwdz@hwsensor.com" </w:instrText>
            </w:r>
            <w:r>
              <w:fldChar w:fldCharType="separate"/>
            </w:r>
            <w:r>
              <w:rPr>
                <w:rFonts w:ascii="Times New Roman" w:eastAsia="Times New Roman" w:hAnsi="Times New Roman" w:cs="Times New Roman"/>
                <w:color w:val="000000"/>
                <w:spacing w:val="0"/>
                <w:w w:val="100"/>
                <w:position w:val="0"/>
                <w:sz w:val="18"/>
                <w:szCs w:val="18"/>
              </w:rPr>
              <w:t>hwdz@hwsensor.com</w:t>
            </w:r>
            <w:r>
              <w:fldChar w:fldCharType="end"/>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二</w:t>
      </w:r>
      <w:bookmarkEnd w:id="21"/>
      <w:r>
        <w:rPr>
          <w:color w:val="000000"/>
          <w:spacing w:val="0"/>
          <w:w w:val="100"/>
          <w:position w:val="0"/>
          <w:sz w:val="24"/>
          <w:szCs w:val="24"/>
        </w:rPr>
        <w:t>、联系人和联系方式</w:t>
      </w:r>
      <w:bookmarkEnd w:id="19"/>
      <w:bookmarkEnd w:id="20"/>
      <w:bookmarkEnd w:id="22"/>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肖锋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蒋宇辉</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郑州高新开发区雪松路</w:t>
            </w:r>
            <w:r>
              <w:rPr>
                <w:rFonts w:ascii="Times New Roman" w:eastAsia="Times New Roman" w:hAnsi="Times New Roman" w:cs="Times New Roman"/>
                <w:color w:val="000000"/>
                <w:spacing w:val="0"/>
                <w:w w:val="100"/>
                <w:position w:val="0"/>
                <w:sz w:val="18"/>
                <w:szCs w:val="18"/>
              </w:rPr>
              <w:t>169</w:t>
            </w:r>
            <w:r>
              <w:rPr>
                <w:color w:val="000000"/>
                <w:spacing w:val="0"/>
                <w:w w:val="100"/>
                <w:position w:val="0"/>
                <w:sz w:val="18"/>
                <w:szCs w:val="18"/>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郑州高新开发区雪松路</w:t>
            </w:r>
            <w:r>
              <w:rPr>
                <w:rFonts w:ascii="Times New Roman" w:eastAsia="Times New Roman" w:hAnsi="Times New Roman" w:cs="Times New Roman"/>
                <w:color w:val="000000"/>
                <w:spacing w:val="0"/>
                <w:w w:val="100"/>
                <w:position w:val="0"/>
                <w:sz w:val="18"/>
                <w:szCs w:val="18"/>
              </w:rPr>
              <w:t>169</w:t>
            </w:r>
            <w:r>
              <w:rPr>
                <w:color w:val="000000"/>
                <w:spacing w:val="0"/>
                <w:w w:val="100"/>
                <w:position w:val="0"/>
                <w:sz w:val="18"/>
                <w:szCs w:val="18"/>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0371-67169159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0371-67169159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0371-67169196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0371-67169196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hwdz @hwsensor.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"mailto:hwdz@hwsensor.com" </w:instrText>
            </w:r>
            <w:r>
              <w:fldChar w:fldCharType="separate"/>
            </w:r>
            <w:r>
              <w:rPr>
                <w:rFonts w:ascii="Times New Roman" w:eastAsia="Times New Roman" w:hAnsi="Times New Roman" w:cs="Times New Roman"/>
                <w:color w:val="000000"/>
                <w:spacing w:val="0"/>
                <w:w w:val="100"/>
                <w:position w:val="0"/>
                <w:sz w:val="18"/>
                <w:szCs w:val="18"/>
              </w:rPr>
              <w:t>hwdz@hwsensor.com</w:t>
            </w:r>
            <w:r>
              <w:fldChar w:fldCharType="end"/>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三</w:t>
      </w:r>
      <w:bookmarkEnd w:id="25"/>
      <w:r>
        <w:rPr>
          <w:color w:val="000000"/>
          <w:spacing w:val="0"/>
          <w:w w:val="100"/>
          <w:position w:val="0"/>
          <w:sz w:val="24"/>
          <w:szCs w:val="24"/>
        </w:rPr>
        <w:t>、信息披露及备置地点</w:t>
      </w:r>
      <w:bookmarkEnd w:id="23"/>
      <w:bookmarkEnd w:id="24"/>
      <w:bookmarkEnd w:id="26"/>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www.szse.cn</w:t>
            </w:r>
            <w:r>
              <w:fldChar w:fldCharType="end"/>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证券时报、上海证券报、巨潮资讯网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公司证券投资部办公室</w:t>
            </w:r>
          </w:p>
        </w:tc>
      </w:tr>
    </w:tbl>
    <w:p>
      <w:pPr>
        <w:spacing w:lineRule="exact" w:line="1"/>
        <w:rPr>
          <w:sz w:val="2"/>
          <w:szCs w:val="2"/>
        </w:rPr>
      </w:pPr>
      <w:r>
        <w:br w:type="page"/>
      </w:r>
    </w:p>
    <w:p>
      <w:pPr>
        <w:pStyle w:val="Style19"/>
        <w:keepNext/>
        <w:keepLines/>
        <w:widowControl w:val="0"/>
        <w:shd w:val="clear" w:color="auto" w:fill="auto"/>
        <w:bidi w:val="0"/>
        <w:spacing w:before="0" w:after="36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四</w:t>
      </w:r>
      <w:bookmarkEnd w:id="29"/>
      <w:r>
        <w:rPr>
          <w:color w:val="000000"/>
          <w:spacing w:val="0"/>
          <w:w w:val="100"/>
          <w:position w:val="0"/>
          <w:sz w:val="24"/>
          <w:szCs w:val="24"/>
        </w:rPr>
        <w:t>、其他有关资料</w:t>
      </w:r>
      <w:bookmarkEnd w:id="27"/>
      <w:bookmarkEnd w:id="28"/>
      <w:bookmarkEnd w:id="30"/>
    </w:p>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上海市黄浦区南京东路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8"/>
                <w:szCs w:val="18"/>
              </w:rPr>
              <w:t>号四楼</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杨东升、吴可方</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中信建投证券股份有限公司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 xml:space="preserve">北京市东城区朝阳门内大街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号凯恒中心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严砚、张钟伟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bl>
    <w:p>
      <w:pPr>
        <w:pStyle w:val="Style2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公司聘请的报告期内履行持续督导职责的财务顾问 口适用”不适用</w:t>
      </w:r>
    </w:p>
    <w:p>
      <w:pPr>
        <w:pStyle w:val="Style19"/>
        <w:keepNext/>
        <w:keepLines/>
        <w:widowControl w:val="0"/>
        <w:shd w:val="clear" w:color="auto" w:fill="auto"/>
        <w:bidi w:val="0"/>
        <w:spacing w:before="0" w:after="22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五</w:t>
      </w:r>
      <w:bookmarkEnd w:id="33"/>
      <w:r>
        <w:rPr>
          <w:color w:val="000000"/>
          <w:spacing w:val="0"/>
          <w:w w:val="100"/>
          <w:position w:val="0"/>
          <w:sz w:val="24"/>
          <w:szCs w:val="24"/>
        </w:rPr>
        <w:t>、主要会计数据和财务指标</w:t>
      </w:r>
      <w:bookmarkEnd w:id="31"/>
      <w:bookmarkEnd w:id="32"/>
      <w:bookmarkEnd w:id="34"/>
    </w:p>
    <w:p>
      <w:pPr>
        <w:pStyle w:val="Style24"/>
        <w:keepNext w:val="0"/>
        <w:keepLines w:val="0"/>
        <w:widowControl w:val="0"/>
        <w:shd w:val="clear" w:color="auto" w:fill="auto"/>
        <w:bidi w:val="0"/>
        <w:spacing w:before="0" w:after="80" w:line="350" w:lineRule="exact"/>
        <w:ind w:left="0" w:right="0" w:firstLine="0"/>
        <w:jc w:val="left"/>
      </w:pPr>
      <w:r>
        <w:rPr>
          <w:color w:val="000000"/>
          <w:spacing w:val="0"/>
          <w:w w:val="100"/>
          <w:position w:val="0"/>
        </w:rPr>
        <w:t>公司是否需追溯调整或重述以前年度会计数据 口是"否</w:t>
      </w:r>
    </w:p>
    <w:tbl>
      <w:tblPr>
        <w:tblOverlap w:val="never"/>
        <w:jc w:val="center"/>
        <w:tblLayout w:type="fixed"/>
      </w:tblPr>
      <w:tblGrid>
        <w:gridCol w:w="2942"/>
        <w:gridCol w:w="1618"/>
        <w:gridCol w:w="1603"/>
        <w:gridCol w:w="1877"/>
        <w:gridCol w:w="154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2,316,212,044.89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1,941,168,910.89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1,819,480,487.05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263,186,796.48</w:t>
            </w:r>
            <w:r>
              <w:rPr>
                <w:color w:val="FF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205,534,778.34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-103,778,838.98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归属于上市公司股东的扣除非经常 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175,943,720.65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120,839,110.06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-193,214,062.02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214,325,977.49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586,121,669.26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325,594,633.32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5,946,993,121.88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5,252,332,809.52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4,803,578,904.63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2,424,504,406.91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1,559,009,395.89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1,346,041,738.05</w:t>
            </w:r>
          </w:p>
        </w:tc>
      </w:tr>
    </w:tbl>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报告期内，公司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年限制性股票激励计划股份支付费用为</w:t>
      </w:r>
      <w:r>
        <w:rPr>
          <w:rFonts w:ascii="Times New Roman" w:eastAsia="Times New Roman" w:hAnsi="Times New Roman" w:cs="Times New Roman"/>
          <w:color w:val="000000"/>
          <w:spacing w:val="0"/>
          <w:w w:val="100"/>
          <w:position w:val="0"/>
        </w:rPr>
        <w:t>1,005.78</w:t>
      </w:r>
      <w:r>
        <w:rPr>
          <w:color w:val="000000"/>
          <w:spacing w:val="0"/>
          <w:w w:val="100"/>
          <w:position w:val="0"/>
        </w:rPr>
        <w:t>万元，剔除股权激励计划股份支付费用影响后 的归属于公司股东的净利润为</w:t>
      </w:r>
      <w:r>
        <w:rPr>
          <w:rFonts w:ascii="Times New Roman" w:eastAsia="Times New Roman" w:hAnsi="Times New Roman" w:cs="Times New Roman"/>
          <w:color w:val="000000"/>
          <w:spacing w:val="0"/>
          <w:w w:val="100"/>
          <w:position w:val="0"/>
        </w:rPr>
        <w:t>27,274.41</w:t>
      </w:r>
      <w:r>
        <w:rPr>
          <w:color w:val="000000"/>
          <w:spacing w:val="0"/>
          <w:w w:val="100"/>
          <w:position w:val="0"/>
        </w:rPr>
        <w:t>万元，对比上年同期增长为</w:t>
      </w:r>
      <w:r>
        <w:rPr>
          <w:rFonts w:ascii="Times New Roman" w:eastAsia="Times New Roman" w:hAnsi="Times New Roman" w:cs="Times New Roman"/>
          <w:color w:val="000000"/>
          <w:spacing w:val="0"/>
          <w:w w:val="100"/>
          <w:position w:val="0"/>
        </w:rPr>
        <w:t>32.70%</w:t>
      </w:r>
      <w:r>
        <w:rPr>
          <w:color w:val="000000"/>
          <w:spacing w:val="0"/>
          <w:w w:val="100"/>
          <w:position w:val="0"/>
        </w:rPr>
        <w:t>。</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口是"否</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80" w:line="314" w:lineRule="exact"/>
        <w:ind w:left="0" w:right="0" w:firstLine="0"/>
        <w:jc w:val="left"/>
      </w:pPr>
      <w:r>
        <w:rPr>
          <w:color w:val="000000"/>
          <w:spacing w:val="0"/>
          <w:w w:val="100"/>
          <w:position w:val="0"/>
        </w:rPr>
        <w:t>口是"否</w:t>
      </w:r>
      <w:r>
        <w:br w:type="page"/>
      </w:r>
    </w:p>
    <w:p>
      <w:pPr>
        <w:pStyle w:val="Style19"/>
        <w:keepNext/>
        <w:keepLines/>
        <w:widowControl w:val="0"/>
        <w:shd w:val="clear" w:color="auto" w:fill="auto"/>
        <w:bidi w:val="0"/>
        <w:spacing w:before="0" w:after="36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六</w:t>
      </w:r>
      <w:bookmarkEnd w:id="37"/>
      <w:r>
        <w:rPr>
          <w:color w:val="000000"/>
          <w:spacing w:val="0"/>
          <w:w w:val="100"/>
          <w:position w:val="0"/>
          <w:sz w:val="24"/>
          <w:szCs w:val="24"/>
        </w:rPr>
        <w:t>、分季度主要财务指标</w:t>
      </w:r>
      <w:bookmarkEnd w:id="35"/>
      <w:bookmarkEnd w:id="36"/>
      <w:bookmarkEnd w:id="38"/>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529,411,910.74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571,085,422.29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489,874,335.11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725,840,376.75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42,312,369.33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96,621,416.68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70,155,246.77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54,097,763.70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27,092,110.43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71,696,250.30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52,512,197.16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24,643,162.76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-122,296,126.37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43,533,183.00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28,062,990.22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265,025,930.64</w:t>
            </w:r>
          </w:p>
        </w:tc>
      </w:tr>
    </w:tbl>
    <w:p>
      <w:pPr>
        <w:pStyle w:val="Style24"/>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上述财务指标或其加总数是否与公司已披露季度报告、半年度报告相关财务指标存在重大差异 口是"否</w:t>
      </w:r>
    </w:p>
    <w:p>
      <w:pPr>
        <w:pStyle w:val="Style19"/>
        <w:keepNext/>
        <w:keepLines/>
        <w:widowControl w:val="0"/>
        <w:shd w:val="clear" w:color="auto" w:fill="auto"/>
        <w:tabs>
          <w:tab w:pos="517" w:val="left"/>
        </w:tabs>
        <w:bidi w:val="0"/>
        <w:spacing w:before="0" w:after="36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七</w:t>
      </w:r>
      <w:bookmarkEnd w:id="41"/>
      <w:r>
        <w:rPr>
          <w:color w:val="000000"/>
          <w:spacing w:val="0"/>
          <w:w w:val="100"/>
          <w:position w:val="0"/>
          <w:sz w:val="24"/>
          <w:szCs w:val="24"/>
        </w:rPr>
        <w:t>、</w:t>
        <w:tab/>
        <w:t>境内外会计准则下会计数据差异</w:t>
      </w:r>
      <w:bookmarkEnd w:id="39"/>
      <w:bookmarkEnd w:id="40"/>
      <w:bookmarkEnd w:id="42"/>
    </w:p>
    <w:p>
      <w:pPr>
        <w:pStyle w:val="Style28"/>
        <w:keepNext/>
        <w:keepLines/>
        <w:widowControl w:val="0"/>
        <w:shd w:val="clear" w:color="auto" w:fill="auto"/>
        <w:tabs>
          <w:tab w:pos="410" w:val="left"/>
        </w:tabs>
        <w:bidi w:val="0"/>
        <w:spacing w:before="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1</w:t>
      </w:r>
      <w:bookmarkEnd w:id="45"/>
      <w:r>
        <w:rPr>
          <w:color w:val="000000"/>
          <w:spacing w:val="0"/>
          <w:w w:val="100"/>
          <w:position w:val="0"/>
        </w:rPr>
        <w:t>、</w:t>
        <w:tab/>
        <w:t>同时按照国际会计准则与按照中国会计准则披露的财务报告中净利润和净资产差异情况</w:t>
      </w:r>
      <w:bookmarkEnd w:id="43"/>
      <w:bookmarkEnd w:id="44"/>
      <w:bookmarkEnd w:id="4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10" w:val="left"/>
        </w:tabs>
        <w:bidi w:val="0"/>
        <w:spacing w:before="0" w:line="240" w:lineRule="auto"/>
        <w:ind w:left="0" w:right="0" w:firstLine="0"/>
        <w:jc w:val="left"/>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2</w:t>
      </w:r>
      <w:bookmarkEnd w:id="49"/>
      <w:r>
        <w:rPr>
          <w:color w:val="000000"/>
          <w:spacing w:val="0"/>
          <w:w w:val="100"/>
          <w:position w:val="0"/>
        </w:rPr>
        <w:t>、</w:t>
        <w:tab/>
        <w:t>同时按照境外会计准则与按照中国会计准则披露的财务报告中净利润和净资产差异情况</w:t>
      </w:r>
      <w:bookmarkEnd w:id="47"/>
      <w:bookmarkEnd w:id="48"/>
      <w:bookmarkEnd w:id="5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19"/>
        <w:keepNext/>
        <w:keepLines/>
        <w:widowControl w:val="0"/>
        <w:shd w:val="clear" w:color="auto" w:fill="auto"/>
        <w:tabs>
          <w:tab w:pos="517" w:val="left"/>
        </w:tabs>
        <w:bidi w:val="0"/>
        <w:spacing w:before="0" w:after="36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八</w:t>
      </w:r>
      <w:bookmarkEnd w:id="53"/>
      <w:r>
        <w:rPr>
          <w:color w:val="000000"/>
          <w:spacing w:val="0"/>
          <w:w w:val="100"/>
          <w:position w:val="0"/>
          <w:sz w:val="24"/>
          <w:szCs w:val="24"/>
        </w:rPr>
        <w:t>、</w:t>
        <w:tab/>
        <w:t>非经常性损益项目及金额</w:t>
      </w:r>
      <w:bookmarkEnd w:id="51"/>
      <w:bookmarkEnd w:id="52"/>
      <w:bookmarkEnd w:id="5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-1,867,567.26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-150,691.91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-428,887.98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142,404,113.20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130,306,329.50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128,581,486.32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121,220.00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-567,186.65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-267,345.03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-1,000,740.83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-730,471.65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341,405.04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-262,092.26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1,353,930.38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4,916,795.46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减：所得税影响额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20,943,042.84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19,560,079.72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19,460,100.36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31,208,814.18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25,956,161.67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24,248,130.41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87,243,075.83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84,695,668.28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89,435,223.04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其他符合非经常性损益定义的损益项目的具体情况：</w:t>
      </w:r>
    </w:p>
    <w:p>
      <w:pPr>
        <w:pStyle w:val="Style24"/>
        <w:keepNext w:val="0"/>
        <w:keepLines w:val="0"/>
        <w:widowControl w:val="0"/>
        <w:shd w:val="clear" w:color="auto" w:fill="auto"/>
        <w:bidi w:val="0"/>
        <w:spacing w:before="0" w:after="40" w:line="310" w:lineRule="exact"/>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公司不存在其他符合非经常性损益定义的损益项目的具体情况。</w:t>
      </w:r>
    </w:p>
    <w:p>
      <w:pPr>
        <w:pStyle w:val="Style24"/>
        <w:keepNext w:val="0"/>
        <w:keepLines w:val="0"/>
        <w:widowControl w:val="0"/>
        <w:shd w:val="clear" w:color="auto" w:fill="auto"/>
        <w:bidi w:val="0"/>
        <w:spacing w:before="0" w:after="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4"/>
        <w:keepNext w:val="0"/>
        <w:keepLines w:val="0"/>
        <w:widowControl w:val="0"/>
        <w:shd w:val="clear" w:color="auto" w:fill="auto"/>
        <w:bidi w:val="0"/>
        <w:spacing w:before="0" w:after="40" w:line="310" w:lineRule="exact"/>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40" w:line="302" w:lineRule="exact"/>
        <w:ind w:left="0" w:right="0" w:firstLine="0"/>
        <w:jc w:val="left"/>
        <w:sectPr>
          <w:footnotePr>
            <w:pos w:val="pageBottom"/>
            <w:numFmt w:val="decimal"/>
            <w:numRestart w:val="continuous"/>
          </w:footnotePr>
          <w:pgSz w:w="11900" w:h="16840"/>
          <w:pgMar w:top="1441" w:right="1118" w:bottom="1633" w:left="1100"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8"/>
        <w:keepNext/>
        <w:keepLines/>
        <w:widowControl w:val="0"/>
        <w:shd w:val="clear" w:color="auto" w:fill="auto"/>
        <w:bidi w:val="0"/>
        <w:spacing w:line="240" w:lineRule="auto"/>
        <w:ind w:left="0" w:right="0" w:firstLine="0"/>
        <w:jc w:val="center"/>
      </w:pPr>
      <w:bookmarkStart w:id="55" w:name="bookmark55"/>
      <w:bookmarkStart w:id="56" w:name="bookmark56"/>
      <w:bookmarkStart w:id="57" w:name="bookmark57"/>
      <w:bookmarkStart w:id="58" w:name="bookmark58"/>
      <w:r>
        <w:rPr>
          <w:color w:val="000000"/>
          <w:spacing w:val="0"/>
          <w:w w:val="100"/>
          <w:position w:val="0"/>
        </w:rPr>
        <w:t>第三节管理层讨论与分析</w:t>
      </w:r>
      <w:bookmarkEnd w:id="56"/>
      <w:bookmarkEnd w:id="57"/>
      <w:bookmarkEnd w:id="58"/>
      <w:bookmarkEnd w:id="55"/>
    </w:p>
    <w:p>
      <w:pPr>
        <w:pStyle w:val="Style19"/>
        <w:keepNext/>
        <w:keepLines/>
        <w:widowControl w:val="0"/>
        <w:shd w:val="clear" w:color="auto" w:fill="auto"/>
        <w:bidi w:val="0"/>
        <w:spacing w:before="0" w:after="200" w:line="240" w:lineRule="auto"/>
        <w:ind w:left="0" w:right="0" w:firstLine="0"/>
        <w:jc w:val="both"/>
      </w:pPr>
      <w:bookmarkStart w:id="59" w:name="bookmark59"/>
      <w:bookmarkStart w:id="60" w:name="bookmark60"/>
      <w:bookmarkStart w:id="61" w:name="bookmark61"/>
      <w:bookmarkStart w:id="62" w:name="bookmark62"/>
      <w:r>
        <w:rPr>
          <w:color w:val="000000"/>
          <w:spacing w:val="0"/>
          <w:w w:val="100"/>
          <w:position w:val="0"/>
          <w:sz w:val="24"/>
          <w:szCs w:val="24"/>
        </w:rPr>
        <w:t>一</w:t>
      </w:r>
      <w:bookmarkEnd w:id="61"/>
      <w:r>
        <w:rPr>
          <w:color w:val="000000"/>
          <w:spacing w:val="0"/>
          <w:w w:val="100"/>
          <w:position w:val="0"/>
          <w:sz w:val="24"/>
          <w:szCs w:val="24"/>
        </w:rPr>
        <w:t>、报告期内公司所处行业情况</w:t>
      </w:r>
      <w:bookmarkEnd w:id="59"/>
      <w:bookmarkEnd w:id="60"/>
      <w:bookmarkEnd w:id="62"/>
    </w:p>
    <w:p>
      <w:pPr>
        <w:pStyle w:val="Style10"/>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公司目前主要业务包括传感器、仪器仪表的研发、生产、销售以及物联网综合服务，涉及传感器、仪 器仪表和物联网行业。</w:t>
      </w:r>
    </w:p>
    <w:p>
      <w:pPr>
        <w:pStyle w:val="Style10"/>
        <w:keepNext w:val="0"/>
        <w:keepLines w:val="0"/>
        <w:widowControl w:val="0"/>
        <w:shd w:val="clear" w:color="auto" w:fill="auto"/>
        <w:bidi w:val="0"/>
        <w:spacing w:before="0" w:after="0" w:line="469" w:lineRule="exact"/>
        <w:ind w:left="0" w:right="0" w:firstLine="480"/>
        <w:jc w:val="both"/>
      </w:pPr>
      <w:r>
        <w:rPr>
          <w:color w:val="000000"/>
          <w:spacing w:val="0"/>
          <w:w w:val="100"/>
          <w:position w:val="0"/>
        </w:rPr>
        <w:t>2021年是国家“十四五”开局之年，国家大力支持“专精特新”解决硬科技“卡脖子”问题，全社会 更加关注到传感器、智能仪表和物联网在社会经济发展中的重要作用。同时，国家加速发展数字经济、物 联网新型基础设施建设，智慧化、数字化转型越来越深入，以及“双碳战略”的加速推进，为行业带来了 更大的发展机遇。</w:t>
      </w:r>
    </w:p>
    <w:p>
      <w:pPr>
        <w:pStyle w:val="Style10"/>
        <w:keepNext w:val="0"/>
        <w:keepLines w:val="0"/>
        <w:widowControl w:val="0"/>
        <w:shd w:val="clear" w:color="auto" w:fill="auto"/>
        <w:bidi w:val="0"/>
        <w:spacing w:before="0" w:after="0" w:line="469" w:lineRule="exact"/>
        <w:ind w:left="0" w:right="0" w:firstLine="480"/>
        <w:jc w:val="both"/>
      </w:pPr>
      <w:bookmarkStart w:id="63" w:name="bookmark63"/>
      <w:r>
        <w:rPr>
          <w:b/>
          <w:bCs/>
          <w:color w:val="000000"/>
          <w:spacing w:val="0"/>
          <w:w w:val="100"/>
          <w:position w:val="0"/>
        </w:rPr>
        <w:t>（</w:t>
      </w:r>
      <w:bookmarkEnd w:id="63"/>
      <w:r>
        <w:rPr>
          <w:b/>
          <w:bCs/>
          <w:color w:val="000000"/>
          <w:spacing w:val="0"/>
          <w:w w:val="100"/>
          <w:position w:val="0"/>
        </w:rPr>
        <w:t>一）传感器</w:t>
      </w:r>
    </w:p>
    <w:p>
      <w:pPr>
        <w:pStyle w:val="Style10"/>
        <w:keepNext w:val="0"/>
        <w:keepLines w:val="0"/>
        <w:widowControl w:val="0"/>
        <w:shd w:val="clear" w:color="auto" w:fill="auto"/>
        <w:tabs>
          <w:tab w:pos="787" w:val="left"/>
        </w:tabs>
        <w:bidi w:val="0"/>
        <w:spacing w:before="0" w:after="0" w:line="469" w:lineRule="exact"/>
        <w:ind w:left="0" w:right="0" w:firstLine="480"/>
        <w:jc w:val="both"/>
      </w:pPr>
      <w:bookmarkStart w:id="64" w:name="bookmark64"/>
      <w:r>
        <w:rPr>
          <w:b/>
          <w:bCs/>
          <w:color w:val="000000"/>
          <w:spacing w:val="0"/>
          <w:w w:val="100"/>
          <w:position w:val="0"/>
        </w:rPr>
        <w:t>1</w:t>
      </w:r>
      <w:bookmarkEnd w:id="64"/>
      <w:r>
        <w:rPr>
          <w:b/>
          <w:bCs/>
          <w:color w:val="000000"/>
          <w:spacing w:val="0"/>
          <w:w w:val="100"/>
          <w:position w:val="0"/>
        </w:rPr>
        <w:t>、</w:t>
        <w:tab/>
        <w:t>传感器市场规模扩大，新一代智能传感器正在打开新的市场空间</w:t>
      </w:r>
    </w:p>
    <w:p>
      <w:pPr>
        <w:pStyle w:val="Style10"/>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随着人工智能、物联网、</w:t>
      </w:r>
      <w:r>
        <w:rPr>
          <w:color w:val="000000"/>
          <w:spacing w:val="0"/>
          <w:w w:val="100"/>
          <w:position w:val="0"/>
        </w:rPr>
        <w:t>5G</w:t>
      </w:r>
      <w:r>
        <w:rPr>
          <w:color w:val="000000"/>
          <w:spacing w:val="0"/>
          <w:w w:val="100"/>
          <w:position w:val="0"/>
        </w:rPr>
        <w:t>等前沿科技的不断发展，传感器在国内的市场规模不断扩大。赛迪顾问数 据显示，2021年传感器的市场规模将达到</w:t>
      </w:r>
      <w:r>
        <w:rPr>
          <w:color w:val="000000"/>
          <w:spacing w:val="0"/>
          <w:w w:val="100"/>
          <w:position w:val="0"/>
        </w:rPr>
        <w:t>2,951.8</w:t>
      </w:r>
      <w:r>
        <w:rPr>
          <w:color w:val="000000"/>
          <w:spacing w:val="0"/>
          <w:w w:val="100"/>
          <w:position w:val="0"/>
        </w:rPr>
        <w:t>亿元</w:t>
      </w:r>
      <w:r>
        <w:rPr>
          <w:b/>
          <w:bCs/>
          <w:color w:val="000000"/>
          <w:spacing w:val="0"/>
          <w:w w:val="100"/>
          <w:position w:val="0"/>
        </w:rPr>
        <w:t>，</w:t>
      </w:r>
      <w:r>
        <w:rPr>
          <w:color w:val="000000"/>
          <w:spacing w:val="0"/>
          <w:w w:val="100"/>
          <w:position w:val="0"/>
        </w:rPr>
        <w:t>保持17.6%的快速增长。伴随着智慧化、数字化转型 加快发展，生产、生活的各个领域对传感器的需求持续升级，气体、压力、流量、温湿度等各类传感器的 市场规模都在不断提升。目前，国内传感器产业正处于由传统型向新一代智能型发展的关键阶段，这也标 志着国内传感器产业正在向</w:t>
      </w:r>
      <w:r>
        <w:rPr>
          <w:color w:val="000000"/>
          <w:spacing w:val="0"/>
          <w:w w:val="100"/>
          <w:position w:val="0"/>
        </w:rPr>
        <w:t>MEMS</w:t>
      </w:r>
      <w:r>
        <w:rPr>
          <w:color w:val="000000"/>
          <w:spacing w:val="0"/>
          <w:w w:val="100"/>
          <w:position w:val="0"/>
        </w:rPr>
        <w:t>传感器、柔性传感器等新工艺、新材料、新技术领域发力，为行业发展创 造新的广阔空间。</w:t>
      </w:r>
    </w:p>
    <w:p>
      <w:pPr>
        <w:pStyle w:val="Style10"/>
        <w:keepNext w:val="0"/>
        <w:keepLines w:val="0"/>
        <w:widowControl w:val="0"/>
        <w:shd w:val="clear" w:color="auto" w:fill="auto"/>
        <w:tabs>
          <w:tab w:pos="798" w:val="left"/>
        </w:tabs>
        <w:bidi w:val="0"/>
        <w:spacing w:before="0" w:after="0" w:line="469" w:lineRule="exact"/>
        <w:ind w:left="0" w:right="0" w:firstLine="480"/>
        <w:jc w:val="both"/>
      </w:pPr>
      <w:bookmarkStart w:id="65" w:name="bookmark65"/>
      <w:r>
        <w:rPr>
          <w:b/>
          <w:bCs/>
          <w:color w:val="000000"/>
          <w:spacing w:val="0"/>
          <w:w w:val="100"/>
          <w:position w:val="0"/>
        </w:rPr>
        <w:t>2</w:t>
      </w:r>
      <w:bookmarkEnd w:id="65"/>
      <w:r>
        <w:rPr>
          <w:b/>
          <w:bCs/>
          <w:color w:val="000000"/>
          <w:spacing w:val="0"/>
          <w:w w:val="100"/>
          <w:position w:val="0"/>
        </w:rPr>
        <w:t>、</w:t>
        <w:tab/>
        <w:t>社会经济的发展带动气体传感器掀开新的一页</w:t>
      </w:r>
    </w:p>
    <w:p>
      <w:pPr>
        <w:pStyle w:val="Style10"/>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气体传感器是传感器的重要分支，与居民的安全与健康、工业过程的安全与效率息息相关。国家在大 气污染治理、工业转型升级、物联网及人工智能、健康中国行动等多方面鼓励性政策的推出，为气体传感 器行业发展营造了良好的市场环境。近些年在智慧工业、智能家居、环境监测等物联网场景需求剧增下， 气体传感器开始大幅度拓展应用范围，下游应用领域涵盖工业过程、环境监测、智能家居、汽车电子、消 费电子、可穿戴设备、医疗等众多行业，加之“双碳战略”的加速推进，给气体传感器带来了新一轮的增 长需求。即将到来的万物互联时代，全社会智慧化、数字化转型深入将带动传感器的应用越来越广，气体 传感器也迎来了从工业领域加速向消费领域溢出的机会，将拓展出更多的应用空间。尤其是当前气体传感 器下游的智能家居、智能家电、汽车电子、智慧医疗等智慧生活产业正处于高速发展期，显现出良好的发 展前景，下游产业的蓬勃发展将释放大量的传感器需求，这也将推动气体传感器行业的稳步增长。另外， 随着社会经济的不断发展和生活水平的不断提高，人们对各类环境中的空气质量的关注度也越来越高，环 </w:t>
      </w:r>
      <w:r>
        <w:rPr>
          <w:color w:val="000000"/>
          <w:spacing w:val="0"/>
          <w:w w:val="100"/>
          <w:position w:val="0"/>
        </w:rPr>
        <w:t>保、安全意识的提升为整个气体传感器产业的发展按下了快进键。气体传感器的应用领域多为朝阳产业， 市场需求具有良好成长性及可持续性。</w:t>
      </w:r>
    </w:p>
    <w:p>
      <w:pPr>
        <w:pStyle w:val="Style10"/>
        <w:keepNext w:val="0"/>
        <w:keepLines w:val="0"/>
        <w:widowControl w:val="0"/>
        <w:shd w:val="clear" w:color="auto" w:fill="auto"/>
        <w:bidi w:val="0"/>
        <w:spacing w:before="0" w:after="0" w:line="469" w:lineRule="exact"/>
        <w:ind w:left="0" w:right="0" w:firstLine="480"/>
        <w:jc w:val="both"/>
      </w:pPr>
      <w:bookmarkStart w:id="66" w:name="bookmark66"/>
      <w:r>
        <w:rPr>
          <w:b/>
          <w:bCs/>
          <w:color w:val="000000"/>
          <w:spacing w:val="0"/>
          <w:w w:val="100"/>
          <w:position w:val="0"/>
        </w:rPr>
        <w:t>3</w:t>
      </w:r>
      <w:bookmarkEnd w:id="66"/>
      <w:r>
        <w:rPr>
          <w:b/>
          <w:bCs/>
          <w:color w:val="000000"/>
          <w:spacing w:val="0"/>
          <w:w w:val="100"/>
          <w:position w:val="0"/>
        </w:rPr>
        <w:t>、国家一系列扶持政策出台，我国传感器产业发展迎重大机遇</w:t>
      </w:r>
    </w:p>
    <w:p>
      <w:pPr>
        <w:pStyle w:val="Style10"/>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工信部等八部委联合印发《物联网新型基础设施建设三年行动计划》指出到2023年底，在国内主要城 市初步建成物联网新型基础设施，推动10家物联网企业成长为产值过百亿的龙头；加快部署感知终端、网 络和平台，形成一批基于自主创新技术产品、具有大规模推广价值的行业解决方案，有力支撑新型基础设 施建设。受益于物联网新基建，传感器行业迎来历史性发展机遇。国务院印发《“十四五”数字经济发展 规划》指出，要加快推动数字产业化，增强传感器等战略性前瞻性领域的关键技术创新能力。按照一系列 的政策来看，传感器作为物联网各大场景感知层的重要一环将会进一步走向高端路线，打破国外技术垄断， 实现完全的国产替代。掌握核心技术、产业链自主可控的传感器企业将获得更多的发展机会。</w:t>
      </w:r>
    </w:p>
    <w:p>
      <w:pPr>
        <w:pStyle w:val="Style10"/>
        <w:keepNext w:val="0"/>
        <w:keepLines w:val="0"/>
        <w:widowControl w:val="0"/>
        <w:shd w:val="clear" w:color="auto" w:fill="auto"/>
        <w:tabs>
          <w:tab w:pos="1014" w:val="left"/>
        </w:tabs>
        <w:bidi w:val="0"/>
        <w:spacing w:before="0" w:after="0" w:line="469" w:lineRule="exact"/>
        <w:ind w:left="0" w:right="0" w:firstLine="480"/>
        <w:jc w:val="both"/>
      </w:pPr>
      <w:bookmarkStart w:id="67" w:name="bookmark67"/>
      <w:r>
        <w:rPr>
          <w:b/>
          <w:bCs/>
          <w:color w:val="000000"/>
          <w:spacing w:val="0"/>
          <w:w w:val="100"/>
          <w:position w:val="0"/>
        </w:rPr>
        <w:t>（</w:t>
      </w:r>
      <w:bookmarkEnd w:id="67"/>
      <w:r>
        <w:rPr>
          <w:b/>
          <w:bCs/>
          <w:color w:val="000000"/>
          <w:spacing w:val="0"/>
          <w:w w:val="100"/>
          <w:position w:val="0"/>
        </w:rPr>
        <w:t>二）</w:t>
        <w:tab/>
        <w:t>仪器仪表</w:t>
      </w:r>
    </w:p>
    <w:p>
      <w:pPr>
        <w:pStyle w:val="Style10"/>
        <w:keepNext w:val="0"/>
        <w:keepLines w:val="0"/>
        <w:widowControl w:val="0"/>
        <w:shd w:val="clear" w:color="auto" w:fill="auto"/>
        <w:tabs>
          <w:tab w:pos="802" w:val="left"/>
        </w:tabs>
        <w:bidi w:val="0"/>
        <w:spacing w:before="0" w:after="0" w:line="469" w:lineRule="exact"/>
        <w:ind w:left="0" w:right="0" w:firstLine="480"/>
        <w:jc w:val="both"/>
      </w:pPr>
      <w:bookmarkStart w:id="68" w:name="bookmark68"/>
      <w:r>
        <w:rPr>
          <w:b/>
          <w:bCs/>
          <w:color w:val="000000"/>
          <w:spacing w:val="0"/>
          <w:w w:val="100"/>
          <w:position w:val="0"/>
        </w:rPr>
        <w:t>1</w:t>
      </w:r>
      <w:bookmarkEnd w:id="68"/>
      <w:r>
        <w:rPr>
          <w:b/>
          <w:bCs/>
          <w:color w:val="000000"/>
          <w:spacing w:val="0"/>
          <w:w w:val="100"/>
          <w:position w:val="0"/>
        </w:rPr>
        <w:t>、</w:t>
        <w:tab/>
        <w:t>国产替代进程加速，国内仪表产品获得更多市场机会</w:t>
      </w:r>
    </w:p>
    <w:p>
      <w:pPr>
        <w:pStyle w:val="Style10"/>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仪器仪表广泛应用于石油、化工、冶金、电力、矿山、制药、汽车等行业，是中国制造业走向“中国 智力创造”的关键和核心，是建设世界科技强国、质量强国的基石。2020年度中央经济工作会议强调，要 增强我国企业产业链供应链自主可控能力，在此背景下，仪器仪表行业迎来了广阔的国产替代契机。当前， 国内安全仪表的市场份额大部分被国外产品占据，特别是在高端行业，如石油、炼化、海油、半导体、罐 区、船级、管道等领域，几乎是国内产品的空白区。随着国家自主可控、国产替代政策的逐步落地，高端 行业安全仪表国产替代的进程逐渐加速，国内产品的市场份额正在逐步提升。</w:t>
      </w:r>
    </w:p>
    <w:p>
      <w:pPr>
        <w:pStyle w:val="Style10"/>
        <w:keepNext w:val="0"/>
        <w:keepLines w:val="0"/>
        <w:widowControl w:val="0"/>
        <w:shd w:val="clear" w:color="auto" w:fill="auto"/>
        <w:tabs>
          <w:tab w:pos="802" w:val="left"/>
        </w:tabs>
        <w:bidi w:val="0"/>
        <w:spacing w:before="0" w:after="0" w:line="469" w:lineRule="exact"/>
        <w:ind w:left="0" w:right="0" w:firstLine="480"/>
        <w:jc w:val="both"/>
      </w:pPr>
      <w:bookmarkStart w:id="69" w:name="bookmark69"/>
      <w:r>
        <w:rPr>
          <w:b/>
          <w:bCs/>
          <w:color w:val="000000"/>
          <w:spacing w:val="0"/>
          <w:w w:val="100"/>
          <w:position w:val="0"/>
        </w:rPr>
        <w:t>2</w:t>
      </w:r>
      <w:bookmarkEnd w:id="69"/>
      <w:r>
        <w:rPr>
          <w:b/>
          <w:bCs/>
          <w:color w:val="000000"/>
          <w:spacing w:val="0"/>
          <w:w w:val="100"/>
          <w:position w:val="0"/>
        </w:rPr>
        <w:t>、</w:t>
        <w:tab/>
        <w:t>安全成为各行各业可持续健康发展刚需，驱动安全仪表行业集中度提升</w:t>
      </w:r>
    </w:p>
    <w:p>
      <w:pPr>
        <w:pStyle w:val="Style10"/>
        <w:keepNext w:val="0"/>
        <w:keepLines w:val="0"/>
        <w:widowControl w:val="0"/>
        <w:shd w:val="clear" w:color="auto" w:fill="auto"/>
        <w:bidi w:val="0"/>
        <w:spacing w:before="0" w:after="0" w:line="469" w:lineRule="exact"/>
        <w:ind w:left="0" w:right="0" w:firstLine="480"/>
        <w:jc w:val="both"/>
      </w:pPr>
      <w:r>
        <w:rPr>
          <w:color w:val="000000"/>
          <w:spacing w:val="0"/>
          <w:w w:val="100"/>
          <w:position w:val="0"/>
        </w:rPr>
        <w:t>2021年颁布的新《安全生产法》也对新发展阶段的安全生产提出了更高要求，明确燃气安全管理的重 要性，推动燃气行业、餐饮业等用气的生产经营企业对安全仪表的需求度快速提升。2021年9月，国务院 安委办、应急管理部下发通知，部署加强城市安全风险防范工作，推广城市生命线安全工程经验做法，要 求切实提高城市防控重大风险与突发事件的能力，从本质上提升城市安全治理现代化水平。城市生命线涉 及燃气、供排水、热力、交通、危化品监管、综合管廊等领域，城市安全治理现代化水平的提升带动城市 生命线安全监测领域建设进一步深化，安全仪表市场需求进一步提高。另外，随着全社会安全意识的提高， 社会安全责任体系更加明确，法律法规对安全问题的处罚力度加大，政府、企业、个人都更加认识到安全 的重要性。因此，安全已经逐渐成为各行各业可持续健康发展的刚需，安全仪表在工商业、民用及城市生 命线等领域扩展出更多的市场空间。安全刚需化的加快也带动安全仪表在各行各业的普及率提升，行业集 中化加速，迎来行业的快速发展期。</w:t>
      </w:r>
    </w:p>
    <w:p>
      <w:pPr>
        <w:pStyle w:val="Style10"/>
        <w:keepNext w:val="0"/>
        <w:keepLines w:val="0"/>
        <w:widowControl w:val="0"/>
        <w:shd w:val="clear" w:color="auto" w:fill="auto"/>
        <w:tabs>
          <w:tab w:pos="1014" w:val="left"/>
        </w:tabs>
        <w:bidi w:val="0"/>
        <w:spacing w:before="0" w:after="0" w:line="469" w:lineRule="exact"/>
        <w:ind w:left="0" w:right="0" w:firstLine="480"/>
        <w:jc w:val="both"/>
      </w:pPr>
      <w:bookmarkStart w:id="70" w:name="bookmark70"/>
      <w:r>
        <w:rPr>
          <w:b/>
          <w:bCs/>
          <w:color w:val="000000"/>
          <w:spacing w:val="0"/>
          <w:w w:val="100"/>
          <w:position w:val="0"/>
        </w:rPr>
        <w:t>（</w:t>
      </w:r>
      <w:bookmarkEnd w:id="70"/>
      <w:r>
        <w:rPr>
          <w:b/>
          <w:bCs/>
          <w:color w:val="000000"/>
          <w:spacing w:val="0"/>
          <w:w w:val="100"/>
          <w:position w:val="0"/>
        </w:rPr>
        <w:t>三）</w:t>
        <w:tab/>
        <w:t>物联网</w:t>
      </w:r>
    </w:p>
    <w:p>
      <w:pPr>
        <w:pStyle w:val="Style10"/>
        <w:keepNext w:val="0"/>
        <w:keepLines w:val="0"/>
        <w:widowControl w:val="0"/>
        <w:shd w:val="clear" w:color="auto" w:fill="auto"/>
        <w:bidi w:val="0"/>
        <w:spacing w:before="0" w:after="0" w:line="468" w:lineRule="exact"/>
        <w:ind w:left="0" w:right="0" w:firstLine="460"/>
        <w:jc w:val="both"/>
      </w:pPr>
      <w:r>
        <w:rPr>
          <w:color w:val="000000"/>
          <w:spacing w:val="0"/>
          <w:w w:val="100"/>
          <w:position w:val="0"/>
        </w:rPr>
        <w:t>随着数字经济的快速发展，物联网技术作为数字经济的重要基础，不断丰富着生产生活的数字化场景， 在各行各业扮演着越来越重要的角色，“万物互联”的时代正在加速到来。</w:t>
      </w:r>
    </w:p>
    <w:p>
      <w:pPr>
        <w:pStyle w:val="Style10"/>
        <w:keepNext w:val="0"/>
        <w:keepLines w:val="0"/>
        <w:widowControl w:val="0"/>
        <w:shd w:val="clear" w:color="auto" w:fill="auto"/>
        <w:tabs>
          <w:tab w:pos="770" w:val="left"/>
        </w:tabs>
        <w:bidi w:val="0"/>
        <w:spacing w:before="0" w:after="0" w:line="468" w:lineRule="exact"/>
        <w:ind w:left="0" w:right="0" w:firstLine="460"/>
        <w:jc w:val="both"/>
      </w:pPr>
      <w:bookmarkStart w:id="71" w:name="bookmark71"/>
      <w:r>
        <w:rPr>
          <w:b/>
          <w:bCs/>
          <w:color w:val="000000"/>
          <w:spacing w:val="0"/>
          <w:w w:val="100"/>
          <w:position w:val="0"/>
        </w:rPr>
        <w:t>1</w:t>
      </w:r>
      <w:bookmarkEnd w:id="71"/>
      <w:r>
        <w:rPr>
          <w:b/>
          <w:bCs/>
          <w:color w:val="000000"/>
          <w:spacing w:val="0"/>
          <w:w w:val="100"/>
          <w:position w:val="0"/>
        </w:rPr>
        <w:t>、</w:t>
        <w:tab/>
        <w:t>数字经济推动物联网产业规模化快速发展</w:t>
      </w:r>
    </w:p>
    <w:p>
      <w:pPr>
        <w:pStyle w:val="Style10"/>
        <w:keepNext w:val="0"/>
        <w:keepLines w:val="0"/>
        <w:widowControl w:val="0"/>
        <w:shd w:val="clear" w:color="auto" w:fill="auto"/>
        <w:bidi w:val="0"/>
        <w:spacing w:before="0" w:after="0" w:line="468" w:lineRule="exact"/>
        <w:ind w:left="0" w:right="0" w:firstLine="460"/>
        <w:jc w:val="both"/>
      </w:pPr>
      <w:r>
        <w:rPr>
          <w:color w:val="000000"/>
          <w:spacing w:val="0"/>
          <w:w w:val="100"/>
          <w:position w:val="0"/>
        </w:rPr>
        <w:t>物联网的大规模应用与新一轮科技与产业变革下的数字经济正在共同发展，呈现出快速发展趋势。在 网络强国、新基建等国家战略的推动下，消费</w:t>
      </w:r>
      <w:r>
        <w:fldChar w:fldCharType="begin"/>
      </w:r>
      <w:r>
        <w:rPr/>
        <w:instrText> HYPERLINK "https://bbs.elecfans.com/group_57" </w:instrText>
      </w:r>
      <w:r>
        <w:fldChar w:fldCharType="separate"/>
      </w:r>
      <w:r>
        <w:rPr>
          <w:color w:val="6D6D6D"/>
          <w:spacing w:val="0"/>
          <w:w w:val="100"/>
          <w:position w:val="0"/>
          <w:u w:val="single"/>
        </w:rPr>
        <w:t>物联网</w:t>
      </w:r>
      <w:r>
        <w:fldChar w:fldCharType="end"/>
      </w:r>
      <w:r>
        <w:rPr>
          <w:color w:val="000000"/>
          <w:spacing w:val="0"/>
          <w:w w:val="100"/>
          <w:position w:val="0"/>
        </w:rPr>
        <w:t>和产业物联网逐步开始规模化应用，工业互联网、智 慧城市、智能制造、智能家居等领域发展取得新突破。近年来，“万物互联”从城市生命线和生活消费领 域出发，通过与传统行业的创新与融合来驱动社会生产方式的改变和生产效率的提升，推动中国“衣食住 行”不断创新，也为实体经济振兴、加快数字化转型升级注入催化剂。</w:t>
      </w:r>
    </w:p>
    <w:p>
      <w:pPr>
        <w:pStyle w:val="Style10"/>
        <w:keepNext w:val="0"/>
        <w:keepLines w:val="0"/>
        <w:widowControl w:val="0"/>
        <w:shd w:val="clear" w:color="auto" w:fill="auto"/>
        <w:tabs>
          <w:tab w:pos="764" w:val="left"/>
        </w:tabs>
        <w:bidi w:val="0"/>
        <w:spacing w:before="0" w:after="0" w:line="468" w:lineRule="exact"/>
        <w:ind w:left="0" w:right="0" w:firstLine="440"/>
        <w:jc w:val="left"/>
      </w:pPr>
      <w:bookmarkStart w:id="72" w:name="bookmark72"/>
      <w:r>
        <w:rPr>
          <w:b/>
          <w:bCs/>
          <w:color w:val="000000"/>
          <w:spacing w:val="0"/>
          <w:w w:val="100"/>
          <w:position w:val="0"/>
        </w:rPr>
        <w:t>2</w:t>
      </w:r>
      <w:bookmarkEnd w:id="72"/>
      <w:r>
        <w:rPr>
          <w:b/>
          <w:bCs/>
          <w:color w:val="000000"/>
          <w:spacing w:val="0"/>
          <w:w w:val="100"/>
          <w:position w:val="0"/>
        </w:rPr>
        <w:t>、</w:t>
        <w:tab/>
        <w:t>成熟的解决方案和完善的产业生态成为行业发展的重点目标</w:t>
      </w:r>
    </w:p>
    <w:p>
      <w:pPr>
        <w:pStyle w:val="Style10"/>
        <w:keepNext w:val="0"/>
        <w:keepLines w:val="0"/>
        <w:widowControl w:val="0"/>
        <w:shd w:val="clear" w:color="auto" w:fill="auto"/>
        <w:bidi w:val="0"/>
        <w:spacing w:before="0" w:after="420" w:line="468" w:lineRule="exact"/>
        <w:ind w:left="0" w:right="0" w:firstLine="460"/>
        <w:jc w:val="both"/>
      </w:pPr>
      <w:r>
        <w:rPr>
          <w:color w:val="000000"/>
          <w:spacing w:val="0"/>
          <w:w w:val="100"/>
          <w:position w:val="0"/>
        </w:rPr>
        <w:t>《物联网新型基础设施建设三年行动计划》指出，在智慧城市、智能制造、智慧家居等重点领域，加 快部署感知终端、网络和平台，形成一批基于自主创新技术产品、具有大规模推广价值的行业解决方案， 有力支撑新型基础设施建设。同时还指出，鼓励龙头企业围绕感知终端和平台开发通用化、系列化软硬件 产品，从单点发力转向生态体系构建，推动物联网规模化、集约化发展。由此可见，成熟的物联网行业解 决方案和完善的物联网产业生态，成为当前以及未来物联网行业发展的重点目标。</w:t>
      </w:r>
    </w:p>
    <w:p>
      <w:pPr>
        <w:pStyle w:val="Style19"/>
        <w:keepNext/>
        <w:keepLines/>
        <w:widowControl w:val="0"/>
        <w:shd w:val="clear" w:color="auto" w:fill="auto"/>
        <w:bidi w:val="0"/>
        <w:spacing w:before="0" w:after="20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二</w:t>
      </w:r>
      <w:bookmarkEnd w:id="75"/>
      <w:r>
        <w:rPr>
          <w:color w:val="000000"/>
          <w:spacing w:val="0"/>
          <w:w w:val="100"/>
          <w:position w:val="0"/>
          <w:sz w:val="24"/>
          <w:szCs w:val="24"/>
        </w:rPr>
        <w:t>、报告期内公司从事的主要业务</w:t>
      </w:r>
      <w:bookmarkEnd w:id="73"/>
      <w:bookmarkEnd w:id="74"/>
      <w:bookmarkEnd w:id="76"/>
    </w:p>
    <w:p>
      <w:pPr>
        <w:pStyle w:val="Style10"/>
        <w:keepNext w:val="0"/>
        <w:keepLines w:val="0"/>
        <w:widowControl w:val="0"/>
        <w:shd w:val="clear" w:color="auto" w:fill="auto"/>
        <w:bidi w:val="0"/>
        <w:spacing w:before="0" w:after="0" w:line="466" w:lineRule="exact"/>
        <w:ind w:left="0" w:right="0" w:firstLine="460"/>
        <w:jc w:val="both"/>
      </w:pPr>
      <w:bookmarkStart w:id="77" w:name="bookmark77"/>
      <w:r>
        <w:rPr>
          <w:b/>
          <w:bCs/>
          <w:color w:val="000000"/>
          <w:spacing w:val="0"/>
          <w:w w:val="100"/>
          <w:position w:val="0"/>
        </w:rPr>
        <w:t>（</w:t>
      </w:r>
      <w:bookmarkEnd w:id="77"/>
      <w:r>
        <w:rPr>
          <w:b/>
          <w:bCs/>
          <w:color w:val="000000"/>
          <w:spacing w:val="0"/>
          <w:w w:val="100"/>
          <w:position w:val="0"/>
        </w:rPr>
        <w:t>一）公司主要业务概况</w:t>
      </w:r>
    </w:p>
    <w:p>
      <w:pPr>
        <w:pStyle w:val="Style10"/>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公司以“成为以传感器为核心的物联网解决方案引领者”为产业愿景，通过多年的内生外延发展，构 建了相对完整的物联网</w:t>
      </w:r>
      <w:r>
        <w:rPr>
          <w:color w:val="000000"/>
          <w:spacing w:val="0"/>
          <w:w w:val="100"/>
          <w:position w:val="0"/>
        </w:rPr>
        <w:t>（IOT）</w:t>
      </w:r>
      <w:r>
        <w:rPr>
          <w:color w:val="000000"/>
          <w:spacing w:val="0"/>
          <w:w w:val="100"/>
          <w:position w:val="0"/>
        </w:rPr>
        <w:t>生态圈，主要是以传感器为核心，将传感技术、智能仪表技术、数据采集 技术、地理信息和云计算等物联网技术紧密结合，形成了 “传感器+监测终端+数据采集+空间信息技术+云 应用</w:t>
      </w:r>
      <w:r>
        <w:rPr>
          <w:color w:val="000000"/>
          <w:spacing w:val="0"/>
          <w:w w:val="100"/>
          <w:position w:val="0"/>
        </w:rPr>
        <w:t>+AI”</w:t>
      </w:r>
      <w:r>
        <w:rPr>
          <w:color w:val="000000"/>
          <w:spacing w:val="0"/>
          <w:w w:val="100"/>
          <w:position w:val="0"/>
        </w:rPr>
        <w:t>的系统解决方案，业务应用覆盖传感器、物联网综合解决方案、公用事业及居家智能与健康等 行业领域，在所涉及的产业领域中形成了相对领先的优势。</w:t>
      </w:r>
    </w:p>
    <w:p>
      <w:pPr>
        <w:pStyle w:val="Style10"/>
        <w:keepNext w:val="0"/>
        <w:keepLines w:val="0"/>
        <w:widowControl w:val="0"/>
        <w:shd w:val="clear" w:color="auto" w:fill="auto"/>
        <w:bidi w:val="0"/>
        <w:spacing w:before="0" w:after="0" w:line="466" w:lineRule="exact"/>
        <w:ind w:left="0" w:right="0" w:firstLine="460"/>
        <w:jc w:val="both"/>
      </w:pPr>
      <w:r>
        <w:rPr>
          <w:color w:val="000000"/>
          <w:spacing w:val="0"/>
          <w:w w:val="100"/>
          <w:position w:val="0"/>
        </w:rPr>
        <w:t>报告期内，公司实现营业收入</w:t>
      </w:r>
      <w:r>
        <w:rPr>
          <w:color w:val="000000"/>
          <w:spacing w:val="0"/>
          <w:w w:val="100"/>
          <w:position w:val="0"/>
        </w:rPr>
        <w:t>2,316,212,044.89</w:t>
      </w:r>
      <w:r>
        <w:rPr>
          <w:color w:val="000000"/>
          <w:spacing w:val="0"/>
          <w:w w:val="100"/>
          <w:position w:val="0"/>
        </w:rPr>
        <w:t xml:space="preserve">元，同比增长19.32%；归属于上市公司股东的净利润 263, 186, </w:t>
      </w:r>
      <w:r>
        <w:rPr>
          <w:color w:val="000000"/>
          <w:spacing w:val="0"/>
          <w:w w:val="100"/>
          <w:position w:val="0"/>
        </w:rPr>
        <w:t xml:space="preserve">796. </w:t>
      </w:r>
      <w:r>
        <w:rPr>
          <w:color w:val="000000"/>
          <w:spacing w:val="0"/>
          <w:w w:val="100"/>
          <w:position w:val="0"/>
        </w:rPr>
        <w:t>48元，同比增长</w:t>
      </w:r>
      <w:r>
        <w:rPr>
          <w:color w:val="000000"/>
          <w:spacing w:val="0"/>
          <w:w w:val="100"/>
          <w:position w:val="0"/>
        </w:rPr>
        <w:t xml:space="preserve">28. </w:t>
      </w:r>
      <w:r>
        <w:rPr>
          <w:color w:val="000000"/>
          <w:spacing w:val="0"/>
          <w:w w:val="100"/>
          <w:position w:val="0"/>
        </w:rPr>
        <w:t xml:space="preserve">05%，对比上年同期剔除红外热电堆温度传感器影响后的同比增长为 </w:t>
      </w:r>
      <w:r>
        <w:rPr>
          <w:color w:val="000000"/>
          <w:spacing w:val="0"/>
          <w:w w:val="100"/>
          <w:position w:val="0"/>
        </w:rPr>
        <w:t xml:space="preserve">57. </w:t>
      </w:r>
      <w:r>
        <w:rPr>
          <w:color w:val="000000"/>
          <w:spacing w:val="0"/>
          <w:w w:val="100"/>
          <w:position w:val="0"/>
        </w:rPr>
        <w:t>58%。</w:t>
      </w:r>
    </w:p>
    <w:p>
      <w:pPr>
        <w:pStyle w:val="Style10"/>
        <w:keepNext w:val="0"/>
        <w:keepLines w:val="0"/>
        <w:widowControl w:val="0"/>
        <w:shd w:val="clear" w:color="auto" w:fill="auto"/>
        <w:bidi w:val="0"/>
        <w:spacing w:before="0" w:after="0" w:line="466" w:lineRule="exact"/>
        <w:ind w:left="0" w:right="0" w:firstLine="460"/>
        <w:jc w:val="both"/>
      </w:pPr>
      <w:bookmarkStart w:id="78" w:name="bookmark78"/>
      <w:r>
        <w:rPr>
          <w:b/>
          <w:bCs/>
          <w:color w:val="000000"/>
          <w:spacing w:val="0"/>
          <w:w w:val="100"/>
          <w:position w:val="0"/>
        </w:rPr>
        <w:t>1</w:t>
      </w:r>
      <w:bookmarkEnd w:id="78"/>
      <w:r>
        <w:rPr>
          <w:b/>
          <w:bCs/>
          <w:color w:val="000000"/>
          <w:spacing w:val="0"/>
          <w:w w:val="100"/>
          <w:position w:val="0"/>
        </w:rPr>
        <w:t>、传感器业务</w:t>
      </w:r>
    </w:p>
    <w:p>
      <w:pPr>
        <w:pStyle w:val="Style10"/>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在构成物联网的三层架构中，传感层处于最底层，是构成物联网的核心基础。在物联网运行中，传感 器将感知获取到的物理、化学、生物等信息转化为易识别的数字信息传输至后端平台处理、分析、应用。 传感器是公司旗下最具成长性和价值的核心业务板块之一，公司集传感器的研发、生产、销售为一体，掌 握厚膜、薄膜、</w:t>
      </w:r>
      <w:r>
        <w:rPr>
          <w:color w:val="000000"/>
          <w:spacing w:val="0"/>
          <w:w w:val="100"/>
          <w:position w:val="0"/>
        </w:rPr>
        <w:t>MEMS、</w:t>
      </w:r>
      <w:r>
        <w:rPr>
          <w:color w:val="000000"/>
          <w:spacing w:val="0"/>
          <w:w w:val="100"/>
          <w:position w:val="0"/>
        </w:rPr>
        <w:t xml:space="preserve">陶瓷等核心工艺，产品覆盖气体、压力、流量、温度、湿度、光电、加速度等门类。 </w:t>
      </w:r>
      <w:r>
        <w:rPr>
          <w:color w:val="000000"/>
          <w:spacing w:val="0"/>
          <w:w w:val="100"/>
          <w:position w:val="0"/>
        </w:rPr>
        <w:t>该业务板块主要由公司旗下子公司炜盛科技、山西腾星、苏州能斯达等组成。报告期内，公司传感器业务 板块不断以技术研发和品质提升筑高行业壁垒，以差异化产品定位巩固竞争优势，以多门类产品布局扩充 市场空间，以敏锐眼光紧抓发展机遇，持续发挥气体传感器的支撑作用，不断拓展多门类传感器共同发展。 同时，公司在安防、环保、家电、汽车、医疗等领域持续产品投放，市场逐步扩大。</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报告期内，公司持续深耕工业及民用行业领域，在检测仪、民用安防、家用电器、环境监测等方面取 得较好的业绩增长。报告期内，公司持续保持在传统安防及环保领域业务的稳定增长，行业头部客户业务 破局，更多合作空间逐步释放。同时，实现了在家电、汽车领域的市场突破，成功入围格力、美的、华为、 小米等多知名企业合格供应商名单，实现批量供货；紧抓汽车领域战略布局，通过</w:t>
      </w:r>
      <w:r>
        <w:rPr>
          <w:color w:val="000000"/>
          <w:spacing w:val="0"/>
          <w:w w:val="100"/>
          <w:position w:val="0"/>
        </w:rPr>
        <w:t>IATF16949</w:t>
      </w:r>
      <w:r>
        <w:rPr>
          <w:color w:val="000000"/>
          <w:spacing w:val="0"/>
          <w:w w:val="100"/>
          <w:position w:val="0"/>
        </w:rPr>
        <w:t xml:space="preserve">认证，获得 车企定点订单，正式进军汽车市场。产品方面，热释电传感器、电化学传感器等产品市场空间不断打开， </w:t>
      </w:r>
      <w:r>
        <w:rPr>
          <w:color w:val="000000"/>
          <w:spacing w:val="0"/>
          <w:w w:val="100"/>
          <w:position w:val="0"/>
        </w:rPr>
        <w:t>VOCs</w:t>
      </w:r>
      <w:r>
        <w:rPr>
          <w:color w:val="000000"/>
          <w:spacing w:val="0"/>
          <w:w w:val="100"/>
          <w:position w:val="0"/>
        </w:rPr>
        <w:t>传感器、温湿度传感器、光电类传感器销售规模持续提升。车载系列产品（车用</w:t>
      </w:r>
      <w:r>
        <w:rPr>
          <w:color w:val="000000"/>
          <w:spacing w:val="0"/>
          <w:w w:val="100"/>
          <w:position w:val="0"/>
        </w:rPr>
        <w:t>AQS</w:t>
      </w:r>
      <w:r>
        <w:rPr>
          <w:color w:val="000000"/>
          <w:spacing w:val="0"/>
          <w:w w:val="100"/>
          <w:position w:val="0"/>
        </w:rPr>
        <w:t>传感器</w:t>
      </w:r>
      <w:r>
        <w:rPr>
          <w:color w:val="000000"/>
          <w:spacing w:val="0"/>
          <w:w w:val="100"/>
          <w:position w:val="0"/>
        </w:rPr>
        <w:t>、CO2</w:t>
      </w:r>
      <w:r>
        <w:rPr>
          <w:color w:val="000000"/>
          <w:spacing w:val="0"/>
          <w:w w:val="100"/>
          <w:position w:val="0"/>
        </w:rPr>
        <w:t>传感 器、粉尘传感器及新能源电池包热失控安全检测传感器）、</w:t>
      </w:r>
      <w:r>
        <w:rPr>
          <w:color w:val="000000"/>
          <w:spacing w:val="0"/>
          <w:w w:val="100"/>
          <w:position w:val="0"/>
        </w:rPr>
        <w:t>MEMS</w:t>
      </w:r>
      <w:r>
        <w:rPr>
          <w:color w:val="000000"/>
          <w:spacing w:val="0"/>
          <w:w w:val="100"/>
          <w:position w:val="0"/>
        </w:rPr>
        <w:t>燃气传感器、氢气传感器、火焰传感器、 水质检测传感器完成开发并开始推广销售，</w:t>
      </w:r>
      <w:r>
        <w:rPr>
          <w:color w:val="000000"/>
          <w:spacing w:val="0"/>
          <w:w w:val="100"/>
          <w:position w:val="0"/>
        </w:rPr>
        <w:t>MEMS</w:t>
      </w:r>
      <w:r>
        <w:rPr>
          <w:color w:val="000000"/>
          <w:spacing w:val="0"/>
          <w:w w:val="100"/>
          <w:position w:val="0"/>
        </w:rPr>
        <w:t>传感器突破关键工艺，制程自动化，实现大批量产。</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报告期内，公司积极拓展柔性微纳传感器的应用场景，不断优化“柔性感知技术+采集系统+人机交互” 的解决方案，形成了自主知识产权的多品种、多量程的柔性微纳传感器（压力、压电、应变）及阵列的核 心设计能力、敏感材料及导电墨水合成制备能力、大面积印刷电子批量制造能力等核心能力。实现了柔性 微纳传感器在消费电子、健康医疗、</w:t>
      </w:r>
      <w:r>
        <w:rPr>
          <w:color w:val="000000"/>
          <w:spacing w:val="0"/>
          <w:w w:val="100"/>
          <w:position w:val="0"/>
        </w:rPr>
        <w:t>IOT</w:t>
      </w:r>
      <w:r>
        <w:rPr>
          <w:color w:val="000000"/>
          <w:spacing w:val="0"/>
          <w:w w:val="100"/>
          <w:position w:val="0"/>
        </w:rPr>
        <w:t>等战略新兴产业中的应用，柔性微纳传感技术水平及产业化程度 国内领先。报告期内，公司年产千万支柔性传感器产线已经投入使用，销售收入持续增长，目前订单饱满； 与小米科技、科大讯飞、九号科技、雅迪科技等行业头部、知名客户展开了良好的合作，发展动力持续增 强。</w:t>
      </w:r>
    </w:p>
    <w:p>
      <w:pPr>
        <w:pStyle w:val="Style10"/>
        <w:keepNext w:val="0"/>
        <w:keepLines w:val="0"/>
        <w:widowControl w:val="0"/>
        <w:shd w:val="clear" w:color="auto" w:fill="auto"/>
        <w:bidi w:val="0"/>
        <w:spacing w:before="0" w:after="0" w:line="469" w:lineRule="exact"/>
        <w:ind w:left="0" w:right="0" w:firstLine="440"/>
        <w:jc w:val="both"/>
      </w:pPr>
      <w:bookmarkStart w:id="79" w:name="bookmark79"/>
      <w:r>
        <w:rPr>
          <w:b/>
          <w:bCs/>
          <w:color w:val="000000"/>
          <w:spacing w:val="0"/>
          <w:w w:val="100"/>
          <w:position w:val="0"/>
        </w:rPr>
        <w:t>2</w:t>
      </w:r>
      <w:bookmarkEnd w:id="79"/>
      <w:r>
        <w:rPr>
          <w:b/>
          <w:bCs/>
          <w:color w:val="000000"/>
          <w:spacing w:val="0"/>
          <w:w w:val="100"/>
          <w:position w:val="0"/>
        </w:rPr>
        <w:t>、智能仪表业务</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公司依托传感器核心技术和多年行业经验，针对应用场景研发生产了多样化且种类齐全的智能仪表， 主要产品包括探测器、报警控制器、便携式检测仪、家用检测仪及酒精检测仪、环保监测仪器等门类，广 泛应用于工业安全、市政监测、环境监测、燃气安全、智能家居与健康等领域，在石油、化工、燃气、冶 金、电力行业客户基础广泛，市场竞争力突出，随着行业客户数字化改造、安全的重视及国产替代进程不 断加快，业务发展向好。</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报告期内，公司持续推进工商业安全仪表的全景产品链升级迭代，点式气体探测器、便携式气体探测 器等产品销量实现大幅增长。工业安全仪表产品紧抓国产替代机遇，加快业务生态整合，基于领先的技术 产品优势，通过行业协会、设计院、标委会的深度挖掘，成功中标中石油、中石化年度框架，在中石化招 标的5个标段中收获2个第一名，3个第二名，并在中海油、半导体等国内产品空白领域实现突破，体现了 公司技术实力和品质水平，市场份额也在不断提升。报告期内，数字经济发展进入快车道，驱动安全逐步 </w:t>
      </w:r>
      <w:r>
        <w:rPr>
          <w:color w:val="000000"/>
          <w:spacing w:val="0"/>
          <w:w w:val="100"/>
          <w:position w:val="0"/>
        </w:rPr>
        <w:t>成为各行各业可持续健康发展的刚需。同时，新《安全生产法》发布实施以及湖北十堰等地安全事故的警 示作用，带动公司燃气报警器、手持激光遥测仪、智能云台等燃气监测、巡检产品市场需求大增，订单量 大幅提升，燃气安全报警设备覆盖五大燃气集团及重点城市燃气集团，产销量创历史新高。报告期内，基 于可调谐半导体激光吸收光谱技术的云台扫描式气体在线监测系统，为场站门站提供</w:t>
      </w:r>
      <w:r>
        <w:rPr>
          <w:color w:val="000000"/>
          <w:spacing w:val="0"/>
          <w:w w:val="100"/>
          <w:position w:val="0"/>
        </w:rPr>
        <w:t>PPM</w:t>
      </w:r>
      <w:r>
        <w:rPr>
          <w:color w:val="000000"/>
          <w:spacing w:val="0"/>
          <w:w w:val="100"/>
          <w:position w:val="0"/>
        </w:rPr>
        <w:t>级天然气全天候 无人值守不间断监测，为燃气安全提供可靠保障，产品服务对象从城镇燃气延伸到省级管网公司，产品影 响力进一步增强。</w:t>
      </w:r>
    </w:p>
    <w:p>
      <w:pPr>
        <w:pStyle w:val="Style10"/>
        <w:keepNext w:val="0"/>
        <w:keepLines w:val="0"/>
        <w:widowControl w:val="0"/>
        <w:shd w:val="clear" w:color="auto" w:fill="auto"/>
        <w:bidi w:val="0"/>
        <w:spacing w:before="0" w:after="0" w:line="468" w:lineRule="exact"/>
        <w:ind w:left="0" w:right="0" w:firstLine="440"/>
        <w:jc w:val="both"/>
      </w:pPr>
      <w:bookmarkStart w:id="80" w:name="bookmark80"/>
      <w:r>
        <w:rPr>
          <w:b/>
          <w:bCs/>
          <w:color w:val="000000"/>
          <w:spacing w:val="0"/>
          <w:w w:val="100"/>
          <w:position w:val="0"/>
        </w:rPr>
        <w:t>3</w:t>
      </w:r>
      <w:bookmarkEnd w:id="80"/>
      <w:r>
        <w:rPr>
          <w:b/>
          <w:bCs/>
          <w:color w:val="000000"/>
          <w:spacing w:val="0"/>
          <w:w w:val="100"/>
          <w:position w:val="0"/>
        </w:rPr>
        <w:t>、物联网综合解决方案业务</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依托核心传感器技术，公司研发生产了多样化的智能仪表，智能仪表作为不同场景的感知硬件终端， 将感知信息通过</w:t>
      </w:r>
      <w:r>
        <w:rPr>
          <w:color w:val="000000"/>
          <w:spacing w:val="0"/>
          <w:w w:val="100"/>
          <w:position w:val="0"/>
        </w:rPr>
        <w:t>NB-IoT</w:t>
      </w:r>
      <w:r>
        <w:rPr>
          <w:color w:val="000000"/>
          <w:spacing w:val="0"/>
          <w:w w:val="100"/>
          <w:position w:val="0"/>
        </w:rPr>
        <w:t>等多种通讯手段传输至公司研发的物联网监控系统，监控系统根据客户需求对重点 信息进行分析处理，最终形成可视化展现和智慧化应用。目前，公司的物联网综合解决方案主要有如下几 个应用场景：</w:t>
      </w:r>
    </w:p>
    <w:p>
      <w:pPr>
        <w:pStyle w:val="Style10"/>
        <w:keepNext w:val="0"/>
        <w:keepLines w:val="0"/>
        <w:widowControl w:val="0"/>
        <w:shd w:val="clear" w:color="auto" w:fill="auto"/>
        <w:tabs>
          <w:tab w:pos="868" w:val="left"/>
        </w:tabs>
        <w:bidi w:val="0"/>
        <w:spacing w:before="0" w:after="0" w:line="468" w:lineRule="exact"/>
        <w:ind w:left="0" w:right="0" w:firstLine="440"/>
        <w:jc w:val="both"/>
      </w:pPr>
      <w:bookmarkStart w:id="81" w:name="bookmark81"/>
      <w:r>
        <w:rPr>
          <w:b/>
          <w:bCs/>
          <w:color w:val="000000"/>
          <w:spacing w:val="0"/>
          <w:w w:val="100"/>
          <w:position w:val="0"/>
        </w:rPr>
        <w:t>（</w:t>
      </w:r>
      <w:bookmarkEnd w:id="81"/>
      <w:r>
        <w:rPr>
          <w:b/>
          <w:bCs/>
          <w:color w:val="000000"/>
          <w:spacing w:val="0"/>
          <w:w w:val="100"/>
          <w:position w:val="0"/>
        </w:rPr>
        <w:t>1）</w:t>
        <w:tab/>
        <w:t>智慧安全系统解决方案</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智慧安全系统解决方案主要面向石油、化工、冶金、电力、矿山、制药、食品等领域，致力于为各类 工业客户提供安全管理监控一体化解决方案，由硬件监控设备和系统软件共同构成完整的安全管理监控平 台。报告期内，公司以《全国安全生产专项整治三年行动计划》等行业政策为牵引，持续落实“物联网+ 大安全”战略，深耕“企业安全、园区安全、城市安全”三大领域，围绕智能仪表、安全仪表系统、安全 信息系统构建物联网安全产品生态，推进智慧安全的全景产品链升级迭代，构建并优化了</w:t>
      </w:r>
      <w:r>
        <w:rPr>
          <w:color w:val="000000"/>
          <w:spacing w:val="0"/>
          <w:w w:val="100"/>
          <w:position w:val="0"/>
        </w:rPr>
        <w:t>HSSE</w:t>
      </w:r>
      <w:r>
        <w:rPr>
          <w:color w:val="000000"/>
          <w:spacing w:val="0"/>
          <w:w w:val="100"/>
          <w:position w:val="0"/>
        </w:rPr>
        <w:t>安全防控与 应急管理一体化平台、智慧园区综合信息化共享平台等系统的建设，形成了</w:t>
      </w:r>
      <w:r>
        <w:rPr>
          <w:color w:val="000000"/>
          <w:spacing w:val="0"/>
          <w:w w:val="100"/>
          <w:position w:val="0"/>
        </w:rPr>
        <w:t>toB</w:t>
      </w:r>
      <w:r>
        <w:rPr>
          <w:color w:val="000000"/>
          <w:spacing w:val="0"/>
          <w:w w:val="100"/>
          <w:position w:val="0"/>
        </w:rPr>
        <w:t>和</w:t>
      </w:r>
      <w:r>
        <w:rPr>
          <w:color w:val="000000"/>
          <w:spacing w:val="0"/>
          <w:w w:val="100"/>
          <w:position w:val="0"/>
        </w:rPr>
        <w:t>toG</w:t>
      </w:r>
      <w:r>
        <w:rPr>
          <w:color w:val="000000"/>
          <w:spacing w:val="0"/>
          <w:w w:val="100"/>
          <w:position w:val="0"/>
        </w:rPr>
        <w:t>业务生态圈，为智慧 安全客户提供完整的解决方案。</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报告期内，公司不断完善产品技术和服务，持续优化</w:t>
      </w:r>
      <w:r>
        <w:rPr>
          <w:color w:val="000000"/>
          <w:spacing w:val="0"/>
          <w:w w:val="100"/>
          <w:position w:val="0"/>
        </w:rPr>
        <w:t>HSSE</w:t>
      </w:r>
      <w:r>
        <w:rPr>
          <w:color w:val="000000"/>
          <w:spacing w:val="0"/>
          <w:w w:val="100"/>
          <w:position w:val="0"/>
        </w:rPr>
        <w:t>安全防控与应急管理一体化平台、智慧园区 综合信息化共享平台等系统的建设，企业和园区级业务服务客户能力得到进一步增强，竞争优势不断扩大。 公司持续加大集团化客户开拓力度，不断提升安全系统集成类业务比重，国家管网、中石油、中石化等集 团化客户订单量明显增长，客户结构进一步优化，业绩取得显著提升。</w:t>
      </w:r>
    </w:p>
    <w:p>
      <w:pPr>
        <w:pStyle w:val="Style10"/>
        <w:keepNext w:val="0"/>
        <w:keepLines w:val="0"/>
        <w:widowControl w:val="0"/>
        <w:shd w:val="clear" w:color="auto" w:fill="auto"/>
        <w:tabs>
          <w:tab w:pos="868" w:val="left"/>
        </w:tabs>
        <w:bidi w:val="0"/>
        <w:spacing w:before="0" w:after="0" w:line="468" w:lineRule="exact"/>
        <w:ind w:left="0" w:right="0" w:firstLine="440"/>
        <w:jc w:val="both"/>
      </w:pPr>
      <w:bookmarkStart w:id="82" w:name="bookmark82"/>
      <w:r>
        <w:rPr>
          <w:b/>
          <w:bCs/>
          <w:color w:val="000000"/>
          <w:spacing w:val="0"/>
          <w:w w:val="100"/>
          <w:position w:val="0"/>
        </w:rPr>
        <w:t>（</w:t>
      </w:r>
      <w:bookmarkEnd w:id="82"/>
      <w:r>
        <w:rPr>
          <w:b/>
          <w:bCs/>
          <w:color w:val="000000"/>
          <w:spacing w:val="0"/>
          <w:w w:val="100"/>
          <w:position w:val="0"/>
        </w:rPr>
        <w:t>2）</w:t>
        <w:tab/>
        <w:t>智慧城市系统解决方案</w:t>
      </w:r>
    </w:p>
    <w:p>
      <w:pPr>
        <w:pStyle w:val="Style10"/>
        <w:keepNext w:val="0"/>
        <w:keepLines w:val="0"/>
        <w:widowControl w:val="0"/>
        <w:shd w:val="clear" w:color="auto" w:fill="auto"/>
        <w:bidi w:val="0"/>
        <w:spacing w:before="0" w:after="0" w:line="468" w:lineRule="exact"/>
        <w:ind w:left="0" w:right="0" w:firstLine="440"/>
        <w:jc w:val="both"/>
        <w:sectPr>
          <w:footnotePr>
            <w:pos w:val="pageBottom"/>
            <w:numFmt w:val="decimal"/>
            <w:numRestart w:val="continuous"/>
          </w:footnotePr>
          <w:pgSz w:w="11900" w:h="16840"/>
          <w:pgMar w:top="1321" w:right="1010" w:bottom="1455" w:left="1099" w:header="0" w:footer="3" w:gutter="0"/>
          <w:cols w:space="720"/>
          <w:noEndnote/>
          <w:rtlGutter w:val="0"/>
          <w:docGrid w:linePitch="360"/>
        </w:sectPr>
      </w:pPr>
      <w:r>
        <w:rPr>
          <w:color w:val="000000"/>
          <w:spacing w:val="0"/>
          <w:w w:val="100"/>
          <w:position w:val="0"/>
        </w:rPr>
        <w:t>公司智慧城市系统解决方案业务综合了多门类物联网技术，基于紧耦合和深逻辑，依托“传感器+监 测终端+数据采集+空间信息技术+云应用”系统，面向燃气、水务、热力、市政、园区、楼宇等领域，提 供集管网</w:t>
      </w:r>
      <w:r>
        <w:rPr>
          <w:color w:val="000000"/>
          <w:spacing w:val="0"/>
          <w:w w:val="100"/>
          <w:position w:val="0"/>
        </w:rPr>
        <w:t>GIS、</w:t>
      </w:r>
      <w:r>
        <w:rPr>
          <w:color w:val="000000"/>
          <w:spacing w:val="0"/>
          <w:w w:val="100"/>
          <w:position w:val="0"/>
        </w:rPr>
        <w:t>信息采集、运营管理为一体、垂直贯通的“感知+应用+云平台”物联网解决方案，助力提 高燃气、水务、热力、市政、园区、楼宇等运营的效率和效益。报告期内，智慧城市系统解决方案业务充 分利用自身产业布局和多年来对于行业发展的认知及积淀，把握“智慧城市”、“数字中国”等国家政策带 来的新基建以及数字经济发展机遇，整体发展质量持续向好，在智慧燃气、智慧水务等业务领域的收入、</w:t>
      </w:r>
    </w:p>
    <w:p>
      <w:pPr>
        <w:pStyle w:val="Style10"/>
        <w:keepNext w:val="0"/>
        <w:keepLines w:val="0"/>
        <w:widowControl w:val="0"/>
        <w:shd w:val="clear" w:color="auto" w:fill="auto"/>
        <w:bidi w:val="0"/>
        <w:spacing w:before="0" w:after="0" w:line="466" w:lineRule="exact"/>
        <w:ind w:left="0" w:right="0" w:firstLine="0"/>
        <w:jc w:val="left"/>
      </w:pPr>
      <w:r>
        <w:rPr>
          <w:color w:val="000000"/>
          <w:spacing w:val="0"/>
          <w:w w:val="100"/>
          <w:position w:val="0"/>
        </w:rPr>
        <w:t>回款、利润等均实现大幅增长。</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报告期内，公司智慧燃气业务围绕燃气管网生产运维服务，以行业需求为导向，持续为市场提供完善 的智慧运营、智能巡检、</w:t>
      </w:r>
      <w:r>
        <w:rPr>
          <w:color w:val="000000"/>
          <w:spacing w:val="0"/>
          <w:w w:val="100"/>
          <w:position w:val="0"/>
        </w:rPr>
        <w:t>SCADA</w:t>
      </w:r>
      <w:r>
        <w:rPr>
          <w:color w:val="000000"/>
          <w:spacing w:val="0"/>
          <w:w w:val="100"/>
          <w:position w:val="0"/>
        </w:rPr>
        <w:t>系统、云报警等燃气信息化解决方案，努力推动城市燃气建设和管理的科 学化、精细化、智能化，提升城市公共服务水平，构建完整的智慧城市生态圈。报告期内，公司作为主编 单位，主导编写的中国城市燃气协会团体标准</w:t>
      </w:r>
      <w:r>
        <w:rPr>
          <w:color w:val="000000"/>
          <w:spacing w:val="0"/>
          <w:w w:val="100"/>
          <w:position w:val="0"/>
        </w:rPr>
        <w:t>《T/CGAS013-2021</w:t>
      </w:r>
      <w:r>
        <w:rPr>
          <w:color w:val="000000"/>
          <w:spacing w:val="0"/>
          <w:w w:val="100"/>
          <w:position w:val="0"/>
        </w:rPr>
        <w:t>地下井室可燃气体监测装置》成功贯标， 推动行业产品的标准化、规范化、智能化，公司在燃气行业的影响力得以持续强化。燃气报警云监管平台、 管网末端调压设施压力监测系统、阀门井室可燃气体监测系统、智能巡检系统等软件产品功能优化，</w:t>
      </w:r>
      <w:r>
        <w:rPr>
          <w:color w:val="000000"/>
          <w:spacing w:val="0"/>
          <w:w w:val="100"/>
          <w:position w:val="0"/>
        </w:rPr>
        <w:t xml:space="preserve">SAAS </w:t>
      </w:r>
      <w:r>
        <w:rPr>
          <w:color w:val="000000"/>
          <w:spacing w:val="0"/>
          <w:w w:val="100"/>
          <w:position w:val="0"/>
        </w:rPr>
        <w:t>化应用落地，结合燃气地理信息全国一张图项目复制推广效果明显，燃气客户“朋友圈”进一步扩大。作 为城市生命线的重要环节，公司智慧燃气管网安全及相关生产运营信息化系统的建设，将在一定时期内保 持良好发展态势。</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公司智慧水务及热力等业务持续优化管网数据采集、检测、场站自动化控制、大数据分析等全业务链 条，并在场站无人巡检、管网压力模型分析、节能降耗、数据贯通、服务便民等方面，依托自身行业积淀 和技术能力，不断打磨优化智慧水务、智慧热力管控一体化平台，努力推动从水务、热力信息化到水务、 热力智慧化能力的提质换挡。报告期内，公司轻量化</w:t>
      </w:r>
      <w:r>
        <w:rPr>
          <w:color w:val="000000"/>
          <w:spacing w:val="0"/>
          <w:w w:val="100"/>
          <w:position w:val="0"/>
        </w:rPr>
        <w:t>GIS</w:t>
      </w:r>
      <w:r>
        <w:rPr>
          <w:color w:val="000000"/>
          <w:spacing w:val="0"/>
          <w:w w:val="100"/>
          <w:position w:val="0"/>
        </w:rPr>
        <w:t>平台、管网监测</w:t>
      </w:r>
      <w:r>
        <w:rPr>
          <w:color w:val="000000"/>
          <w:spacing w:val="0"/>
          <w:w w:val="100"/>
          <w:position w:val="0"/>
        </w:rPr>
        <w:t>SaaS</w:t>
      </w:r>
      <w:r>
        <w:rPr>
          <w:color w:val="000000"/>
          <w:spacing w:val="0"/>
          <w:w w:val="100"/>
          <w:position w:val="0"/>
        </w:rPr>
        <w:t>化云平台正式上线，进一步 丰富智慧水务产品线，为智慧水务业务拓展打下更加坚实的基础。报告期内，公司水厂</w:t>
      </w:r>
      <w:r>
        <w:rPr>
          <w:color w:val="000000"/>
          <w:spacing w:val="0"/>
          <w:w w:val="100"/>
          <w:position w:val="0"/>
        </w:rPr>
        <w:t>VR</w:t>
      </w:r>
      <w:r>
        <w:rPr>
          <w:color w:val="000000"/>
          <w:spacing w:val="0"/>
          <w:w w:val="100"/>
          <w:position w:val="0"/>
        </w:rPr>
        <w:t>系统将三维水厂 与生产运行数据、物联网数据相结合，实现水厂的三维数字化运维与管理，打破客户技术认知，提升了公 司在智慧城市相关领域的竞争力。</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此外，报告期内，公司祥云物联网平台设备接入量增长迅速，平台系统架构、功能模块持续迭代升级， 平台基础设施资源进一步扩充，同时积极拓展平台独立部署业务模式，以更好的满足客户需求，增加客户 粘性。公司持续加大无线产品研发投入，推出多款无线探测器及采集传输终端产品，市场需求旺盛。第二 代智能物联网主机研制成功并在项目中应用，为用户及合作伙伴实现工业数字化赋能。基于祥云物联网平 台部署的防疫平台、九小场所消防平台等多款行业应用在全国各地得到推广落地。</w:t>
      </w:r>
    </w:p>
    <w:p>
      <w:pPr>
        <w:pStyle w:val="Style10"/>
        <w:keepNext w:val="0"/>
        <w:keepLines w:val="0"/>
        <w:widowControl w:val="0"/>
        <w:shd w:val="clear" w:color="auto" w:fill="auto"/>
        <w:bidi w:val="0"/>
        <w:spacing w:before="0" w:after="0" w:line="466" w:lineRule="exact"/>
        <w:ind w:left="0" w:right="0" w:firstLine="440"/>
        <w:jc w:val="both"/>
      </w:pPr>
      <w:bookmarkStart w:id="83" w:name="bookmark83"/>
      <w:r>
        <w:rPr>
          <w:b/>
          <w:bCs/>
          <w:color w:val="000000"/>
          <w:spacing w:val="0"/>
          <w:w w:val="100"/>
          <w:position w:val="0"/>
        </w:rPr>
        <w:t>（</w:t>
      </w:r>
      <w:bookmarkEnd w:id="83"/>
      <w:r>
        <w:rPr>
          <w:b/>
          <w:bCs/>
          <w:color w:val="000000"/>
          <w:spacing w:val="0"/>
          <w:w w:val="100"/>
          <w:position w:val="0"/>
        </w:rPr>
        <w:t>3）智慧环保系统解决方案</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智慧环保系统解决方案致力为客户提供“第三方检测</w:t>
      </w:r>
      <w:r>
        <w:rPr>
          <w:b/>
          <w:bCs/>
          <w:color w:val="000000"/>
          <w:spacing w:val="0"/>
          <w:w w:val="100"/>
          <w:position w:val="0"/>
        </w:rPr>
        <w:t>-</w:t>
      </w:r>
      <w:r>
        <w:rPr>
          <w:color w:val="000000"/>
          <w:spacing w:val="0"/>
          <w:w w:val="100"/>
          <w:position w:val="0"/>
        </w:rPr>
        <w:t>在线监测</w:t>
      </w:r>
      <w:r>
        <w:rPr>
          <w:b/>
          <w:bCs/>
          <w:color w:val="000000"/>
          <w:spacing w:val="0"/>
          <w:w w:val="100"/>
          <w:position w:val="0"/>
        </w:rPr>
        <w:t>-</w:t>
      </w:r>
      <w:r>
        <w:rPr>
          <w:color w:val="000000"/>
          <w:spacing w:val="0"/>
          <w:w w:val="100"/>
          <w:position w:val="0"/>
        </w:rPr>
        <w:t>废气废水处理</w:t>
      </w:r>
      <w:r>
        <w:rPr>
          <w:b/>
          <w:bCs/>
          <w:color w:val="000000"/>
          <w:spacing w:val="0"/>
          <w:w w:val="100"/>
          <w:position w:val="0"/>
        </w:rPr>
        <w:t>-</w:t>
      </w:r>
      <w:r>
        <w:rPr>
          <w:color w:val="000000"/>
          <w:spacing w:val="0"/>
          <w:w w:val="100"/>
          <w:position w:val="0"/>
        </w:rPr>
        <w:t>智慧环保系统运维”闭 环业务生态的环保系统解决方案，依靠“传感器+监测终端+数据采集+空间信息技术+云应用+治理+运维服 务”整体方案，为企业、政府提供大气监测、污水及垃圾渗滤液处理、有机废气治理等一体化的环保服务。 报告期内，公司智慧环保业务主要围绕环境监测和环境治理展开。在环保领域积极打造环境监测、检测、 监控、治理、运维、数据服务于一体的环保生态圈，实现了智慧环保在多领域的业务布局和市场开拓。</w:t>
      </w:r>
    </w:p>
    <w:p>
      <w:pPr>
        <w:pStyle w:val="Style10"/>
        <w:keepNext w:val="0"/>
        <w:keepLines w:val="0"/>
        <w:widowControl w:val="0"/>
        <w:shd w:val="clear" w:color="auto" w:fill="auto"/>
        <w:bidi w:val="0"/>
        <w:spacing w:before="0" w:after="0" w:line="466" w:lineRule="exact"/>
        <w:ind w:left="0" w:right="0" w:firstLine="440"/>
        <w:jc w:val="both"/>
        <w:rPr>
          <w:sz w:val="18"/>
          <w:szCs w:val="18"/>
        </w:rPr>
        <w:sectPr>
          <w:footnotePr>
            <w:pos w:val="pageBottom"/>
            <w:numFmt w:val="decimal"/>
            <w:numRestart w:val="continuous"/>
          </w:footnotePr>
          <w:pgSz w:w="11900" w:h="16840"/>
          <w:pgMar w:top="1326" w:right="1001" w:bottom="1000" w:left="1111" w:header="0" w:footer="3" w:gutter="0"/>
          <w:cols w:space="720"/>
          <w:noEndnote/>
          <w:rtlGutter w:val="0"/>
          <w:docGrid w:linePitch="360"/>
        </w:sectPr>
      </w:pPr>
      <w:r>
        <w:rPr>
          <w:color w:val="000000"/>
          <w:spacing w:val="0"/>
          <w:w w:val="100"/>
          <w:position w:val="0"/>
          <w:sz w:val="20"/>
          <w:szCs w:val="20"/>
        </w:rPr>
        <w:t xml:space="preserve">环境监测方面，报告期内，雪城软件等子公司基于国家环境保护政策要求、依托“互联网+”及数字 经济思路，拓展融合大数据分析、区块链等技术，加快打造环境监测、检测、监控、治理、运维、数据服 </w:t>
      </w:r>
      <w:r>
        <w:rPr>
          <w:rFonts w:ascii="Times New Roman" w:eastAsia="Times New Roman" w:hAnsi="Times New Roman" w:cs="Times New Roman"/>
          <w:color w:val="000000"/>
          <w:spacing w:val="0"/>
          <w:w w:val="100"/>
          <w:position w:val="0"/>
          <w:sz w:val="18"/>
          <w:szCs w:val="18"/>
        </w:rPr>
        <w:t>21</w:t>
      </w:r>
    </w:p>
    <w:p>
      <w:pPr>
        <w:pStyle w:val="Style10"/>
        <w:keepNext w:val="0"/>
        <w:keepLines w:val="0"/>
        <w:widowControl w:val="0"/>
        <w:shd w:val="clear" w:color="auto" w:fill="auto"/>
        <w:bidi w:val="0"/>
        <w:spacing w:before="0" w:after="0" w:line="469" w:lineRule="exact"/>
        <w:ind w:left="0" w:right="0" w:firstLine="0"/>
        <w:jc w:val="left"/>
      </w:pPr>
      <w:r>
        <w:rPr>
          <w:color w:val="000000"/>
          <w:spacing w:val="0"/>
          <w:w w:val="100"/>
          <w:position w:val="0"/>
        </w:rPr>
        <w:t>务于一体的环保生态圈。围绕环境监测软硬件一体化平台、数据价值服务，研制开发系列环境监测新产品， 持续完善数据质量智能分析系统、智慧环保云平台、一站式运维服务管控平台等创新型软件，参与多个智 慧环保、数据分析、第三方专家服务、系统运维等项目，市场反响持续良好。</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环境治理方面，报告期内，公司控股子公司嘉园环保根据自身竞争优势，以技术型的工程项目、场景 化的智能装备、专业伴随式的运营服务为抓手继续贯彻以垃圾渗滤液处理、</w:t>
      </w:r>
      <w:r>
        <w:rPr>
          <w:color w:val="000000"/>
          <w:spacing w:val="0"/>
          <w:w w:val="100"/>
          <w:position w:val="0"/>
        </w:rPr>
        <w:t>VOCs</w:t>
      </w:r>
      <w:r>
        <w:rPr>
          <w:color w:val="000000"/>
          <w:spacing w:val="0"/>
          <w:w w:val="100"/>
          <w:position w:val="0"/>
        </w:rPr>
        <w:t>治理、委托运营服务为核 心的经营战略，公司主营业务取得了平稳、较快发展。报告期内，垃圾渗滤液业务通过优化工艺、打造精 品工程，在餐厨沼液废水处理上实现了较好的成果落地，并在广州市第四、第五资源热力电厂项目上荣获 “中国土木工程詹天佑奖”。</w:t>
      </w:r>
      <w:r>
        <w:rPr>
          <w:color w:val="000000"/>
          <w:spacing w:val="0"/>
          <w:w w:val="100"/>
          <w:position w:val="0"/>
        </w:rPr>
        <w:t>VOCs</w:t>
      </w:r>
      <w:r>
        <w:rPr>
          <w:color w:val="000000"/>
          <w:spacing w:val="0"/>
          <w:w w:val="100"/>
          <w:position w:val="0"/>
        </w:rPr>
        <w:t>治理项目进一步推动在制药、涂装、电子等行业的规模复制，树立标杆 形象，并在半导体行业实现业绩突破，项目及客户数量持续增加，行业地位进一步巩固。报告期内，嘉园 环保智慧环保运营平台</w:t>
      </w:r>
      <w:r>
        <w:rPr>
          <w:color w:val="000000"/>
          <w:spacing w:val="0"/>
          <w:w w:val="100"/>
          <w:position w:val="0"/>
        </w:rPr>
        <w:t>、PM</w:t>
      </w:r>
      <w:r>
        <w:rPr>
          <w:color w:val="000000"/>
          <w:spacing w:val="0"/>
          <w:w w:val="100"/>
          <w:position w:val="0"/>
        </w:rPr>
        <w:t>系统陆续上线，工业园区平台化整合方案逐步优化，信息化建设能力得到进一 步提升。</w:t>
      </w:r>
    </w:p>
    <w:p>
      <w:pPr>
        <w:pStyle w:val="Style10"/>
        <w:keepNext w:val="0"/>
        <w:keepLines w:val="0"/>
        <w:widowControl w:val="0"/>
        <w:shd w:val="clear" w:color="auto" w:fill="auto"/>
        <w:tabs>
          <w:tab w:pos="758" w:val="left"/>
        </w:tabs>
        <w:bidi w:val="0"/>
        <w:spacing w:before="0" w:after="0" w:line="469" w:lineRule="exact"/>
        <w:ind w:left="0" w:right="0" w:firstLine="440"/>
        <w:jc w:val="both"/>
      </w:pPr>
      <w:bookmarkStart w:id="84" w:name="bookmark84"/>
      <w:r>
        <w:rPr>
          <w:b/>
          <w:bCs/>
          <w:color w:val="000000"/>
          <w:spacing w:val="0"/>
          <w:w w:val="100"/>
          <w:position w:val="0"/>
        </w:rPr>
        <w:t>4</w:t>
      </w:r>
      <w:bookmarkEnd w:id="84"/>
      <w:r>
        <w:rPr>
          <w:b/>
          <w:bCs/>
          <w:color w:val="000000"/>
          <w:spacing w:val="0"/>
          <w:w w:val="100"/>
          <w:position w:val="0"/>
        </w:rPr>
        <w:t>、</w:t>
        <w:tab/>
        <w:t>居家智能与健康</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居家智能和健康业务通过物联网技术对家庭中的环境安全健康、人体健康、智能设备进行有机联通和 管理，结合数据服务运营能力，夯实了空气质量、燃气安全类市场，拓展了水质安全类市场，为人们提供 专业可靠的“监测+治理”居家智能和健康全方案服务。</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报告期内，公司旗下独立式双光路烟雾火灾探测报警器成为中国联通、中国移动、中国电信三大运营 商推广智能家居的主力产品；电子封条、红外测温等产品应用空间持续扩展，更加贴近客户实际需要，继 续为重点区域如社区、园区、学校等充当24小时“守卫”，通过物联网技术持续体现公司社会责任和社会 价值；安消一体化平台以智能硬件为载体，以祥云物联网平台为媒介，助力保障千家万户环境健康安全。</w:t>
      </w:r>
    </w:p>
    <w:p>
      <w:pPr>
        <w:pStyle w:val="Style10"/>
        <w:keepNext w:val="0"/>
        <w:keepLines w:val="0"/>
        <w:widowControl w:val="0"/>
        <w:shd w:val="clear" w:color="auto" w:fill="auto"/>
        <w:tabs>
          <w:tab w:pos="758" w:val="left"/>
        </w:tabs>
        <w:bidi w:val="0"/>
        <w:spacing w:before="0" w:after="0" w:line="469" w:lineRule="exact"/>
        <w:ind w:left="0" w:right="0" w:firstLine="440"/>
        <w:jc w:val="both"/>
      </w:pPr>
      <w:bookmarkStart w:id="85" w:name="bookmark85"/>
      <w:r>
        <w:rPr>
          <w:b/>
          <w:bCs/>
          <w:color w:val="000000"/>
          <w:spacing w:val="0"/>
          <w:w w:val="100"/>
          <w:position w:val="0"/>
        </w:rPr>
        <w:t>5</w:t>
      </w:r>
      <w:bookmarkEnd w:id="85"/>
      <w:r>
        <w:rPr>
          <w:b/>
          <w:bCs/>
          <w:color w:val="000000"/>
          <w:spacing w:val="0"/>
          <w:w w:val="100"/>
          <w:position w:val="0"/>
        </w:rPr>
        <w:t>、</w:t>
        <w:tab/>
        <w:t>公用事业</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公司公用事业旨在利用先进的物联网技术通过投资、建设、运营供水及供热等市政公用设施，为民众 提供质优、经济、便捷的公用事业服务，打造供水、供热智慧化产业标杆，并不断深化公司智慧公用“试 验田”、“样板间”的战略职能。</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报告期内，公司供水、供热以更好服务社会、保障民生为指引，强化在降低运行成本、提升管理效率、 实现节能减排、优化漏损管控、减少安全隐患等方面的精细化管理和智慧化服务，同时为公司物联网应用 在各领域的成熟落地、优化改进持续提供智慧经验，经济效益稳定增长。</w:t>
      </w:r>
    </w:p>
    <w:p>
      <w:pPr>
        <w:pStyle w:val="Style10"/>
        <w:keepNext w:val="0"/>
        <w:keepLines w:val="0"/>
        <w:widowControl w:val="0"/>
        <w:shd w:val="clear" w:color="auto" w:fill="auto"/>
        <w:bidi w:val="0"/>
        <w:spacing w:before="0" w:after="0" w:line="469" w:lineRule="exact"/>
        <w:ind w:left="0" w:right="0" w:firstLine="440"/>
        <w:jc w:val="both"/>
      </w:pPr>
      <w:bookmarkStart w:id="86" w:name="bookmark86"/>
      <w:r>
        <w:rPr>
          <w:b/>
          <w:bCs/>
          <w:color w:val="000000"/>
          <w:spacing w:val="0"/>
          <w:w w:val="100"/>
          <w:position w:val="0"/>
        </w:rPr>
        <w:t>（</w:t>
      </w:r>
      <w:bookmarkEnd w:id="86"/>
      <w:r>
        <w:rPr>
          <w:b/>
          <w:bCs/>
          <w:color w:val="000000"/>
          <w:spacing w:val="0"/>
          <w:w w:val="100"/>
          <w:position w:val="0"/>
        </w:rPr>
        <w:t>二）公司主要产品概况</w:t>
      </w:r>
    </w:p>
    <w:p>
      <w:pPr>
        <w:pStyle w:val="Style10"/>
        <w:keepNext w:val="0"/>
        <w:keepLines w:val="0"/>
        <w:widowControl w:val="0"/>
        <w:shd w:val="clear" w:color="auto" w:fill="auto"/>
        <w:bidi w:val="0"/>
        <w:spacing w:before="0" w:after="0" w:line="469" w:lineRule="exact"/>
        <w:ind w:left="0" w:right="0" w:firstLine="440"/>
        <w:jc w:val="both"/>
      </w:pPr>
      <w:bookmarkStart w:id="87" w:name="bookmark87"/>
      <w:r>
        <w:rPr>
          <w:b/>
          <w:bCs/>
          <w:color w:val="000000"/>
          <w:spacing w:val="0"/>
          <w:w w:val="100"/>
          <w:position w:val="0"/>
        </w:rPr>
        <w:t>1</w:t>
      </w:r>
      <w:bookmarkEnd w:id="87"/>
      <w:r>
        <w:rPr>
          <w:b/>
          <w:bCs/>
          <w:color w:val="000000"/>
          <w:spacing w:val="0"/>
          <w:w w:val="100"/>
          <w:position w:val="0"/>
        </w:rPr>
        <w:t>、传感器</w:t>
      </w:r>
    </w:p>
    <w:p>
      <w:pPr>
        <w:pStyle w:val="Style1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公司是国内领先、国际知名的气体传感器制造商，能够生产的主流气体传感器产品上百种，涵盖催化 燃烧类、厚膜印刷半导体类、电化学类、红外光学（含激光）类、</w:t>
      </w:r>
      <w:r>
        <w:rPr>
          <w:color w:val="000000"/>
          <w:spacing w:val="0"/>
          <w:w w:val="100"/>
          <w:position w:val="0"/>
        </w:rPr>
        <w:t>MEMS</w:t>
      </w:r>
      <w:r>
        <w:rPr>
          <w:color w:val="000000"/>
          <w:spacing w:val="0"/>
          <w:w w:val="100"/>
          <w:position w:val="0"/>
        </w:rPr>
        <w:t>工艺类等全球主流气体传感器技术，</w:t>
        <w:br w:type="page"/>
      </w:r>
      <w:r>
        <w:rPr>
          <w:color w:val="000000"/>
          <w:spacing w:val="0"/>
          <w:w w:val="100"/>
          <w:position w:val="0"/>
        </w:rPr>
        <w:t>产销量位居国内前列。公司也是综合传感器制造商，持续深耕传感器技术，横向拓宽压力、流量、红外、</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温湿度、加速度、振动等多门类传感器，成功研发出</w:t>
      </w:r>
      <w:r>
        <w:rPr>
          <w:color w:val="000000"/>
          <w:spacing w:val="0"/>
          <w:w w:val="100"/>
          <w:position w:val="0"/>
        </w:rPr>
        <w:t>MEMS、</w:t>
      </w:r>
      <w:r>
        <w:rPr>
          <w:color w:val="000000"/>
          <w:spacing w:val="0"/>
          <w:w w:val="100"/>
          <w:position w:val="0"/>
        </w:rPr>
        <w:t>柔性等传感器并得到市场认可。</w:t>
      </w:r>
    </w:p>
    <w:p>
      <w:pPr>
        <w:pStyle w:val="Style10"/>
        <w:keepNext w:val="0"/>
        <w:keepLines w:val="0"/>
        <w:widowControl w:val="0"/>
        <w:shd w:val="clear" w:color="auto" w:fill="auto"/>
        <w:bidi w:val="0"/>
        <w:spacing w:before="0" w:after="220" w:line="240" w:lineRule="auto"/>
        <w:ind w:left="0" w:right="0" w:firstLine="440"/>
        <w:jc w:val="left"/>
      </w:pPr>
      <w:bookmarkStart w:id="88" w:name="bookmark88"/>
      <w:r>
        <w:rPr>
          <w:b/>
          <w:bCs/>
          <w:color w:val="000000"/>
          <w:spacing w:val="0"/>
          <w:w w:val="100"/>
          <w:position w:val="0"/>
        </w:rPr>
        <w:t>（</w:t>
      </w:r>
      <w:bookmarkEnd w:id="88"/>
      <w:r>
        <w:rPr>
          <w:b/>
          <w:bCs/>
          <w:color w:val="000000"/>
          <w:spacing w:val="0"/>
          <w:w w:val="100"/>
          <w:position w:val="0"/>
        </w:rPr>
        <w:t>1）公司传感器产品导图</w:t>
      </w:r>
    </w:p>
    <w:p>
      <w:pPr>
        <w:widowControl w:val="0"/>
        <w:spacing w:line="1" w:lineRule="exact"/>
      </w:pPr>
      <w:r>
        <w:drawing>
          <wp:anchor distT="355600" distB="4075430" distL="0" distR="801370" simplePos="0" relativeHeight="125829378" behindDoc="0" locked="0" layoutInCell="1" allowOverlap="1">
            <wp:simplePos x="0" y="0"/>
            <wp:positionH relativeFrom="page">
              <wp:posOffset>802005</wp:posOffset>
            </wp:positionH>
            <wp:positionV relativeFrom="paragraph">
              <wp:posOffset>355600</wp:posOffset>
            </wp:positionV>
            <wp:extent cx="5144770" cy="2152015"/>
            <wp:wrapTopAndBottom/>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5144770" cy="215201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5944235</wp:posOffset>
                </wp:positionH>
                <wp:positionV relativeFrom="paragraph">
                  <wp:posOffset>410210</wp:posOffset>
                </wp:positionV>
                <wp:extent cx="801370" cy="2045335"/>
                <wp:wrapNone/>
                <wp:docPr id="4" name="Shape 4"/>
                <a:graphic xmlns:a="http://schemas.openxmlformats.org/drawingml/2006/main">
                  <a:graphicData uri="http://schemas.microsoft.com/office/word/2010/wordprocessingShape">
                    <wps:wsp>
                      <wps:cNvSpPr txBox="1"/>
                      <wps:spPr>
                        <a:xfrm>
                          <a:ext cx="801370" cy="2045335"/>
                        </a:xfrm>
                        <a:prstGeom prst="rect"/>
                        <a:noFill/>
                      </wps:spPr>
                      <wps:txbx>
                        <w:txbxContent>
                          <w:p>
                            <w:pPr>
                              <w:pStyle w:val="Style33"/>
                              <w:keepNext w:val="0"/>
                              <w:keepLines w:val="0"/>
                              <w:widowControl w:val="0"/>
                              <w:shd w:val="clear" w:color="auto" w:fill="auto"/>
                              <w:bidi w:val="0"/>
                              <w:spacing w:before="0" w:after="120" w:line="240" w:lineRule="auto"/>
                              <w:ind w:left="0" w:right="0" w:firstLine="0"/>
                              <w:jc w:val="left"/>
                              <w:rPr>
                                <w:sz w:val="11"/>
                                <w:szCs w:val="11"/>
                              </w:rPr>
                            </w:pPr>
                            <w:r>
                              <w:rPr>
                                <w:rFonts w:ascii="SimHei" w:eastAsia="SimHei" w:hAnsi="SimHei" w:cs="SimHei"/>
                                <w:b w:val="0"/>
                                <w:bCs w:val="0"/>
                                <w:color w:val="6D6D6D"/>
                                <w:spacing w:val="0"/>
                                <w:w w:val="100"/>
                                <w:position w:val="0"/>
                                <w:sz w:val="11"/>
                                <w:szCs w:val="11"/>
                              </w:rPr>
                              <w:t>陶</w:t>
                            </w:r>
                            <w:r>
                              <w:rPr>
                                <w:rFonts w:ascii="SimHei" w:eastAsia="SimHei" w:hAnsi="SimHei" w:cs="SimHei"/>
                                <w:b w:val="0"/>
                                <w:bCs w:val="0"/>
                                <w:color w:val="474646"/>
                                <w:spacing w:val="0"/>
                                <w:w w:val="100"/>
                                <w:position w:val="0"/>
                                <w:sz w:val="11"/>
                                <w:szCs w:val="11"/>
                              </w:rPr>
                              <w:t>瓷压力传感器</w:t>
                            </w:r>
                          </w:p>
                          <w:p>
                            <w:pPr>
                              <w:pStyle w:val="Style33"/>
                              <w:keepNext w:val="0"/>
                              <w:keepLines w:val="0"/>
                              <w:widowControl w:val="0"/>
                              <w:shd w:val="clear" w:color="auto" w:fill="auto"/>
                              <w:bidi w:val="0"/>
                              <w:spacing w:before="0" w:after="120" w:line="240" w:lineRule="auto"/>
                              <w:ind w:left="0" w:right="0" w:firstLine="0"/>
                              <w:jc w:val="left"/>
                              <w:rPr>
                                <w:sz w:val="11"/>
                                <w:szCs w:val="11"/>
                              </w:rPr>
                            </w:pPr>
                            <w:r>
                              <w:rPr>
                                <w:rFonts w:ascii="SimHei" w:eastAsia="SimHei" w:hAnsi="SimHei" w:cs="SimHei"/>
                                <w:b w:val="0"/>
                                <w:bCs w:val="0"/>
                                <w:color w:val="474646"/>
                                <w:spacing w:val="0"/>
                                <w:w w:val="100"/>
                                <w:position w:val="0"/>
                                <w:sz w:val="11"/>
                                <w:szCs w:val="11"/>
                              </w:rPr>
                              <w:t>扩散硅压力传感器</w:t>
                            </w:r>
                          </w:p>
                          <w:p>
                            <w:pPr>
                              <w:pStyle w:val="Style33"/>
                              <w:keepNext w:val="0"/>
                              <w:keepLines w:val="0"/>
                              <w:widowControl w:val="0"/>
                              <w:shd w:val="clear" w:color="auto" w:fill="auto"/>
                              <w:bidi w:val="0"/>
                              <w:spacing w:before="0" w:after="480" w:line="240" w:lineRule="auto"/>
                              <w:ind w:left="0" w:right="0" w:firstLine="520"/>
                              <w:jc w:val="left"/>
                              <w:rPr>
                                <w:sz w:val="11"/>
                                <w:szCs w:val="11"/>
                              </w:rPr>
                            </w:pPr>
                            <w:r>
                              <w:rPr>
                                <w:rFonts w:ascii="SimHei" w:eastAsia="SimHei" w:hAnsi="SimHei" w:cs="SimHei"/>
                                <w:b w:val="0"/>
                                <w:bCs w:val="0"/>
                                <w:color w:val="474646"/>
                                <w:spacing w:val="0"/>
                                <w:w w:val="100"/>
                                <w:position w:val="0"/>
                                <w:sz w:val="11"/>
                                <w:szCs w:val="11"/>
                              </w:rPr>
                              <w:t>专感器</w:t>
                            </w:r>
                          </w:p>
                          <w:p>
                            <w:pPr>
                              <w:pStyle w:val="Style33"/>
                              <w:keepNext w:val="0"/>
                              <w:keepLines w:val="0"/>
                              <w:widowControl w:val="0"/>
                              <w:shd w:val="clear" w:color="auto" w:fill="auto"/>
                              <w:bidi w:val="0"/>
                              <w:spacing w:before="0" w:after="520" w:line="240" w:lineRule="auto"/>
                              <w:ind w:left="0" w:right="0" w:firstLine="0"/>
                              <w:jc w:val="left"/>
                              <w:rPr>
                                <w:sz w:val="11"/>
                                <w:szCs w:val="11"/>
                              </w:rPr>
                            </w:pPr>
                            <w:r>
                              <w:rPr>
                                <w:rFonts w:ascii="Segoe UI" w:eastAsia="Segoe UI" w:hAnsi="Segoe UI" w:cs="Segoe UI"/>
                                <w:color w:val="6D6D6D"/>
                                <w:spacing w:val="0"/>
                                <w:w w:val="100"/>
                                <w:position w:val="0"/>
                                <w:sz w:val="12"/>
                                <w:szCs w:val="12"/>
                              </w:rPr>
                              <w:t>MEMS</w:t>
                            </w:r>
                            <w:r>
                              <w:rPr>
                                <w:rFonts w:ascii="SimHei" w:eastAsia="SimHei" w:hAnsi="SimHei" w:cs="SimHei"/>
                                <w:b w:val="0"/>
                                <w:bCs w:val="0"/>
                                <w:color w:val="474646"/>
                                <w:spacing w:val="0"/>
                                <w:w w:val="100"/>
                                <w:position w:val="0"/>
                                <w:sz w:val="11"/>
                                <w:szCs w:val="11"/>
                              </w:rPr>
                              <w:t>瞄艘传感器</w:t>
                            </w:r>
                          </w:p>
                          <w:p>
                            <w:pPr>
                              <w:pStyle w:val="Style33"/>
                              <w:keepNext w:val="0"/>
                              <w:keepLines w:val="0"/>
                              <w:widowControl w:val="0"/>
                              <w:shd w:val="clear" w:color="auto" w:fill="auto"/>
                              <w:bidi w:val="0"/>
                              <w:spacing w:before="0" w:after="120" w:line="240" w:lineRule="auto"/>
                              <w:ind w:left="0" w:right="0" w:firstLine="0"/>
                              <w:jc w:val="left"/>
                              <w:rPr>
                                <w:sz w:val="11"/>
                                <w:szCs w:val="11"/>
                              </w:rPr>
                            </w:pPr>
                            <w:r>
                              <w:rPr>
                                <w:rFonts w:ascii="SimHei" w:eastAsia="SimHei" w:hAnsi="SimHei" w:cs="SimHei"/>
                                <w:b w:val="0"/>
                                <w:bCs w:val="0"/>
                                <w:color w:val="474646"/>
                                <w:spacing w:val="0"/>
                                <w:w w:val="100"/>
                                <w:position w:val="0"/>
                                <w:sz w:val="11"/>
                                <w:szCs w:val="11"/>
                              </w:rPr>
                              <w:t>湿敏电阻</w:t>
                            </w:r>
                          </w:p>
                          <w:p>
                            <w:pPr>
                              <w:pStyle w:val="Style33"/>
                              <w:keepNext w:val="0"/>
                              <w:keepLines w:val="0"/>
                              <w:widowControl w:val="0"/>
                              <w:shd w:val="clear" w:color="auto" w:fill="auto"/>
                              <w:bidi w:val="0"/>
                              <w:spacing w:before="0" w:after="840" w:line="240" w:lineRule="auto"/>
                              <w:ind w:left="0" w:right="0" w:firstLine="0"/>
                              <w:jc w:val="left"/>
                              <w:rPr>
                                <w:sz w:val="11"/>
                                <w:szCs w:val="11"/>
                              </w:rPr>
                            </w:pPr>
                            <w:r>
                              <w:rPr>
                                <w:rFonts w:ascii="SimHei" w:eastAsia="SimHei" w:hAnsi="SimHei" w:cs="SimHei"/>
                                <w:b w:val="0"/>
                                <w:bCs w:val="0"/>
                                <w:color w:val="474646"/>
                                <w:spacing w:val="0"/>
                                <w:w w:val="100"/>
                                <w:position w:val="0"/>
                                <w:sz w:val="11"/>
                                <w:szCs w:val="11"/>
                              </w:rPr>
                              <w:t>施电容</w:t>
                            </w:r>
                          </w:p>
                          <w:p>
                            <w:pPr>
                              <w:pStyle w:val="Style33"/>
                              <w:keepNext w:val="0"/>
                              <w:keepLines w:val="0"/>
                              <w:widowControl w:val="0"/>
                              <w:shd w:val="clear" w:color="auto" w:fill="auto"/>
                              <w:bidi w:val="0"/>
                              <w:spacing w:before="0" w:after="300" w:line="240" w:lineRule="auto"/>
                              <w:ind w:left="0" w:right="0" w:firstLine="0"/>
                              <w:jc w:val="left"/>
                              <w:rPr>
                                <w:sz w:val="11"/>
                                <w:szCs w:val="11"/>
                              </w:rPr>
                            </w:pPr>
                            <w:r>
                              <w:rPr>
                                <w:rFonts w:ascii="SimHei" w:eastAsia="SimHei" w:hAnsi="SimHei" w:cs="SimHei"/>
                                <w:b w:val="0"/>
                                <w:bCs w:val="0"/>
                                <w:color w:val="6D6D6D"/>
                                <w:spacing w:val="0"/>
                                <w:w w:val="100"/>
                                <w:position w:val="0"/>
                                <w:sz w:val="11"/>
                                <w:szCs w:val="11"/>
                              </w:rPr>
                              <w:t>压颇;</w:t>
                            </w:r>
                            <w:r>
                              <w:rPr>
                                <w:rFonts w:ascii="Segoe UI" w:eastAsia="Segoe UI" w:hAnsi="Segoe UI" w:cs="Segoe UI"/>
                                <w:color w:val="474646"/>
                                <w:spacing w:val="0"/>
                                <w:w w:val="100"/>
                                <w:position w:val="0"/>
                                <w:sz w:val="12"/>
                                <w:szCs w:val="12"/>
                              </w:rPr>
                              <w:t>ilM</w:t>
                            </w:r>
                            <w:r>
                              <w:rPr>
                                <w:rFonts w:ascii="SimHei" w:eastAsia="SimHei" w:hAnsi="SimHei" w:cs="SimHei"/>
                                <w:b w:val="0"/>
                                <w:bCs w:val="0"/>
                                <w:color w:val="474646"/>
                                <w:spacing w:val="0"/>
                                <w:w w:val="100"/>
                                <w:position w:val="0"/>
                                <w:sz w:val="11"/>
                                <w:szCs w:val="11"/>
                              </w:rPr>
                              <w:t>侍睇</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468.05000000000001pt;margin-top:32.299999999999997pt;width:63.100000000000001pt;height:161.05000000000001pt;z-index:251657729;mso-wrap-distance-left:0;mso-wrap-distance-right:0;mso-position-horizontal-relative:page" filled="f" stroked="f">
                <v:textbox inset="0,0,0,0">
                  <w:txbxContent>
                    <w:p>
                      <w:pPr>
                        <w:pStyle w:val="Style33"/>
                        <w:keepNext w:val="0"/>
                        <w:keepLines w:val="0"/>
                        <w:widowControl w:val="0"/>
                        <w:shd w:val="clear" w:color="auto" w:fill="auto"/>
                        <w:bidi w:val="0"/>
                        <w:spacing w:before="0" w:after="120" w:line="240" w:lineRule="auto"/>
                        <w:ind w:left="0" w:right="0" w:firstLine="0"/>
                        <w:jc w:val="left"/>
                        <w:rPr>
                          <w:sz w:val="11"/>
                          <w:szCs w:val="11"/>
                        </w:rPr>
                      </w:pPr>
                      <w:r>
                        <w:rPr>
                          <w:rFonts w:ascii="SimHei" w:eastAsia="SimHei" w:hAnsi="SimHei" w:cs="SimHei"/>
                          <w:b w:val="0"/>
                          <w:bCs w:val="0"/>
                          <w:color w:val="6D6D6D"/>
                          <w:spacing w:val="0"/>
                          <w:w w:val="100"/>
                          <w:position w:val="0"/>
                          <w:sz w:val="11"/>
                          <w:szCs w:val="11"/>
                        </w:rPr>
                        <w:t>陶</w:t>
                      </w:r>
                      <w:r>
                        <w:rPr>
                          <w:rFonts w:ascii="SimHei" w:eastAsia="SimHei" w:hAnsi="SimHei" w:cs="SimHei"/>
                          <w:b w:val="0"/>
                          <w:bCs w:val="0"/>
                          <w:color w:val="474646"/>
                          <w:spacing w:val="0"/>
                          <w:w w:val="100"/>
                          <w:position w:val="0"/>
                          <w:sz w:val="11"/>
                          <w:szCs w:val="11"/>
                        </w:rPr>
                        <w:t>瓷压力传感器</w:t>
                      </w:r>
                    </w:p>
                    <w:p>
                      <w:pPr>
                        <w:pStyle w:val="Style33"/>
                        <w:keepNext w:val="0"/>
                        <w:keepLines w:val="0"/>
                        <w:widowControl w:val="0"/>
                        <w:shd w:val="clear" w:color="auto" w:fill="auto"/>
                        <w:bidi w:val="0"/>
                        <w:spacing w:before="0" w:after="120" w:line="240" w:lineRule="auto"/>
                        <w:ind w:left="0" w:right="0" w:firstLine="0"/>
                        <w:jc w:val="left"/>
                        <w:rPr>
                          <w:sz w:val="11"/>
                          <w:szCs w:val="11"/>
                        </w:rPr>
                      </w:pPr>
                      <w:r>
                        <w:rPr>
                          <w:rFonts w:ascii="SimHei" w:eastAsia="SimHei" w:hAnsi="SimHei" w:cs="SimHei"/>
                          <w:b w:val="0"/>
                          <w:bCs w:val="0"/>
                          <w:color w:val="474646"/>
                          <w:spacing w:val="0"/>
                          <w:w w:val="100"/>
                          <w:position w:val="0"/>
                          <w:sz w:val="11"/>
                          <w:szCs w:val="11"/>
                        </w:rPr>
                        <w:t>扩散硅压力传感器</w:t>
                      </w:r>
                    </w:p>
                    <w:p>
                      <w:pPr>
                        <w:pStyle w:val="Style33"/>
                        <w:keepNext w:val="0"/>
                        <w:keepLines w:val="0"/>
                        <w:widowControl w:val="0"/>
                        <w:shd w:val="clear" w:color="auto" w:fill="auto"/>
                        <w:bidi w:val="0"/>
                        <w:spacing w:before="0" w:after="480" w:line="240" w:lineRule="auto"/>
                        <w:ind w:left="0" w:right="0" w:firstLine="520"/>
                        <w:jc w:val="left"/>
                        <w:rPr>
                          <w:sz w:val="11"/>
                          <w:szCs w:val="11"/>
                        </w:rPr>
                      </w:pPr>
                      <w:r>
                        <w:rPr>
                          <w:rFonts w:ascii="SimHei" w:eastAsia="SimHei" w:hAnsi="SimHei" w:cs="SimHei"/>
                          <w:b w:val="0"/>
                          <w:bCs w:val="0"/>
                          <w:color w:val="474646"/>
                          <w:spacing w:val="0"/>
                          <w:w w:val="100"/>
                          <w:position w:val="0"/>
                          <w:sz w:val="11"/>
                          <w:szCs w:val="11"/>
                        </w:rPr>
                        <w:t>专感器</w:t>
                      </w:r>
                    </w:p>
                    <w:p>
                      <w:pPr>
                        <w:pStyle w:val="Style33"/>
                        <w:keepNext w:val="0"/>
                        <w:keepLines w:val="0"/>
                        <w:widowControl w:val="0"/>
                        <w:shd w:val="clear" w:color="auto" w:fill="auto"/>
                        <w:bidi w:val="0"/>
                        <w:spacing w:before="0" w:after="520" w:line="240" w:lineRule="auto"/>
                        <w:ind w:left="0" w:right="0" w:firstLine="0"/>
                        <w:jc w:val="left"/>
                        <w:rPr>
                          <w:sz w:val="11"/>
                          <w:szCs w:val="11"/>
                        </w:rPr>
                      </w:pPr>
                      <w:r>
                        <w:rPr>
                          <w:rFonts w:ascii="Segoe UI" w:eastAsia="Segoe UI" w:hAnsi="Segoe UI" w:cs="Segoe UI"/>
                          <w:color w:val="6D6D6D"/>
                          <w:spacing w:val="0"/>
                          <w:w w:val="100"/>
                          <w:position w:val="0"/>
                          <w:sz w:val="12"/>
                          <w:szCs w:val="12"/>
                        </w:rPr>
                        <w:t>MEMS</w:t>
                      </w:r>
                      <w:r>
                        <w:rPr>
                          <w:rFonts w:ascii="SimHei" w:eastAsia="SimHei" w:hAnsi="SimHei" w:cs="SimHei"/>
                          <w:b w:val="0"/>
                          <w:bCs w:val="0"/>
                          <w:color w:val="474646"/>
                          <w:spacing w:val="0"/>
                          <w:w w:val="100"/>
                          <w:position w:val="0"/>
                          <w:sz w:val="11"/>
                          <w:szCs w:val="11"/>
                        </w:rPr>
                        <w:t>瞄艘传感器</w:t>
                      </w:r>
                    </w:p>
                    <w:p>
                      <w:pPr>
                        <w:pStyle w:val="Style33"/>
                        <w:keepNext w:val="0"/>
                        <w:keepLines w:val="0"/>
                        <w:widowControl w:val="0"/>
                        <w:shd w:val="clear" w:color="auto" w:fill="auto"/>
                        <w:bidi w:val="0"/>
                        <w:spacing w:before="0" w:after="120" w:line="240" w:lineRule="auto"/>
                        <w:ind w:left="0" w:right="0" w:firstLine="0"/>
                        <w:jc w:val="left"/>
                        <w:rPr>
                          <w:sz w:val="11"/>
                          <w:szCs w:val="11"/>
                        </w:rPr>
                      </w:pPr>
                      <w:r>
                        <w:rPr>
                          <w:rFonts w:ascii="SimHei" w:eastAsia="SimHei" w:hAnsi="SimHei" w:cs="SimHei"/>
                          <w:b w:val="0"/>
                          <w:bCs w:val="0"/>
                          <w:color w:val="474646"/>
                          <w:spacing w:val="0"/>
                          <w:w w:val="100"/>
                          <w:position w:val="0"/>
                          <w:sz w:val="11"/>
                          <w:szCs w:val="11"/>
                        </w:rPr>
                        <w:t>湿敏电阻</w:t>
                      </w:r>
                    </w:p>
                    <w:p>
                      <w:pPr>
                        <w:pStyle w:val="Style33"/>
                        <w:keepNext w:val="0"/>
                        <w:keepLines w:val="0"/>
                        <w:widowControl w:val="0"/>
                        <w:shd w:val="clear" w:color="auto" w:fill="auto"/>
                        <w:bidi w:val="0"/>
                        <w:spacing w:before="0" w:after="840" w:line="240" w:lineRule="auto"/>
                        <w:ind w:left="0" w:right="0" w:firstLine="0"/>
                        <w:jc w:val="left"/>
                        <w:rPr>
                          <w:sz w:val="11"/>
                          <w:szCs w:val="11"/>
                        </w:rPr>
                      </w:pPr>
                      <w:r>
                        <w:rPr>
                          <w:rFonts w:ascii="SimHei" w:eastAsia="SimHei" w:hAnsi="SimHei" w:cs="SimHei"/>
                          <w:b w:val="0"/>
                          <w:bCs w:val="0"/>
                          <w:color w:val="474646"/>
                          <w:spacing w:val="0"/>
                          <w:w w:val="100"/>
                          <w:position w:val="0"/>
                          <w:sz w:val="11"/>
                          <w:szCs w:val="11"/>
                        </w:rPr>
                        <w:t>施电容</w:t>
                      </w:r>
                    </w:p>
                    <w:p>
                      <w:pPr>
                        <w:pStyle w:val="Style33"/>
                        <w:keepNext w:val="0"/>
                        <w:keepLines w:val="0"/>
                        <w:widowControl w:val="0"/>
                        <w:shd w:val="clear" w:color="auto" w:fill="auto"/>
                        <w:bidi w:val="0"/>
                        <w:spacing w:before="0" w:after="300" w:line="240" w:lineRule="auto"/>
                        <w:ind w:left="0" w:right="0" w:firstLine="0"/>
                        <w:jc w:val="left"/>
                        <w:rPr>
                          <w:sz w:val="11"/>
                          <w:szCs w:val="11"/>
                        </w:rPr>
                      </w:pPr>
                      <w:r>
                        <w:rPr>
                          <w:rFonts w:ascii="SimHei" w:eastAsia="SimHei" w:hAnsi="SimHei" w:cs="SimHei"/>
                          <w:b w:val="0"/>
                          <w:bCs w:val="0"/>
                          <w:color w:val="6D6D6D"/>
                          <w:spacing w:val="0"/>
                          <w:w w:val="100"/>
                          <w:position w:val="0"/>
                          <w:sz w:val="11"/>
                          <w:szCs w:val="11"/>
                        </w:rPr>
                        <w:t>压颇;</w:t>
                      </w:r>
                      <w:r>
                        <w:rPr>
                          <w:rFonts w:ascii="Segoe UI" w:eastAsia="Segoe UI" w:hAnsi="Segoe UI" w:cs="Segoe UI"/>
                          <w:color w:val="474646"/>
                          <w:spacing w:val="0"/>
                          <w:w w:val="100"/>
                          <w:position w:val="0"/>
                          <w:sz w:val="12"/>
                          <w:szCs w:val="12"/>
                        </w:rPr>
                        <w:t>ilM</w:t>
                      </w:r>
                      <w:r>
                        <w:rPr>
                          <w:rFonts w:ascii="SimHei" w:eastAsia="SimHei" w:hAnsi="SimHei" w:cs="SimHei"/>
                          <w:b w:val="0"/>
                          <w:bCs w:val="0"/>
                          <w:color w:val="474646"/>
                          <w:spacing w:val="0"/>
                          <w:w w:val="100"/>
                          <w:position w:val="0"/>
                          <w:sz w:val="11"/>
                          <w:szCs w:val="11"/>
                        </w:rPr>
                        <w:t>侍睇</w:t>
                      </w:r>
                    </w:p>
                  </w:txbxContent>
                </v:textbox>
                <w10:wrap anchorx="page"/>
              </v:shape>
            </w:pict>
          </mc:Fallback>
        </mc:AlternateContent>
      </w:r>
      <w:r>
        <w:drawing>
          <wp:anchor distT="2571750" distB="3447415" distL="67310" distR="0" simplePos="0" relativeHeight="125829379" behindDoc="0" locked="0" layoutInCell="1" allowOverlap="1">
            <wp:simplePos x="0" y="0"/>
            <wp:positionH relativeFrom="page">
              <wp:posOffset>1497330</wp:posOffset>
            </wp:positionH>
            <wp:positionV relativeFrom="paragraph">
              <wp:posOffset>2571750</wp:posOffset>
            </wp:positionV>
            <wp:extent cx="2243455" cy="560705"/>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2243455" cy="56070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1463675</wp:posOffset>
                </wp:positionH>
                <wp:positionV relativeFrom="paragraph">
                  <wp:posOffset>2824480</wp:posOffset>
                </wp:positionV>
                <wp:extent cx="679450" cy="113030"/>
                <wp:wrapNone/>
                <wp:docPr id="8" name="Shape 8"/>
                <a:graphic xmlns:a="http://schemas.openxmlformats.org/drawingml/2006/main">
                  <a:graphicData uri="http://schemas.microsoft.com/office/word/2010/wordprocessingShape">
                    <wps:wsp>
                      <wps:cNvSpPr txBox="1"/>
                      <wps:spPr>
                        <a:xfrm>
                          <a:ext cx="679450" cy="1130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b w:val="0"/>
                                <w:bCs w:val="0"/>
                                <w:color w:val="6D6D6D"/>
                                <w:spacing w:val="0"/>
                                <w:w w:val="100"/>
                                <w:position w:val="0"/>
                                <w:sz w:val="11"/>
                                <w:szCs w:val="11"/>
                              </w:rPr>
                              <w:t>红外</w:t>
                            </w:r>
                            <w:r>
                              <w:rPr>
                                <w:rFonts w:ascii="Segoe UI" w:eastAsia="Segoe UI" w:hAnsi="Segoe UI" w:cs="Segoe UI"/>
                                <w:color w:val="6D6D6D"/>
                                <w:spacing w:val="0"/>
                                <w:w w:val="100"/>
                                <w:position w:val="0"/>
                                <w:sz w:val="12"/>
                                <w:szCs w:val="12"/>
                              </w:rPr>
                              <w:t>PM2.5</w:t>
                            </w:r>
                            <w:r>
                              <w:rPr>
                                <w:rFonts w:ascii="SimHei" w:eastAsia="SimHei" w:hAnsi="SimHei" w:cs="SimHei"/>
                                <w:b w:val="0"/>
                                <w:bCs w:val="0"/>
                                <w:color w:val="474646"/>
                                <w:spacing w:val="0"/>
                                <w:w w:val="100"/>
                                <w:position w:val="0"/>
                                <w:sz w:val="11"/>
                                <w:szCs w:val="11"/>
                              </w:rPr>
                              <w:t>侍</w:t>
                            </w:r>
                            <w:r>
                              <w:rPr>
                                <w:rFonts w:ascii="SimHei" w:eastAsia="SimHei" w:hAnsi="SimHei" w:cs="SimHei"/>
                                <w:b w:val="0"/>
                                <w:bCs w:val="0"/>
                                <w:color w:val="474646"/>
                                <w:spacing w:val="0"/>
                                <w:w w:val="100"/>
                                <w:position w:val="0"/>
                                <w:sz w:val="11"/>
                                <w:szCs w:val="11"/>
                              </w:rPr>
                              <w:t>g</w:t>
                            </w:r>
                          </w:p>
                        </w:txbxContent>
                      </wps:txbx>
                      <wps:bodyPr lIns="0" tIns="0" rIns="0" bIns="0">
                        <a:noAutoFit/>
                      </wps:bodyPr>
                    </wps:wsp>
                  </a:graphicData>
                </a:graphic>
              </wp:anchor>
            </w:drawing>
          </mc:Choice>
          <mc:Fallback>
            <w:pict>
              <v:shape id="_x0000_s1034" type="#_x0000_t202" style="position:absolute;margin-left:115.25pt;margin-top:222.40000000000001pt;width:53.5pt;height:8.9000000000000004pt;z-index:251657731;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b w:val="0"/>
                          <w:bCs w:val="0"/>
                          <w:color w:val="6D6D6D"/>
                          <w:spacing w:val="0"/>
                          <w:w w:val="100"/>
                          <w:position w:val="0"/>
                          <w:sz w:val="11"/>
                          <w:szCs w:val="11"/>
                        </w:rPr>
                        <w:t>红外</w:t>
                      </w:r>
                      <w:r>
                        <w:rPr>
                          <w:rFonts w:ascii="Segoe UI" w:eastAsia="Segoe UI" w:hAnsi="Segoe UI" w:cs="Segoe UI"/>
                          <w:color w:val="6D6D6D"/>
                          <w:spacing w:val="0"/>
                          <w:w w:val="100"/>
                          <w:position w:val="0"/>
                          <w:sz w:val="12"/>
                          <w:szCs w:val="12"/>
                        </w:rPr>
                        <w:t>PM2.5</w:t>
                      </w:r>
                      <w:r>
                        <w:rPr>
                          <w:rFonts w:ascii="SimHei" w:eastAsia="SimHei" w:hAnsi="SimHei" w:cs="SimHei"/>
                          <w:b w:val="0"/>
                          <w:bCs w:val="0"/>
                          <w:color w:val="474646"/>
                          <w:spacing w:val="0"/>
                          <w:w w:val="100"/>
                          <w:position w:val="0"/>
                          <w:sz w:val="11"/>
                          <w:szCs w:val="11"/>
                        </w:rPr>
                        <w:t>侍</w:t>
                      </w:r>
                      <w:r>
                        <w:rPr>
                          <w:rFonts w:ascii="SimHei" w:eastAsia="SimHei" w:hAnsi="SimHei" w:cs="SimHei"/>
                          <w:b w:val="0"/>
                          <w:bCs w:val="0"/>
                          <w:color w:val="474646"/>
                          <w:spacing w:val="0"/>
                          <w:w w:val="100"/>
                          <w:position w:val="0"/>
                          <w:sz w:val="11"/>
                          <w:szCs w:val="11"/>
                        </w:rPr>
                        <w:t>g</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1430020</wp:posOffset>
                </wp:positionH>
                <wp:positionV relativeFrom="paragraph">
                  <wp:posOffset>3007360</wp:posOffset>
                </wp:positionV>
                <wp:extent cx="679450" cy="113030"/>
                <wp:wrapNone/>
                <wp:docPr id="10" name="Shape 10"/>
                <a:graphic xmlns:a="http://schemas.openxmlformats.org/drawingml/2006/main">
                  <a:graphicData uri="http://schemas.microsoft.com/office/word/2010/wordprocessingShape">
                    <wps:wsp>
                      <wps:cNvSpPr txBox="1"/>
                      <wps:spPr>
                        <a:xfrm>
                          <a:ext cx="679450" cy="1130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1"/>
                                <w:szCs w:val="11"/>
                              </w:rPr>
                            </w:pPr>
                            <w:r>
                              <w:rPr>
                                <w:rFonts w:ascii="Segoe UI" w:eastAsia="Segoe UI" w:hAnsi="Segoe UI" w:cs="Segoe UI"/>
                                <w:color w:val="6D6D6D"/>
                                <w:spacing w:val="0"/>
                                <w:w w:val="100"/>
                                <w:position w:val="0"/>
                                <w:sz w:val="12"/>
                                <w:szCs w:val="12"/>
                              </w:rPr>
                              <w:t>W£PM2.5</w:t>
                            </w:r>
                            <w:r>
                              <w:rPr>
                                <w:rFonts w:ascii="SimHei" w:eastAsia="SimHei" w:hAnsi="SimHei" w:cs="SimHei"/>
                                <w:b w:val="0"/>
                                <w:bCs w:val="0"/>
                                <w:color w:val="474646"/>
                                <w:spacing w:val="0"/>
                                <w:w w:val="100"/>
                                <w:position w:val="0"/>
                                <w:sz w:val="11"/>
                                <w:szCs w:val="11"/>
                              </w:rPr>
                              <w:t>传感器</w:t>
                            </w:r>
                          </w:p>
                        </w:txbxContent>
                      </wps:txbx>
                      <wps:bodyPr lIns="0" tIns="0" rIns="0" bIns="0">
                        <a:noAutoFit/>
                      </wps:bodyPr>
                    </wps:wsp>
                  </a:graphicData>
                </a:graphic>
              </wp:anchor>
            </w:drawing>
          </mc:Choice>
          <mc:Fallback>
            <w:pict>
              <v:shape id="_x0000_s1036" type="#_x0000_t202" style="position:absolute;margin-left:112.60000000000001pt;margin-top:236.80000000000001pt;width:53.5pt;height:8.9000000000000004pt;z-index:251657733;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1"/>
                          <w:szCs w:val="11"/>
                        </w:rPr>
                      </w:pPr>
                      <w:r>
                        <w:rPr>
                          <w:rFonts w:ascii="Segoe UI" w:eastAsia="Segoe UI" w:hAnsi="Segoe UI" w:cs="Segoe UI"/>
                          <w:color w:val="6D6D6D"/>
                          <w:spacing w:val="0"/>
                          <w:w w:val="100"/>
                          <w:position w:val="0"/>
                          <w:sz w:val="12"/>
                          <w:szCs w:val="12"/>
                        </w:rPr>
                        <w:t>W£PM2.5</w:t>
                      </w:r>
                      <w:r>
                        <w:rPr>
                          <w:rFonts w:ascii="SimHei" w:eastAsia="SimHei" w:hAnsi="SimHei" w:cs="SimHei"/>
                          <w:b w:val="0"/>
                          <w:bCs w:val="0"/>
                          <w:color w:val="474646"/>
                          <w:spacing w:val="0"/>
                          <w:w w:val="100"/>
                          <w:position w:val="0"/>
                          <w:sz w:val="11"/>
                          <w:szCs w:val="11"/>
                        </w:rPr>
                        <w:t>传感器</w:t>
                      </w:r>
                    </w:p>
                  </w:txbxContent>
                </v:textbox>
                <w10:wrap anchorx="page"/>
              </v:shape>
            </w:pict>
          </mc:Fallback>
        </mc:AlternateContent>
      </w:r>
      <w:r>
        <w:drawing>
          <wp:anchor distT="2571750" distB="3413760" distL="0" distR="826135" simplePos="0" relativeHeight="125829380" behindDoc="0" locked="0" layoutInCell="1" allowOverlap="1">
            <wp:simplePos x="0" y="0"/>
            <wp:positionH relativeFrom="page">
              <wp:posOffset>3932555</wp:posOffset>
            </wp:positionH>
            <wp:positionV relativeFrom="paragraph">
              <wp:posOffset>2571750</wp:posOffset>
            </wp:positionV>
            <wp:extent cx="1950720" cy="597535"/>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1950720" cy="59753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5977890</wp:posOffset>
                </wp:positionH>
                <wp:positionV relativeFrom="paragraph">
                  <wp:posOffset>2712085</wp:posOffset>
                </wp:positionV>
                <wp:extent cx="728345" cy="445135"/>
                <wp:wrapNone/>
                <wp:docPr id="14" name="Shape 14"/>
                <a:graphic xmlns:a="http://schemas.openxmlformats.org/drawingml/2006/main">
                  <a:graphicData uri="http://schemas.microsoft.com/office/word/2010/wordprocessingShape">
                    <wps:wsp>
                      <wps:cNvSpPr txBox="1"/>
                      <wps:spPr>
                        <a:xfrm>
                          <a:ext cx="728345" cy="445135"/>
                        </a:xfrm>
                        <a:prstGeom prst="rect"/>
                        <a:noFill/>
                      </wps:spPr>
                      <wps:txbx>
                        <w:txbxContent>
                          <w:p>
                            <w:pPr>
                              <w:pStyle w:val="Style33"/>
                              <w:keepNext w:val="0"/>
                              <w:keepLines w:val="0"/>
                              <w:widowControl w:val="0"/>
                              <w:shd w:val="clear" w:color="auto" w:fill="auto"/>
                              <w:bidi w:val="0"/>
                              <w:spacing w:before="0" w:after="100" w:line="240" w:lineRule="auto"/>
                              <w:ind w:left="0" w:right="0" w:firstLine="0"/>
                              <w:jc w:val="left"/>
                              <w:rPr>
                                <w:sz w:val="11"/>
                                <w:szCs w:val="11"/>
                              </w:rPr>
                            </w:pPr>
                            <w:r>
                              <w:rPr>
                                <w:rFonts w:ascii="Segoe UI" w:eastAsia="Segoe UI" w:hAnsi="Segoe UI" w:cs="Segoe UI"/>
                                <w:color w:val="6D6D6D"/>
                                <w:spacing w:val="0"/>
                                <w:w w:val="100"/>
                                <w:position w:val="0"/>
                                <w:sz w:val="12"/>
                                <w:szCs w:val="12"/>
                              </w:rPr>
                              <w:t>PH</w:t>
                            </w:r>
                            <w:r>
                              <w:rPr>
                                <w:rFonts w:ascii="SimHei" w:eastAsia="SimHei" w:hAnsi="SimHei" w:cs="SimHei"/>
                                <w:b w:val="0"/>
                                <w:bCs w:val="0"/>
                                <w:color w:val="6D6D6D"/>
                                <w:spacing w:val="0"/>
                                <w:w w:val="100"/>
                                <w:position w:val="0"/>
                                <w:sz w:val="11"/>
                                <w:szCs w:val="11"/>
                              </w:rPr>
                              <w:t>水质检测</w:t>
                            </w:r>
                            <w:r>
                              <w:rPr>
                                <w:rFonts w:ascii="SimHei" w:eastAsia="SimHei" w:hAnsi="SimHei" w:cs="SimHei"/>
                                <w:b w:val="0"/>
                                <w:bCs w:val="0"/>
                                <w:color w:val="474646"/>
                                <w:spacing w:val="0"/>
                                <w:w w:val="100"/>
                                <w:position w:val="0"/>
                                <w:sz w:val="11"/>
                                <w:szCs w:val="11"/>
                              </w:rPr>
                              <w:t>传感器</w:t>
                            </w:r>
                          </w:p>
                          <w:p>
                            <w:pPr>
                              <w:pStyle w:val="Style33"/>
                              <w:keepNext w:val="0"/>
                              <w:keepLines w:val="0"/>
                              <w:widowControl w:val="0"/>
                              <w:shd w:val="clear" w:color="auto" w:fill="auto"/>
                              <w:bidi w:val="0"/>
                              <w:spacing w:before="0" w:after="100" w:line="240" w:lineRule="auto"/>
                              <w:ind w:left="0" w:right="0" w:firstLine="0"/>
                              <w:jc w:val="left"/>
                              <w:rPr>
                                <w:sz w:val="11"/>
                                <w:szCs w:val="11"/>
                              </w:rPr>
                            </w:pPr>
                            <w:r>
                              <w:rPr>
                                <w:rFonts w:ascii="Segoe UI" w:eastAsia="Segoe UI" w:hAnsi="Segoe UI" w:cs="Segoe UI"/>
                                <w:color w:val="6D6D6D"/>
                                <w:spacing w:val="0"/>
                                <w:w w:val="100"/>
                                <w:position w:val="0"/>
                                <w:sz w:val="12"/>
                                <w:szCs w:val="12"/>
                              </w:rPr>
                              <w:t>OPRg</w:t>
                            </w:r>
                            <w:r>
                              <w:rPr>
                                <w:rFonts w:ascii="SimHei" w:eastAsia="SimHei" w:hAnsi="SimHei" w:cs="SimHei"/>
                                <w:b w:val="0"/>
                                <w:bCs w:val="0"/>
                                <w:color w:val="474646"/>
                                <w:spacing w:val="0"/>
                                <w:w w:val="100"/>
                                <w:position w:val="0"/>
                                <w:sz w:val="11"/>
                                <w:szCs w:val="11"/>
                              </w:rPr>
                              <w:t>丰洌专感器</w:t>
                            </w:r>
                          </w:p>
                          <w:p>
                            <w:pPr>
                              <w:pStyle w:val="Style33"/>
                              <w:keepNext w:val="0"/>
                              <w:keepLines w:val="0"/>
                              <w:widowControl w:val="0"/>
                              <w:shd w:val="clear" w:color="auto" w:fill="auto"/>
                              <w:bidi w:val="0"/>
                              <w:spacing w:before="0" w:after="100" w:line="240" w:lineRule="auto"/>
                              <w:ind w:left="0" w:right="0" w:firstLine="0"/>
                              <w:jc w:val="left"/>
                              <w:rPr>
                                <w:sz w:val="11"/>
                                <w:szCs w:val="11"/>
                              </w:rPr>
                            </w:pPr>
                            <w:r>
                              <w:rPr>
                                <w:rFonts w:ascii="SimHei" w:eastAsia="SimHei" w:hAnsi="SimHei" w:cs="SimHei"/>
                                <w:b w:val="0"/>
                                <w:bCs w:val="0"/>
                                <w:color w:val="474646"/>
                                <w:spacing w:val="0"/>
                                <w:w w:val="100"/>
                                <w:position w:val="0"/>
                                <w:sz w:val="11"/>
                                <w:szCs w:val="11"/>
                              </w:rPr>
                              <w:t>溶解氧传感器</w:t>
                            </w:r>
                          </w:p>
                        </w:txbxContent>
                      </wps:txbx>
                      <wps:bodyPr lIns="0" tIns="0" rIns="0" bIns="0">
                        <a:noAutoFit/>
                      </wps:bodyPr>
                    </wps:wsp>
                  </a:graphicData>
                </a:graphic>
              </wp:anchor>
            </w:drawing>
          </mc:Choice>
          <mc:Fallback>
            <w:pict>
              <v:shape id="_x0000_s1040" type="#_x0000_t202" style="position:absolute;margin-left:470.69999999999999pt;margin-top:213.55000000000001pt;width:57.350000000000001pt;height:35.050000000000004pt;z-index:251657735;mso-wrap-distance-left:0;mso-wrap-distance-right:0;mso-position-horizontal-relative:page" filled="f" stroked="f">
                <v:textbox inset="0,0,0,0">
                  <w:txbxContent>
                    <w:p>
                      <w:pPr>
                        <w:pStyle w:val="Style33"/>
                        <w:keepNext w:val="0"/>
                        <w:keepLines w:val="0"/>
                        <w:widowControl w:val="0"/>
                        <w:shd w:val="clear" w:color="auto" w:fill="auto"/>
                        <w:bidi w:val="0"/>
                        <w:spacing w:before="0" w:after="100" w:line="240" w:lineRule="auto"/>
                        <w:ind w:left="0" w:right="0" w:firstLine="0"/>
                        <w:jc w:val="left"/>
                        <w:rPr>
                          <w:sz w:val="11"/>
                          <w:szCs w:val="11"/>
                        </w:rPr>
                      </w:pPr>
                      <w:r>
                        <w:rPr>
                          <w:rFonts w:ascii="Segoe UI" w:eastAsia="Segoe UI" w:hAnsi="Segoe UI" w:cs="Segoe UI"/>
                          <w:color w:val="6D6D6D"/>
                          <w:spacing w:val="0"/>
                          <w:w w:val="100"/>
                          <w:position w:val="0"/>
                          <w:sz w:val="12"/>
                          <w:szCs w:val="12"/>
                        </w:rPr>
                        <w:t>PH</w:t>
                      </w:r>
                      <w:r>
                        <w:rPr>
                          <w:rFonts w:ascii="SimHei" w:eastAsia="SimHei" w:hAnsi="SimHei" w:cs="SimHei"/>
                          <w:b w:val="0"/>
                          <w:bCs w:val="0"/>
                          <w:color w:val="6D6D6D"/>
                          <w:spacing w:val="0"/>
                          <w:w w:val="100"/>
                          <w:position w:val="0"/>
                          <w:sz w:val="11"/>
                          <w:szCs w:val="11"/>
                        </w:rPr>
                        <w:t>水质检测</w:t>
                      </w:r>
                      <w:r>
                        <w:rPr>
                          <w:rFonts w:ascii="SimHei" w:eastAsia="SimHei" w:hAnsi="SimHei" w:cs="SimHei"/>
                          <w:b w:val="0"/>
                          <w:bCs w:val="0"/>
                          <w:color w:val="474646"/>
                          <w:spacing w:val="0"/>
                          <w:w w:val="100"/>
                          <w:position w:val="0"/>
                          <w:sz w:val="11"/>
                          <w:szCs w:val="11"/>
                        </w:rPr>
                        <w:t>传感器</w:t>
                      </w:r>
                    </w:p>
                    <w:p>
                      <w:pPr>
                        <w:pStyle w:val="Style33"/>
                        <w:keepNext w:val="0"/>
                        <w:keepLines w:val="0"/>
                        <w:widowControl w:val="0"/>
                        <w:shd w:val="clear" w:color="auto" w:fill="auto"/>
                        <w:bidi w:val="0"/>
                        <w:spacing w:before="0" w:after="100" w:line="240" w:lineRule="auto"/>
                        <w:ind w:left="0" w:right="0" w:firstLine="0"/>
                        <w:jc w:val="left"/>
                        <w:rPr>
                          <w:sz w:val="11"/>
                          <w:szCs w:val="11"/>
                        </w:rPr>
                      </w:pPr>
                      <w:r>
                        <w:rPr>
                          <w:rFonts w:ascii="Segoe UI" w:eastAsia="Segoe UI" w:hAnsi="Segoe UI" w:cs="Segoe UI"/>
                          <w:color w:val="6D6D6D"/>
                          <w:spacing w:val="0"/>
                          <w:w w:val="100"/>
                          <w:position w:val="0"/>
                          <w:sz w:val="12"/>
                          <w:szCs w:val="12"/>
                        </w:rPr>
                        <w:t>OPRg</w:t>
                      </w:r>
                      <w:r>
                        <w:rPr>
                          <w:rFonts w:ascii="SimHei" w:eastAsia="SimHei" w:hAnsi="SimHei" w:cs="SimHei"/>
                          <w:b w:val="0"/>
                          <w:bCs w:val="0"/>
                          <w:color w:val="474646"/>
                          <w:spacing w:val="0"/>
                          <w:w w:val="100"/>
                          <w:position w:val="0"/>
                          <w:sz w:val="11"/>
                          <w:szCs w:val="11"/>
                        </w:rPr>
                        <w:t>丰洌专感器</w:t>
                      </w:r>
                    </w:p>
                    <w:p>
                      <w:pPr>
                        <w:pStyle w:val="Style33"/>
                        <w:keepNext w:val="0"/>
                        <w:keepLines w:val="0"/>
                        <w:widowControl w:val="0"/>
                        <w:shd w:val="clear" w:color="auto" w:fill="auto"/>
                        <w:bidi w:val="0"/>
                        <w:spacing w:before="0" w:after="100" w:line="240" w:lineRule="auto"/>
                        <w:ind w:left="0" w:right="0" w:firstLine="0"/>
                        <w:jc w:val="left"/>
                        <w:rPr>
                          <w:sz w:val="11"/>
                          <w:szCs w:val="11"/>
                        </w:rPr>
                      </w:pPr>
                      <w:r>
                        <w:rPr>
                          <w:rFonts w:ascii="SimHei" w:eastAsia="SimHei" w:hAnsi="SimHei" w:cs="SimHei"/>
                          <w:b w:val="0"/>
                          <w:bCs w:val="0"/>
                          <w:color w:val="474646"/>
                          <w:spacing w:val="0"/>
                          <w:w w:val="100"/>
                          <w:position w:val="0"/>
                          <w:sz w:val="11"/>
                          <w:szCs w:val="11"/>
                        </w:rPr>
                        <w:t>溶解氧传感器</w:t>
                      </w:r>
                    </w:p>
                  </w:txbxContent>
                </v:textbox>
                <w10:wrap anchorx="page"/>
              </v:shape>
            </w:pict>
          </mc:Fallback>
        </mc:AlternateContent>
      </w:r>
      <w:r>
        <w:drawing>
          <wp:anchor distT="3945890" distB="362585" distL="0" distR="0" simplePos="0" relativeHeight="125829381" behindDoc="0" locked="0" layoutInCell="1" allowOverlap="1">
            <wp:simplePos x="0" y="0"/>
            <wp:positionH relativeFrom="page">
              <wp:posOffset>747395</wp:posOffset>
            </wp:positionH>
            <wp:positionV relativeFrom="paragraph">
              <wp:posOffset>3945890</wp:posOffset>
            </wp:positionV>
            <wp:extent cx="6059170" cy="2273935"/>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3"/>
                    <a:stretch/>
                  </pic:blipFill>
                  <pic:spPr>
                    <a:xfrm>
                      <a:ext cx="6059170" cy="227393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984885</wp:posOffset>
                </wp:positionH>
                <wp:positionV relativeFrom="paragraph">
                  <wp:posOffset>3586480</wp:posOffset>
                </wp:positionV>
                <wp:extent cx="1554480" cy="164465"/>
                <wp:wrapNone/>
                <wp:docPr id="18" name="Shape 18"/>
                <a:graphic xmlns:a="http://schemas.openxmlformats.org/drawingml/2006/main">
                  <a:graphicData uri="http://schemas.microsoft.com/office/word/2010/wordprocessingShape">
                    <wps:wsp>
                      <wps:cNvSpPr txBox="1"/>
                      <wps:spPr>
                        <a:xfrm>
                          <a:ext cx="1554480" cy="16446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（2）公司传感器发展历程</w:t>
                            </w:r>
                          </w:p>
                        </w:txbxContent>
                      </wps:txbx>
                      <wps:bodyPr lIns="0" tIns="0" rIns="0" bIns="0">
                        <a:noAutoFit/>
                      </wps:bodyPr>
                    </wps:wsp>
                  </a:graphicData>
                </a:graphic>
              </wp:anchor>
            </w:drawing>
          </mc:Choice>
          <mc:Fallback>
            <w:pict>
              <v:shape id="_x0000_s1044" type="#_x0000_t202" style="position:absolute;margin-left:77.549999999999997pt;margin-top:282.40000000000003pt;width:122.40000000000001pt;height:12.950000000000001pt;z-index:251657737;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（2）公司传感器发展历程</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984885</wp:posOffset>
                </wp:positionH>
                <wp:positionV relativeFrom="paragraph">
                  <wp:posOffset>6414770</wp:posOffset>
                </wp:positionV>
                <wp:extent cx="2221865" cy="164465"/>
                <wp:wrapNone/>
                <wp:docPr id="20" name="Shape 20"/>
                <a:graphic xmlns:a="http://schemas.openxmlformats.org/drawingml/2006/main">
                  <a:graphicData uri="http://schemas.microsoft.com/office/word/2010/wordprocessingShape">
                    <wps:wsp>
                      <wps:cNvSpPr txBox="1"/>
                      <wps:spPr>
                        <a:xfrm>
                          <a:ext cx="2221865" cy="16446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（3）公司主流气体传感器的应用领域</w:t>
                            </w:r>
                          </w:p>
                        </w:txbxContent>
                      </wps:txbx>
                      <wps:bodyPr lIns="0" tIns="0" rIns="0" bIns="0">
                        <a:noAutoFit/>
                      </wps:bodyPr>
                    </wps:wsp>
                  </a:graphicData>
                </a:graphic>
              </wp:anchor>
            </w:drawing>
          </mc:Choice>
          <mc:Fallback>
            <w:pict>
              <v:shape id="_x0000_s1046" type="#_x0000_t202" style="position:absolute;margin-left:77.549999999999997pt;margin-top:505.10000000000002pt;width:174.95000000000002pt;height:12.950000000000001pt;z-index:251657739;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（3）公司主流气体传感器的应用领域</w:t>
                      </w:r>
                    </w:p>
                  </w:txbxContent>
                </v:textbox>
                <w10:wrap anchorx="page"/>
              </v:shape>
            </w:pict>
          </mc:Fallback>
        </mc:AlternateContent>
      </w:r>
      <w:r>
        <w:br w:type="page"/>
      </w:r>
    </w:p>
    <w:p>
      <w:pPr>
        <w:widowControl w:val="0"/>
        <w:jc w:val="center"/>
        <w:rPr>
          <w:sz w:val="2"/>
          <w:szCs w:val="2"/>
        </w:rPr>
      </w:pPr>
      <w:r>
        <w:drawing>
          <wp:inline>
            <wp:extent cx="6120130" cy="362077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stretch/>
                  </pic:blipFill>
                  <pic:spPr>
                    <a:xfrm>
                      <a:ext cx="6120130" cy="3620770"/>
                    </a:xfrm>
                    <a:prstGeom prst="rect"/>
                  </pic:spPr>
                </pic:pic>
              </a:graphicData>
            </a:graphic>
          </wp:inline>
        </w:drawing>
      </w:r>
    </w:p>
    <w:p>
      <w:pPr>
        <w:widowControl w:val="0"/>
        <w:spacing w:after="33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418" w:right="0" w:firstLine="0"/>
        <w:jc w:val="left"/>
      </w:pPr>
      <w:r>
        <w:rPr>
          <w:color w:val="000000"/>
          <w:spacing w:val="0"/>
          <w:w w:val="100"/>
          <w:position w:val="0"/>
        </w:rPr>
        <w:t>（4）产品概述</w:t>
      </w:r>
    </w:p>
    <w:tbl>
      <w:tblPr>
        <w:tblOverlap w:val="never"/>
        <w:jc w:val="center"/>
        <w:tblLayout w:type="fixed"/>
      </w:tblPr>
      <w:tblGrid>
        <w:gridCol w:w="2366"/>
        <w:gridCol w:w="2635"/>
        <w:gridCol w:w="1810"/>
        <w:gridCol w:w="2818"/>
      </w:tblGrid>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产品类别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功能介绍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图示</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应用场景</w:t>
            </w:r>
          </w:p>
        </w:tc>
      </w:tr>
      <w:tr>
        <w:trPr>
          <w:trHeight w:val="19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金属氧化物半导体</w:t>
            </w:r>
            <w:r>
              <w:rPr>
                <w:b/>
                <w:bCs/>
                <w:color w:val="000000"/>
                <w:spacing w:val="0"/>
                <w:w w:val="100"/>
                <w:position w:val="0"/>
              </w:rPr>
              <w:t xml:space="preserve">（MOS） </w:t>
            </w:r>
            <w:r>
              <w:rPr>
                <w:b/>
                <w:bCs/>
                <w:color w:val="000000"/>
                <w:spacing w:val="0"/>
                <w:w w:val="100"/>
                <w:position w:val="0"/>
              </w:rPr>
              <w:t>气体传感器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全球主流的经济型气体传感 器。物联网时代的低功耗、 小型化的</w:t>
            </w:r>
            <w:r>
              <w:rPr>
                <w:color w:val="000000"/>
                <w:spacing w:val="0"/>
                <w:w w:val="100"/>
                <w:position w:val="0"/>
              </w:rPr>
              <w:t>MEMS</w:t>
            </w:r>
            <w:r>
              <w:rPr>
                <w:color w:val="000000"/>
                <w:spacing w:val="0"/>
                <w:w w:val="100"/>
                <w:position w:val="0"/>
              </w:rPr>
              <w:t>传感器也是其 主要的技术品种。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4"/>
                <w:szCs w:val="154"/>
              </w:rPr>
            </w:pPr>
            <w:r>
              <w:rPr>
                <w:color w:val="1277BD"/>
                <w:spacing w:val="0"/>
                <w:w w:val="100"/>
                <w:position w:val="0"/>
                <w:sz w:val="154"/>
                <w:szCs w:val="154"/>
              </w:rPr>
              <w:t>囹</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家庭、工厂、商业用所的可燃 气体监测，防火/安全探测系 统；家电、汽车空气质量</w:t>
            </w:r>
            <w:r>
              <w:rPr>
                <w:color w:val="000000"/>
                <w:spacing w:val="0"/>
                <w:w w:val="100"/>
                <w:position w:val="0"/>
              </w:rPr>
              <w:t xml:space="preserve">（AQS） </w:t>
            </w:r>
            <w:r>
              <w:rPr>
                <w:color w:val="000000"/>
                <w:spacing w:val="0"/>
                <w:w w:val="100"/>
                <w:position w:val="0"/>
              </w:rPr>
              <w:t>监测；用于烹饪和食物鲜度、 医疗方面的传感阵列嗅觉智能 技术。</w:t>
            </w:r>
          </w:p>
        </w:tc>
      </w:tr>
      <w:tr>
        <w:trPr>
          <w:trHeight w:val="15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电化学气体传感器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测量毒性气体经济适用的气 体传感器品种，具有优良的 精度和成本。</w:t>
            </w:r>
          </w:p>
        </w:tc>
        <w:tc>
          <w:tcPr>
            <w:tcBorders>
              <w:top w:val="single" w:sz="4"/>
            </w:tcBorders>
            <w:shd w:val="clear" w:color="auto" w:fill="086ABD"/>
            <w:vAlign w:val="top"/>
          </w:tcPr>
          <w:p>
            <w:pPr>
              <w:pStyle w:val="Style2"/>
              <w:keepNext w:val="0"/>
              <w:keepLines w:val="0"/>
              <w:widowControl w:val="0"/>
              <w:pBdr>
                <w:top w:val="single" w:sz="0" w:space="0" w:color="0969BC"/>
                <w:left w:val="single" w:sz="0" w:space="0" w:color="0969BC"/>
                <w:bottom w:val="single" w:sz="0" w:space="0" w:color="0969BC"/>
                <w:right w:val="single" w:sz="0" w:space="0" w:color="0969BC"/>
              </w:pBdr>
              <w:shd w:val="clear" w:color="auto" w:fill="0969BC"/>
              <w:bidi w:val="0"/>
              <w:spacing w:before="0" w:after="0" w:line="240" w:lineRule="auto"/>
              <w:ind w:left="0" w:right="0" w:firstLine="0"/>
              <w:jc w:val="center"/>
              <w:rPr>
                <w:sz w:val="108"/>
                <w:szCs w:val="108"/>
              </w:rPr>
            </w:pPr>
            <w:r>
              <w:rPr>
                <w:rFonts w:ascii="Arial" w:eastAsia="Arial" w:hAnsi="Arial" w:cs="Arial"/>
                <w:color w:val="D5EEF5"/>
                <w:spacing w:val="0"/>
                <w:w w:val="100"/>
                <w:position w:val="0"/>
                <w:sz w:val="108"/>
                <w:szCs w:val="108"/>
              </w:rPr>
              <w:t>[Hl</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工业及安防、环保领域的有毒 有害气体检测，用于安全仪表、 酒精、甲醛、</w:t>
            </w:r>
            <w:r>
              <w:rPr>
                <w:color w:val="000000"/>
                <w:spacing w:val="0"/>
                <w:w w:val="100"/>
                <w:position w:val="0"/>
              </w:rPr>
              <w:t>H2</w:t>
            </w:r>
            <w:r>
              <w:rPr>
                <w:color w:val="000000"/>
                <w:spacing w:val="0"/>
                <w:w w:val="100"/>
                <w:position w:val="0"/>
              </w:rPr>
              <w:t>检测。</w:t>
            </w:r>
          </w:p>
        </w:tc>
      </w:tr>
      <w:tr>
        <w:trPr>
          <w:trHeight w:val="19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催化燃烧式气体传感器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全球主流的工业可燃气体探 测传感器品种，精度高，经 济。</w:t>
            </w:r>
          </w:p>
        </w:tc>
        <w:tc>
          <w:tcPr>
            <w:tcBorders>
              <w:top w:val="single" w:sz="4"/>
            </w:tcBorders>
            <w:shd w:val="clear" w:color="auto" w:fill="086ABD"/>
            <w:vAlign w:val="top"/>
          </w:tcPr>
          <w:p>
            <w:pPr>
              <w:widowControl w:val="0"/>
              <w:rPr>
                <w:sz w:val="10"/>
                <w:szCs w:val="10"/>
              </w:rPr>
            </w:pPr>
          </w:p>
        </w:tc>
        <w:tc>
          <w:tcPr>
            <w:tcBorders>
              <w:top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工业现场的天然气、液化气、 煤气、烷类等可燃性气体及汽 油、醇、酮、苯等有机溶剂蒸 汽的浓度检测；可燃性气体泄 漏报警器；可燃性气体探测器; 气体浓度计。</w:t>
            </w:r>
          </w:p>
        </w:tc>
      </w:tr>
    </w:tbl>
    <w:p>
      <w:pPr>
        <w:widowControl w:val="0"/>
        <w:spacing w:line="1" w:lineRule="exact"/>
      </w:pPr>
      <w:r>
        <w:br w:type="page"/>
      </w:r>
    </w:p>
    <w:tbl>
      <w:tblPr>
        <w:tblOverlap w:val="never"/>
        <w:jc w:val="center"/>
        <w:tblLayout w:type="fixed"/>
      </w:tblPr>
      <w:tblGrid>
        <w:gridCol w:w="2366"/>
        <w:gridCol w:w="2635"/>
        <w:gridCol w:w="1810"/>
        <w:gridCol w:w="2818"/>
      </w:tblGrid>
      <w:tr>
        <w:trPr>
          <w:trHeight w:val="15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热线型气体传感器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可实现</w:t>
            </w:r>
            <w:r>
              <w:rPr>
                <w:color w:val="000000"/>
                <w:spacing w:val="0"/>
                <w:w w:val="100"/>
                <w:position w:val="0"/>
              </w:rPr>
              <w:t>ppm</w:t>
            </w:r>
            <w:r>
              <w:rPr>
                <w:color w:val="000000"/>
                <w:spacing w:val="0"/>
                <w:w w:val="100"/>
                <w:position w:val="0"/>
              </w:rPr>
              <w:t>至</w:t>
            </w:r>
            <w:r>
              <w:rPr>
                <w:color w:val="000000"/>
                <w:spacing w:val="0"/>
                <w:w w:val="100"/>
                <w:position w:val="0"/>
              </w:rPr>
              <w:t>LEL</w:t>
            </w:r>
            <w:r>
              <w:rPr>
                <w:color w:val="000000"/>
                <w:spacing w:val="0"/>
                <w:w w:val="100"/>
                <w:position w:val="0"/>
              </w:rPr>
              <w:t>量程可燃气 检测。具有量程宽、功耗低、 体积小等优点。</w:t>
            </w:r>
          </w:p>
        </w:tc>
        <w:tc>
          <w:tcPr>
            <w:tcBorders>
              <w:top w:val="single" w:sz="4"/>
            </w:tcBorders>
            <w:shd w:val="clear" w:color="auto" w:fill="086ABD"/>
            <w:vAlign w:val="top"/>
          </w:tcPr>
          <w:p>
            <w:pPr>
              <w:widowControl w:val="0"/>
              <w:rPr>
                <w:sz w:val="10"/>
                <w:szCs w:val="10"/>
              </w:rPr>
            </w:pP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天然气、液化气、煤气等可燃 性气体和各种液体蒸气的浓度 检测，用于安全仪表。</w:t>
            </w:r>
          </w:p>
        </w:tc>
      </w:tr>
      <w:tr>
        <w:trPr>
          <w:trHeight w:val="15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热导式气体传感器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工业、煤矿等领域高浓度气 体检测技术，适用于</w:t>
            </w:r>
            <w:r>
              <w:rPr>
                <w:b/>
                <w:bCs/>
                <w:color w:val="000000"/>
                <w:spacing w:val="0"/>
                <w:w w:val="100"/>
                <w:position w:val="0"/>
              </w:rPr>
              <w:t>0</w:t>
            </w:r>
            <w:r>
              <w:rPr>
                <w:color w:val="000000"/>
                <w:spacing w:val="0"/>
                <w:w w:val="100"/>
                <w:position w:val="0"/>
              </w:rPr>
              <w:t xml:space="preserve">〜 </w:t>
            </w:r>
            <w:r>
              <w:rPr>
                <w:color w:val="000000"/>
                <w:spacing w:val="0"/>
                <w:w w:val="100"/>
                <w:position w:val="0"/>
              </w:rPr>
              <w:t>100%V0L</w:t>
            </w:r>
            <w:r>
              <w:rPr>
                <w:color w:val="000000"/>
                <w:spacing w:val="0"/>
                <w:w w:val="100"/>
                <w:position w:val="0"/>
              </w:rPr>
              <w:t>量程，检测不依赖于 氧气。</w:t>
            </w:r>
          </w:p>
        </w:tc>
        <w:tc>
          <w:tcPr>
            <w:tcBorders>
              <w:top w:val="single" w:sz="4"/>
            </w:tcBorders>
            <w:shd w:val="clear" w:color="auto" w:fill="086ABD"/>
            <w:vAlign w:val="top"/>
          </w:tcPr>
          <w:p>
            <w:pPr>
              <w:widowControl w:val="0"/>
              <w:rPr>
                <w:sz w:val="10"/>
                <w:szCs w:val="10"/>
              </w:rPr>
            </w:pP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工业现场甲烷、丙烷、氢气等 可燃气以及</w:t>
            </w:r>
            <w:r>
              <w:rPr>
                <w:color w:val="000000"/>
                <w:spacing w:val="0"/>
                <w:w w:val="100"/>
                <w:position w:val="0"/>
              </w:rPr>
              <w:t>C02、</w:t>
            </w:r>
            <w:r>
              <w:rPr>
                <w:color w:val="000000"/>
                <w:spacing w:val="0"/>
                <w:w w:val="100"/>
                <w:position w:val="0"/>
              </w:rPr>
              <w:t>氦气、氩气等 惰性气体等的全量程浓度检 测。</w:t>
            </w:r>
          </w:p>
        </w:tc>
      </w:tr>
      <w:tr>
        <w:trPr>
          <w:trHeight w:val="15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固体电解质气体传感器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固体电解质材料体系的全固 态电化学气体检测技术，适 用于高温、高湿严酷环境下 02、</w:t>
            </w:r>
            <w:r>
              <w:rPr>
                <w:color w:val="000000"/>
                <w:spacing w:val="0"/>
                <w:w w:val="100"/>
                <w:position w:val="0"/>
              </w:rPr>
              <w:t>C02、H2S、NH3</w:t>
            </w:r>
            <w:r>
              <w:rPr>
                <w:color w:val="000000"/>
                <w:spacing w:val="0"/>
                <w:w w:val="100"/>
                <w:position w:val="0"/>
              </w:rPr>
              <w:t>等气体检 测，体积小、成本优势。</w:t>
            </w:r>
          </w:p>
        </w:tc>
        <w:tc>
          <w:tcPr>
            <w:tcBorders>
              <w:top w:val="single" w:sz="4"/>
            </w:tcBorders>
            <w:shd w:val="clear" w:color="auto" w:fill="086ABD"/>
            <w:vAlign w:val="top"/>
          </w:tcPr>
          <w:p>
            <w:pPr>
              <w:widowControl w:val="0"/>
              <w:rPr>
                <w:sz w:val="10"/>
                <w:szCs w:val="10"/>
              </w:rPr>
            </w:pP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汽车发动机燃烧控制、排放监 测；空气质量控制；工业现场 毒气监测。</w:t>
            </w:r>
          </w:p>
        </w:tc>
      </w:tr>
      <w:tr>
        <w:trPr>
          <w:trHeight w:val="16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红外（</w:t>
            </w:r>
            <w:r>
              <w:rPr>
                <w:b/>
                <w:bCs/>
                <w:color w:val="000000"/>
                <w:spacing w:val="0"/>
                <w:w w:val="100"/>
                <w:position w:val="0"/>
              </w:rPr>
              <w:t>NDIR）</w:t>
            </w:r>
            <w:r>
              <w:rPr>
                <w:b/>
                <w:bCs/>
                <w:color w:val="000000"/>
                <w:spacing w:val="0"/>
                <w:w w:val="100"/>
                <w:position w:val="0"/>
              </w:rPr>
              <w:t>气体传感器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红外气体分析技术的微型化 应用，适用于多种气体检测， 可燃气体为主，使用寿命长、 稳定性好，价格偏高。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工业现场的天然气、液化气等 可燃气体及有机溶剂蒸汽的浓 度检测；用于气体检测仪器。</w:t>
            </w:r>
          </w:p>
        </w:tc>
      </w:tr>
      <w:tr>
        <w:trPr>
          <w:trHeight w:val="15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激光气体传感器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激光气体探测技术的微型化 应用，气体选择性好、高精 度，价格高。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煤矿、石化、地下管廊、输气 管道等可燃气体浓度检测，用 于气体检测仪器。</w:t>
            </w:r>
          </w:p>
        </w:tc>
      </w:tr>
      <w:tr>
        <w:trPr>
          <w:trHeight w:val="16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光离子</w:t>
            </w:r>
            <w:r>
              <w:rPr>
                <w:b/>
                <w:bCs/>
                <w:color w:val="000000"/>
                <w:spacing w:val="0"/>
                <w:w w:val="100"/>
                <w:position w:val="0"/>
              </w:rPr>
              <w:t>（PID）</w:t>
            </w:r>
            <w:r>
              <w:rPr>
                <w:b/>
                <w:bCs/>
                <w:color w:val="000000"/>
                <w:spacing w:val="0"/>
                <w:w w:val="100"/>
                <w:position w:val="0"/>
              </w:rPr>
              <w:t>气体传感器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光电离技术，极高的灵敏度， 适用于低浓度挥发性有机化 合物</w:t>
            </w:r>
            <w:r>
              <w:rPr>
                <w:color w:val="000000"/>
                <w:spacing w:val="0"/>
                <w:w w:val="100"/>
                <w:position w:val="0"/>
              </w:rPr>
              <w:t>（V0C）</w:t>
            </w:r>
            <w:r>
              <w:rPr>
                <w:color w:val="000000"/>
                <w:spacing w:val="0"/>
                <w:w w:val="100"/>
                <w:position w:val="0"/>
              </w:rPr>
              <w:t>及毒性气体检测。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应用于各类</w:t>
            </w:r>
            <w:r>
              <w:rPr>
                <w:color w:val="000000"/>
                <w:spacing w:val="0"/>
                <w:w w:val="100"/>
                <w:position w:val="0"/>
              </w:rPr>
              <w:t>V0Cs</w:t>
            </w:r>
            <w:r>
              <w:rPr>
                <w:color w:val="000000"/>
                <w:spacing w:val="0"/>
                <w:w w:val="100"/>
                <w:position w:val="0"/>
              </w:rPr>
              <w:t>检测仪器、分 析仪器。</w:t>
            </w:r>
          </w:p>
        </w:tc>
      </w:tr>
      <w:tr>
        <w:trPr>
          <w:trHeight w:val="15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b/>
                <w:bCs/>
                <w:color w:val="000000"/>
                <w:spacing w:val="0"/>
                <w:w w:val="100"/>
                <w:position w:val="0"/>
              </w:rPr>
              <w:t>红外</w:t>
            </w:r>
            <w:r>
              <w:rPr>
                <w:b/>
                <w:bCs/>
                <w:color w:val="000000"/>
                <w:spacing w:val="0"/>
                <w:w w:val="100"/>
                <w:position w:val="0"/>
              </w:rPr>
              <w:t>（NDIR）CO2</w:t>
            </w:r>
            <w:r>
              <w:rPr>
                <w:b/>
                <w:bCs/>
                <w:color w:val="000000"/>
                <w:spacing w:val="0"/>
                <w:w w:val="100"/>
                <w:position w:val="0"/>
              </w:rPr>
              <w:t>气体传感 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红外气体分析技术微型化应</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用，具有精度高、寿命长、 稳定性好等优点。</w:t>
            </w:r>
          </w:p>
        </w:tc>
        <w:tc>
          <w:tcPr>
            <w:tcBorders>
              <w:top w:val="single" w:sz="4"/>
            </w:tcBorders>
            <w:shd w:val="clear" w:color="auto" w:fill="086ABD"/>
            <w:vAlign w:val="top"/>
          </w:tcPr>
          <w:p>
            <w:pPr>
              <w:pStyle w:val="Style2"/>
              <w:keepNext w:val="0"/>
              <w:keepLines w:val="0"/>
              <w:widowControl w:val="0"/>
              <w:pBdr>
                <w:top w:val="single" w:sz="0" w:space="0" w:color="096ABD"/>
                <w:left w:val="single" w:sz="0" w:space="0" w:color="096ABD"/>
                <w:bottom w:val="single" w:sz="0" w:space="0" w:color="096ABD"/>
                <w:right w:val="single" w:sz="0" w:space="0" w:color="096ABD"/>
              </w:pBdr>
              <w:shd w:val="clear" w:color="auto" w:fill="096ABD"/>
              <w:bidi w:val="0"/>
              <w:spacing w:before="0" w:after="0" w:line="240" w:lineRule="auto"/>
              <w:ind w:left="0" w:right="0" w:firstLine="0"/>
              <w:jc w:val="left"/>
              <w:rPr>
                <w:sz w:val="108"/>
                <w:szCs w:val="108"/>
              </w:rPr>
            </w:pPr>
            <w:r>
              <w:rPr>
                <w:color w:val="FFFFFF"/>
                <w:spacing w:val="0"/>
                <w:w w:val="100"/>
                <w:position w:val="0"/>
                <w:sz w:val="28"/>
                <w:szCs w:val="28"/>
              </w:rPr>
              <w:t>[</w:t>
            </w:r>
            <w:r>
              <w:rPr>
                <w:color w:val="C5C7C2"/>
                <w:spacing w:val="0"/>
                <w:w w:val="100"/>
                <w:position w:val="0"/>
                <w:sz w:val="28"/>
                <w:szCs w:val="28"/>
              </w:rPr>
              <w:t xml:space="preserve">F </w:t>
            </w:r>
            <w:r>
              <w:rPr>
                <w:color w:val="FFFFFF"/>
                <w:spacing w:val="0"/>
                <w:w w:val="100"/>
                <w:position w:val="0"/>
                <w:sz w:val="28"/>
                <w:szCs w:val="28"/>
              </w:rPr>
              <w:t>程:</w:t>
            </w:r>
            <w:r>
              <w:rPr>
                <w:rFonts w:ascii="Arial" w:eastAsia="Arial" w:hAnsi="Arial" w:cs="Arial"/>
                <w:color w:val="FFFFFF"/>
                <w:spacing w:val="0"/>
                <w:w w:val="100"/>
                <w:position w:val="0"/>
                <w:sz w:val="108"/>
                <w:szCs w:val="108"/>
              </w:rPr>
              <w:t>1</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暖通制冷设备，空气质量监控 设备，新风系统，空气净化设 备，智能家居，学校，汽车轿 舱空气质量控制。</w:t>
            </w:r>
          </w:p>
        </w:tc>
      </w:tr>
      <w:tr>
        <w:trPr>
          <w:trHeight w:val="16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激光</w:t>
            </w:r>
            <w:r>
              <w:rPr>
                <w:b/>
                <w:bCs/>
                <w:color w:val="000000"/>
                <w:spacing w:val="0"/>
                <w:w w:val="100"/>
                <w:position w:val="0"/>
              </w:rPr>
              <w:t>P M2.5</w:t>
            </w:r>
            <w:r>
              <w:rPr>
                <w:b/>
                <w:bCs/>
                <w:color w:val="000000"/>
                <w:spacing w:val="0"/>
                <w:w w:val="100"/>
                <w:position w:val="0"/>
              </w:rPr>
              <w:t>传感器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激光散射原理的环境颗粒物 检测传感器。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08"/>
                <w:szCs w:val="108"/>
              </w:rPr>
            </w:pPr>
            <w:r>
              <w:rPr>
                <w:rFonts w:ascii="Arial" w:eastAsia="Arial" w:hAnsi="Arial" w:cs="Arial"/>
                <w:color w:val="1277BD"/>
                <w:spacing w:val="0"/>
                <w:w w:val="100"/>
                <w:position w:val="0"/>
                <w:sz w:val="108"/>
                <w:szCs w:val="108"/>
              </w:rPr>
              <w:t>o</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空气净化器、新风系统、空调 等消费类电子产品等设备的配 套。汽车轿舱空气质量控制。</w:t>
            </w:r>
          </w:p>
        </w:tc>
      </w:tr>
    </w:tbl>
    <w:p>
      <w:pPr>
        <w:widowControl w:val="0"/>
        <w:spacing w:line="1" w:lineRule="exact"/>
      </w:pPr>
      <w:r>
        <w:br w:type="page"/>
      </w:r>
    </w:p>
    <w:tbl>
      <w:tblPr>
        <w:tblOverlap w:val="never"/>
        <w:jc w:val="center"/>
        <w:tblLayout w:type="fixed"/>
      </w:tblPr>
      <w:tblGrid>
        <w:gridCol w:w="2366"/>
        <w:gridCol w:w="2659"/>
        <w:gridCol w:w="1762"/>
        <w:gridCol w:w="2842"/>
      </w:tblGrid>
      <w:tr>
        <w:trPr>
          <w:trHeight w:val="15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红外</w:t>
            </w:r>
            <w:r>
              <w:rPr>
                <w:b/>
                <w:bCs/>
                <w:color w:val="000000"/>
                <w:spacing w:val="0"/>
                <w:w w:val="100"/>
                <w:position w:val="0"/>
              </w:rPr>
              <w:t>P M2.5</w:t>
            </w:r>
            <w:r>
              <w:rPr>
                <w:b/>
                <w:bCs/>
                <w:color w:val="000000"/>
                <w:spacing w:val="0"/>
                <w:w w:val="100"/>
                <w:position w:val="0"/>
              </w:rPr>
              <w:t>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红外光散射原理的经济型环 境颗粒物传感器传感器。</w:t>
            </w:r>
          </w:p>
        </w:tc>
        <w:tc>
          <w:tcPr>
            <w:tcBorders>
              <w:top w:val="single" w:sz="4"/>
              <w:left w:val="single" w:sz="4"/>
            </w:tcBorders>
            <w:shd w:val="clear" w:color="auto" w:fill="086ABD"/>
            <w:vAlign w:val="bottom"/>
          </w:tcPr>
          <w:p>
            <w:pPr>
              <w:pStyle w:val="Style2"/>
              <w:keepNext w:val="0"/>
              <w:keepLines w:val="0"/>
              <w:widowControl w:val="0"/>
              <w:pBdr>
                <w:top w:val="single" w:sz="0" w:space="0" w:color="086ABD"/>
                <w:left w:val="single" w:sz="0" w:space="0" w:color="086ABD"/>
                <w:bottom w:val="single" w:sz="0" w:space="0" w:color="086ABD"/>
                <w:right w:val="single" w:sz="0" w:space="0" w:color="086ABD"/>
              </w:pBdr>
              <w:shd w:val="clear" w:color="auto" w:fill="086ABD"/>
              <w:bidi w:val="0"/>
              <w:spacing w:before="0" w:after="0" w:line="240" w:lineRule="auto"/>
              <w:ind w:left="0" w:right="0" w:hanging="160"/>
              <w:jc w:val="both"/>
              <w:rPr>
                <w:sz w:val="210"/>
                <w:szCs w:val="210"/>
              </w:rPr>
            </w:pPr>
            <w:r>
              <w:rPr>
                <w:rFonts w:ascii="Arial" w:eastAsia="Arial" w:hAnsi="Arial" w:cs="Arial"/>
                <w:color w:val="FFFFFF"/>
                <w:spacing w:val="0"/>
                <w:w w:val="100"/>
                <w:position w:val="0"/>
                <w:sz w:val="210"/>
                <w:szCs w:val="210"/>
              </w:rPr>
              <w:t>E3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空气净化器、清新机；新风系 统、空调系统。汽车轿舱空气 质量控制。</w:t>
            </w:r>
          </w:p>
        </w:tc>
      </w:tr>
      <w:tr>
        <w:trPr>
          <w:trHeight w:val="16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湿度传感器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环境湿度检测传感器，包括 电阻、电容型传感器及基于 </w:t>
            </w:r>
            <w:r>
              <w:rPr>
                <w:color w:val="000000"/>
                <w:spacing w:val="0"/>
                <w:w w:val="100"/>
                <w:position w:val="0"/>
              </w:rPr>
              <w:t>MEMS</w:t>
            </w:r>
            <w:r>
              <w:rPr>
                <w:color w:val="000000"/>
                <w:spacing w:val="0"/>
                <w:w w:val="100"/>
                <w:position w:val="0"/>
              </w:rPr>
              <w:t>工艺的环境湿度传感 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hanging="160"/>
              <w:jc w:val="left"/>
              <w:rPr>
                <w:sz w:val="154"/>
                <w:szCs w:val="154"/>
              </w:rPr>
            </w:pPr>
            <w:r>
              <w:rPr>
                <w:color w:val="1277BD"/>
                <w:spacing w:val="0"/>
                <w:w w:val="100"/>
                <w:position w:val="0"/>
                <w:sz w:val="154"/>
                <w:szCs w:val="154"/>
              </w:rPr>
              <w:t>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环境监测、家用电器、仓贮、 工业生产、过程控制、气象。</w:t>
            </w:r>
          </w:p>
        </w:tc>
      </w:tr>
      <w:tr>
        <w:trPr>
          <w:trHeight w:val="15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流量传感器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MEMS</w:t>
            </w:r>
            <w:r>
              <w:rPr>
                <w:color w:val="000000"/>
                <w:spacing w:val="0"/>
                <w:w w:val="100"/>
                <w:position w:val="0"/>
              </w:rPr>
              <w:t>工艺的热力学流量检测 传感器，适用于微小量程气 体流量检测，功耗较低，响 应时间较快。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60" w:firstLine="0"/>
              <w:jc w:val="right"/>
              <w:rPr>
                <w:sz w:val="108"/>
                <w:szCs w:val="108"/>
              </w:rPr>
            </w:pPr>
            <w:r>
              <w:rPr>
                <w:rFonts w:ascii="Arial" w:eastAsia="Arial" w:hAnsi="Arial" w:cs="Arial"/>
                <w:color w:val="14252C"/>
                <w:spacing w:val="0"/>
                <w:w w:val="100"/>
                <w:position w:val="0"/>
                <w:sz w:val="108"/>
                <w:szCs w:val="10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医疗：呼吸机、麻醉机、制氧 机；环保：分析仪、空气采样 器；工业自动化：流量开关、 流量计、流量控制器。汽车进 气控制。</w:t>
            </w:r>
          </w:p>
        </w:tc>
      </w:tr>
      <w:tr>
        <w:trPr>
          <w:trHeight w:val="15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红外热释电传感器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基于热释电陶瓷的红外线探 测技术，广泛应用于安防、 人体感应开关等领域。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安防产品；人体感应玩具、灯 具、开关、家电；工业自动化 控制，智能家电等。</w:t>
            </w:r>
          </w:p>
        </w:tc>
      </w:tr>
      <w:tr>
        <w:trPr>
          <w:trHeight w:val="16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热电堆传感器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红外热电探测器件，利用塞 贝克效应将红外辐射转成电 信号，非接触测量辐射、温 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适用于医疗、工业、家电等领 域温度检测与控制。耳温、额 温等体温测量；工业生产过程 温度控制；家用电器（微波炉、 护发吹风机、空调等）测温。</w:t>
            </w:r>
          </w:p>
        </w:tc>
      </w:tr>
      <w:tr>
        <w:trPr>
          <w:trHeight w:val="15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红外光电传感器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红外光子探测器件，红外光 辐射与敏感元相互作用产生 光生载流子形成电信号，响 应速度快。</w:t>
            </w:r>
          </w:p>
        </w:tc>
        <w:tc>
          <w:tcPr>
            <w:tcBorders>
              <w:top w:val="single" w:sz="4"/>
              <w:left w:val="single" w:sz="4"/>
            </w:tcBorders>
            <w:shd w:val="clear" w:color="auto" w:fill="086ABD"/>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适用于环境和医疗领域</w:t>
            </w:r>
            <w:r>
              <w:rPr>
                <w:color w:val="000000"/>
                <w:spacing w:val="0"/>
                <w:w w:val="100"/>
                <w:position w:val="0"/>
              </w:rPr>
              <w:t>CH4、 CO2</w:t>
            </w:r>
            <w:r>
              <w:rPr>
                <w:color w:val="000000"/>
                <w:spacing w:val="0"/>
                <w:w w:val="100"/>
                <w:position w:val="0"/>
              </w:rPr>
              <w:t>和</w:t>
            </w:r>
            <w:r>
              <w:rPr>
                <w:color w:val="000000"/>
                <w:spacing w:val="0"/>
                <w:w w:val="100"/>
                <w:position w:val="0"/>
              </w:rPr>
              <w:t>CO</w:t>
            </w:r>
            <w:r>
              <w:rPr>
                <w:color w:val="000000"/>
                <w:spacing w:val="0"/>
                <w:w w:val="100"/>
                <w:position w:val="0"/>
              </w:rPr>
              <w:t>气体检测，工业安全领 域火焰和火花探测，红外光谱 分析仪器，军事领域制导和抑 爆、灭火。</w:t>
            </w:r>
          </w:p>
        </w:tc>
      </w:tr>
      <w:tr>
        <w:trPr>
          <w:trHeight w:val="15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柔性压力传感器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一种柔韧薄膜力学传感器， 主要用于压缩力检测。具有 灵敏度高、柔韧轻薄、检测 功耗低等优点。</w:t>
            </w:r>
          </w:p>
        </w:tc>
        <w:tc>
          <w:tcPr>
            <w:tcBorders>
              <w:top w:val="single" w:sz="4"/>
              <w:left w:val="single" w:sz="4"/>
            </w:tcBorders>
            <w:shd w:val="clear" w:color="auto" w:fill="086ABD"/>
            <w:vAlign w:val="center"/>
          </w:tcPr>
          <w:p>
            <w:pPr>
              <w:pStyle w:val="Style2"/>
              <w:keepNext w:val="0"/>
              <w:keepLines w:val="0"/>
              <w:widowControl w:val="0"/>
              <w:pBdr>
                <w:top w:val="single" w:sz="0" w:space="0" w:color="0869BD"/>
                <w:left w:val="single" w:sz="0" w:space="0" w:color="0869BD"/>
                <w:bottom w:val="single" w:sz="0" w:space="0" w:color="0869BD"/>
                <w:right w:val="single" w:sz="0" w:space="0" w:color="0869BD"/>
              </w:pBdr>
              <w:shd w:val="clear" w:color="auto" w:fill="0869BD"/>
              <w:bidi w:val="0"/>
              <w:spacing w:before="0" w:after="0" w:line="240" w:lineRule="auto"/>
              <w:ind w:left="0" w:right="0" w:firstLine="260"/>
              <w:jc w:val="left"/>
              <w:rPr>
                <w:sz w:val="108"/>
                <w:szCs w:val="108"/>
              </w:rPr>
            </w:pPr>
            <w:r>
              <w:rPr>
                <w:rFonts w:ascii="Arial" w:eastAsia="Arial" w:hAnsi="Arial" w:cs="Arial"/>
                <w:color w:val="BFE4E1"/>
                <w:spacing w:val="0"/>
                <w:w w:val="100"/>
                <w:position w:val="0"/>
                <w:sz w:val="108"/>
                <w:szCs w:val="108"/>
                <w:vertAlign w:val="superscript"/>
              </w:rPr>
              <w:t>11</w:t>
            </w:r>
            <w:r>
              <w:rPr>
                <w:rFonts w:ascii="Arial" w:eastAsia="Arial" w:hAnsi="Arial" w:cs="Arial"/>
                <w:color w:val="BFE4E1"/>
                <w:spacing w:val="0"/>
                <w:w w:val="100"/>
                <w:position w:val="0"/>
                <w:sz w:val="108"/>
                <w:szCs w:val="108"/>
              </w:rPr>
              <w:t xml:space="preserve"> </w:t>
            </w:r>
            <w:r>
              <w:rPr>
                <w:rFonts w:ascii="Arial" w:eastAsia="Arial" w:hAnsi="Arial" w:cs="Arial"/>
                <w:color w:val="BFE4E1"/>
                <w:spacing w:val="0"/>
                <w:w w:val="100"/>
                <w:position w:val="0"/>
                <w:sz w:val="108"/>
                <w:szCs w:val="108"/>
              </w:rPr>
              <w:t>J</w:t>
            </w:r>
          </w:p>
          <w:p>
            <w:pPr>
              <w:pStyle w:val="Style2"/>
              <w:keepNext w:val="0"/>
              <w:keepLines w:val="0"/>
              <w:widowControl w:val="0"/>
              <w:pBdr>
                <w:top w:val="single" w:sz="0" w:space="0" w:color="0869BD"/>
                <w:left w:val="single" w:sz="0" w:space="0" w:color="0869BD"/>
                <w:bottom w:val="single" w:sz="0" w:space="0" w:color="0869BD"/>
                <w:right w:val="single" w:sz="0" w:space="0" w:color="0869BD"/>
              </w:pBdr>
              <w:shd w:val="clear" w:color="auto" w:fill="0869BD"/>
              <w:bidi w:val="0"/>
              <w:spacing w:before="0" w:after="0" w:line="180" w:lineRule="auto"/>
              <w:ind w:left="0" w:right="0" w:firstLine="0"/>
              <w:jc w:val="center"/>
              <w:rPr>
                <w:sz w:val="108"/>
                <w:szCs w:val="108"/>
              </w:rPr>
            </w:pPr>
            <w:r>
              <w:rPr>
                <w:rFonts w:ascii="Arial" w:eastAsia="Arial" w:hAnsi="Arial" w:cs="Arial"/>
                <w:color w:val="BFE4E1"/>
                <w:spacing w:val="0"/>
                <w:w w:val="100"/>
                <w:position w:val="0"/>
                <w:sz w:val="108"/>
                <w:szCs w:val="108"/>
                <w:u w:val="single"/>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智能穿戴、医疗健康、智能汽 车、家电等领域。</w:t>
            </w:r>
          </w:p>
        </w:tc>
      </w:tr>
      <w:tr>
        <w:trPr>
          <w:trHeight w:val="16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压力传感器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陶瓷、硅压阻压力敏感器件， 适用于气体、液体的中、小 量程压力检测，成本优良等"</w:t>
            </w:r>
          </w:p>
        </w:tc>
        <w:tc>
          <w:tcPr>
            <w:tcBorders>
              <w:top w:val="single" w:sz="4"/>
              <w:left w:val="single" w:sz="4"/>
              <w:bottom w:val="single" w:sz="4"/>
            </w:tcBorders>
            <w:shd w:val="clear" w:color="auto" w:fill="086ABD"/>
            <w:vAlign w:val="bottom"/>
          </w:tcPr>
          <w:p>
            <w:pPr>
              <w:pStyle w:val="Style2"/>
              <w:keepNext w:val="0"/>
              <w:keepLines w:val="0"/>
              <w:widowControl w:val="0"/>
              <w:pBdr>
                <w:top w:val="single" w:sz="0" w:space="0" w:color="0869BD"/>
                <w:left w:val="single" w:sz="0" w:space="0" w:color="0869BD"/>
                <w:bottom w:val="single" w:sz="0" w:space="0" w:color="0869BD"/>
                <w:right w:val="single" w:sz="0" w:space="0" w:color="0869BD"/>
              </w:pBdr>
              <w:shd w:val="clear" w:color="auto" w:fill="0869BD"/>
              <w:bidi w:val="0"/>
              <w:spacing w:before="0" w:after="0" w:line="240" w:lineRule="auto"/>
              <w:ind w:left="0" w:right="0" w:hanging="160"/>
              <w:jc w:val="left"/>
              <w:rPr>
                <w:sz w:val="154"/>
                <w:szCs w:val="154"/>
              </w:rPr>
            </w:pPr>
            <w:r>
              <w:rPr>
                <w:color w:val="BFE4E1"/>
                <w:spacing w:val="0"/>
                <w:w w:val="100"/>
                <w:position w:val="0"/>
                <w:sz w:val="154"/>
                <w:szCs w:val="154"/>
              </w:rPr>
              <w:t>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适用于医疗、工业、家电等领 域温度检测与控制。汽车油路、 气路压力检测。</w:t>
            </w:r>
          </w:p>
        </w:tc>
      </w:tr>
    </w:tbl>
    <w:p>
      <w:pPr>
        <w:widowControl w:val="0"/>
        <w:spacing w:line="1" w:lineRule="exact"/>
      </w:pPr>
      <w:r>
        <w:br w:type="page"/>
      </w:r>
    </w:p>
    <w:tbl>
      <w:tblPr>
        <w:tblOverlap w:val="never"/>
        <w:jc w:val="center"/>
        <w:tblLayout w:type="fixed"/>
      </w:tblPr>
      <w:tblGrid>
        <w:gridCol w:w="2366"/>
        <w:gridCol w:w="2635"/>
        <w:gridCol w:w="1810"/>
        <w:gridCol w:w="2818"/>
      </w:tblGrid>
      <w:tr>
        <w:trPr>
          <w:trHeight w:val="15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压电加速度传感器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采用陶瓷压电效应的加速度 传感器，适用于设备故障监 测。频响宽、坚固耐用。</w:t>
            </w:r>
          </w:p>
        </w:tc>
        <w:tc>
          <w:tcPr>
            <w:tcBorders>
              <w:top w:val="single" w:sz="4"/>
              <w:left w:val="single" w:sz="4"/>
            </w:tcBorders>
            <w:shd w:val="clear" w:color="auto" w:fill="086ABD"/>
            <w:vAlign w:val="top"/>
          </w:tcPr>
          <w:p>
            <w:pPr>
              <w:pStyle w:val="Style2"/>
              <w:keepNext w:val="0"/>
              <w:keepLines w:val="0"/>
              <w:widowControl w:val="0"/>
              <w:pBdr>
                <w:top w:val="single" w:sz="0" w:space="0" w:color="086ABD"/>
                <w:left w:val="single" w:sz="0" w:space="0" w:color="086ABD"/>
                <w:bottom w:val="single" w:sz="0" w:space="0" w:color="086ABD"/>
                <w:right w:val="single" w:sz="0" w:space="0" w:color="086ABD"/>
              </w:pBdr>
              <w:shd w:val="clear" w:color="auto" w:fill="086ABD"/>
              <w:bidi w:val="0"/>
              <w:spacing w:before="0" w:after="0" w:line="240" w:lineRule="auto"/>
              <w:ind w:left="0" w:right="0" w:firstLine="0"/>
              <w:jc w:val="left"/>
              <w:rPr>
                <w:sz w:val="210"/>
                <w:szCs w:val="210"/>
              </w:rPr>
            </w:pPr>
            <w:r>
              <w:rPr>
                <w:rFonts w:ascii="Arial" w:eastAsia="Arial" w:hAnsi="Arial" w:cs="Arial"/>
                <w:color w:val="FFFFFF"/>
                <w:spacing w:val="0"/>
                <w:w w:val="100"/>
                <w:position w:val="0"/>
                <w:sz w:val="210"/>
                <w:szCs w:val="210"/>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船舶、桥梁、建筑、地质、风 电等振动检测；运输过程、工 业电动设备震动监测。</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水质传感器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基于离子电极技术的电化学 传感器，用于水中溶解氧、 </w:t>
            </w:r>
            <w:r>
              <w:rPr>
                <w:color w:val="000000"/>
                <w:spacing w:val="0"/>
                <w:w w:val="100"/>
                <w:position w:val="0"/>
              </w:rPr>
              <w:t>OPR、pH、</w:t>
            </w:r>
            <w:r>
              <w:rPr>
                <w:color w:val="000000"/>
                <w:spacing w:val="0"/>
                <w:w w:val="100"/>
                <w:position w:val="0"/>
              </w:rPr>
              <w:t>氨氮、余氯检测， 功耗低、使用简单。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84"/>
                <w:szCs w:val="84"/>
              </w:rPr>
            </w:pPr>
            <w:r>
              <w:rPr>
                <w:color w:val="22313D"/>
                <w:spacing w:val="0"/>
                <w:w w:val="100"/>
                <w:position w:val="0"/>
                <w:sz w:val="84"/>
                <w:szCs w:val="84"/>
              </w:rPr>
              <w:t>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实验室科研、水厂供水、废水 处理、水产养殖、农田灌溉等 领域的水质检测，也用于环保 仪器。</w:t>
            </w:r>
          </w:p>
        </w:tc>
      </w:tr>
    </w:tbl>
    <w:p>
      <w:pPr>
        <w:pStyle w:val="Style21"/>
        <w:keepNext w:val="0"/>
        <w:keepLines w:val="0"/>
        <w:widowControl w:val="0"/>
        <w:shd w:val="clear" w:color="auto" w:fill="auto"/>
        <w:bidi w:val="0"/>
        <w:spacing w:before="0" w:after="0" w:line="240" w:lineRule="auto"/>
        <w:ind w:left="394" w:right="0" w:firstLine="0"/>
        <w:jc w:val="left"/>
      </w:pPr>
      <w:r>
        <w:rPr>
          <w:color w:val="000000"/>
          <w:spacing w:val="0"/>
          <w:w w:val="100"/>
          <w:position w:val="0"/>
        </w:rPr>
        <w:t>2、仪器仪表</w:t>
      </w:r>
    </w:p>
    <w:p>
      <w:pPr>
        <w:pStyle w:val="Style1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 xml:space="preserve">公司依托传感器核心技术，研发生产了多样化且种类齐全的智能仪表，主要产品包括探测器、报警控 制器、便携式检测仪、家用检测仪及酒精检测仪等门类，广泛应用于工业安全、市政监测、环境监测、燃 </w:t>
      </w:r>
      <w:r>
        <w:rPr>
          <w:color w:val="000000"/>
          <w:spacing w:val="0"/>
          <w:w w:val="100"/>
          <w:position w:val="0"/>
        </w:rPr>
        <w:t>气安全、智能家居与健康等领域，客户基础广泛。</w:t>
      </w:r>
    </w:p>
    <w:p>
      <w:pPr>
        <w:pStyle w:val="Style10"/>
        <w:keepNext w:val="0"/>
        <w:keepLines w:val="0"/>
        <w:widowControl w:val="0"/>
        <w:shd w:val="clear" w:color="auto" w:fill="auto"/>
        <w:bidi w:val="0"/>
        <w:spacing w:before="0" w:after="0" w:line="240" w:lineRule="auto"/>
        <w:ind w:left="0" w:right="0" w:firstLine="440"/>
        <w:jc w:val="left"/>
      </w:pPr>
      <w:bookmarkStart w:id="89" w:name="bookmark89"/>
      <w:r>
        <w:rPr>
          <w:b/>
          <w:bCs/>
          <w:color w:val="000000"/>
          <w:spacing w:val="0"/>
          <w:w w:val="100"/>
          <w:position w:val="0"/>
        </w:rPr>
        <w:t>（</w:t>
      </w:r>
      <w:bookmarkEnd w:id="89"/>
      <w:r>
        <w:rPr>
          <w:b/>
          <w:bCs/>
          <w:color w:val="000000"/>
          <w:spacing w:val="0"/>
          <w:w w:val="100"/>
          <w:position w:val="0"/>
        </w:rPr>
        <w:t>1）公司仪器仪表产品导图</w:t>
      </w:r>
    </w:p>
    <w:p>
      <w:pPr>
        <w:widowControl w:val="0"/>
        <w:spacing w:line="1" w:lineRule="exact"/>
      </w:pPr>
      <w:r>
        <mc:AlternateContent>
          <mc:Choice Requires="wps">
            <w:drawing>
              <wp:anchor distT="1616075" distB="767715" distL="0" distR="0" simplePos="0" relativeHeight="125829382" behindDoc="0" locked="0" layoutInCell="1" allowOverlap="1">
                <wp:simplePos x="0" y="0"/>
                <wp:positionH relativeFrom="page">
                  <wp:posOffset>1214120</wp:posOffset>
                </wp:positionH>
                <wp:positionV relativeFrom="paragraph">
                  <wp:posOffset>1616075</wp:posOffset>
                </wp:positionV>
                <wp:extent cx="423545" cy="128270"/>
                <wp:wrapTopAndBottom/>
                <wp:docPr id="23" name="Shape 23"/>
                <a:graphic xmlns:a="http://schemas.openxmlformats.org/drawingml/2006/main">
                  <a:graphicData uri="http://schemas.microsoft.com/office/word/2010/wordprocessingShape">
                    <wps:wsp>
                      <wps:cNvSpPr txBox="1"/>
                      <wps:spPr>
                        <a:xfrm>
                          <a:ext cx="423545" cy="128270"/>
                        </a:xfrm>
                        <a:prstGeom prst="rect"/>
                        <a:noFill/>
                      </wps:spPr>
                      <wps:txbx>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12"/>
                                <w:szCs w:val="12"/>
                              </w:rPr>
                            </w:pPr>
                            <w:r>
                              <w:rPr>
                                <w:rFonts w:ascii="SimHei" w:eastAsia="SimHei" w:hAnsi="SimHei" w:cs="SimHei"/>
                                <w:color w:val="6D6D6D"/>
                                <w:spacing w:val="0"/>
                                <w:w w:val="100"/>
                                <w:position w:val="0"/>
                                <w:sz w:val="12"/>
                                <w:szCs w:val="12"/>
                              </w:rPr>
                              <w:t>水质监测类</w:t>
                            </w:r>
                          </w:p>
                        </w:txbxContent>
                      </wps:txbx>
                      <wps:bodyPr wrap="none" lIns="0" tIns="0" rIns="0" bIns="0">
                        <a:noAutoFit/>
                      </wps:bodyPr>
                    </wps:wsp>
                  </a:graphicData>
                </a:graphic>
              </wp:anchor>
            </w:drawing>
          </mc:Choice>
          <mc:Fallback>
            <w:pict>
              <v:shape id="_x0000_s1049" type="#_x0000_t202" style="position:absolute;margin-left:95.600000000000009pt;margin-top:127.25pt;width:33.350000000000001pt;height:10.1pt;z-index:-125829371;mso-wrap-distance-left:0;mso-wrap-distance-top:127.25pt;mso-wrap-distance-right:0;mso-wrap-distance-bottom:60.450000000000003pt;mso-position-horizontal-relative:page" filled="f" stroked="f">
                <v:textbox inset="0,0,0,0">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12"/>
                          <w:szCs w:val="12"/>
                        </w:rPr>
                      </w:pPr>
                      <w:r>
                        <w:rPr>
                          <w:rFonts w:ascii="SimHei" w:eastAsia="SimHei" w:hAnsi="SimHei" w:cs="SimHei"/>
                          <w:color w:val="6D6D6D"/>
                          <w:spacing w:val="0"/>
                          <w:w w:val="100"/>
                          <w:position w:val="0"/>
                          <w:sz w:val="12"/>
                          <w:szCs w:val="12"/>
                        </w:rPr>
                        <w:t>水质监测类</w:t>
                      </w:r>
                    </w:p>
                  </w:txbxContent>
                </v:textbox>
                <w10:wrap type="topAndBottom" anchorx="page"/>
              </v:shape>
            </w:pict>
          </mc:Fallback>
        </mc:AlternateContent>
      </w:r>
      <w:r>
        <w:drawing>
          <wp:anchor distT="518795" distB="0" distL="692150" distR="76200" simplePos="0" relativeHeight="125829384" behindDoc="0" locked="0" layoutInCell="1" allowOverlap="1">
            <wp:simplePos x="0" y="0"/>
            <wp:positionH relativeFrom="page">
              <wp:posOffset>1497965</wp:posOffset>
            </wp:positionH>
            <wp:positionV relativeFrom="paragraph">
              <wp:posOffset>518795</wp:posOffset>
            </wp:positionV>
            <wp:extent cx="5205730" cy="1993265"/>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7"/>
                    <a:stretch/>
                  </pic:blipFill>
                  <pic:spPr>
                    <a:xfrm>
                      <a:ext cx="5205730" cy="199326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5826125</wp:posOffset>
                </wp:positionH>
                <wp:positionV relativeFrom="paragraph">
                  <wp:posOffset>393700</wp:posOffset>
                </wp:positionV>
                <wp:extent cx="417830" cy="121920"/>
                <wp:wrapNone/>
                <wp:docPr id="27" name="Shape 27"/>
                <a:graphic xmlns:a="http://schemas.openxmlformats.org/drawingml/2006/main">
                  <a:graphicData uri="http://schemas.microsoft.com/office/word/2010/wordprocessingShape">
                    <wps:wsp>
                      <wps:cNvSpPr txBox="1"/>
                      <wps:spPr>
                        <a:xfrm>
                          <a:ext cx="417830" cy="1219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b w:val="0"/>
                                <w:bCs w:val="0"/>
                                <w:color w:val="6D6D6D"/>
                                <w:spacing w:val="0"/>
                                <w:w w:val="100"/>
                                <w:position w:val="0"/>
                                <w:sz w:val="12"/>
                                <w:szCs w:val="12"/>
                              </w:rPr>
                              <w:t>气体探测器</w:t>
                            </w:r>
                          </w:p>
                        </w:txbxContent>
                      </wps:txbx>
                      <wps:bodyPr lIns="0" tIns="0" rIns="0" bIns="0">
                        <a:noAutoFit/>
                      </wps:bodyPr>
                    </wps:wsp>
                  </a:graphicData>
                </a:graphic>
              </wp:anchor>
            </w:drawing>
          </mc:Choice>
          <mc:Fallback>
            <w:pict>
              <v:shape id="_x0000_s1053" type="#_x0000_t202" style="position:absolute;margin-left:458.75pt;margin-top:31.pt;width:32.899999999999999pt;height:9.5999999999999996pt;z-index:251657741;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b w:val="0"/>
                          <w:bCs w:val="0"/>
                          <w:color w:val="6D6D6D"/>
                          <w:spacing w:val="0"/>
                          <w:w w:val="100"/>
                          <w:position w:val="0"/>
                          <w:sz w:val="12"/>
                          <w:szCs w:val="12"/>
                        </w:rPr>
                        <w:t>气体探测器</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5819775</wp:posOffset>
                </wp:positionH>
                <wp:positionV relativeFrom="paragraph">
                  <wp:posOffset>586105</wp:posOffset>
                </wp:positionV>
                <wp:extent cx="423545" cy="128270"/>
                <wp:wrapNone/>
                <wp:docPr id="29" name="Shape 29"/>
                <a:graphic xmlns:a="http://schemas.openxmlformats.org/drawingml/2006/main">
                  <a:graphicData uri="http://schemas.microsoft.com/office/word/2010/wordprocessingShape">
                    <wps:wsp>
                      <wps:cNvSpPr txBox="1"/>
                      <wps:spPr>
                        <a:xfrm>
                          <a:ext cx="423545" cy="1282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both"/>
                              <w:rPr>
                                <w:sz w:val="12"/>
                                <w:szCs w:val="12"/>
                              </w:rPr>
                            </w:pPr>
                            <w:r>
                              <w:rPr>
                                <w:rFonts w:ascii="SimHei" w:eastAsia="SimHei" w:hAnsi="SimHei" w:cs="SimHei"/>
                                <w:b w:val="0"/>
                                <w:bCs w:val="0"/>
                                <w:color w:val="6D6D6D"/>
                                <w:spacing w:val="0"/>
                                <w:w w:val="100"/>
                                <w:position w:val="0"/>
                                <w:sz w:val="12"/>
                                <w:szCs w:val="12"/>
                              </w:rPr>
                              <w:t>火焰探测器</w:t>
                            </w:r>
                          </w:p>
                        </w:txbxContent>
                      </wps:txbx>
                      <wps:bodyPr lIns="0" tIns="0" rIns="0" bIns="0">
                        <a:noAutoFit/>
                      </wps:bodyPr>
                    </wps:wsp>
                  </a:graphicData>
                </a:graphic>
              </wp:anchor>
            </w:drawing>
          </mc:Choice>
          <mc:Fallback>
            <w:pict>
              <v:shape id="_x0000_s1055" type="#_x0000_t202" style="position:absolute;margin-left:458.25pt;margin-top:46.149999999999999pt;width:33.350000000000001pt;height:10.1pt;z-index:251657743;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both"/>
                        <w:rPr>
                          <w:sz w:val="12"/>
                          <w:szCs w:val="12"/>
                        </w:rPr>
                      </w:pPr>
                      <w:r>
                        <w:rPr>
                          <w:rFonts w:ascii="SimHei" w:eastAsia="SimHei" w:hAnsi="SimHei" w:cs="SimHei"/>
                          <w:b w:val="0"/>
                          <w:bCs w:val="0"/>
                          <w:color w:val="6D6D6D"/>
                          <w:spacing w:val="0"/>
                          <w:w w:val="100"/>
                          <w:position w:val="0"/>
                          <w:sz w:val="12"/>
                          <w:szCs w:val="12"/>
                        </w:rPr>
                        <w:t>火焰探测器</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5819775</wp:posOffset>
                </wp:positionH>
                <wp:positionV relativeFrom="paragraph">
                  <wp:posOffset>784225</wp:posOffset>
                </wp:positionV>
                <wp:extent cx="575945" cy="128270"/>
                <wp:wrapNone/>
                <wp:docPr id="31" name="Shape 31"/>
                <a:graphic xmlns:a="http://schemas.openxmlformats.org/drawingml/2006/main">
                  <a:graphicData uri="http://schemas.microsoft.com/office/word/2010/wordprocessingShape">
                    <wps:wsp>
                      <wps:cNvSpPr txBox="1"/>
                      <wps:spPr>
                        <a:xfrm>
                          <a:ext cx="575945" cy="1282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both"/>
                              <w:rPr>
                                <w:sz w:val="12"/>
                                <w:szCs w:val="12"/>
                              </w:rPr>
                            </w:pPr>
                            <w:r>
                              <w:rPr>
                                <w:rFonts w:ascii="SimHei" w:eastAsia="SimHei" w:hAnsi="SimHei" w:cs="SimHei"/>
                                <w:b w:val="0"/>
                                <w:bCs w:val="0"/>
                                <w:color w:val="474646"/>
                                <w:spacing w:val="0"/>
                                <w:w w:val="100"/>
                                <w:position w:val="0"/>
                                <w:sz w:val="12"/>
                                <w:szCs w:val="12"/>
                              </w:rPr>
                              <w:t>潞气体探测器</w:t>
                            </w:r>
                          </w:p>
                        </w:txbxContent>
                      </wps:txbx>
                      <wps:bodyPr lIns="0" tIns="0" rIns="0" bIns="0">
                        <a:noAutoFit/>
                      </wps:bodyPr>
                    </wps:wsp>
                  </a:graphicData>
                </a:graphic>
              </wp:anchor>
            </w:drawing>
          </mc:Choice>
          <mc:Fallback>
            <w:pict>
              <v:shape id="_x0000_s1057" type="#_x0000_t202" style="position:absolute;margin-left:458.25pt;margin-top:61.75pt;width:45.350000000000001pt;height:10.1pt;z-index:251657745;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both"/>
                        <w:rPr>
                          <w:sz w:val="12"/>
                          <w:szCs w:val="12"/>
                        </w:rPr>
                      </w:pPr>
                      <w:r>
                        <w:rPr>
                          <w:rFonts w:ascii="SimHei" w:eastAsia="SimHei" w:hAnsi="SimHei" w:cs="SimHei"/>
                          <w:b w:val="0"/>
                          <w:bCs w:val="0"/>
                          <w:color w:val="474646"/>
                          <w:spacing w:val="0"/>
                          <w:w w:val="100"/>
                          <w:position w:val="0"/>
                          <w:sz w:val="12"/>
                          <w:szCs w:val="12"/>
                        </w:rPr>
                        <w:t>潞气体探测器</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805815</wp:posOffset>
                </wp:positionH>
                <wp:positionV relativeFrom="paragraph">
                  <wp:posOffset>847725</wp:posOffset>
                </wp:positionV>
                <wp:extent cx="648970" cy="128270"/>
                <wp:wrapNone/>
                <wp:docPr id="33" name="Shape 33"/>
                <a:graphic xmlns:a="http://schemas.openxmlformats.org/drawingml/2006/main">
                  <a:graphicData uri="http://schemas.microsoft.com/office/word/2010/wordprocessingShape">
                    <wps:wsp>
                      <wps:cNvSpPr txBox="1"/>
                      <wps:spPr>
                        <a:xfrm>
                          <a:ext cx="648970" cy="1282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b w:val="0"/>
                                <w:bCs w:val="0"/>
                                <w:color w:val="6D6D6D"/>
                                <w:spacing w:val="0"/>
                                <w:w w:val="100"/>
                                <w:position w:val="0"/>
                                <w:sz w:val="12"/>
                                <w:szCs w:val="12"/>
                              </w:rPr>
                              <w:t>郭气体</w:t>
                            </w:r>
                            <w:r>
                              <w:rPr>
                                <w:rFonts w:ascii="SimHei" w:eastAsia="SimHei" w:hAnsi="SimHei" w:cs="SimHei"/>
                                <w:b w:val="0"/>
                                <w:bCs w:val="0"/>
                                <w:color w:val="474646"/>
                                <w:spacing w:val="0"/>
                                <w:w w:val="100"/>
                                <w:position w:val="0"/>
                                <w:sz w:val="12"/>
                                <w:szCs w:val="12"/>
                              </w:rPr>
                              <w:t>报警腰</w:t>
                            </w:r>
                          </w:p>
                        </w:txbxContent>
                      </wps:txbx>
                      <wps:bodyPr lIns="0" tIns="0" rIns="0" bIns="0">
                        <a:noAutoFit/>
                      </wps:bodyPr>
                    </wps:wsp>
                  </a:graphicData>
                </a:graphic>
              </wp:anchor>
            </w:drawing>
          </mc:Choice>
          <mc:Fallback>
            <w:pict>
              <v:shape id="_x0000_s1059" type="#_x0000_t202" style="position:absolute;margin-left:63.450000000000003pt;margin-top:66.75pt;width:51.100000000000001pt;height:10.1pt;z-index:251657747;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b w:val="0"/>
                          <w:bCs w:val="0"/>
                          <w:color w:val="6D6D6D"/>
                          <w:spacing w:val="0"/>
                          <w:w w:val="100"/>
                          <w:position w:val="0"/>
                          <w:sz w:val="12"/>
                          <w:szCs w:val="12"/>
                        </w:rPr>
                        <w:t>郭气体</w:t>
                      </w:r>
                      <w:r>
                        <w:rPr>
                          <w:rFonts w:ascii="SimHei" w:eastAsia="SimHei" w:hAnsi="SimHei" w:cs="SimHei"/>
                          <w:b w:val="0"/>
                          <w:bCs w:val="0"/>
                          <w:color w:val="474646"/>
                          <w:spacing w:val="0"/>
                          <w:w w:val="100"/>
                          <w:position w:val="0"/>
                          <w:sz w:val="12"/>
                          <w:szCs w:val="12"/>
                        </w:rPr>
                        <w:t>报警腰</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6051550</wp:posOffset>
                </wp:positionH>
                <wp:positionV relativeFrom="paragraph">
                  <wp:posOffset>984885</wp:posOffset>
                </wp:positionV>
                <wp:extent cx="618490" cy="125095"/>
                <wp:wrapNone/>
                <wp:docPr id="35" name="Shape 35"/>
                <a:graphic xmlns:a="http://schemas.openxmlformats.org/drawingml/2006/main">
                  <a:graphicData uri="http://schemas.microsoft.com/office/word/2010/wordprocessingShape">
                    <wps:wsp>
                      <wps:cNvSpPr txBox="1"/>
                      <wps:spPr>
                        <a:xfrm>
                          <a:ext cx="618490"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Cambria" w:eastAsia="Cambria" w:hAnsi="Cambria" w:cs="Cambria"/>
                                <w:b w:val="0"/>
                                <w:bCs w:val="0"/>
                                <w:color w:val="474646"/>
                                <w:spacing w:val="0"/>
                                <w:w w:val="100"/>
                                <w:position w:val="0"/>
                                <w:sz w:val="15"/>
                                <w:szCs w:val="15"/>
                              </w:rPr>
                              <w:t>WP</w:t>
                            </w:r>
                            <w:r>
                              <w:rPr>
                                <w:rFonts w:ascii="SimHei" w:eastAsia="SimHei" w:hAnsi="SimHei" w:cs="SimHei"/>
                                <w:b w:val="0"/>
                                <w:bCs w:val="0"/>
                                <w:color w:val="474646"/>
                                <w:spacing w:val="0"/>
                                <w:w w:val="100"/>
                                <w:position w:val="0"/>
                                <w:sz w:val="12"/>
                                <w:szCs w:val="12"/>
                              </w:rPr>
                              <w:t>无</w:t>
                            </w:r>
                            <w:r>
                              <w:rPr>
                                <w:rFonts w:ascii="SimHei" w:eastAsia="SimHei" w:hAnsi="SimHei" w:cs="SimHei"/>
                                <w:b w:val="0"/>
                                <w:bCs w:val="0"/>
                                <w:color w:val="6D6D6D"/>
                                <w:spacing w:val="0"/>
                                <w:w w:val="100"/>
                                <w:position w:val="0"/>
                                <w:sz w:val="12"/>
                                <w:szCs w:val="12"/>
                              </w:rPr>
                              <w:t>线压力系列</w:t>
                            </w:r>
                          </w:p>
                        </w:txbxContent>
                      </wps:txbx>
                      <wps:bodyPr lIns="0" tIns="0" rIns="0" bIns="0">
                        <a:noAutoFit/>
                      </wps:bodyPr>
                    </wps:wsp>
                  </a:graphicData>
                </a:graphic>
              </wp:anchor>
            </w:drawing>
          </mc:Choice>
          <mc:Fallback>
            <w:pict>
              <v:shape id="_x0000_s1061" type="#_x0000_t202" style="position:absolute;margin-left:476.5pt;margin-top:77.549999999999997pt;width:48.700000000000003pt;height:9.8499999999999996pt;z-index:251657749;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Cambria" w:eastAsia="Cambria" w:hAnsi="Cambria" w:cs="Cambria"/>
                          <w:b w:val="0"/>
                          <w:bCs w:val="0"/>
                          <w:color w:val="474646"/>
                          <w:spacing w:val="0"/>
                          <w:w w:val="100"/>
                          <w:position w:val="0"/>
                          <w:sz w:val="15"/>
                          <w:szCs w:val="15"/>
                        </w:rPr>
                        <w:t>WP</w:t>
                      </w:r>
                      <w:r>
                        <w:rPr>
                          <w:rFonts w:ascii="SimHei" w:eastAsia="SimHei" w:hAnsi="SimHei" w:cs="SimHei"/>
                          <w:b w:val="0"/>
                          <w:bCs w:val="0"/>
                          <w:color w:val="474646"/>
                          <w:spacing w:val="0"/>
                          <w:w w:val="100"/>
                          <w:position w:val="0"/>
                          <w:sz w:val="12"/>
                          <w:szCs w:val="12"/>
                        </w:rPr>
                        <w:t>无</w:t>
                      </w:r>
                      <w:r>
                        <w:rPr>
                          <w:rFonts w:ascii="SimHei" w:eastAsia="SimHei" w:hAnsi="SimHei" w:cs="SimHei"/>
                          <w:b w:val="0"/>
                          <w:bCs w:val="0"/>
                          <w:color w:val="6D6D6D"/>
                          <w:spacing w:val="0"/>
                          <w:w w:val="100"/>
                          <w:position w:val="0"/>
                          <w:sz w:val="12"/>
                          <w:szCs w:val="12"/>
                        </w:rPr>
                        <w:t>线压力系列</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955675</wp:posOffset>
                </wp:positionH>
                <wp:positionV relativeFrom="paragraph">
                  <wp:posOffset>1045845</wp:posOffset>
                </wp:positionV>
                <wp:extent cx="499745" cy="128270"/>
                <wp:wrapNone/>
                <wp:docPr id="37" name="Shape 37"/>
                <a:graphic xmlns:a="http://schemas.openxmlformats.org/drawingml/2006/main">
                  <a:graphicData uri="http://schemas.microsoft.com/office/word/2010/wordprocessingShape">
                    <wps:wsp>
                      <wps:cNvSpPr txBox="1"/>
                      <wps:spPr>
                        <a:xfrm>
                          <a:ext cx="499745" cy="1282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b w:val="0"/>
                                <w:bCs w:val="0"/>
                                <w:color w:val="474646"/>
                                <w:spacing w:val="0"/>
                                <w:w w:val="100"/>
                                <w:position w:val="0"/>
                                <w:sz w:val="12"/>
                                <w:szCs w:val="12"/>
                              </w:rPr>
                              <w:t>烟雾报警器类</w:t>
                            </w:r>
                          </w:p>
                        </w:txbxContent>
                      </wps:txbx>
                      <wps:bodyPr lIns="0" tIns="0" rIns="0" bIns="0">
                        <a:noAutoFit/>
                      </wps:bodyPr>
                    </wps:wsp>
                  </a:graphicData>
                </a:graphic>
              </wp:anchor>
            </w:drawing>
          </mc:Choice>
          <mc:Fallback>
            <w:pict>
              <v:shape id="_x0000_s1063" type="#_x0000_t202" style="position:absolute;margin-left:75.25pt;margin-top:82.350000000000009pt;width:39.350000000000001pt;height:10.1pt;z-index:251657751;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b w:val="0"/>
                          <w:bCs w:val="0"/>
                          <w:color w:val="474646"/>
                          <w:spacing w:val="0"/>
                          <w:w w:val="100"/>
                          <w:position w:val="0"/>
                          <w:sz w:val="12"/>
                          <w:szCs w:val="12"/>
                        </w:rPr>
                        <w:t>烟雾报警器类</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6051550</wp:posOffset>
                </wp:positionH>
                <wp:positionV relativeFrom="paragraph">
                  <wp:posOffset>1177290</wp:posOffset>
                </wp:positionV>
                <wp:extent cx="701040" cy="130810"/>
                <wp:wrapNone/>
                <wp:docPr id="39" name="Shape 39"/>
                <a:graphic xmlns:a="http://schemas.openxmlformats.org/drawingml/2006/main">
                  <a:graphicData uri="http://schemas.microsoft.com/office/word/2010/wordprocessingShape">
                    <wps:wsp>
                      <wps:cNvSpPr txBox="1"/>
                      <wps:spPr>
                        <a:xfrm>
                          <a:ext cx="701040" cy="1308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Cambria" w:eastAsia="Cambria" w:hAnsi="Cambria" w:cs="Cambria"/>
                                <w:b w:val="0"/>
                                <w:bCs w:val="0"/>
                                <w:color w:val="6D6D6D"/>
                                <w:spacing w:val="0"/>
                                <w:w w:val="100"/>
                                <w:position w:val="0"/>
                                <w:sz w:val="15"/>
                                <w:szCs w:val="15"/>
                              </w:rPr>
                              <w:t>WR</w:t>
                            </w:r>
                            <w:r>
                              <w:rPr>
                                <w:rFonts w:ascii="SimHei" w:eastAsia="SimHei" w:hAnsi="SimHei" w:cs="SimHei"/>
                                <w:b w:val="0"/>
                                <w:bCs w:val="0"/>
                                <w:color w:val="6D6D6D"/>
                                <w:spacing w:val="0"/>
                                <w:w w:val="100"/>
                                <w:position w:val="0"/>
                                <w:sz w:val="12"/>
                                <w:szCs w:val="12"/>
                              </w:rPr>
                              <w:t>彳亶］耗测控系列</w:t>
                            </w:r>
                          </w:p>
                        </w:txbxContent>
                      </wps:txbx>
                      <wps:bodyPr lIns="0" tIns="0" rIns="0" bIns="0">
                        <a:noAutoFit/>
                      </wps:bodyPr>
                    </wps:wsp>
                  </a:graphicData>
                </a:graphic>
              </wp:anchor>
            </w:drawing>
          </mc:Choice>
          <mc:Fallback>
            <w:pict>
              <v:shape id="_x0000_s1065" type="#_x0000_t202" style="position:absolute;margin-left:476.5pt;margin-top:92.700000000000003pt;width:55.200000000000003pt;height:10.300000000000001pt;z-index:251657753;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Cambria" w:eastAsia="Cambria" w:hAnsi="Cambria" w:cs="Cambria"/>
                          <w:b w:val="0"/>
                          <w:bCs w:val="0"/>
                          <w:color w:val="6D6D6D"/>
                          <w:spacing w:val="0"/>
                          <w:w w:val="100"/>
                          <w:position w:val="0"/>
                          <w:sz w:val="15"/>
                          <w:szCs w:val="15"/>
                        </w:rPr>
                        <w:t>WR</w:t>
                      </w:r>
                      <w:r>
                        <w:rPr>
                          <w:rFonts w:ascii="SimHei" w:eastAsia="SimHei" w:hAnsi="SimHei" w:cs="SimHei"/>
                          <w:b w:val="0"/>
                          <w:bCs w:val="0"/>
                          <w:color w:val="6D6D6D"/>
                          <w:spacing w:val="0"/>
                          <w:w w:val="100"/>
                          <w:position w:val="0"/>
                          <w:sz w:val="12"/>
                          <w:szCs w:val="12"/>
                        </w:rPr>
                        <w:t>彳亶］耗测控系列</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879475</wp:posOffset>
                </wp:positionH>
                <wp:positionV relativeFrom="paragraph">
                  <wp:posOffset>1243965</wp:posOffset>
                </wp:positionV>
                <wp:extent cx="575945" cy="121920"/>
                <wp:wrapNone/>
                <wp:docPr id="41" name="Shape 41"/>
                <a:graphic xmlns:a="http://schemas.openxmlformats.org/drawingml/2006/main">
                  <a:graphicData uri="http://schemas.microsoft.com/office/word/2010/wordprocessingShape">
                    <wps:wsp>
                      <wps:cNvSpPr txBox="1"/>
                      <wps:spPr>
                        <a:xfrm>
                          <a:ext cx="575945" cy="1219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b w:val="0"/>
                                <w:bCs w:val="0"/>
                                <w:color w:val="474646"/>
                                <w:spacing w:val="0"/>
                                <w:w w:val="100"/>
                                <w:position w:val="0"/>
                                <w:sz w:val="12"/>
                                <w:szCs w:val="12"/>
                              </w:rPr>
                              <w:t>空气质量检测类</w:t>
                            </w:r>
                          </w:p>
                        </w:txbxContent>
                      </wps:txbx>
                      <wps:bodyPr lIns="0" tIns="0" rIns="0" bIns="0">
                        <a:noAutoFit/>
                      </wps:bodyPr>
                    </wps:wsp>
                  </a:graphicData>
                </a:graphic>
              </wp:anchor>
            </w:drawing>
          </mc:Choice>
          <mc:Fallback>
            <w:pict>
              <v:shape id="_x0000_s1067" type="#_x0000_t202" style="position:absolute;margin-left:69.25pt;margin-top:97.950000000000003pt;width:45.350000000000001pt;height:9.5999999999999996pt;z-index:251657755;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b w:val="0"/>
                          <w:bCs w:val="0"/>
                          <w:color w:val="474646"/>
                          <w:spacing w:val="0"/>
                          <w:w w:val="100"/>
                          <w:position w:val="0"/>
                          <w:sz w:val="12"/>
                          <w:szCs w:val="12"/>
                        </w:rPr>
                        <w:t>空气质量检测类</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6051550</wp:posOffset>
                </wp:positionH>
                <wp:positionV relativeFrom="paragraph">
                  <wp:posOffset>1369060</wp:posOffset>
                </wp:positionV>
                <wp:extent cx="725170" cy="149225"/>
                <wp:wrapNone/>
                <wp:docPr id="43" name="Shape 43"/>
                <a:graphic xmlns:a="http://schemas.openxmlformats.org/drawingml/2006/main">
                  <a:graphicData uri="http://schemas.microsoft.com/office/word/2010/wordprocessingShape">
                    <wps:wsp>
                      <wps:cNvSpPr txBox="1"/>
                      <wps:spPr>
                        <a:xfrm>
                          <a:ext cx="72517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val="0"/>
                                <w:bCs w:val="0"/>
                                <w:smallCaps/>
                                <w:color w:val="474646"/>
                                <w:spacing w:val="0"/>
                                <w:w w:val="100"/>
                                <w:position w:val="0"/>
                                <w:sz w:val="19"/>
                                <w:szCs w:val="19"/>
                              </w:rPr>
                              <w:t>wm</w:t>
                            </w:r>
                            <w:r>
                              <w:rPr>
                                <w:rFonts w:ascii="SimHei" w:eastAsia="SimHei" w:hAnsi="SimHei" w:cs="SimHei"/>
                                <w:b w:val="0"/>
                                <w:bCs w:val="0"/>
                                <w:color w:val="474646"/>
                                <w:spacing w:val="0"/>
                                <w:w w:val="100"/>
                                <w:position w:val="0"/>
                                <w:sz w:val="12"/>
                                <w:szCs w:val="12"/>
                              </w:rPr>
                              <w:t>多参系列</w:t>
                            </w:r>
                          </w:p>
                        </w:txbxContent>
                      </wps:txbx>
                      <wps:bodyPr lIns="0" tIns="0" rIns="0" bIns="0">
                        <a:noAutoFit/>
                      </wps:bodyPr>
                    </wps:wsp>
                  </a:graphicData>
                </a:graphic>
              </wp:anchor>
            </w:drawing>
          </mc:Choice>
          <mc:Fallback>
            <w:pict>
              <v:shape id="_x0000_s1069" type="#_x0000_t202" style="position:absolute;margin-left:476.5pt;margin-top:107.8pt;width:57.100000000000001pt;height:11.75pt;z-index:251657757;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val="0"/>
                          <w:bCs w:val="0"/>
                          <w:smallCaps/>
                          <w:color w:val="474646"/>
                          <w:spacing w:val="0"/>
                          <w:w w:val="100"/>
                          <w:position w:val="0"/>
                          <w:sz w:val="19"/>
                          <w:szCs w:val="19"/>
                        </w:rPr>
                        <w:t>wm</w:t>
                      </w:r>
                      <w:r>
                        <w:rPr>
                          <w:rFonts w:ascii="SimHei" w:eastAsia="SimHei" w:hAnsi="SimHei" w:cs="SimHei"/>
                          <w:b w:val="0"/>
                          <w:bCs w:val="0"/>
                          <w:color w:val="474646"/>
                          <w:spacing w:val="0"/>
                          <w:w w:val="100"/>
                          <w:position w:val="0"/>
                          <w:sz w:val="12"/>
                          <w:szCs w:val="12"/>
                        </w:rPr>
                        <w:t>多参系列</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5908675</wp:posOffset>
                </wp:positionH>
                <wp:positionV relativeFrom="paragraph">
                  <wp:posOffset>1579245</wp:posOffset>
                </wp:positionV>
                <wp:extent cx="274320" cy="125095"/>
                <wp:wrapNone/>
                <wp:docPr id="45" name="Shape 45"/>
                <a:graphic xmlns:a="http://schemas.openxmlformats.org/drawingml/2006/main">
                  <a:graphicData uri="http://schemas.microsoft.com/office/word/2010/wordprocessingShape">
                    <wps:wsp>
                      <wps:cNvSpPr txBox="1"/>
                      <wps:spPr>
                        <a:xfrm>
                          <a:ext cx="274320"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Cambria" w:eastAsia="Cambria" w:hAnsi="Cambria" w:cs="Cambria"/>
                                <w:b w:val="0"/>
                                <w:bCs w:val="0"/>
                                <w:color w:val="6D6D6D"/>
                                <w:spacing w:val="0"/>
                                <w:w w:val="100"/>
                                <w:position w:val="0"/>
                                <w:sz w:val="15"/>
                                <w:szCs w:val="15"/>
                              </w:rPr>
                              <w:t>KB</w:t>
                            </w:r>
                            <w:r>
                              <w:rPr>
                                <w:rFonts w:ascii="SimHei" w:eastAsia="SimHei" w:hAnsi="SimHei" w:cs="SimHei"/>
                                <w:b w:val="0"/>
                                <w:bCs w:val="0"/>
                                <w:color w:val="6D6D6D"/>
                                <w:spacing w:val="0"/>
                                <w:w w:val="100"/>
                                <w:position w:val="0"/>
                                <w:sz w:val="12"/>
                                <w:szCs w:val="12"/>
                              </w:rPr>
                              <w:t>系列</w:t>
                            </w:r>
                          </w:p>
                        </w:txbxContent>
                      </wps:txbx>
                      <wps:bodyPr lIns="0" tIns="0" rIns="0" bIns="0">
                        <a:noAutoFit/>
                      </wps:bodyPr>
                    </wps:wsp>
                  </a:graphicData>
                </a:graphic>
              </wp:anchor>
            </w:drawing>
          </mc:Choice>
          <mc:Fallback>
            <w:pict>
              <v:shape id="_x0000_s1071" type="#_x0000_t202" style="position:absolute;margin-left:465.25pt;margin-top:124.35000000000001pt;width:21.600000000000001pt;height:9.8499999999999996pt;z-index:251657759;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Cambria" w:eastAsia="Cambria" w:hAnsi="Cambria" w:cs="Cambria"/>
                          <w:b w:val="0"/>
                          <w:bCs w:val="0"/>
                          <w:color w:val="6D6D6D"/>
                          <w:spacing w:val="0"/>
                          <w:w w:val="100"/>
                          <w:position w:val="0"/>
                          <w:sz w:val="15"/>
                          <w:szCs w:val="15"/>
                        </w:rPr>
                        <w:t>KB</w:t>
                      </w:r>
                      <w:r>
                        <w:rPr>
                          <w:rFonts w:ascii="SimHei" w:eastAsia="SimHei" w:hAnsi="SimHei" w:cs="SimHei"/>
                          <w:b w:val="0"/>
                          <w:bCs w:val="0"/>
                          <w:color w:val="6D6D6D"/>
                          <w:spacing w:val="0"/>
                          <w:w w:val="100"/>
                          <w:position w:val="0"/>
                          <w:sz w:val="12"/>
                          <w:szCs w:val="12"/>
                        </w:rPr>
                        <w:t>系列</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5902325</wp:posOffset>
                </wp:positionH>
                <wp:positionV relativeFrom="paragraph">
                  <wp:posOffset>1768475</wp:posOffset>
                </wp:positionV>
                <wp:extent cx="502920" cy="130810"/>
                <wp:wrapNone/>
                <wp:docPr id="47" name="Shape 47"/>
                <a:graphic xmlns:a="http://schemas.openxmlformats.org/drawingml/2006/main">
                  <a:graphicData uri="http://schemas.microsoft.com/office/word/2010/wordprocessingShape">
                    <wps:wsp>
                      <wps:cNvSpPr txBox="1"/>
                      <wps:spPr>
                        <a:xfrm>
                          <a:ext cx="502920" cy="1308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both"/>
                              <w:rPr>
                                <w:sz w:val="12"/>
                                <w:szCs w:val="12"/>
                              </w:rPr>
                            </w:pPr>
                            <w:r>
                              <w:rPr>
                                <w:rFonts w:ascii="Cambria" w:eastAsia="Cambria" w:hAnsi="Cambria" w:cs="Cambria"/>
                                <w:b w:val="0"/>
                                <w:bCs w:val="0"/>
                                <w:color w:val="6D6D6D"/>
                                <w:spacing w:val="0"/>
                                <w:w w:val="100"/>
                                <w:position w:val="0"/>
                                <w:sz w:val="15"/>
                                <w:szCs w:val="15"/>
                              </w:rPr>
                              <w:t>GDS</w:t>
                            </w:r>
                            <w:r>
                              <w:rPr>
                                <w:rFonts w:ascii="SimHei" w:eastAsia="SimHei" w:hAnsi="SimHei" w:cs="SimHei"/>
                                <w:b w:val="0"/>
                                <w:bCs w:val="0"/>
                                <w:color w:val="6D6D6D"/>
                                <w:spacing w:val="0"/>
                                <w:w w:val="100"/>
                                <w:position w:val="0"/>
                                <w:sz w:val="12"/>
                                <w:szCs w:val="12"/>
                              </w:rPr>
                              <w:t>控制系统</w:t>
                            </w:r>
                          </w:p>
                        </w:txbxContent>
                      </wps:txbx>
                      <wps:bodyPr lIns="0" tIns="0" rIns="0" bIns="0">
                        <a:noAutoFit/>
                      </wps:bodyPr>
                    </wps:wsp>
                  </a:graphicData>
                </a:graphic>
              </wp:anchor>
            </w:drawing>
          </mc:Choice>
          <mc:Fallback>
            <w:pict>
              <v:shape id="_x0000_s1073" type="#_x0000_t202" style="position:absolute;margin-left:464.75pt;margin-top:139.25pt;width:39.600000000000001pt;height:10.300000000000001pt;z-index:251657761;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both"/>
                        <w:rPr>
                          <w:sz w:val="12"/>
                          <w:szCs w:val="12"/>
                        </w:rPr>
                      </w:pPr>
                      <w:r>
                        <w:rPr>
                          <w:rFonts w:ascii="Cambria" w:eastAsia="Cambria" w:hAnsi="Cambria" w:cs="Cambria"/>
                          <w:b w:val="0"/>
                          <w:bCs w:val="0"/>
                          <w:color w:val="6D6D6D"/>
                          <w:spacing w:val="0"/>
                          <w:w w:val="100"/>
                          <w:position w:val="0"/>
                          <w:sz w:val="15"/>
                          <w:szCs w:val="15"/>
                        </w:rPr>
                        <w:t>GDS</w:t>
                      </w:r>
                      <w:r>
                        <w:rPr>
                          <w:rFonts w:ascii="SimHei" w:eastAsia="SimHei" w:hAnsi="SimHei" w:cs="SimHei"/>
                          <w:b w:val="0"/>
                          <w:bCs w:val="0"/>
                          <w:color w:val="6D6D6D"/>
                          <w:spacing w:val="0"/>
                          <w:w w:val="100"/>
                          <w:position w:val="0"/>
                          <w:sz w:val="12"/>
                          <w:szCs w:val="12"/>
                        </w:rPr>
                        <w:t>控制系统</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1062355</wp:posOffset>
                </wp:positionH>
                <wp:positionV relativeFrom="paragraph">
                  <wp:posOffset>1811020</wp:posOffset>
                </wp:positionV>
                <wp:extent cx="575945" cy="130810"/>
                <wp:wrapNone/>
                <wp:docPr id="49" name="Shape 49"/>
                <a:graphic xmlns:a="http://schemas.openxmlformats.org/drawingml/2006/main">
                  <a:graphicData uri="http://schemas.microsoft.com/office/word/2010/wordprocessingShape">
                    <wps:wsp>
                      <wps:cNvSpPr txBox="1"/>
                      <wps:spPr>
                        <a:xfrm>
                          <a:ext cx="575945" cy="1308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both"/>
                              <w:rPr>
                                <w:sz w:val="12"/>
                                <w:szCs w:val="12"/>
                              </w:rPr>
                            </w:pPr>
                            <w:r>
                              <w:rPr>
                                <w:rFonts w:ascii="SimHei" w:eastAsia="SimHei" w:hAnsi="SimHei" w:cs="SimHei"/>
                                <w:b w:val="0"/>
                                <w:bCs w:val="0"/>
                                <w:color w:val="474646"/>
                                <w:spacing w:val="0"/>
                                <w:w w:val="100"/>
                                <w:position w:val="0"/>
                                <w:sz w:val="12"/>
                                <w:szCs w:val="12"/>
                              </w:rPr>
                              <w:t>大测类</w:t>
                            </w:r>
                          </w:p>
                        </w:txbxContent>
                      </wps:txbx>
                      <wps:bodyPr lIns="0" tIns="0" rIns="0" bIns="0">
                        <a:noAutoFit/>
                      </wps:bodyPr>
                    </wps:wsp>
                  </a:graphicData>
                </a:graphic>
              </wp:anchor>
            </w:drawing>
          </mc:Choice>
          <mc:Fallback>
            <w:pict>
              <v:shape id="_x0000_s1075" type="#_x0000_t202" style="position:absolute;margin-left:83.650000000000006pt;margin-top:142.59999999999999pt;width:45.350000000000001pt;height:10.300000000000001pt;z-index:251657763;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both"/>
                        <w:rPr>
                          <w:sz w:val="12"/>
                          <w:szCs w:val="12"/>
                        </w:rPr>
                      </w:pPr>
                      <w:r>
                        <w:rPr>
                          <w:rFonts w:ascii="SimHei" w:eastAsia="SimHei" w:hAnsi="SimHei" w:cs="SimHei"/>
                          <w:b w:val="0"/>
                          <w:bCs w:val="0"/>
                          <w:color w:val="474646"/>
                          <w:spacing w:val="0"/>
                          <w:w w:val="100"/>
                          <w:position w:val="0"/>
                          <w:sz w:val="12"/>
                          <w:szCs w:val="12"/>
                        </w:rPr>
                        <w:t>大测类</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5975350</wp:posOffset>
                </wp:positionH>
                <wp:positionV relativeFrom="paragraph">
                  <wp:posOffset>1972945</wp:posOffset>
                </wp:positionV>
                <wp:extent cx="731520" cy="121920"/>
                <wp:wrapNone/>
                <wp:docPr id="51" name="Shape 51"/>
                <a:graphic xmlns:a="http://schemas.openxmlformats.org/drawingml/2006/main">
                  <a:graphicData uri="http://schemas.microsoft.com/office/word/2010/wordprocessingShape">
                    <wps:wsp>
                      <wps:cNvSpPr txBox="1"/>
                      <wps:spPr>
                        <a:xfrm>
                          <a:ext cx="731520" cy="1219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b w:val="0"/>
                                <w:bCs w:val="0"/>
                                <w:color w:val="6D6D6D"/>
                                <w:spacing w:val="0"/>
                                <w:w w:val="100"/>
                                <w:position w:val="0"/>
                                <w:sz w:val="12"/>
                                <w:szCs w:val="12"/>
                              </w:rPr>
                              <w:t xml:space="preserve">工＞ </w:t>
                            </w:r>
                            <w:r>
                              <w:rPr>
                                <w:rFonts w:ascii="SimHei" w:eastAsia="SimHei" w:hAnsi="SimHei" w:cs="SimHei"/>
                                <w:b w:val="0"/>
                                <w:bCs w:val="0"/>
                                <w:color w:val="474646"/>
                                <w:spacing w:val="0"/>
                                <w:w w:val="100"/>
                                <w:position w:val="0"/>
                                <w:sz w:val="12"/>
                                <w:szCs w:val="12"/>
                              </w:rPr>
                              <w:t>安全个人防护类</w:t>
                            </w:r>
                          </w:p>
                        </w:txbxContent>
                      </wps:txbx>
                      <wps:bodyPr lIns="0" tIns="0" rIns="0" bIns="0">
                        <a:noAutoFit/>
                      </wps:bodyPr>
                    </wps:wsp>
                  </a:graphicData>
                </a:graphic>
              </wp:anchor>
            </w:drawing>
          </mc:Choice>
          <mc:Fallback>
            <w:pict>
              <v:shape id="_x0000_s1077" type="#_x0000_t202" style="position:absolute;margin-left:470.5pt;margin-top:155.34999999999999pt;width:57.600000000000001pt;height:9.5999999999999996pt;z-index:251657765;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b w:val="0"/>
                          <w:bCs w:val="0"/>
                          <w:color w:val="6D6D6D"/>
                          <w:spacing w:val="0"/>
                          <w:w w:val="100"/>
                          <w:position w:val="0"/>
                          <w:sz w:val="12"/>
                          <w:szCs w:val="12"/>
                        </w:rPr>
                        <w:t xml:space="preserve">工＞ </w:t>
                      </w:r>
                      <w:r>
                        <w:rPr>
                          <w:rFonts w:ascii="SimHei" w:eastAsia="SimHei" w:hAnsi="SimHei" w:cs="SimHei"/>
                          <w:b w:val="0"/>
                          <w:bCs w:val="0"/>
                          <w:color w:val="474646"/>
                          <w:spacing w:val="0"/>
                          <w:w w:val="100"/>
                          <w:position w:val="0"/>
                          <w:sz w:val="12"/>
                          <w:szCs w:val="12"/>
                        </w:rPr>
                        <w:t>安全个人防护类</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5978525</wp:posOffset>
                </wp:positionH>
                <wp:positionV relativeFrom="paragraph">
                  <wp:posOffset>2366010</wp:posOffset>
                </wp:positionV>
                <wp:extent cx="417830" cy="130810"/>
                <wp:wrapNone/>
                <wp:docPr id="53" name="Shape 53"/>
                <a:graphic xmlns:a="http://schemas.openxmlformats.org/drawingml/2006/main">
                  <a:graphicData uri="http://schemas.microsoft.com/office/word/2010/wordprocessingShape">
                    <wps:wsp>
                      <wps:cNvSpPr txBox="1"/>
                      <wps:spPr>
                        <a:xfrm>
                          <a:ext cx="417830" cy="1308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b w:val="0"/>
                                <w:bCs w:val="0"/>
                                <w:color w:val="474646"/>
                                <w:spacing w:val="0"/>
                                <w:w w:val="100"/>
                                <w:position w:val="0"/>
                                <w:sz w:val="14"/>
                                <w:szCs w:val="14"/>
                              </w:rPr>
                              <w:t>酒精觎类</w:t>
                            </w:r>
                          </w:p>
                        </w:txbxContent>
                      </wps:txbx>
                      <wps:bodyPr lIns="0" tIns="0" rIns="0" bIns="0">
                        <a:noAutoFit/>
                      </wps:bodyPr>
                    </wps:wsp>
                  </a:graphicData>
                </a:graphic>
              </wp:anchor>
            </w:drawing>
          </mc:Choice>
          <mc:Fallback>
            <w:pict>
              <v:shape id="_x0000_s1079" type="#_x0000_t202" style="position:absolute;margin-left:470.75pt;margin-top:186.30000000000001pt;width:32.899999999999999pt;height:10.300000000000001pt;z-index:251657767;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b w:val="0"/>
                          <w:bCs w:val="0"/>
                          <w:color w:val="474646"/>
                          <w:spacing w:val="0"/>
                          <w:w w:val="100"/>
                          <w:position w:val="0"/>
                          <w:sz w:val="14"/>
                          <w:szCs w:val="14"/>
                        </w:rPr>
                        <w:t>酒精觎类</w:t>
                      </w:r>
                    </w:p>
                  </w:txbxContent>
                </v:textbox>
                <w10:wrap anchorx="page"/>
              </v:shape>
            </w:pict>
          </mc:Fallback>
        </mc:AlternateContent>
      </w:r>
    </w:p>
    <w:p>
      <w:pPr>
        <w:pStyle w:val="Style21"/>
        <w:keepNext w:val="0"/>
        <w:keepLines w:val="0"/>
        <w:widowControl w:val="0"/>
        <w:shd w:val="clear" w:color="auto" w:fill="auto"/>
        <w:bidi w:val="0"/>
        <w:spacing w:before="0" w:after="0" w:line="240" w:lineRule="auto"/>
        <w:ind w:left="427" w:right="0" w:firstLine="0"/>
        <w:jc w:val="left"/>
      </w:pPr>
      <w:r>
        <w:rPr>
          <w:color w:val="000000"/>
          <w:spacing w:val="0"/>
          <w:w w:val="100"/>
          <w:position w:val="0"/>
        </w:rPr>
        <w:t>（2）产品概述</w:t>
      </w:r>
    </w:p>
    <w:tbl>
      <w:tblPr>
        <w:tblOverlap w:val="never"/>
        <w:jc w:val="center"/>
        <w:tblLayout w:type="fixed"/>
      </w:tblPr>
      <w:tblGrid>
        <w:gridCol w:w="960"/>
        <w:gridCol w:w="984"/>
        <w:gridCol w:w="115"/>
        <w:gridCol w:w="2237"/>
        <w:gridCol w:w="120"/>
        <w:gridCol w:w="3230"/>
        <w:gridCol w:w="1973"/>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产品大类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主要产品</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图示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功能</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应用场景</w:t>
            </w:r>
          </w:p>
        </w:tc>
      </w:tr>
      <w:tr>
        <w:trPr>
          <w:trHeight w:val="28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b/>
                <w:bCs/>
                <w:color w:val="000000"/>
                <w:spacing w:val="0"/>
                <w:w w:val="100"/>
                <w:position w:val="0"/>
              </w:rPr>
              <w:t>工商业仪 器仪表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气体探测 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1C7981"/>
            <w:vAlign w:val="bottom"/>
          </w:tcPr>
          <w:p>
            <w:pPr>
              <w:pStyle w:val="Style2"/>
              <w:keepNext w:val="0"/>
              <w:keepLines w:val="0"/>
              <w:widowControl w:val="0"/>
              <w:pBdr>
                <w:top w:val="single" w:sz="0" w:space="0" w:color="1C7981"/>
                <w:left w:val="single" w:sz="0" w:space="0" w:color="1C7981"/>
                <w:bottom w:val="single" w:sz="0" w:space="0" w:color="1C7981"/>
                <w:right w:val="single" w:sz="0" w:space="0" w:color="1C7981"/>
              </w:pBdr>
              <w:shd w:val="clear" w:color="auto" w:fill="1C7981"/>
              <w:bidi w:val="0"/>
              <w:spacing w:before="0" w:after="0" w:line="240" w:lineRule="auto"/>
              <w:ind w:left="1020" w:right="0" w:firstLine="0"/>
              <w:jc w:val="left"/>
              <w:rPr>
                <w:sz w:val="84"/>
                <w:szCs w:val="84"/>
              </w:rPr>
            </w:pPr>
            <w:r>
              <w:rPr>
                <w:color w:val="C5C7C2"/>
                <w:spacing w:val="0"/>
                <w:w w:val="100"/>
                <w:position w:val="0"/>
                <w:sz w:val="84"/>
                <w:szCs w:val="84"/>
              </w:rPr>
              <w:t>卒</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本系列产品可采用电化学、半导体、 催化燃烧、光学类等气体传感检测 技术，进行气体泄漏监测，将监测 数据传输至数据采集、控制系统， 提醒值守人员及时处理。同时，数 据上传至监控中心，提前预警，避 免重特大事故发生。拥有自主传感 器核心技术，多年经验沉淀，符合 国内国际认证，达到国际先进水平。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可用于石油石化行业 及炼化；化工、冶金、 燃气行业、工商业综 合体等可能发生可燃 气体泄漏或产生有毒 有害气体的场所。</w:t>
            </w:r>
          </w:p>
        </w:tc>
      </w:tr>
    </w:tbl>
    <w:p>
      <w:pPr>
        <w:sectPr>
          <w:footnotePr>
            <w:pos w:val="pageBottom"/>
            <w:numFmt w:val="decimal"/>
            <w:numRestart w:val="continuous"/>
          </w:footnotePr>
          <w:pgSz w:w="11900" w:h="16840"/>
          <w:pgMar w:top="1321" w:right="1046" w:bottom="1494" w:left="1067"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1195" w:right="1141" w:bottom="1196" w:left="1136" w:header="0" w:footer="3" w:gutter="0"/>
          <w:cols w:space="720"/>
          <w:noEndnote/>
          <w:rtlGutter w:val="0"/>
          <w:docGrid w:linePitch="360"/>
        </w:sectPr>
      </w:pPr>
    </w:p>
    <w:p>
      <w:pPr>
        <w:pStyle w:val="Style33"/>
        <w:keepNext w:val="0"/>
        <w:keepLines w:val="0"/>
        <w:framePr w:w="893" w:h="586" w:wrap="none" w:vAnchor="text" w:hAnchor="page" w:x="2135" w:y="10639"/>
        <w:widowControl w:val="0"/>
        <w:shd w:val="clear" w:color="auto" w:fill="auto"/>
        <w:bidi w:val="0"/>
        <w:spacing w:before="0" w:after="80" w:line="240" w:lineRule="auto"/>
        <w:ind w:left="0" w:right="0" w:firstLine="0"/>
        <w:jc w:val="left"/>
      </w:pPr>
      <w:r>
        <w:rPr>
          <w:color w:val="000000"/>
          <w:spacing w:val="0"/>
          <w:w w:val="100"/>
          <w:position w:val="0"/>
        </w:rPr>
        <w:t>数据采集</w:t>
      </w:r>
    </w:p>
    <w:p>
      <w:pPr>
        <w:pStyle w:val="Style33"/>
        <w:keepNext w:val="0"/>
        <w:keepLines w:val="0"/>
        <w:framePr w:w="893" w:h="586" w:wrap="none" w:vAnchor="text" w:hAnchor="page" w:x="2135" w:y="10639"/>
        <w:widowControl w:val="0"/>
        <w:shd w:val="clear" w:color="auto" w:fill="auto"/>
        <w:bidi w:val="0"/>
        <w:spacing w:before="0" w:after="0" w:line="240" w:lineRule="auto"/>
        <w:ind w:left="0" w:right="0" w:firstLine="0"/>
        <w:jc w:val="left"/>
      </w:pPr>
      <w:r>
        <w:rPr>
          <w:color w:val="000000"/>
          <w:spacing w:val="0"/>
          <w:w w:val="100"/>
          <w:position w:val="0"/>
        </w:rPr>
        <w:t>控制系统</w:t>
      </w:r>
    </w:p>
    <w:p>
      <w:pPr>
        <w:pStyle w:val="Style33"/>
        <w:keepNext w:val="0"/>
        <w:keepLines w:val="0"/>
        <w:framePr w:w="888" w:h="624" w:wrap="none" w:vAnchor="text" w:hAnchor="page" w:x="2140" w:y="942"/>
        <w:widowControl w:val="0"/>
        <w:shd w:val="clear" w:color="auto" w:fill="auto"/>
        <w:bidi w:val="0"/>
        <w:spacing w:before="0" w:after="0" w:line="302" w:lineRule="exact"/>
        <w:ind w:left="0" w:right="0" w:firstLine="0"/>
        <w:jc w:val="center"/>
      </w:pPr>
      <w:r>
        <w:rPr>
          <w:color w:val="000000"/>
          <w:spacing w:val="0"/>
          <w:w w:val="100"/>
          <w:position w:val="0"/>
        </w:rPr>
        <w:t>光学气体 探测器</w:t>
      </w:r>
    </w:p>
    <w:p>
      <w:pPr>
        <w:pStyle w:val="Style33"/>
        <w:keepNext w:val="0"/>
        <w:keepLines w:val="0"/>
        <w:framePr w:w="883" w:h="643" w:wrap="none" w:vAnchor="text" w:hAnchor="page" w:x="2140" w:y="6145"/>
        <w:widowControl w:val="0"/>
        <w:shd w:val="clear" w:color="auto" w:fill="auto"/>
        <w:bidi w:val="0"/>
        <w:spacing w:before="0" w:after="0" w:line="312" w:lineRule="exact"/>
        <w:ind w:left="0" w:right="0" w:firstLine="0"/>
        <w:jc w:val="center"/>
      </w:pPr>
      <w:r>
        <w:rPr>
          <w:color w:val="000000"/>
          <w:spacing w:val="0"/>
          <w:w w:val="100"/>
          <w:position w:val="0"/>
        </w:rPr>
        <w:t>火焰探测 器</w:t>
      </w:r>
    </w:p>
    <w:tbl>
      <w:tblPr>
        <w:tblOverlap w:val="never"/>
        <w:jc w:val="left"/>
        <w:tblLayout w:type="fixed"/>
      </w:tblPr>
      <w:tblGrid>
        <w:gridCol w:w="3350"/>
        <w:gridCol w:w="1973"/>
      </w:tblGrid>
      <w:tr>
        <w:trPr>
          <w:trHeight w:val="2534" w:hRule="exact"/>
        </w:trPr>
        <w:tc>
          <w:tcPr>
            <w:tcBorders>
              <w:top w:val="single" w:sz="4"/>
              <w:left w:val="single" w:sz="4"/>
            </w:tcBorders>
            <w:shd w:val="clear" w:color="auto" w:fill="FFFFFF"/>
            <w:vAlign w:val="bottom"/>
          </w:tcPr>
          <w:p>
            <w:pPr>
              <w:pStyle w:val="Style2"/>
              <w:keepNext w:val="0"/>
              <w:keepLines w:val="0"/>
              <w:framePr w:w="5323" w:h="13915" w:wrap="none" w:vAnchor="text" w:hAnchor="page" w:x="5423" w:y="21"/>
              <w:widowControl w:val="0"/>
              <w:shd w:val="clear" w:color="auto" w:fill="auto"/>
              <w:bidi w:val="0"/>
              <w:spacing w:before="0" w:after="0" w:line="312" w:lineRule="exact"/>
              <w:ind w:left="0" w:right="0" w:firstLine="0"/>
              <w:jc w:val="both"/>
            </w:pPr>
            <w:r>
              <w:rPr>
                <w:color w:val="14252C"/>
                <w:spacing w:val="0"/>
                <w:w w:val="100"/>
                <w:position w:val="0"/>
              </w:rPr>
              <w:t>1</w:t>
            </w:r>
            <w:r>
              <w:rPr>
                <w:color w:val="000000"/>
                <w:spacing w:val="0"/>
                <w:w w:val="100"/>
                <w:position w:val="0"/>
              </w:rPr>
              <w:t>光学探测产品主要包含车载激光甲 烷巡检车、开路激光气体探测、云 台扫描激光检测仪、手持激光遥测 仪等系列，采用先进的可调谐半导 体激光吸收光谱技术</w:t>
            </w:r>
            <w:r>
              <w:rPr>
                <w:color w:val="000000"/>
                <w:spacing w:val="0"/>
                <w:w w:val="100"/>
                <w:position w:val="0"/>
              </w:rPr>
              <w:t>（TDLAS）、</w:t>
            </w:r>
            <w:r>
              <w:rPr>
                <w:color w:val="000000"/>
                <w:spacing w:val="0"/>
                <w:w w:val="100"/>
                <w:position w:val="0"/>
              </w:rPr>
              <w:t>检 测光程增程技术、气体探测与视频 融合技术，全方面实现远距离的危</w:t>
            </w:r>
          </w:p>
          <w:p>
            <w:pPr>
              <w:pStyle w:val="Style2"/>
              <w:keepNext w:val="0"/>
              <w:keepLines w:val="0"/>
              <w:framePr w:w="5323" w:h="13915" w:wrap="none" w:vAnchor="text" w:hAnchor="page" w:x="5423" w:y="21"/>
              <w:widowControl w:val="0"/>
              <w:shd w:val="clear" w:color="auto" w:fill="auto"/>
              <w:bidi w:val="0"/>
              <w:spacing w:before="0" w:after="0" w:line="312" w:lineRule="exact"/>
              <w:ind w:left="0" w:right="0" w:firstLine="0"/>
              <w:jc w:val="left"/>
            </w:pPr>
            <w:r>
              <w:rPr>
                <w:color w:val="14252C"/>
                <w:spacing w:val="0"/>
                <w:w w:val="100"/>
                <w:position w:val="0"/>
              </w:rPr>
              <w:t>1</w:t>
            </w:r>
            <w:r>
              <w:rPr>
                <w:color w:val="000000"/>
                <w:spacing w:val="0"/>
                <w:w w:val="100"/>
                <w:position w:val="0"/>
              </w:rPr>
              <w:t>险气体快速探测。</w:t>
            </w:r>
          </w:p>
        </w:tc>
        <w:tc>
          <w:tcPr>
            <w:tcBorders>
              <w:top w:val="single" w:sz="4"/>
              <w:left w:val="single" w:sz="4"/>
              <w:right w:val="single" w:sz="4"/>
            </w:tcBorders>
            <w:shd w:val="clear" w:color="auto" w:fill="FFFFFF"/>
            <w:vAlign w:val="bottom"/>
          </w:tcPr>
          <w:p>
            <w:pPr>
              <w:pStyle w:val="Style2"/>
              <w:keepNext w:val="0"/>
              <w:keepLines w:val="0"/>
              <w:framePr w:w="5323" w:h="13915" w:wrap="none" w:vAnchor="text" w:hAnchor="page" w:x="5423" w:y="21"/>
              <w:widowControl w:val="0"/>
              <w:shd w:val="clear" w:color="auto" w:fill="auto"/>
              <w:bidi w:val="0"/>
              <w:spacing w:before="0" w:after="0" w:line="312" w:lineRule="exact"/>
              <w:ind w:left="0" w:right="0" w:firstLine="0"/>
              <w:jc w:val="both"/>
            </w:pPr>
            <w:r>
              <w:rPr>
                <w:color w:val="000000"/>
                <w:spacing w:val="0"/>
                <w:w w:val="100"/>
                <w:position w:val="0"/>
              </w:rPr>
              <w:t>主要应用于石油、天 然气门站、燃气存储 分离站、石化行业的 炼油厂、化工厂、冶 金行业、电力等行业， 以及油气长输管线、 城市燃气输配管路的 巡线监测。</w:t>
            </w:r>
          </w:p>
        </w:tc>
      </w:tr>
      <w:tr>
        <w:trPr>
          <w:trHeight w:val="2534" w:hRule="exact"/>
        </w:trPr>
        <w:tc>
          <w:tcPr>
            <w:tcBorders>
              <w:top w:val="single" w:sz="4"/>
              <w:left w:val="single" w:sz="4"/>
            </w:tcBorders>
            <w:shd w:val="clear" w:color="auto" w:fill="FFFFFF"/>
            <w:vAlign w:val="center"/>
          </w:tcPr>
          <w:p>
            <w:pPr>
              <w:pStyle w:val="Style2"/>
              <w:keepNext w:val="0"/>
              <w:keepLines w:val="0"/>
              <w:framePr w:w="5323" w:h="13915" w:wrap="none" w:vAnchor="text" w:hAnchor="page" w:x="5423" w:y="21"/>
              <w:widowControl w:val="0"/>
              <w:shd w:val="clear" w:color="auto" w:fill="auto"/>
              <w:bidi w:val="0"/>
              <w:spacing w:before="0" w:after="0" w:line="313" w:lineRule="exact"/>
              <w:ind w:left="0" w:right="0" w:firstLine="0"/>
              <w:jc w:val="both"/>
            </w:pPr>
            <w:r>
              <w:rPr>
                <w:color w:val="000000"/>
                <w:spacing w:val="0"/>
                <w:w w:val="100"/>
                <w:position w:val="0"/>
              </w:rPr>
              <w:t>分布式应用的地下管井可燃气体、 有毒气体监测仪表，采集燃气、供 水、排水、热力、消防行业的压力、 流量、液位、位置数据的监测仪表， 监测相关设施数据、完好度，具有 电池供电、无线数据传输功能，可 接入物联网平台。</w:t>
            </w:r>
          </w:p>
        </w:tc>
        <w:tc>
          <w:tcPr>
            <w:tcBorders>
              <w:top w:val="single" w:sz="4"/>
              <w:left w:val="single" w:sz="4"/>
              <w:right w:val="single" w:sz="4"/>
            </w:tcBorders>
            <w:shd w:val="clear" w:color="auto" w:fill="FFFFFF"/>
            <w:vAlign w:val="center"/>
          </w:tcPr>
          <w:p>
            <w:pPr>
              <w:pStyle w:val="Style2"/>
              <w:keepNext w:val="0"/>
              <w:keepLines w:val="0"/>
              <w:framePr w:w="5323" w:h="13915" w:wrap="none" w:vAnchor="text" w:hAnchor="page" w:x="5423" w:y="21"/>
              <w:widowControl w:val="0"/>
              <w:shd w:val="clear" w:color="auto" w:fill="auto"/>
              <w:bidi w:val="0"/>
              <w:spacing w:before="0" w:after="0" w:line="316" w:lineRule="exact"/>
              <w:ind w:left="0" w:right="0" w:firstLine="0"/>
              <w:jc w:val="both"/>
            </w:pPr>
            <w:r>
              <w:rPr>
                <w:color w:val="000000"/>
                <w:spacing w:val="0"/>
                <w:w w:val="100"/>
                <w:position w:val="0"/>
              </w:rPr>
              <w:t>燃气、供水、排水、 污水、热力、管廊、 消防、城市管理的物 联网监测监管应用， 智慧城市、智慧消防。</w:t>
            </w:r>
          </w:p>
        </w:tc>
      </w:tr>
      <w:tr>
        <w:trPr>
          <w:trHeight w:val="2842" w:hRule="exact"/>
        </w:trPr>
        <w:tc>
          <w:tcPr>
            <w:tcBorders>
              <w:top w:val="single" w:sz="4"/>
              <w:left w:val="single" w:sz="4"/>
            </w:tcBorders>
            <w:shd w:val="clear" w:color="auto" w:fill="FFFFFF"/>
            <w:vAlign w:val="center"/>
          </w:tcPr>
          <w:p>
            <w:pPr>
              <w:pStyle w:val="Style2"/>
              <w:keepNext w:val="0"/>
              <w:keepLines w:val="0"/>
              <w:framePr w:w="5323" w:h="13915" w:wrap="none" w:vAnchor="text" w:hAnchor="page" w:x="5423" w:y="21"/>
              <w:widowControl w:val="0"/>
              <w:shd w:val="clear" w:color="auto" w:fill="auto"/>
              <w:bidi w:val="0"/>
              <w:spacing w:before="0" w:after="0" w:line="312" w:lineRule="exact"/>
              <w:ind w:left="0" w:right="0" w:firstLine="0"/>
              <w:jc w:val="both"/>
            </w:pPr>
            <w:r>
              <w:rPr>
                <w:color w:val="000000"/>
                <w:spacing w:val="0"/>
                <w:w w:val="100"/>
                <w:position w:val="0"/>
              </w:rPr>
              <w:t>采用紫外光探测和红外光探测技术 以及紫外红外复合探测技术，广泛 用于检测各种燃烧物燃烧的火焰。</w:t>
            </w:r>
          </w:p>
          <w:p>
            <w:pPr>
              <w:pStyle w:val="Style2"/>
              <w:keepNext w:val="0"/>
              <w:keepLines w:val="0"/>
              <w:framePr w:w="5323" w:h="13915" w:wrap="none" w:vAnchor="text" w:hAnchor="page" w:x="5423" w:y="21"/>
              <w:widowControl w:val="0"/>
              <w:shd w:val="clear" w:color="auto" w:fill="auto"/>
              <w:bidi w:val="0"/>
              <w:spacing w:before="0" w:after="0" w:line="312" w:lineRule="exact"/>
              <w:ind w:left="0" w:right="0" w:firstLine="0"/>
              <w:jc w:val="both"/>
            </w:pPr>
            <w:r>
              <w:rPr>
                <w:color w:val="000000"/>
                <w:spacing w:val="0"/>
                <w:w w:val="100"/>
                <w:position w:val="0"/>
              </w:rPr>
              <w:t>具备可靠、响应迅速、环境适应性 好、抗干扰性能强、寿命长等优点。</w:t>
            </w:r>
          </w:p>
        </w:tc>
        <w:tc>
          <w:tcPr>
            <w:tcBorders>
              <w:top w:val="single" w:sz="4"/>
              <w:left w:val="single" w:sz="4"/>
              <w:right w:val="single" w:sz="4"/>
            </w:tcBorders>
            <w:shd w:val="clear" w:color="auto" w:fill="FFFFFF"/>
            <w:vAlign w:val="top"/>
          </w:tcPr>
          <w:p>
            <w:pPr>
              <w:pStyle w:val="Style2"/>
              <w:keepNext w:val="0"/>
              <w:keepLines w:val="0"/>
              <w:framePr w:w="5323" w:h="13915" w:wrap="none" w:vAnchor="text" w:hAnchor="page" w:x="5423" w:y="21"/>
              <w:widowControl w:val="0"/>
              <w:shd w:val="clear" w:color="auto" w:fill="auto"/>
              <w:bidi w:val="0"/>
              <w:spacing w:before="0" w:after="0" w:line="314" w:lineRule="exact"/>
              <w:ind w:left="0" w:right="0" w:firstLine="0"/>
              <w:jc w:val="both"/>
            </w:pPr>
            <w:r>
              <w:rPr>
                <w:color w:val="000000"/>
                <w:spacing w:val="0"/>
                <w:w w:val="100"/>
                <w:position w:val="0"/>
              </w:rPr>
              <w:t>主要应用于石油化 工、天然气勘探生产 企业、制药企业、发 电站、航天工业、飞 机库、化学工业、公 路隧道、弹药和爆炸 品仓库、油漆工厂、 印刷企业、易燃材料 仓库等场所。</w:t>
            </w:r>
          </w:p>
        </w:tc>
      </w:tr>
      <w:tr>
        <w:trPr>
          <w:trHeight w:val="3154" w:hRule="exact"/>
        </w:trPr>
        <w:tc>
          <w:tcPr>
            <w:tcBorders>
              <w:top w:val="single" w:sz="4"/>
              <w:left w:val="single" w:sz="4"/>
            </w:tcBorders>
            <w:shd w:val="clear" w:color="auto" w:fill="FFFFFF"/>
            <w:vAlign w:val="center"/>
          </w:tcPr>
          <w:p>
            <w:pPr>
              <w:pStyle w:val="Style2"/>
              <w:keepNext w:val="0"/>
              <w:keepLines w:val="0"/>
              <w:framePr w:w="5323" w:h="13915" w:wrap="none" w:vAnchor="text" w:hAnchor="page" w:x="5423" w:y="21"/>
              <w:widowControl w:val="0"/>
              <w:shd w:val="clear" w:color="auto" w:fill="auto"/>
              <w:bidi w:val="0"/>
              <w:spacing w:before="0" w:after="0" w:line="311" w:lineRule="exact"/>
              <w:ind w:left="0" w:right="0" w:firstLine="0"/>
              <w:jc w:val="both"/>
            </w:pPr>
            <w:r>
              <w:rPr>
                <w:color w:val="000000"/>
                <w:spacing w:val="0"/>
                <w:w w:val="100"/>
                <w:position w:val="0"/>
              </w:rPr>
              <w:t>配合气体探测器和各种物联网感知 终端，采集数据信号有线或无线传 输至中央控制系统，显示被测数据 或发出声、光报警信号并输出有关 控制信号、启动相应控制装置。属 于物联网数据采集设备，可将各种 传感器、仪表、音视频数据采集、 融合、上传至云端物联网平台。</w:t>
            </w:r>
          </w:p>
        </w:tc>
        <w:tc>
          <w:tcPr>
            <w:tcBorders>
              <w:top w:val="single" w:sz="4"/>
              <w:left w:val="single" w:sz="4"/>
              <w:right w:val="single" w:sz="4"/>
            </w:tcBorders>
            <w:shd w:val="clear" w:color="auto" w:fill="FFFFFF"/>
            <w:vAlign w:val="top"/>
          </w:tcPr>
          <w:p>
            <w:pPr>
              <w:pStyle w:val="Style2"/>
              <w:keepNext w:val="0"/>
              <w:keepLines w:val="0"/>
              <w:framePr w:w="5323" w:h="13915" w:wrap="none" w:vAnchor="text" w:hAnchor="page" w:x="5423" w:y="21"/>
              <w:widowControl w:val="0"/>
              <w:shd w:val="clear" w:color="auto" w:fill="auto"/>
              <w:bidi w:val="0"/>
              <w:spacing w:before="0" w:after="0" w:line="314" w:lineRule="exact"/>
              <w:ind w:left="0" w:right="0" w:firstLine="0"/>
              <w:jc w:val="both"/>
            </w:pPr>
            <w:r>
              <w:rPr>
                <w:color w:val="000000"/>
                <w:spacing w:val="0"/>
                <w:w w:val="100"/>
                <w:position w:val="0"/>
              </w:rPr>
              <w:t>可用于石油石化行业 及炼化；燃气、加气 站，九小场所、工商 业综合体，工厂等可 能发生可燃气体泄漏 或产生有毒有害气体 的场所。智慧城市、 智慧安全、智慧环保 等相关物联网应用配 套的数据采集。</w:t>
            </w:r>
          </w:p>
        </w:tc>
      </w:tr>
      <w:tr>
        <w:trPr>
          <w:trHeight w:val="2851" w:hRule="exact"/>
        </w:trPr>
        <w:tc>
          <w:tcPr>
            <w:tcBorders>
              <w:top w:val="single" w:sz="4"/>
              <w:left w:val="single" w:sz="4"/>
              <w:bottom w:val="single" w:sz="4"/>
            </w:tcBorders>
            <w:shd w:val="clear" w:color="auto" w:fill="FFFFFF"/>
            <w:vAlign w:val="top"/>
          </w:tcPr>
          <w:p>
            <w:pPr>
              <w:pStyle w:val="Style2"/>
              <w:keepNext w:val="0"/>
              <w:keepLines w:val="0"/>
              <w:framePr w:w="5323" w:h="13915" w:wrap="none" w:vAnchor="text" w:hAnchor="page" w:x="5423" w:y="21"/>
              <w:widowControl w:val="0"/>
              <w:shd w:val="clear" w:color="auto" w:fill="auto"/>
              <w:bidi w:val="0"/>
              <w:spacing w:before="0" w:after="0" w:line="314" w:lineRule="exact"/>
              <w:ind w:left="0" w:right="0" w:firstLine="0"/>
              <w:jc w:val="both"/>
            </w:pPr>
            <w:r>
              <w:rPr>
                <w:color w:val="000000"/>
                <w:spacing w:val="0"/>
                <w:w w:val="100"/>
                <w:position w:val="0"/>
              </w:rPr>
              <w:t>HGDS1000</w:t>
            </w:r>
            <w:r>
              <w:rPr>
                <w:color w:val="000000"/>
                <w:spacing w:val="0"/>
                <w:w w:val="100"/>
                <w:position w:val="0"/>
              </w:rPr>
              <w:t>型可编程控制系统是一种 经济，高效的功能安全型控制系统， 它具有高可靠性，功能丰富，性能 优异，集成度高，扩展性能好等特 点。该系统已经通过南德</w:t>
            </w:r>
            <w:r>
              <w:rPr>
                <w:color w:val="000000"/>
                <w:spacing w:val="0"/>
                <w:w w:val="100"/>
                <w:position w:val="0"/>
              </w:rPr>
              <w:t>TUV</w:t>
            </w:r>
            <w:r>
              <w:rPr>
                <w:color w:val="000000"/>
                <w:spacing w:val="0"/>
                <w:w w:val="100"/>
                <w:position w:val="0"/>
              </w:rPr>
              <w:t>技术监 督协会认证，适用于</w:t>
            </w:r>
            <w:r>
              <w:rPr>
                <w:color w:val="000000"/>
                <w:spacing w:val="0"/>
                <w:w w:val="100"/>
                <w:position w:val="0"/>
              </w:rPr>
              <w:t>SIL2</w:t>
            </w:r>
            <w:r>
              <w:rPr>
                <w:color w:val="000000"/>
                <w:spacing w:val="0"/>
                <w:w w:val="100"/>
                <w:position w:val="0"/>
              </w:rPr>
              <w:t>等级安全 功能要求，符合</w:t>
            </w:r>
            <w:r>
              <w:rPr>
                <w:color w:val="000000"/>
                <w:spacing w:val="0"/>
                <w:w w:val="100"/>
                <w:position w:val="0"/>
              </w:rPr>
              <w:t>IEC61508</w:t>
            </w:r>
            <w:r>
              <w:rPr>
                <w:color w:val="000000"/>
                <w:spacing w:val="0"/>
                <w:w w:val="100"/>
                <w:position w:val="0"/>
              </w:rPr>
              <w:t>标准的要 求，可为不同工业领域提供安全可 靠的解决方案。</w:t>
            </w:r>
          </w:p>
        </w:tc>
        <w:tc>
          <w:tcPr>
            <w:tcBorders>
              <w:top w:val="single" w:sz="4"/>
              <w:left w:val="single" w:sz="4"/>
              <w:bottom w:val="single" w:sz="4"/>
              <w:right w:val="single" w:sz="4"/>
            </w:tcBorders>
            <w:shd w:val="clear" w:color="auto" w:fill="FFFFFF"/>
            <w:vAlign w:val="center"/>
          </w:tcPr>
          <w:p>
            <w:pPr>
              <w:pStyle w:val="Style2"/>
              <w:keepNext w:val="0"/>
              <w:keepLines w:val="0"/>
              <w:framePr w:w="5323" w:h="13915" w:wrap="none" w:vAnchor="text" w:hAnchor="page" w:x="5423" w:y="21"/>
              <w:widowControl w:val="0"/>
              <w:shd w:val="clear" w:color="auto" w:fill="auto"/>
              <w:bidi w:val="0"/>
              <w:spacing w:before="0" w:after="0" w:line="314" w:lineRule="exact"/>
              <w:ind w:left="0" w:right="0" w:firstLine="0"/>
              <w:jc w:val="both"/>
            </w:pPr>
            <w:r>
              <w:rPr>
                <w:color w:val="000000"/>
                <w:spacing w:val="0"/>
                <w:w w:val="100"/>
                <w:position w:val="0"/>
              </w:rPr>
              <w:t>该系统可广泛适用于 各种控制过程领域， 如化工，能源，煤气， 制药，冶金，天然气， 炼化，石油等领域。</w:t>
            </w:r>
          </w:p>
        </w:tc>
      </w:tr>
    </w:tbl>
    <w:p>
      <w:pPr>
        <w:framePr w:w="5323" w:h="13915" w:wrap="none" w:vAnchor="text" w:hAnchor="page" w:x="5423" w:y="21"/>
        <w:widowControl w:val="0"/>
        <w:spacing w:line="1" w:lineRule="exact"/>
      </w:pPr>
    </w:p>
    <w:p>
      <w:pPr>
        <w:widowControl w:val="0"/>
        <w:spacing w:line="360" w:lineRule="exact"/>
      </w:pPr>
      <w:r>
        <w:drawing>
          <wp:anchor distT="0" distB="0" distL="0" distR="597535" simplePos="0" relativeHeight="62914690" behindDoc="1" locked="0" layoutInCell="1" allowOverlap="1">
            <wp:simplePos x="0" y="0"/>
            <wp:positionH relativeFrom="page">
              <wp:posOffset>721360</wp:posOffset>
            </wp:positionH>
            <wp:positionV relativeFrom="paragraph">
              <wp:posOffset>12700</wp:posOffset>
            </wp:positionV>
            <wp:extent cx="603250" cy="8827135"/>
            <wp:wrapNone/>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19"/>
                    <a:stretch/>
                  </pic:blipFill>
                  <pic:spPr>
                    <a:xfrm>
                      <a:ext cx="603250" cy="8827135"/>
                    </a:xfrm>
                    <a:prstGeom prst="rect"/>
                  </pic:spPr>
                </pic:pic>
              </a:graphicData>
            </a:graphic>
          </wp:anchor>
        </w:drawing>
      </w:r>
      <w:r>
        <w:drawing>
          <wp:anchor distT="0" distB="0" distL="0" distR="0" simplePos="0" relativeHeight="62914691" behindDoc="1" locked="0" layoutInCell="1" allowOverlap="1">
            <wp:simplePos x="0" y="0"/>
            <wp:positionH relativeFrom="page">
              <wp:posOffset>1327785</wp:posOffset>
            </wp:positionH>
            <wp:positionV relativeFrom="paragraph">
              <wp:posOffset>67310</wp:posOffset>
            </wp:positionV>
            <wp:extent cx="2121535" cy="8589010"/>
            <wp:wrapNone/>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21"/>
                    <a:stretch/>
                  </pic:blipFill>
                  <pic:spPr>
                    <a:xfrm>
                      <a:ext cx="2121535" cy="85890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4" w:line="1" w:lineRule="exact"/>
      </w:pPr>
    </w:p>
    <w:p>
      <w:pPr>
        <w:widowControl w:val="0"/>
        <w:spacing w:line="1" w:lineRule="exact"/>
        <w:sectPr>
          <w:footnotePr>
            <w:pos w:val="pageBottom"/>
            <w:numFmt w:val="decimal"/>
            <w:numRestart w:val="continuous"/>
          </w:footnotePr>
          <w:type w:val="continuous"/>
          <w:pgSz w:w="11900" w:h="16840"/>
          <w:pgMar w:top="1195" w:right="1141" w:bottom="1196" w:left="1136" w:header="0" w:footer="3" w:gutter="0"/>
          <w:cols w:space="720"/>
          <w:noEndnote/>
          <w:rtlGutter w:val="0"/>
          <w:docGrid w:linePitch="360"/>
        </w:sectPr>
      </w:pPr>
    </w:p>
    <w:p>
      <w:pPr>
        <w:widowControl w:val="0"/>
        <w:spacing w:line="179" w:lineRule="exact"/>
        <w:rPr>
          <w:sz w:val="14"/>
          <w:szCs w:val="14"/>
        </w:rPr>
      </w:pPr>
    </w:p>
    <w:p>
      <w:pPr>
        <w:widowControl w:val="0"/>
        <w:spacing w:line="1" w:lineRule="exact"/>
        <w:sectPr>
          <w:footnotePr>
            <w:pos w:val="pageBottom"/>
            <w:numFmt w:val="decimal"/>
            <w:numRestart w:val="continuous"/>
          </w:footnotePr>
          <w:pgSz w:w="11900" w:h="16840"/>
          <w:pgMar w:top="1195" w:right="1140" w:bottom="1196" w:left="1140" w:header="0" w:footer="3" w:gutter="0"/>
          <w:cols w:space="720"/>
          <w:noEndnote/>
          <w:rtlGutter w:val="0"/>
          <w:docGrid w:linePitch="360"/>
        </w:sectPr>
      </w:pPr>
    </w:p>
    <w:p>
      <w:pPr>
        <w:pStyle w:val="Style10"/>
        <w:keepNext w:val="0"/>
        <w:keepLines w:val="0"/>
        <w:framePr w:w="893" w:h="634" w:wrap="none" w:vAnchor="text" w:hAnchor="page" w:x="2135" w:y="3932"/>
        <w:widowControl w:val="0"/>
        <w:shd w:val="clear" w:color="auto" w:fill="auto"/>
        <w:bidi w:val="0"/>
        <w:spacing w:before="0" w:after="0" w:line="307" w:lineRule="exact"/>
        <w:ind w:left="0" w:right="0" w:firstLine="0"/>
        <w:jc w:val="center"/>
      </w:pPr>
      <w:r>
        <w:rPr>
          <w:b/>
          <w:bCs/>
          <w:color w:val="000000"/>
          <w:spacing w:val="0"/>
          <w:w w:val="100"/>
          <w:position w:val="0"/>
        </w:rPr>
        <w:t>便携气体</w:t>
        <w:br/>
        <w:t>检测仪</w:t>
      </w:r>
    </w:p>
    <w:p>
      <w:pPr>
        <w:pStyle w:val="Style10"/>
        <w:keepNext w:val="0"/>
        <w:keepLines w:val="0"/>
        <w:framePr w:w="960" w:h="653" w:wrap="none" w:vAnchor="text" w:hAnchor="page" w:x="1141" w:y="9740"/>
        <w:widowControl w:val="0"/>
        <w:shd w:val="clear" w:color="auto" w:fill="auto"/>
        <w:bidi w:val="0"/>
        <w:spacing w:before="0" w:after="0" w:line="317" w:lineRule="exact"/>
        <w:ind w:left="0" w:right="0" w:firstLine="0"/>
        <w:jc w:val="left"/>
      </w:pPr>
      <w:r>
        <w:rPr>
          <w:b/>
          <w:bCs/>
          <w:color w:val="000000"/>
          <w:spacing w:val="0"/>
          <w:w w:val="100"/>
          <w:position w:val="0"/>
        </w:rPr>
        <w:t>环境监测 仪表</w:t>
      </w:r>
    </w:p>
    <w:p>
      <w:pPr>
        <w:pStyle w:val="Style10"/>
        <w:keepNext w:val="0"/>
        <w:keepLines w:val="0"/>
        <w:framePr w:w="883" w:h="653" w:wrap="none" w:vAnchor="text" w:hAnchor="page" w:x="2140" w:y="9740"/>
        <w:widowControl w:val="0"/>
        <w:shd w:val="clear" w:color="auto" w:fill="auto"/>
        <w:bidi w:val="0"/>
        <w:spacing w:before="0" w:after="0" w:line="317" w:lineRule="exact"/>
        <w:ind w:left="0" w:right="0" w:firstLine="0"/>
        <w:jc w:val="center"/>
      </w:pPr>
      <w:r>
        <w:rPr>
          <w:b/>
          <w:bCs/>
          <w:color w:val="000000"/>
          <w:spacing w:val="0"/>
          <w:w w:val="100"/>
          <w:position w:val="0"/>
        </w:rPr>
        <w:t>水质监测</w:t>
        <w:br/>
        <w:t>仪器</w:t>
      </w:r>
    </w:p>
    <w:p>
      <w:pPr>
        <w:pStyle w:val="Style33"/>
        <w:keepNext w:val="0"/>
        <w:keepLines w:val="0"/>
        <w:framePr w:w="1090" w:h="264" w:wrap="none" w:vAnchor="text" w:hAnchor="page" w:x="3762" w:y="3813"/>
        <w:widowControl w:val="0"/>
        <w:shd w:val="clear" w:color="auto" w:fill="auto"/>
        <w:bidi w:val="0"/>
        <w:spacing w:before="0" w:after="0" w:line="240" w:lineRule="auto"/>
        <w:ind w:left="0" w:right="0" w:firstLine="0"/>
        <w:jc w:val="left"/>
      </w:pPr>
      <w:r>
        <w:rPr>
          <w:b w:val="0"/>
          <w:bCs w:val="0"/>
          <w:color w:val="000000"/>
          <w:spacing w:val="0"/>
          <w:w w:val="100"/>
          <w:position w:val="0"/>
        </w:rPr>
        <w:t>便携检测仪</w:t>
      </w:r>
    </w:p>
    <w:p>
      <w:pPr>
        <w:pStyle w:val="Style33"/>
        <w:keepNext w:val="0"/>
        <w:keepLines w:val="0"/>
        <w:framePr w:w="1502" w:h="283" w:wrap="none" w:vAnchor="text" w:hAnchor="page" w:x="3561" w:y="8031"/>
        <w:widowControl w:val="0"/>
        <w:shd w:val="clear" w:color="auto" w:fill="auto"/>
        <w:bidi w:val="0"/>
        <w:spacing w:before="0" w:after="0" w:line="240" w:lineRule="auto"/>
        <w:ind w:left="0" w:right="0" w:firstLine="0"/>
        <w:jc w:val="left"/>
      </w:pPr>
      <w:r>
        <w:rPr>
          <w:b w:val="0"/>
          <w:bCs w:val="0"/>
          <w:color w:val="000000"/>
          <w:spacing w:val="0"/>
          <w:w w:val="100"/>
          <w:position w:val="0"/>
        </w:rPr>
        <w:t>酒精含量检测仪</w:t>
      </w:r>
    </w:p>
    <w:p>
      <w:pPr>
        <w:pStyle w:val="Style10"/>
        <w:keepNext w:val="0"/>
        <w:keepLines w:val="0"/>
        <w:framePr w:w="3355" w:h="5318" w:wrap="none" w:vAnchor="text" w:hAnchor="page" w:x="5538" w:y="21"/>
        <w:widowControl w:val="0"/>
        <w:shd w:val="clear" w:color="auto" w:fill="auto"/>
        <w:bidi w:val="0"/>
        <w:spacing w:before="0" w:after="0" w:line="312" w:lineRule="exact"/>
        <w:ind w:left="0" w:right="0" w:firstLine="0"/>
        <w:jc w:val="both"/>
      </w:pPr>
      <w:r>
        <w:rPr>
          <w:color w:val="000000"/>
          <w:spacing w:val="0"/>
          <w:w w:val="100"/>
          <w:position w:val="0"/>
        </w:rPr>
        <w:t>便于携带的燃气检漏巡检和工业安 全个人防护系列产品；燃气检漏巡 检系列，主要对城市燃气管网、居 民户内用气环境是否存在不安全因 素进行巡检，可接入管网巡检系统 及入户安检系统，可实现巡检信息 现场采集与回传打造高质量可视化 的安全巡检管理工作数字化应用。 工业安全个人防护系列产品，主要 用于对可燃气体和有毒气体浓度的 检测，实现危险探测，人员安全保 护。属于本质安全型设备，采用自 然扩散或泵吸的方式检测气体，可 采用电化学、催化燃烧、光学等传 感器，具有极好的灵敏度和重复性; 具备高等级防护级别，国内认证齐 全。</w:t>
      </w:r>
    </w:p>
    <w:p>
      <w:pPr>
        <w:pStyle w:val="Style10"/>
        <w:keepNext w:val="0"/>
        <w:keepLines w:val="0"/>
        <w:framePr w:w="1978" w:h="4709" w:wrap="none" w:vAnchor="text" w:hAnchor="page" w:x="8769" w:y="308"/>
        <w:widowControl w:val="0"/>
        <w:shd w:val="clear" w:color="auto" w:fill="auto"/>
        <w:bidi w:val="0"/>
        <w:spacing w:before="0" w:after="0" w:line="313" w:lineRule="exact"/>
        <w:ind w:left="0" w:right="0" w:firstLine="0"/>
        <w:jc w:val="both"/>
      </w:pPr>
      <w:r>
        <w:rPr>
          <w:color w:val="000000"/>
          <w:spacing w:val="0"/>
          <w:w w:val="100"/>
          <w:position w:val="0"/>
        </w:rPr>
        <w:t>燃气检漏巡检系列适 用于城市燃气输配管 路、户内燃气管道、 架空管道、立管或分 布在狭窄空间中的管 道等泄漏检测。</w:t>
      </w:r>
    </w:p>
    <w:p>
      <w:pPr>
        <w:pStyle w:val="Style10"/>
        <w:keepNext w:val="0"/>
        <w:keepLines w:val="0"/>
        <w:framePr w:w="1978" w:h="4709" w:wrap="none" w:vAnchor="text" w:hAnchor="page" w:x="8769" w:y="308"/>
        <w:widowControl w:val="0"/>
        <w:shd w:val="clear" w:color="auto" w:fill="auto"/>
        <w:bidi w:val="0"/>
        <w:spacing w:before="0" w:after="0" w:line="313" w:lineRule="exact"/>
        <w:ind w:left="0" w:right="0" w:firstLine="0"/>
        <w:jc w:val="both"/>
      </w:pPr>
      <w:r>
        <w:rPr>
          <w:color w:val="000000"/>
          <w:spacing w:val="0"/>
          <w:w w:val="100"/>
          <w:position w:val="0"/>
        </w:rPr>
        <w:t>工业安全个人防护系 列产品主要适用于石 油、石化行业的炼油 厂、化工厂、冶金行 业、电力行业等可能 产生燃气或者毒性气 体泄漏的场所、以及 工商业作业中，受限 空间场合。</w:t>
      </w:r>
    </w:p>
    <w:tbl>
      <w:tblPr>
        <w:tblOverlap w:val="never"/>
        <w:jc w:val="left"/>
        <w:tblLayout w:type="fixed"/>
      </w:tblPr>
      <w:tblGrid>
        <w:gridCol w:w="3235"/>
        <w:gridCol w:w="1958"/>
      </w:tblGrid>
      <w:tr>
        <w:trPr>
          <w:trHeight w:val="3106" w:hRule="exact"/>
        </w:trPr>
        <w:tc>
          <w:tcPr>
            <w:tcBorders>
              <w:top w:val="single" w:sz="4"/>
              <w:left w:val="single" w:sz="4"/>
            </w:tcBorders>
            <w:shd w:val="clear" w:color="auto" w:fill="FFFFFF"/>
            <w:vAlign w:val="top"/>
          </w:tcPr>
          <w:p>
            <w:pPr>
              <w:pStyle w:val="Style2"/>
              <w:keepNext w:val="0"/>
              <w:keepLines w:val="0"/>
              <w:framePr w:w="5194" w:h="6211" w:wrap="none" w:vAnchor="text" w:hAnchor="page" w:x="5538" w:y="5411"/>
              <w:widowControl w:val="0"/>
              <w:shd w:val="clear" w:color="auto" w:fill="auto"/>
              <w:bidi w:val="0"/>
              <w:spacing w:before="0" w:after="0" w:line="312" w:lineRule="exact"/>
              <w:ind w:left="0" w:right="0" w:firstLine="0"/>
              <w:jc w:val="both"/>
            </w:pPr>
            <w:r>
              <w:rPr>
                <w:color w:val="000000"/>
                <w:spacing w:val="0"/>
                <w:w w:val="100"/>
                <w:position w:val="0"/>
              </w:rPr>
              <w:t>酒精检测仪的核心部件，电化学酒 精传感器和半导体酒精传感器拥有 自主知识产权，检测仪具有高精度、 高灵敏度、高稳定、强抗干扰能力 的特性且方便校准等优点；警用级 别仪器具有无线联网、多模卫星定 位、人脸拍照等多种功能，检测数 据可与数据管理平台进行实时数据 传输；民用商用级别酒检仪极具性 价比。</w:t>
            </w:r>
          </w:p>
        </w:tc>
        <w:tc>
          <w:tcPr>
            <w:tcBorders>
              <w:top w:val="single" w:sz="4"/>
              <w:left w:val="single" w:sz="4"/>
              <w:right w:val="single" w:sz="4"/>
            </w:tcBorders>
            <w:shd w:val="clear" w:color="auto" w:fill="FFFFFF"/>
            <w:vAlign w:val="center"/>
          </w:tcPr>
          <w:p>
            <w:pPr>
              <w:pStyle w:val="Style2"/>
              <w:keepNext w:val="0"/>
              <w:keepLines w:val="0"/>
              <w:framePr w:w="5194" w:h="6211" w:wrap="none" w:vAnchor="text" w:hAnchor="page" w:x="5538" w:y="5411"/>
              <w:widowControl w:val="0"/>
              <w:shd w:val="clear" w:color="auto" w:fill="auto"/>
              <w:bidi w:val="0"/>
              <w:spacing w:before="0" w:after="0" w:line="317" w:lineRule="exact"/>
              <w:ind w:left="0" w:right="0" w:firstLine="0"/>
              <w:jc w:val="both"/>
            </w:pPr>
            <w:r>
              <w:rPr>
                <w:color w:val="000000"/>
                <w:spacing w:val="0"/>
                <w:w w:val="100"/>
                <w:position w:val="0"/>
              </w:rPr>
              <w:t>适用于警用、安保等 特殊部门检测酒后驾 驶或作业前的酒精检 测，以及民用商用的 酒精呼出气体检测。</w:t>
            </w:r>
          </w:p>
        </w:tc>
      </w:tr>
      <w:tr>
        <w:trPr>
          <w:trHeight w:val="3106" w:hRule="exact"/>
        </w:trPr>
        <w:tc>
          <w:tcPr>
            <w:tcBorders>
              <w:top w:val="single" w:sz="4"/>
              <w:left w:val="single" w:sz="4"/>
              <w:bottom w:val="single" w:sz="4"/>
            </w:tcBorders>
            <w:shd w:val="clear" w:color="auto" w:fill="FFFFFF"/>
            <w:vAlign w:val="bottom"/>
          </w:tcPr>
          <w:p>
            <w:pPr>
              <w:pStyle w:val="Style2"/>
              <w:keepNext w:val="0"/>
              <w:keepLines w:val="0"/>
              <w:framePr w:w="5194" w:h="6211" w:wrap="none" w:vAnchor="text" w:hAnchor="page" w:x="5538" w:y="5411"/>
              <w:widowControl w:val="0"/>
              <w:shd w:val="clear" w:color="auto" w:fill="auto"/>
              <w:bidi w:val="0"/>
              <w:spacing w:before="0" w:after="0" w:line="312" w:lineRule="exact"/>
              <w:ind w:left="0" w:right="0" w:firstLine="0"/>
              <w:jc w:val="both"/>
            </w:pPr>
            <w:r>
              <w:rPr>
                <w:color w:val="000000"/>
                <w:spacing w:val="0"/>
                <w:w w:val="100"/>
                <w:position w:val="0"/>
              </w:rPr>
              <w:t>水质多参数在线监测仪主要组合运 用多种数字式或模拟式传感器，能 够对市政供水等各个环节的水质指 标（如：</w:t>
            </w:r>
            <w:r>
              <w:rPr>
                <w:color w:val="000000"/>
                <w:spacing w:val="0"/>
                <w:w w:val="100"/>
                <w:position w:val="0"/>
              </w:rPr>
              <w:t>PH、</w:t>
            </w:r>
            <w:r>
              <w:rPr>
                <w:color w:val="000000"/>
                <w:spacing w:val="0"/>
                <w:w w:val="100"/>
                <w:position w:val="0"/>
              </w:rPr>
              <w:t>溶解氧、余氯、浊度、 电导率、温度等）进行快速、准确、 连续的在线监测。环境水质监测仪 器可以用来监测水体中的常规5参、 化学需氧量</w:t>
            </w:r>
            <w:r>
              <w:rPr>
                <w:color w:val="000000"/>
                <w:spacing w:val="0"/>
                <w:w w:val="100"/>
                <w:position w:val="0"/>
              </w:rPr>
              <w:t>（COD）、</w:t>
            </w:r>
            <w:r>
              <w:rPr>
                <w:color w:val="000000"/>
                <w:spacing w:val="0"/>
                <w:w w:val="100"/>
                <w:position w:val="0"/>
              </w:rPr>
              <w:t>氨氮、总磷、 总氮、总有机碳</w:t>
            </w:r>
            <w:r>
              <w:rPr>
                <w:color w:val="000000"/>
                <w:spacing w:val="0"/>
                <w:w w:val="100"/>
                <w:position w:val="0"/>
              </w:rPr>
              <w:t>（TOC）、</w:t>
            </w:r>
            <w:r>
              <w:rPr>
                <w:color w:val="000000"/>
                <w:spacing w:val="0"/>
                <w:w w:val="100"/>
                <w:position w:val="0"/>
              </w:rPr>
              <w:t>硝酸盐氮 等参数。</w:t>
            </w:r>
          </w:p>
        </w:tc>
        <w:tc>
          <w:tcPr>
            <w:tcBorders>
              <w:top w:val="single" w:sz="4"/>
              <w:left w:val="single" w:sz="4"/>
              <w:bottom w:val="single" w:sz="4"/>
              <w:right w:val="single" w:sz="4"/>
            </w:tcBorders>
            <w:shd w:val="clear" w:color="auto" w:fill="FFFFFF"/>
            <w:vAlign w:val="center"/>
          </w:tcPr>
          <w:p>
            <w:pPr>
              <w:pStyle w:val="Style2"/>
              <w:keepNext w:val="0"/>
              <w:keepLines w:val="0"/>
              <w:framePr w:w="5194" w:h="6211" w:wrap="none" w:vAnchor="text" w:hAnchor="page" w:x="5538" w:y="5411"/>
              <w:widowControl w:val="0"/>
              <w:shd w:val="clear" w:color="auto" w:fill="auto"/>
              <w:bidi w:val="0"/>
              <w:spacing w:before="0" w:after="0" w:line="314" w:lineRule="exact"/>
              <w:ind w:left="0" w:right="0" w:firstLine="0"/>
              <w:jc w:val="both"/>
            </w:pPr>
            <w:r>
              <w:rPr>
                <w:color w:val="000000"/>
                <w:spacing w:val="0"/>
                <w:w w:val="100"/>
                <w:position w:val="0"/>
              </w:rPr>
              <w:t>适用于自来水厂、居 民小区二次供水水质 监测；工业企业、社 会环境排放水质污染 监测等。</w:t>
            </w:r>
          </w:p>
        </w:tc>
      </w:tr>
    </w:tbl>
    <w:p>
      <w:pPr>
        <w:framePr w:w="5194" w:h="6211" w:wrap="none" w:vAnchor="text" w:hAnchor="page" w:x="5538" w:y="5411"/>
        <w:widowControl w:val="0"/>
        <w:spacing w:line="1" w:lineRule="exact"/>
      </w:pPr>
    </w:p>
    <w:p>
      <w:pPr>
        <w:widowControl w:val="0"/>
        <w:spacing w:line="360" w:lineRule="exact"/>
      </w:pPr>
      <w:r>
        <w:drawing>
          <wp:anchor distT="0" distB="225425" distL="0" distR="0" simplePos="0" relativeHeight="62914692" behindDoc="1" locked="0" layoutInCell="1" allowOverlap="1">
            <wp:simplePos x="0" y="0"/>
            <wp:positionH relativeFrom="page">
              <wp:posOffset>1973580</wp:posOffset>
            </wp:positionH>
            <wp:positionV relativeFrom="paragraph">
              <wp:posOffset>859790</wp:posOffset>
            </wp:positionV>
            <wp:extent cx="1524000" cy="1505585"/>
            <wp:wrapNone/>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23"/>
                    <a:stretch/>
                  </pic:blipFill>
                  <pic:spPr>
                    <a:xfrm>
                      <a:ext cx="1524000" cy="1505585"/>
                    </a:xfrm>
                    <a:prstGeom prst="rect"/>
                  </pic:spPr>
                </pic:pic>
              </a:graphicData>
            </a:graphic>
          </wp:anchor>
        </w:drawing>
      </w:r>
      <w:r>
        <w:drawing>
          <wp:anchor distT="0" distB="259080" distL="0" distR="0" simplePos="0" relativeHeight="62914693" behindDoc="1" locked="0" layoutInCell="1" allowOverlap="1">
            <wp:simplePos x="0" y="0"/>
            <wp:positionH relativeFrom="page">
              <wp:posOffset>2032000</wp:posOffset>
            </wp:positionH>
            <wp:positionV relativeFrom="paragraph">
              <wp:posOffset>3593465</wp:posOffset>
            </wp:positionV>
            <wp:extent cx="1414145" cy="1426210"/>
            <wp:wrapNone/>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25"/>
                    <a:stretch/>
                  </pic:blipFill>
                  <pic:spPr>
                    <a:xfrm>
                      <a:ext cx="1414145" cy="1426210"/>
                    </a:xfrm>
                    <a:prstGeom prst="rect"/>
                  </pic:spPr>
                </pic:pic>
              </a:graphicData>
            </a:graphic>
          </wp:anchor>
        </w:drawing>
      </w:r>
      <w:r>
        <w:drawing>
          <wp:anchor distT="0" distB="0" distL="0" distR="0" simplePos="0" relativeHeight="62914694" behindDoc="1" locked="0" layoutInCell="1" allowOverlap="1">
            <wp:simplePos x="0" y="0"/>
            <wp:positionH relativeFrom="page">
              <wp:posOffset>2010410</wp:posOffset>
            </wp:positionH>
            <wp:positionV relativeFrom="paragraph">
              <wp:posOffset>5690870</wp:posOffset>
            </wp:positionV>
            <wp:extent cx="1450975" cy="1438910"/>
            <wp:wrapNone/>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27"/>
                    <a:stretch/>
                  </pic:blipFill>
                  <pic:spPr>
                    <a:xfrm>
                      <a:ext cx="1450975" cy="14389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type w:val="continuous"/>
          <w:pgSz w:w="11900" w:h="16840"/>
          <w:pgMar w:top="1195" w:right="1140" w:bottom="1196" w:left="1140" w:header="0" w:footer="3" w:gutter="0"/>
          <w:cols w:space="720"/>
          <w:noEndnote/>
          <w:rtlGutter w:val="0"/>
          <w:docGrid w:linePitch="360"/>
        </w:sect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pgSz w:w="11900" w:h="16840"/>
          <w:pgMar w:top="1195" w:right="1050" w:bottom="1196" w:left="1112" w:header="0" w:footer="3" w:gutter="0"/>
          <w:cols w:space="720"/>
          <w:noEndnote/>
          <w:rtlGutter w:val="0"/>
          <w:docGrid w:linePitch="360"/>
        </w:sectPr>
      </w:pPr>
    </w:p>
    <w:p>
      <w:pPr>
        <w:pStyle w:val="Style10"/>
        <w:keepNext w:val="0"/>
        <w:keepLines w:val="0"/>
        <w:framePr w:w="893" w:h="576" w:wrap="none" w:vAnchor="text" w:hAnchor="page" w:x="2135" w:y="2286"/>
        <w:widowControl w:val="0"/>
        <w:shd w:val="clear" w:color="auto" w:fill="auto"/>
        <w:bidi w:val="0"/>
        <w:spacing w:before="0" w:after="60" w:line="240" w:lineRule="auto"/>
        <w:ind w:left="0" w:right="0" w:firstLine="0"/>
        <w:jc w:val="left"/>
      </w:pPr>
      <w:r>
        <w:rPr>
          <w:b/>
          <w:bCs/>
          <w:color w:val="000000"/>
          <w:spacing w:val="0"/>
          <w:w w:val="100"/>
          <w:position w:val="0"/>
        </w:rPr>
        <w:t>大气环境</w:t>
      </w:r>
    </w:p>
    <w:p>
      <w:pPr>
        <w:pStyle w:val="Style10"/>
        <w:keepNext w:val="0"/>
        <w:keepLines w:val="0"/>
        <w:framePr w:w="893" w:h="576" w:wrap="none" w:vAnchor="text" w:hAnchor="page" w:x="2135" w:y="2286"/>
        <w:widowControl w:val="0"/>
        <w:shd w:val="clear" w:color="auto" w:fill="auto"/>
        <w:bidi w:val="0"/>
        <w:spacing w:before="0" w:after="0" w:line="240" w:lineRule="auto"/>
        <w:ind w:left="0" w:right="0" w:firstLine="0"/>
        <w:jc w:val="left"/>
      </w:pPr>
      <w:r>
        <w:rPr>
          <w:b/>
          <w:bCs/>
          <w:color w:val="000000"/>
          <w:spacing w:val="0"/>
          <w:w w:val="100"/>
          <w:position w:val="0"/>
        </w:rPr>
        <w:t>监测仪器</w:t>
      </w:r>
    </w:p>
    <w:p>
      <w:pPr>
        <w:pStyle w:val="Style10"/>
        <w:keepNext w:val="0"/>
        <w:keepLines w:val="0"/>
        <w:framePr w:w="888" w:h="643" w:wrap="none" w:vAnchor="text" w:hAnchor="page" w:x="2140" w:y="6491"/>
        <w:widowControl w:val="0"/>
        <w:shd w:val="clear" w:color="auto" w:fill="auto"/>
        <w:bidi w:val="0"/>
        <w:spacing w:before="0" w:after="0" w:line="312" w:lineRule="exact"/>
        <w:ind w:left="0" w:right="0" w:firstLine="0"/>
        <w:jc w:val="center"/>
      </w:pPr>
      <w:r>
        <w:rPr>
          <w:b/>
          <w:bCs/>
          <w:color w:val="000000"/>
          <w:spacing w:val="0"/>
          <w:w w:val="100"/>
          <w:position w:val="0"/>
        </w:rPr>
        <w:t>家用气体</w:t>
        <w:br/>
        <w:t>报警器</w:t>
      </w:r>
    </w:p>
    <w:p>
      <w:pPr>
        <w:pStyle w:val="Style10"/>
        <w:keepNext w:val="0"/>
        <w:keepLines w:val="0"/>
        <w:framePr w:w="960" w:h="653" w:wrap="none" w:vAnchor="text" w:hAnchor="page" w:x="1141" w:y="7969"/>
        <w:widowControl w:val="0"/>
        <w:shd w:val="clear" w:color="auto" w:fill="auto"/>
        <w:bidi w:val="0"/>
        <w:spacing w:before="0" w:after="0" w:line="317" w:lineRule="exact"/>
        <w:ind w:left="0" w:right="0" w:firstLine="0"/>
        <w:jc w:val="left"/>
      </w:pPr>
      <w:r>
        <w:rPr>
          <w:b/>
          <w:bCs/>
          <w:color w:val="000000"/>
          <w:spacing w:val="0"/>
          <w:w w:val="100"/>
          <w:position w:val="0"/>
        </w:rPr>
        <w:t>家居安全 仪表</w:t>
      </w:r>
    </w:p>
    <w:p>
      <w:pPr>
        <w:pStyle w:val="Style10"/>
        <w:keepNext w:val="0"/>
        <w:keepLines w:val="0"/>
        <w:framePr w:w="888" w:h="634" w:wrap="none" w:vAnchor="text" w:hAnchor="page" w:x="2135" w:y="9495"/>
        <w:widowControl w:val="0"/>
        <w:shd w:val="clear" w:color="auto" w:fill="auto"/>
        <w:bidi w:val="0"/>
        <w:spacing w:before="0" w:after="0" w:line="307" w:lineRule="exact"/>
        <w:ind w:left="0" w:right="0" w:firstLine="0"/>
        <w:jc w:val="center"/>
      </w:pPr>
      <w:r>
        <w:rPr>
          <w:b/>
          <w:bCs/>
          <w:color w:val="000000"/>
          <w:spacing w:val="0"/>
          <w:w w:val="100"/>
          <w:position w:val="0"/>
        </w:rPr>
        <w:t>烟雾火灾</w:t>
        <w:br/>
        <w:t>探测器</w:t>
      </w:r>
    </w:p>
    <w:p>
      <w:pPr>
        <w:pStyle w:val="Style10"/>
        <w:keepNext w:val="0"/>
        <w:keepLines w:val="0"/>
        <w:framePr w:w="3360" w:h="1594" w:wrap="none" w:vAnchor="text" w:hAnchor="page" w:x="5533" w:y="313"/>
        <w:widowControl w:val="0"/>
        <w:shd w:val="clear" w:color="auto" w:fill="auto"/>
        <w:bidi w:val="0"/>
        <w:spacing w:before="0" w:after="0" w:line="314" w:lineRule="exact"/>
        <w:ind w:left="0" w:right="0" w:firstLine="0"/>
        <w:jc w:val="left"/>
      </w:pPr>
      <w:r>
        <w:rPr>
          <w:color w:val="000000"/>
          <w:spacing w:val="0"/>
          <w:w w:val="100"/>
          <w:position w:val="0"/>
        </w:rPr>
        <w:t>VOCs</w:t>
      </w:r>
      <w:r>
        <w:rPr>
          <w:color w:val="000000"/>
          <w:spacing w:val="0"/>
          <w:w w:val="100"/>
          <w:position w:val="0"/>
        </w:rPr>
        <w:t>在线分析仪可以连续监测总 烃、甲烷、非甲烷总烃、苯、甲苯、 二甲苯等各种有机气体浓度或其他 需监测</w:t>
      </w:r>
      <w:r>
        <w:rPr>
          <w:color w:val="000000"/>
          <w:spacing w:val="0"/>
          <w:w w:val="100"/>
          <w:position w:val="0"/>
        </w:rPr>
        <w:t>VOCs</w:t>
      </w:r>
      <w:r>
        <w:rPr>
          <w:color w:val="000000"/>
          <w:spacing w:val="0"/>
          <w:w w:val="100"/>
          <w:position w:val="0"/>
        </w:rPr>
        <w:t>组分的气体浓度。用 于工业污染气体排放源监测。</w:t>
      </w:r>
    </w:p>
    <w:p>
      <w:pPr>
        <w:pStyle w:val="Style10"/>
        <w:keepNext w:val="0"/>
        <w:keepLines w:val="0"/>
        <w:framePr w:w="2083" w:h="2198" w:wrap="none" w:vAnchor="text" w:hAnchor="page" w:x="8769" w:y="21"/>
        <w:widowControl w:val="0"/>
        <w:shd w:val="clear" w:color="auto" w:fill="auto"/>
        <w:bidi w:val="0"/>
        <w:spacing w:before="0" w:after="0" w:line="311" w:lineRule="exact"/>
        <w:ind w:left="0" w:right="0" w:firstLine="0"/>
        <w:jc w:val="both"/>
      </w:pPr>
      <w:r>
        <w:rPr>
          <w:color w:val="000000"/>
          <w:spacing w:val="0"/>
          <w:w w:val="100"/>
          <w:position w:val="0"/>
        </w:rPr>
        <w:t>主要用于石油、精细 化工行业；生物制药 行业；橡胶制品行业; 包装印刷行业；纺织 印染行业；表面喷涂 行业等污染气体排放 监测。</w:t>
      </w:r>
    </w:p>
    <w:p>
      <w:pPr>
        <w:pStyle w:val="Style10"/>
        <w:keepNext w:val="0"/>
        <w:keepLines w:val="0"/>
        <w:framePr w:w="2251" w:h="259" w:wrap="none" w:vAnchor="text" w:hAnchor="page" w:x="1540" w:y="11367"/>
        <w:widowControl w:val="0"/>
        <w:shd w:val="clear" w:color="auto" w:fill="auto"/>
        <w:bidi w:val="0"/>
        <w:spacing w:before="0" w:after="0" w:line="240" w:lineRule="auto"/>
        <w:ind w:left="0" w:right="0" w:firstLine="0"/>
        <w:jc w:val="left"/>
      </w:pPr>
      <w:r>
        <w:rPr>
          <w:b/>
          <w:bCs/>
          <w:color w:val="000000"/>
          <w:spacing w:val="0"/>
          <w:w w:val="100"/>
          <w:position w:val="0"/>
        </w:rPr>
        <w:t>3、物联网综合解决方案</w:t>
      </w:r>
    </w:p>
    <w:p>
      <w:pPr>
        <w:pStyle w:val="Style10"/>
        <w:keepNext w:val="0"/>
        <w:keepLines w:val="0"/>
        <w:framePr w:w="3250" w:h="2827" w:wrap="none" w:vAnchor="text" w:hAnchor="page" w:x="5538" w:y="2396"/>
        <w:widowControl w:val="0"/>
        <w:shd w:val="clear" w:color="auto" w:fill="auto"/>
        <w:bidi w:val="0"/>
        <w:spacing w:before="0" w:after="0" w:line="312" w:lineRule="exact"/>
        <w:ind w:left="0" w:right="0" w:firstLine="0"/>
        <w:jc w:val="both"/>
      </w:pPr>
      <w:r>
        <w:rPr>
          <w:color w:val="000000"/>
          <w:spacing w:val="0"/>
          <w:w w:val="100"/>
          <w:position w:val="0"/>
        </w:rPr>
        <w:t>网格化空气质量监控系统，搭载二 氧化碳</w:t>
      </w:r>
      <w:r>
        <w:rPr>
          <w:color w:val="000000"/>
          <w:spacing w:val="0"/>
          <w:w w:val="100"/>
          <w:position w:val="0"/>
        </w:rPr>
        <w:t>（CO2）、</w:t>
      </w:r>
      <w:r>
        <w:rPr>
          <w:color w:val="000000"/>
          <w:spacing w:val="0"/>
          <w:w w:val="100"/>
          <w:position w:val="0"/>
        </w:rPr>
        <w:t xml:space="preserve">环境空气六因子等 高性能传感器，实现对二氧化碳 </w:t>
      </w:r>
      <w:r>
        <w:rPr>
          <w:color w:val="000000"/>
          <w:spacing w:val="0"/>
          <w:w w:val="100"/>
          <w:position w:val="0"/>
        </w:rPr>
        <w:t>（CO2）、</w:t>
      </w:r>
      <w:r>
        <w:rPr>
          <w:color w:val="000000"/>
          <w:spacing w:val="0"/>
          <w:w w:val="100"/>
          <w:position w:val="0"/>
        </w:rPr>
        <w:t>空气六因子数据以及气象 数据的实时采集及分析传输。实现 对大气环境的温室气体和大气污染 物排放的分布式监测，实现“可测 量、可报告、可核查”，为政府提供 科学的减排建议。</w:t>
      </w:r>
    </w:p>
    <w:p>
      <w:pPr>
        <w:pStyle w:val="Style10"/>
        <w:keepNext w:val="0"/>
        <w:keepLines w:val="0"/>
        <w:framePr w:w="2083" w:h="2198" w:wrap="none" w:vAnchor="text" w:hAnchor="page" w:x="8769" w:y="2713"/>
        <w:widowControl w:val="0"/>
        <w:shd w:val="clear" w:color="auto" w:fill="auto"/>
        <w:bidi w:val="0"/>
        <w:spacing w:before="0" w:after="0" w:line="311" w:lineRule="exact"/>
        <w:ind w:left="0" w:right="0" w:firstLine="0"/>
        <w:jc w:val="left"/>
      </w:pPr>
      <w:r>
        <w:rPr>
          <w:color w:val="000000"/>
          <w:spacing w:val="0"/>
          <w:w w:val="100"/>
          <w:position w:val="0"/>
        </w:rPr>
        <w:t>适用于环境保护领 域，城市网格化监管、 城市空气质量监控、 废气企业监控、化工 园区空气质量监测、 城乡结合部监管、景 区大气质量监控等。</w:t>
      </w:r>
    </w:p>
    <w:p>
      <w:pPr>
        <w:pStyle w:val="Style10"/>
        <w:keepNext w:val="0"/>
        <w:keepLines w:val="0"/>
        <w:framePr w:w="3250" w:h="3144" w:wrap="none" w:vAnchor="text" w:hAnchor="page" w:x="5538" w:y="5238"/>
        <w:widowControl w:val="0"/>
        <w:shd w:val="clear" w:color="auto" w:fill="auto"/>
        <w:bidi w:val="0"/>
        <w:spacing w:before="0" w:after="0" w:line="312" w:lineRule="exact"/>
        <w:ind w:left="0" w:right="0" w:firstLine="0"/>
        <w:jc w:val="both"/>
      </w:pPr>
      <w:r>
        <w:rPr>
          <w:color w:val="000000"/>
          <w:spacing w:val="0"/>
          <w:w w:val="100"/>
          <w:position w:val="0"/>
        </w:rPr>
        <w:t>用于检测天然气、液化气、一氧化 碳等可燃气体的泄漏，当检测到空 气中可燃气体浓度超过设定值时， 声光报警，切断燃气阀门，联网型 产品还可以将报警信号无线上传到 监控中心或者用户手机，能够有效 避免燃气泄漏爆炸事故的发生。多 年传感技术沉淀，具有高可靠性、 高性价比等优点，产销规模位居行 业前茅。</w:t>
      </w:r>
    </w:p>
    <w:p>
      <w:pPr>
        <w:pStyle w:val="Style10"/>
        <w:keepNext w:val="0"/>
        <w:keepLines w:val="0"/>
        <w:framePr w:w="1978" w:h="1267" w:wrap="none" w:vAnchor="text" w:hAnchor="page" w:x="8769" w:y="6174"/>
        <w:widowControl w:val="0"/>
        <w:shd w:val="clear" w:color="auto" w:fill="auto"/>
        <w:bidi w:val="0"/>
        <w:spacing w:before="0" w:after="0" w:line="312" w:lineRule="exact"/>
        <w:ind w:left="0" w:right="0" w:firstLine="0"/>
        <w:jc w:val="both"/>
      </w:pPr>
      <w:r>
        <w:rPr>
          <w:color w:val="000000"/>
          <w:spacing w:val="0"/>
          <w:w w:val="100"/>
          <w:position w:val="0"/>
        </w:rPr>
        <w:t>适用于家庭厨房、公 寓、九小场所等具有 各种燃气或一氧化碳 存在的场所。</w:t>
      </w:r>
    </w:p>
    <w:p>
      <w:pPr>
        <w:pStyle w:val="Style10"/>
        <w:keepNext w:val="0"/>
        <w:keepLines w:val="0"/>
        <w:framePr w:w="3355" w:h="2827" w:wrap="none" w:vAnchor="text" w:hAnchor="page" w:x="5538" w:y="8391"/>
        <w:widowControl w:val="0"/>
        <w:shd w:val="clear" w:color="auto" w:fill="auto"/>
        <w:bidi w:val="0"/>
        <w:spacing w:before="0" w:after="0" w:line="312" w:lineRule="exact"/>
        <w:ind w:left="0" w:right="0" w:firstLine="0"/>
        <w:jc w:val="both"/>
      </w:pPr>
      <w:r>
        <w:rPr>
          <w:color w:val="000000"/>
          <w:spacing w:val="0"/>
          <w:w w:val="100"/>
          <w:position w:val="0"/>
        </w:rPr>
        <w:t>通过火灾灵敏度III级检测（最高 级），采用创新型的双光路设计并利 用光路结构对黑白烟的散射光强度 的影响的优化算法模型，具备高灵 敏度、抗误报能力强等特点，同时， 具有防拆报警、本地和远程双消音 等功能；无线通信版本具备电话、 短信、平台、微信端等多维度报警 提醒模式。</w:t>
      </w:r>
    </w:p>
    <w:p>
      <w:pPr>
        <w:pStyle w:val="Style10"/>
        <w:keepNext w:val="0"/>
        <w:keepLines w:val="0"/>
        <w:framePr w:w="1978" w:h="955" w:wrap="none" w:vAnchor="text" w:hAnchor="page" w:x="8769" w:y="9327"/>
        <w:widowControl w:val="0"/>
        <w:shd w:val="clear" w:color="auto" w:fill="auto"/>
        <w:bidi w:val="0"/>
        <w:spacing w:before="0" w:after="0" w:line="312" w:lineRule="exact"/>
        <w:ind w:left="0" w:right="0" w:firstLine="0"/>
        <w:jc w:val="left"/>
      </w:pPr>
      <w:r>
        <w:rPr>
          <w:color w:val="000000"/>
          <w:spacing w:val="0"/>
          <w:w w:val="100"/>
          <w:position w:val="0"/>
        </w:rPr>
        <w:t>适用于家居、学校、 图书馆、博物馆、仓 库、九小场所等。</w:t>
      </w:r>
    </w:p>
    <w:p>
      <w:pPr>
        <w:pStyle w:val="Style10"/>
        <w:keepNext w:val="0"/>
        <w:keepLines w:val="0"/>
        <w:framePr w:w="9701" w:h="1901" w:wrap="none" w:vAnchor="text" w:hAnchor="page" w:x="1113" w:y="11631"/>
        <w:widowControl w:val="0"/>
        <w:shd w:val="clear" w:color="auto" w:fill="auto"/>
        <w:bidi w:val="0"/>
        <w:spacing w:before="0" w:after="0" w:line="470" w:lineRule="exact"/>
        <w:ind w:left="0" w:right="0" w:firstLine="440"/>
        <w:jc w:val="both"/>
      </w:pPr>
      <w:r>
        <w:rPr>
          <w:color w:val="000000"/>
          <w:spacing w:val="0"/>
          <w:w w:val="100"/>
          <w:position w:val="0"/>
        </w:rPr>
        <w:t>公司祥云物联网平台为物联网行业应用客户提供设备接入、应用管理、设备管理、数据挖掘等全方位 平台服务。祥云物联网平台聚焦智能仪表终端价值挖掘，整合产业链上下游生态资源，打通物联网感知、 传输、平台、应用完整链路，形成资源共享、合作共赢的物联网生态体系。公司依托祥云物联网平台研发 扩展的众多物联网应用数据平台可收集传感器及智能仪表感知的信息，并根据客户的需求对信息进行分析</w:t>
      </w:r>
    </w:p>
    <w:p>
      <w:pPr>
        <w:widowControl w:val="0"/>
        <w:spacing w:line="360" w:lineRule="exact"/>
      </w:pPr>
      <w:r>
        <w:drawing>
          <wp:anchor distT="0" distB="0" distL="0" distR="0" simplePos="0" relativeHeight="62914695" behindDoc="1" locked="0" layoutInCell="1" allowOverlap="1">
            <wp:simplePos x="0" y="0"/>
            <wp:positionH relativeFrom="page">
              <wp:posOffset>2010410</wp:posOffset>
            </wp:positionH>
            <wp:positionV relativeFrom="paragraph">
              <wp:posOffset>12700</wp:posOffset>
            </wp:positionV>
            <wp:extent cx="1450975" cy="1463040"/>
            <wp:wrapNone/>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29"/>
                    <a:stretch/>
                  </pic:blipFill>
                  <pic:spPr>
                    <a:xfrm>
                      <a:ext cx="1450975" cy="1463040"/>
                    </a:xfrm>
                    <a:prstGeom prst="rect"/>
                  </pic:spPr>
                </pic:pic>
              </a:graphicData>
            </a:graphic>
          </wp:anchor>
        </w:drawing>
      </w:r>
      <w:r>
        <w:drawing>
          <wp:anchor distT="0" distB="0" distL="0" distR="0" simplePos="0" relativeHeight="62914696" behindDoc="1" locked="0" layoutInCell="1" allowOverlap="1">
            <wp:simplePos x="0" y="0"/>
            <wp:positionH relativeFrom="page">
              <wp:posOffset>2013585</wp:posOffset>
            </wp:positionH>
            <wp:positionV relativeFrom="paragraph">
              <wp:posOffset>1710055</wp:posOffset>
            </wp:positionV>
            <wp:extent cx="1444625" cy="1450975"/>
            <wp:wrapNone/>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31"/>
                    <a:stretch/>
                  </pic:blipFill>
                  <pic:spPr>
                    <a:xfrm>
                      <a:ext cx="1444625" cy="1450975"/>
                    </a:xfrm>
                    <a:prstGeom prst="rect"/>
                  </pic:spPr>
                </pic:pic>
              </a:graphicData>
            </a:graphic>
          </wp:anchor>
        </w:drawing>
      </w:r>
      <w:r>
        <w:drawing>
          <wp:anchor distT="0" distB="0" distL="0" distR="0" simplePos="0" relativeHeight="62914697" behindDoc="1" locked="0" layoutInCell="1" allowOverlap="1">
            <wp:simplePos x="0" y="0"/>
            <wp:positionH relativeFrom="page">
              <wp:posOffset>2016760</wp:posOffset>
            </wp:positionH>
            <wp:positionV relativeFrom="paragraph">
              <wp:posOffset>3618230</wp:posOffset>
            </wp:positionV>
            <wp:extent cx="1444625" cy="1444625"/>
            <wp:wrapNone/>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33"/>
                    <a:stretch/>
                  </pic:blipFill>
                  <pic:spPr>
                    <a:xfrm>
                      <a:ext cx="1444625" cy="1444625"/>
                    </a:xfrm>
                    <a:prstGeom prst="rect"/>
                  </pic:spPr>
                </pic:pic>
              </a:graphicData>
            </a:graphic>
          </wp:anchor>
        </w:drawing>
      </w:r>
      <w:r>
        <w:drawing>
          <wp:anchor distT="0" distB="0" distL="0" distR="0" simplePos="0" relativeHeight="62914698" behindDoc="1" locked="0" layoutInCell="1" allowOverlap="1">
            <wp:simplePos x="0" y="0"/>
            <wp:positionH relativeFrom="page">
              <wp:posOffset>2040890</wp:posOffset>
            </wp:positionH>
            <wp:positionV relativeFrom="paragraph">
              <wp:posOffset>5541010</wp:posOffset>
            </wp:positionV>
            <wp:extent cx="1395730" cy="1402080"/>
            <wp:wrapNone/>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35"/>
                    <a:stretch/>
                  </pic:blipFill>
                  <pic:spPr>
                    <a:xfrm>
                      <a:ext cx="1395730" cy="14020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0" w:line="1" w:lineRule="exact"/>
      </w:pPr>
    </w:p>
    <w:p>
      <w:pPr>
        <w:widowControl w:val="0"/>
        <w:spacing w:line="1" w:lineRule="exact"/>
        <w:sectPr>
          <w:footnotePr>
            <w:pos w:val="pageBottom"/>
            <w:numFmt w:val="decimal"/>
            <w:numRestart w:val="continuous"/>
          </w:footnotePr>
          <w:type w:val="continuous"/>
          <w:pgSz w:w="11900" w:h="16840"/>
          <w:pgMar w:top="1195" w:right="1050" w:bottom="1196" w:left="1112" w:header="0" w:footer="3" w:gutter="0"/>
          <w:cols w:space="720"/>
          <w:noEndnote/>
          <w:rtlGutter w:val="0"/>
          <w:docGrid w:linePitch="360"/>
        </w:sectPr>
      </w:pPr>
    </w:p>
    <w:p>
      <w:pPr>
        <w:pStyle w:val="Style10"/>
        <w:keepNext w:val="0"/>
        <w:keepLines w:val="0"/>
        <w:widowControl w:val="0"/>
        <w:shd w:val="clear" w:color="auto" w:fill="auto"/>
        <w:bidi w:val="0"/>
        <w:spacing w:before="0" w:after="140" w:line="466" w:lineRule="exact"/>
        <w:ind w:left="0" w:right="0" w:firstLine="0"/>
        <w:jc w:val="left"/>
      </w:pPr>
      <w:r>
        <w:rPr>
          <w:color w:val="000000"/>
          <w:spacing w:val="0"/>
          <w:w w:val="100"/>
          <w:position w:val="0"/>
        </w:rPr>
        <w:t>处理、形成可视化报告，为客户提供决策支持。公司在智慧安全、智慧城市、智慧环保等领域积累了丰富 的经验，对物联网下游行业有充分的理解。</w:t>
      </w:r>
    </w:p>
    <w:p>
      <w:pPr>
        <w:widowControl w:val="0"/>
        <w:jc w:val="center"/>
        <w:rPr>
          <w:sz w:val="2"/>
          <w:szCs w:val="2"/>
        </w:rPr>
      </w:pPr>
      <w:r>
        <w:drawing>
          <wp:inline>
            <wp:extent cx="4273550" cy="2932430"/>
            <wp:docPr id="73" name="Picutre 73"/>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37"/>
                    <a:stretch/>
                  </pic:blipFill>
                  <pic:spPr>
                    <a:xfrm>
                      <a:ext cx="4273550" cy="2932430"/>
                    </a:xfrm>
                    <a:prstGeom prst="rect"/>
                  </pic:spPr>
                </pic:pic>
              </a:graphicData>
            </a:graphic>
          </wp:inline>
        </w:drawing>
      </w:r>
    </w:p>
    <w:p>
      <w:pPr>
        <w:widowControl w:val="0"/>
        <w:spacing w:after="139" w:line="1" w:lineRule="exact"/>
      </w:pPr>
    </w:p>
    <w:p>
      <w:pPr>
        <w:pStyle w:val="Style10"/>
        <w:keepNext w:val="0"/>
        <w:keepLines w:val="0"/>
        <w:widowControl w:val="0"/>
        <w:shd w:val="clear" w:color="auto" w:fill="auto"/>
        <w:bidi w:val="0"/>
        <w:spacing w:before="0" w:after="220" w:line="240" w:lineRule="auto"/>
        <w:ind w:left="0" w:right="0" w:firstLine="440"/>
        <w:jc w:val="left"/>
      </w:pPr>
      <w:bookmarkStart w:id="90" w:name="bookmark90"/>
      <w:r>
        <w:rPr>
          <w:b/>
          <w:bCs/>
          <w:color w:val="000000"/>
          <w:spacing w:val="0"/>
          <w:w w:val="100"/>
          <w:position w:val="0"/>
        </w:rPr>
        <w:t>（</w:t>
      </w:r>
      <w:bookmarkEnd w:id="90"/>
      <w:r>
        <w:rPr>
          <w:b/>
          <w:bCs/>
          <w:color w:val="000000"/>
          <w:spacing w:val="0"/>
          <w:w w:val="100"/>
          <w:position w:val="0"/>
        </w:rPr>
        <w:t>1）智慧安全系统解决方案</w:t>
      </w:r>
    </w:p>
    <w:p>
      <w:pPr>
        <w:pStyle w:val="Style1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 xml:space="preserve">公司智慧安全系统解决方案主要面向石油、化工、冶金、电力、矿山、制药、食品等领域，致力于为 </w:t>
      </w:r>
      <w:r>
        <w:rPr>
          <w:color w:val="000000"/>
          <w:spacing w:val="0"/>
          <w:w w:val="100"/>
          <w:position w:val="0"/>
        </w:rPr>
        <w:t>各类工业客户提供安全管理监控一体化解决方案，由硬件监控设备和系统软件共同构成完整的安全管理监</w:t>
      </w:r>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控平台。</w:t>
      </w:r>
    </w:p>
    <w:tbl>
      <w:tblPr>
        <w:tblOverlap w:val="never"/>
        <w:jc w:val="center"/>
        <w:tblLayout w:type="fixed"/>
      </w:tblPr>
      <w:tblGrid>
        <w:gridCol w:w="912"/>
        <w:gridCol w:w="3696"/>
        <w:gridCol w:w="3830"/>
        <w:gridCol w:w="1181"/>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产品名称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图示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功能</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应用场景</w:t>
            </w:r>
          </w:p>
        </w:tc>
      </w:tr>
      <w:tr>
        <w:trPr>
          <w:trHeight w:val="37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b/>
                <w:bCs/>
                <w:color w:val="000000"/>
                <w:spacing w:val="0"/>
                <w:w w:val="100"/>
                <w:position w:val="0"/>
              </w:rPr>
              <w:t xml:space="preserve">企业安全 风险预警 指挥管控 平台 </w:t>
            </w:r>
            <w:r>
              <w:rPr>
                <w:b/>
                <w:bCs/>
                <w:color w:val="000000"/>
                <w:spacing w:val="0"/>
                <w:w w:val="100"/>
                <w:position w:val="0"/>
              </w:rPr>
              <w:t>（HSSE）</w:t>
            </w:r>
          </w:p>
          <w:p>
            <w:pPr>
              <w:pStyle w:val="Style2"/>
              <w:keepNext w:val="0"/>
              <w:keepLines w:val="0"/>
              <w:widowControl w:val="0"/>
              <w:shd w:val="clear" w:color="auto" w:fill="auto"/>
              <w:bidi w:val="0"/>
              <w:spacing w:before="0" w:after="0" w:line="311" w:lineRule="exact"/>
              <w:ind w:left="0" w:right="0" w:firstLine="440"/>
              <w:jc w:val="both"/>
            </w:pPr>
            <w:r>
              <w:rPr>
                <w:b/>
                <w:bCs/>
                <w:color w:val="000000"/>
                <w:spacing w:val="0"/>
                <w:w w:val="100"/>
                <w:position w:val="0"/>
              </w:rPr>
              <w:t>双重 预防管控</w:t>
            </w:r>
          </w:p>
          <w:p>
            <w:pPr>
              <w:pStyle w:val="Style2"/>
              <w:keepNext w:val="0"/>
              <w:keepLines w:val="0"/>
              <w:widowControl w:val="0"/>
              <w:shd w:val="clear" w:color="auto" w:fill="auto"/>
              <w:bidi w:val="0"/>
              <w:spacing w:before="0" w:after="0" w:line="311" w:lineRule="exact"/>
              <w:ind w:left="0" w:right="0" w:firstLine="0"/>
              <w:jc w:val="center"/>
            </w:pPr>
            <w:r>
              <w:rPr>
                <w:b/>
                <w:bCs/>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该系统以风险分级管控与隐患排查治理两 道防线为核心，从人、机、物、环、管五 个本质安全要素出发，通过“电脑</w:t>
            </w:r>
            <w:r>
              <w:rPr>
                <w:color w:val="000000"/>
                <w:spacing w:val="0"/>
                <w:w w:val="100"/>
                <w:position w:val="0"/>
              </w:rPr>
              <w:t>WEB</w:t>
            </w:r>
            <w:r>
              <w:rPr>
                <w:color w:val="000000"/>
                <w:spacing w:val="0"/>
                <w:w w:val="100"/>
                <w:position w:val="0"/>
              </w:rPr>
              <w:t>端+ 移动</w:t>
            </w:r>
            <w:r>
              <w:rPr>
                <w:color w:val="000000"/>
                <w:spacing w:val="0"/>
                <w:w w:val="100"/>
                <w:position w:val="0"/>
              </w:rPr>
              <w:t>APP</w:t>
            </w:r>
            <w:r>
              <w:rPr>
                <w:color w:val="000000"/>
                <w:spacing w:val="0"/>
                <w:w w:val="100"/>
                <w:position w:val="0"/>
              </w:rPr>
              <w:t>端”相结合的信息化手段，及时、 全面地获取企业的风险隐患数据。在此基 础上，结合危险源在线监控系统等连续性 技防手段，建设“人防+技防”、“间歇性检 查+连续性监测”的安全风险立体化防控体 系，形成全过程闭环管控机制，切实提升 企业风险管理水平，有效遏制重特大事故 的发生。</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具有双重预 防体系建设 需要的各类 大中型工业 企业。</w:t>
            </w:r>
          </w:p>
        </w:tc>
      </w:tr>
      <w:tr>
        <w:trPr>
          <w:trHeight w:val="1670" w:hRule="exact"/>
        </w:trPr>
        <w:tc>
          <w:tcPr>
            <w:vMerge/>
            <w:tcBorders>
              <w:left w:val="single" w:sz="4"/>
            </w:tcBorders>
            <w:shd w:val="clear" w:color="auto" w:fill="FFFFFF"/>
            <w:vAlign w:val="center"/>
          </w:tcPr>
          <w:p>
            <w:pPr/>
          </w:p>
        </w:tc>
        <w:tc>
          <w:tcPr>
            <w:tcBorders>
              <w:top w:val="single" w:sz="4"/>
              <w:left w:val="single" w:sz="4"/>
            </w:tcBorders>
            <w:shd w:val="clear" w:color="auto" w:fill="091946"/>
            <w:vAlign w:val="center"/>
          </w:tcPr>
          <w:p>
            <w:pPr>
              <w:pStyle w:val="Style2"/>
              <w:keepNext w:val="0"/>
              <w:keepLines w:val="0"/>
              <w:widowControl w:val="0"/>
              <w:pBdr>
                <w:top w:val="single" w:sz="0" w:space="0" w:color="091946"/>
                <w:left w:val="single" w:sz="0" w:space="0" w:color="091946"/>
                <w:bottom w:val="single" w:sz="0" w:space="0" w:color="091946"/>
                <w:right w:val="single" w:sz="0" w:space="0" w:color="091946"/>
              </w:pBdr>
              <w:shd w:val="clear" w:color="auto" w:fill="091946"/>
              <w:bidi w:val="0"/>
              <w:spacing w:before="0" w:after="360" w:line="240" w:lineRule="auto"/>
              <w:ind w:left="0" w:right="0" w:firstLine="0"/>
              <w:jc w:val="left"/>
              <w:rPr>
                <w:sz w:val="8"/>
                <w:szCs w:val="8"/>
              </w:rPr>
            </w:pPr>
            <w:r>
              <w:rPr>
                <w:b/>
                <w:bCs/>
                <w:color w:val="3B8BD9"/>
                <w:spacing w:val="0"/>
                <w:w w:val="100"/>
                <w:position w:val="0"/>
                <w:sz w:val="8"/>
                <w:szCs w:val="8"/>
              </w:rPr>
              <w:t xml:space="preserve">w </w:t>
            </w:r>
            <w:r>
              <w:rPr>
                <w:b/>
                <w:bCs/>
                <w:color w:val="7387AC"/>
                <w:spacing w:val="0"/>
                <w:w w:val="100"/>
                <w:position w:val="0"/>
                <w:sz w:val="8"/>
                <w:szCs w:val="8"/>
                <w:u w:val="single"/>
              </w:rPr>
              <w:t>Oj</w:t>
            </w:r>
            <w:r>
              <w:rPr>
                <w:b/>
                <w:bCs/>
                <w:color w:val="7387AC"/>
                <w:spacing w:val="0"/>
                <w:w w:val="100"/>
                <w:position w:val="0"/>
                <w:sz w:val="8"/>
                <w:szCs w:val="8"/>
              </w:rPr>
              <w:t xml:space="preserve">baL </w:t>
            </w:r>
            <w:r>
              <w:rPr>
                <w:color w:val="F0E240"/>
                <w:spacing w:val="0"/>
                <w:w w:val="100"/>
                <w:position w:val="0"/>
                <w:sz w:val="8"/>
                <w:szCs w:val="8"/>
              </w:rPr>
              <w:t>一==</w:t>
            </w:r>
          </w:p>
          <w:p>
            <w:pPr>
              <w:pStyle w:val="Style2"/>
              <w:keepNext w:val="0"/>
              <w:keepLines w:val="0"/>
              <w:widowControl w:val="0"/>
              <w:pBdr>
                <w:top w:val="single" w:sz="0" w:space="0" w:color="091946"/>
                <w:left w:val="single" w:sz="0" w:space="0" w:color="091946"/>
                <w:bottom w:val="single" w:sz="0" w:space="0" w:color="091946"/>
                <w:right w:val="single" w:sz="0" w:space="0" w:color="091946"/>
              </w:pBdr>
              <w:shd w:val="clear" w:color="auto" w:fill="091946"/>
              <w:tabs>
                <w:tab w:pos="1352" w:val="left"/>
                <w:tab w:pos="3363" w:val="left"/>
              </w:tabs>
              <w:bidi w:val="0"/>
              <w:spacing w:before="0" w:after="0" w:line="240" w:lineRule="auto"/>
              <w:ind w:left="0" w:right="0" w:firstLine="680"/>
              <w:jc w:val="left"/>
              <w:rPr>
                <w:sz w:val="11"/>
                <w:szCs w:val="11"/>
              </w:rPr>
            </w:pPr>
            <w:r>
              <w:rPr>
                <w:rFonts w:ascii="Arial" w:eastAsia="Arial" w:hAnsi="Arial" w:cs="Arial"/>
                <w:b/>
                <w:bCs/>
                <w:color w:val="35D18B"/>
                <w:spacing w:val="0"/>
                <w:w w:val="100"/>
                <w:position w:val="0"/>
                <w:sz w:val="11"/>
                <w:szCs w:val="11"/>
              </w:rPr>
              <w:t>—‘</w:t>
              <w:tab/>
            </w:r>
            <w:r>
              <w:rPr>
                <w:rFonts w:ascii="Arial" w:eastAsia="Arial" w:hAnsi="Arial" w:cs="Arial"/>
                <w:b/>
                <w:bCs/>
                <w:color w:val="7F623E"/>
                <w:spacing w:val="0"/>
                <w:w w:val="100"/>
                <w:position w:val="0"/>
                <w:sz w:val="11"/>
                <w:szCs w:val="11"/>
              </w:rPr>
              <w:t>f ■-</w:t>
              <w:tab/>
              <w:t>-■</w:t>
            </w:r>
          </w:p>
          <w:p>
            <w:pPr>
              <w:pStyle w:val="Style2"/>
              <w:keepNext w:val="0"/>
              <w:keepLines w:val="0"/>
              <w:widowControl w:val="0"/>
              <w:pBdr>
                <w:top w:val="single" w:sz="0" w:space="0" w:color="091946"/>
                <w:left w:val="single" w:sz="0" w:space="0" w:color="091946"/>
                <w:bottom w:val="single" w:sz="0" w:space="0" w:color="091946"/>
                <w:right w:val="single" w:sz="0" w:space="0" w:color="091946"/>
              </w:pBdr>
              <w:shd w:val="clear" w:color="auto" w:fill="091946"/>
              <w:tabs>
                <w:tab w:pos="3306" w:val="left"/>
              </w:tabs>
              <w:bidi w:val="0"/>
              <w:spacing w:before="0" w:after="0" w:line="182" w:lineRule="auto"/>
              <w:ind w:left="0" w:right="0" w:firstLine="680"/>
              <w:jc w:val="left"/>
              <w:rPr>
                <w:sz w:val="11"/>
                <w:szCs w:val="11"/>
              </w:rPr>
            </w:pPr>
            <w:r>
              <w:rPr>
                <w:rFonts w:ascii="Arial" w:eastAsia="Arial" w:hAnsi="Arial" w:cs="Arial"/>
                <w:b/>
                <w:bCs/>
                <w:color w:val="596894"/>
                <w:spacing w:val="0"/>
                <w:w w:val="100"/>
                <w:position w:val="0"/>
                <w:sz w:val="11"/>
                <w:szCs w:val="11"/>
              </w:rPr>
              <w:t xml:space="preserve">VMM' </w:t>
            </w:r>
            <w:r>
              <w:rPr>
                <w:rFonts w:ascii="Arial" w:eastAsia="Arial" w:hAnsi="Arial" w:cs="Arial"/>
                <w:b/>
                <w:bCs/>
                <w:color w:val="447FA3"/>
                <w:spacing w:val="0"/>
                <w:w w:val="100"/>
                <w:position w:val="0"/>
                <w:sz w:val="11"/>
                <w:szCs w:val="11"/>
              </w:rPr>
              <w:t>iwm««4</w:t>
              <w:tab/>
              <w:t xml:space="preserve">fW </w:t>
            </w:r>
            <w:r>
              <w:rPr>
                <w:rFonts w:ascii="Arial" w:eastAsia="Arial" w:hAnsi="Arial" w:cs="Arial"/>
                <w:b/>
                <w:bCs/>
                <w:color w:val="7387AC"/>
                <w:spacing w:val="0"/>
                <w:w w:val="100"/>
                <w:position w:val="0"/>
                <w:sz w:val="11"/>
                <w:szCs w:val="11"/>
              </w:rPr>
              <w:t>•—</w:t>
            </w:r>
          </w:p>
          <w:p>
            <w:pPr>
              <w:pStyle w:val="Style2"/>
              <w:keepNext w:val="0"/>
              <w:keepLines w:val="0"/>
              <w:widowControl w:val="0"/>
              <w:pBdr>
                <w:top w:val="single" w:sz="0" w:space="0" w:color="091946"/>
                <w:left w:val="single" w:sz="0" w:space="0" w:color="091946"/>
                <w:bottom w:val="single" w:sz="0" w:space="0" w:color="091946"/>
                <w:right w:val="single" w:sz="0" w:space="0" w:color="091946"/>
              </w:pBdr>
              <w:shd w:val="clear" w:color="auto" w:fill="091946"/>
              <w:tabs>
                <w:tab w:pos="914" w:val="left"/>
                <w:tab w:pos="1096" w:val="left"/>
                <w:tab w:pos="1888" w:val="left"/>
              </w:tabs>
              <w:bidi w:val="0"/>
              <w:spacing w:before="0" w:after="0" w:line="240" w:lineRule="auto"/>
              <w:ind w:left="0" w:right="0" w:firstLine="520"/>
              <w:jc w:val="left"/>
              <w:rPr>
                <w:sz w:val="11"/>
                <w:szCs w:val="11"/>
              </w:rPr>
            </w:pPr>
            <w:r>
              <w:rPr>
                <w:rFonts w:ascii="Arial" w:eastAsia="Arial" w:hAnsi="Arial" w:cs="Arial"/>
                <w:b/>
                <w:bCs/>
                <w:color w:val="596894"/>
                <w:spacing w:val="0"/>
                <w:w w:val="100"/>
                <w:position w:val="0"/>
                <w:sz w:val="11"/>
                <w:szCs w:val="11"/>
              </w:rPr>
              <w:t>—* 4</w:t>
              <w:tab/>
              <w:t>•</w:t>
              <w:tab/>
              <w:t xml:space="preserve">MMh </w:t>
            </w:r>
            <w:r>
              <w:rPr>
                <w:rFonts w:ascii="Arial" w:eastAsia="Arial" w:hAnsi="Arial" w:cs="Arial"/>
                <w:b/>
                <w:bCs/>
                <w:color w:val="7387AC"/>
                <w:spacing w:val="0"/>
                <w:w w:val="100"/>
                <w:position w:val="0"/>
                <w:sz w:val="11"/>
                <w:szCs w:val="11"/>
              </w:rPr>
              <w:t>maii ■»</w:t>
              <w:tab/>
              <w:t>»</w:t>
            </w:r>
          </w:p>
          <w:p>
            <w:pPr>
              <w:pStyle w:val="Style2"/>
              <w:keepNext w:val="0"/>
              <w:keepLines w:val="0"/>
              <w:widowControl w:val="0"/>
              <w:pBdr>
                <w:top w:val="single" w:sz="0" w:space="0" w:color="091946"/>
                <w:left w:val="single" w:sz="0" w:space="0" w:color="091946"/>
                <w:bottom w:val="single" w:sz="0" w:space="0" w:color="091946"/>
                <w:right w:val="single" w:sz="0" w:space="0" w:color="091946"/>
              </w:pBdr>
              <w:shd w:val="clear" w:color="auto" w:fill="091946"/>
              <w:tabs>
                <w:tab w:pos="1869" w:val="left"/>
                <w:tab w:pos="3299" w:val="left"/>
              </w:tabs>
              <w:bidi w:val="0"/>
              <w:spacing w:before="0" w:after="0" w:line="240" w:lineRule="auto"/>
              <w:ind w:left="0" w:right="0" w:firstLine="280"/>
              <w:jc w:val="left"/>
              <w:rPr>
                <w:sz w:val="11"/>
                <w:szCs w:val="11"/>
              </w:rPr>
            </w:pPr>
            <w:r>
              <w:rPr>
                <w:rFonts w:ascii="Arial" w:eastAsia="Arial" w:hAnsi="Arial" w:cs="Arial"/>
                <w:b/>
                <w:bCs/>
                <w:color w:val="7387AC"/>
                <w:spacing w:val="0"/>
                <w:w w:val="100"/>
                <w:position w:val="0"/>
                <w:sz w:val="11"/>
                <w:szCs w:val="11"/>
              </w:rPr>
              <w:t xml:space="preserve">41 </w:t>
            </w:r>
            <w:r>
              <w:rPr>
                <w:rFonts w:ascii="Arial" w:eastAsia="Arial" w:hAnsi="Arial" w:cs="Arial"/>
                <w:b/>
                <w:bCs/>
                <w:i/>
                <w:iCs/>
                <w:color w:val="50A559"/>
                <w:spacing w:val="0"/>
                <w:w w:val="100"/>
                <w:position w:val="0"/>
                <w:sz w:val="11"/>
                <w:szCs w:val="11"/>
              </w:rPr>
              <w:t xml:space="preserve">J </w:t>
            </w:r>
            <w:r>
              <w:rPr>
                <w:rFonts w:ascii="Arial" w:eastAsia="Arial" w:hAnsi="Arial" w:cs="Arial"/>
                <w:b/>
                <w:bCs/>
                <w:i/>
                <w:iCs/>
                <w:color w:val="3B8BD9"/>
                <w:spacing w:val="0"/>
                <w:w w:val="100"/>
                <w:position w:val="0"/>
                <w:sz w:val="11"/>
                <w:szCs w:val="11"/>
              </w:rPr>
              <w:t xml:space="preserve">■ </w:t>
            </w:r>
            <w:r>
              <w:rPr>
                <w:rFonts w:ascii="Arial" w:eastAsia="Arial" w:hAnsi="Arial" w:cs="Arial"/>
                <w:b/>
                <w:bCs/>
                <w:color w:val="596894"/>
                <w:spacing w:val="0"/>
                <w:w w:val="100"/>
                <w:position w:val="0"/>
                <w:sz w:val="11"/>
                <w:szCs w:val="11"/>
              </w:rPr>
              <w:t xml:space="preserve">■ ■ i■ ■ </w:t>
            </w:r>
            <w:r>
              <w:rPr>
                <w:rFonts w:ascii="Arial" w:eastAsia="Arial" w:hAnsi="Arial" w:cs="Arial"/>
                <w:smallCaps/>
                <w:color w:val="596894"/>
                <w:spacing w:val="0"/>
                <w:w w:val="100"/>
                <w:position w:val="0"/>
                <w:sz w:val="8"/>
                <w:szCs w:val="8"/>
              </w:rPr>
              <w:t>im</w:t>
            </w:r>
            <w:r>
              <w:rPr>
                <w:rFonts w:ascii="Arial" w:eastAsia="Arial" w:hAnsi="Arial" w:cs="Arial"/>
                <w:b/>
                <w:bCs/>
                <w:color w:val="596894"/>
                <w:spacing w:val="0"/>
                <w:w w:val="100"/>
                <w:position w:val="0"/>
                <w:sz w:val="11"/>
                <w:szCs w:val="11"/>
              </w:rPr>
              <w:t xml:space="preserve"> A </w:t>
            </w:r>
            <w:r>
              <w:rPr>
                <w:rFonts w:ascii="Arial" w:eastAsia="Arial" w:hAnsi="Arial" w:cs="Arial"/>
                <w:b/>
                <w:bCs/>
                <w:color w:val="7387AC"/>
                <w:spacing w:val="0"/>
                <w:w w:val="100"/>
                <w:position w:val="0"/>
                <w:sz w:val="11"/>
                <w:szCs w:val="11"/>
              </w:rPr>
              <w:t>MdMa*Ma</w:t>
              <w:tab/>
              <w:t xml:space="preserve">• </w:t>
            </w:r>
            <w:r>
              <w:rPr>
                <w:rFonts w:ascii="Arial" w:eastAsia="Arial" w:hAnsi="Arial" w:cs="Arial"/>
                <w:b/>
                <w:bCs/>
                <w:color w:val="7F623E"/>
                <w:spacing w:val="0"/>
                <w:w w:val="100"/>
                <w:position w:val="0"/>
                <w:sz w:val="11"/>
                <w:szCs w:val="11"/>
              </w:rPr>
              <w:t xml:space="preserve">-M* </w:t>
            </w:r>
            <w:r>
              <w:rPr>
                <w:rFonts w:ascii="Arial" w:eastAsia="Arial" w:hAnsi="Arial" w:cs="Arial"/>
                <w:b/>
                <w:bCs/>
                <w:color w:val="7387AC"/>
                <w:spacing w:val="0"/>
                <w:w w:val="100"/>
                <w:position w:val="0"/>
                <w:sz w:val="11"/>
                <w:szCs w:val="11"/>
              </w:rPr>
              <w:t>Ml -</w:t>
              <w:tab/>
            </w:r>
            <w:r>
              <w:rPr>
                <w:rFonts w:ascii="Arial" w:eastAsia="Arial" w:hAnsi="Arial" w:cs="Arial"/>
                <w:b/>
                <w:bCs/>
                <w:color w:val="7387AC"/>
                <w:spacing w:val="0"/>
                <w:w w:val="100"/>
                <w:position w:val="0"/>
                <w:sz w:val="11"/>
                <w:szCs w:val="11"/>
              </w:rPr>
              <w:t>-</w:t>
            </w:r>
          </w:p>
          <w:p>
            <w:pPr>
              <w:pStyle w:val="Style2"/>
              <w:keepNext w:val="0"/>
              <w:keepLines w:val="0"/>
              <w:widowControl w:val="0"/>
              <w:pBdr>
                <w:top w:val="single" w:sz="0" w:space="0" w:color="091946"/>
                <w:left w:val="single" w:sz="0" w:space="0" w:color="091946"/>
                <w:bottom w:val="single" w:sz="0" w:space="0" w:color="091946"/>
                <w:right w:val="single" w:sz="0" w:space="0" w:color="091946"/>
              </w:pBdr>
              <w:shd w:val="clear" w:color="auto" w:fill="091946"/>
              <w:tabs>
                <w:tab w:pos="1525" w:val="left"/>
                <w:tab w:pos="1933" w:val="left"/>
                <w:tab w:pos="2845" w:val="left"/>
                <w:tab w:pos="3253" w:val="left"/>
              </w:tabs>
              <w:bidi w:val="0"/>
              <w:spacing w:before="0" w:after="0" w:line="240" w:lineRule="auto"/>
              <w:ind w:left="0" w:right="0" w:firstLine="920"/>
              <w:jc w:val="left"/>
              <w:rPr>
                <w:sz w:val="11"/>
                <w:szCs w:val="11"/>
              </w:rPr>
            </w:pPr>
            <w:r>
              <w:rPr>
                <w:rFonts w:ascii="Arial" w:eastAsia="Arial" w:hAnsi="Arial" w:cs="Arial"/>
                <w:b/>
                <w:bCs/>
                <w:color w:val="7387AC"/>
                <w:spacing w:val="0"/>
                <w:w w:val="100"/>
                <w:position w:val="0"/>
                <w:sz w:val="11"/>
                <w:szCs w:val="11"/>
              </w:rPr>
              <w:t>•</w:t>
              <w:tab/>
              <w:t>"■</w:t>
              <w:tab/>
              <w:t>'</w:t>
              <w:tab/>
              <w:t>I i</w:t>
              <w:tab/>
              <w:t>5 I</w:t>
            </w:r>
          </w:p>
        </w:tc>
        <w:tc>
          <w:tcPr>
            <w:vMerge/>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421"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tabs>
                <w:tab w:pos="1214" w:val="left"/>
              </w:tabs>
              <w:bidi w:val="0"/>
              <w:spacing w:before="0" w:after="120" w:line="240" w:lineRule="auto"/>
              <w:ind w:left="0" w:right="0" w:firstLine="0"/>
              <w:jc w:val="center"/>
              <w:rPr>
                <w:sz w:val="11"/>
                <w:szCs w:val="11"/>
              </w:rPr>
            </w:pPr>
            <w:r>
              <w:rPr>
                <w:b/>
                <w:bCs/>
                <w:color w:val="A8A6AA"/>
                <w:spacing w:val="0"/>
                <w:w w:val="100"/>
                <w:position w:val="0"/>
                <w:sz w:val="13"/>
                <w:szCs w:val="13"/>
              </w:rPr>
              <w:t>：</w:t>
            </w:r>
            <w:r>
              <w:rPr>
                <w:rFonts w:ascii="Arial" w:eastAsia="Arial" w:hAnsi="Arial" w:cs="Arial"/>
                <w:b/>
                <w:bCs/>
                <w:color w:val="A8A6AA"/>
                <w:spacing w:val="0"/>
                <w:w w:val="100"/>
                <w:position w:val="0"/>
                <w:sz w:val="11"/>
                <w:szCs w:val="11"/>
              </w:rPr>
              <w:t xml:space="preserve">■ </w:t>
            </w:r>
            <w:r>
              <w:rPr>
                <w:rFonts w:ascii="Arial" w:eastAsia="Arial" w:hAnsi="Arial" w:cs="Arial"/>
                <w:b/>
                <w:bCs/>
                <w:color w:val="D8AD38"/>
                <w:spacing w:val="0"/>
                <w:w w:val="100"/>
                <w:position w:val="0"/>
                <w:sz w:val="11"/>
                <w:szCs w:val="11"/>
              </w:rPr>
              <w:t xml:space="preserve">O </w:t>
            </w:r>
            <w:r>
              <w:rPr>
                <w:rFonts w:ascii="Arial" w:eastAsia="Arial" w:hAnsi="Arial" w:cs="Arial"/>
                <w:b/>
                <w:bCs/>
                <w:color w:val="D55774"/>
                <w:spacing w:val="0"/>
                <w:w w:val="100"/>
                <w:position w:val="0"/>
                <w:sz w:val="11"/>
                <w:szCs w:val="11"/>
              </w:rPr>
              <w:t xml:space="preserve">^0 </w:t>
            </w:r>
            <w:r>
              <w:rPr>
                <w:rFonts w:ascii="Arial" w:eastAsia="Arial" w:hAnsi="Arial" w:cs="Arial"/>
                <w:b/>
                <w:bCs/>
                <w:color w:val="A8A6AA"/>
                <w:spacing w:val="0"/>
                <w:w w:val="100"/>
                <w:position w:val="0"/>
                <w:sz w:val="11"/>
                <w:szCs w:val="11"/>
              </w:rPr>
              <w:t xml:space="preserve">- </w:t>
            </w:r>
            <w:r>
              <w:rPr>
                <w:rFonts w:ascii="Arial" w:eastAsia="Arial" w:hAnsi="Arial" w:cs="Arial"/>
                <w:b/>
                <w:bCs/>
                <w:color w:val="71C593"/>
                <w:spacing w:val="0"/>
                <w:w w:val="100"/>
                <w:position w:val="0"/>
                <w:sz w:val="11"/>
                <w:szCs w:val="11"/>
              </w:rPr>
              <w:t xml:space="preserve">: </w:t>
            </w:r>
            <w:r>
              <w:rPr>
                <w:rFonts w:ascii="Arial" w:eastAsia="Arial" w:hAnsi="Arial" w:cs="Arial"/>
                <w:b/>
                <w:bCs/>
                <w:color w:val="A8A6AA"/>
                <w:spacing w:val="0"/>
                <w:w w:val="100"/>
                <w:position w:val="0"/>
                <w:sz w:val="11"/>
                <w:szCs w:val="11"/>
              </w:rPr>
              <w:t>:</w:t>
              <w:tab/>
            </w:r>
            <w:r>
              <w:rPr>
                <w:rFonts w:ascii="Arial" w:eastAsia="Arial" w:hAnsi="Arial" w:cs="Arial"/>
                <w:b/>
                <w:bCs/>
                <w:color w:val="DC9A9A"/>
                <w:spacing w:val="0"/>
                <w:w w:val="100"/>
                <w:position w:val="0"/>
                <w:sz w:val="11"/>
                <w:szCs w:val="11"/>
              </w:rPr>
              <w:t>p</w:t>
            </w:r>
          </w:p>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b/>
                <w:bCs/>
                <w:color w:val="D55774"/>
                <w:spacing w:val="0"/>
                <w:w w:val="100"/>
                <w:position w:val="0"/>
                <w:sz w:val="11"/>
                <w:szCs w:val="11"/>
              </w:rPr>
              <w:t xml:space="preserve">A </w:t>
            </w:r>
            <w:r>
              <w:rPr>
                <w:rFonts w:ascii="Arial" w:eastAsia="Arial" w:hAnsi="Arial" w:cs="Arial"/>
                <w:b/>
                <w:bCs/>
                <w:color w:val="2690F6"/>
                <w:spacing w:val="0"/>
                <w:w w:val="100"/>
                <w:position w:val="0"/>
                <w:sz w:val="11"/>
                <w:szCs w:val="11"/>
              </w:rPr>
              <w:t>—</w:t>
            </w:r>
          </w:p>
        </w:tc>
        <w:tc>
          <w:tcPr>
            <w:vMerge/>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2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b/>
                <w:bCs/>
                <w:color w:val="000000"/>
                <w:spacing w:val="0"/>
                <w:w w:val="100"/>
                <w:position w:val="0"/>
              </w:rPr>
              <w:t>安全监测 预警云平 台</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充分利用物联网、云计算等新一代信息技 术，通过云架构、多租户模式，面向中小 企业集群、第三方服务机构、园区及政府 监管部门，建设数据安全独立、功能协同 共享的安全监测预警云平台。帮助企业以 更低的价格、更灵活的方式迅速补齐信息 能力建设短板，提升安全生产与服务管理 的数字化、网络化、智能化水平。</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危化品、工 商贸、教育、 住建等行业 的中小型企 业。</w:t>
            </w:r>
          </w:p>
        </w:tc>
      </w:tr>
      <w:tr>
        <w:trPr>
          <w:trHeight w:val="2290" w:hRule="exact"/>
        </w:trPr>
        <w:tc>
          <w:tcPr>
            <w:vMerge/>
            <w:tcBorders>
              <w:left w:val="single" w:sz="4"/>
            </w:tcBorders>
            <w:shd w:val="clear" w:color="auto" w:fill="FFFFFF"/>
            <w:vAlign w:val="center"/>
          </w:tcPr>
          <w:p>
            <w:pPr/>
          </w:p>
        </w:tc>
        <w:tc>
          <w:tcPr>
            <w:tcBorders>
              <w:left w:val="single" w:sz="4"/>
            </w:tcBorders>
            <w:shd w:val="clear" w:color="auto" w:fill="13245A"/>
            <w:vAlign w:val="bottom"/>
          </w:tcPr>
          <w:p>
            <w:pPr>
              <w:pStyle w:val="Style2"/>
              <w:keepNext w:val="0"/>
              <w:keepLines w:val="0"/>
              <w:widowControl w:val="0"/>
              <w:pBdr>
                <w:top w:val="single" w:sz="0" w:space="0" w:color="13245A"/>
                <w:left w:val="single" w:sz="0" w:space="0" w:color="13245A"/>
                <w:bottom w:val="single" w:sz="0" w:space="0" w:color="13245A"/>
                <w:right w:val="single" w:sz="0" w:space="0" w:color="13245A"/>
              </w:pBdr>
              <w:shd w:val="clear" w:color="auto" w:fill="13245A"/>
              <w:tabs>
                <w:tab w:pos="662" w:val="left"/>
                <w:tab w:pos="1334" w:val="left"/>
                <w:tab w:pos="2006" w:val="left"/>
                <w:tab w:pos="2674" w:val="left"/>
              </w:tabs>
              <w:bidi w:val="0"/>
              <w:spacing w:before="0" w:after="0" w:line="240" w:lineRule="auto"/>
              <w:ind w:left="0" w:right="0" w:firstLine="0"/>
              <w:jc w:val="left"/>
              <w:rPr>
                <w:sz w:val="11"/>
                <w:szCs w:val="11"/>
              </w:rPr>
            </w:pPr>
            <w:r>
              <w:rPr>
                <w:rFonts w:ascii="Arial" w:eastAsia="Arial" w:hAnsi="Arial" w:cs="Arial"/>
                <w:b/>
                <w:bCs/>
                <w:color w:val="8EA2C5"/>
                <w:spacing w:val="0"/>
                <w:w w:val="100"/>
                <w:position w:val="0"/>
                <w:sz w:val="11"/>
                <w:szCs w:val="11"/>
              </w:rPr>
              <w:t>■ttAMi*</w:t>
              <w:tab/>
            </w:r>
            <w:r>
              <w:rPr>
                <w:rFonts w:ascii="Arial" w:eastAsia="Arial" w:hAnsi="Arial" w:cs="Arial"/>
                <w:smallCaps/>
                <w:color w:val="8EA2C5"/>
                <w:spacing w:val="0"/>
                <w:w w:val="100"/>
                <w:position w:val="0"/>
                <w:sz w:val="8"/>
                <w:szCs w:val="8"/>
              </w:rPr>
              <w:t>bmimm</w:t>
            </w:r>
            <w:r>
              <w:rPr>
                <w:rFonts w:ascii="Arial" w:eastAsia="Arial" w:hAnsi="Arial" w:cs="Arial"/>
                <w:b/>
                <w:bCs/>
                <w:color w:val="8EA2C5"/>
                <w:spacing w:val="0"/>
                <w:w w:val="100"/>
                <w:position w:val="0"/>
                <w:sz w:val="11"/>
                <w:szCs w:val="11"/>
              </w:rPr>
              <w:tab/>
              <w:t>Mvigaa</w:t>
              <w:tab/>
              <w:t xml:space="preserve">uraaB </w:t>
            </w:r>
            <w:r>
              <w:rPr>
                <w:rFonts w:ascii="Arial" w:eastAsia="Arial" w:hAnsi="Arial" w:cs="Arial"/>
                <w:i/>
                <w:iCs/>
                <w:smallCaps/>
                <w:color w:val="8EA2C5"/>
                <w:spacing w:val="0"/>
                <w:w w:val="100"/>
                <w:position w:val="0"/>
                <w:sz w:val="8"/>
                <w:szCs w:val="8"/>
              </w:rPr>
              <w:t>ik»i</w:t>
            </w:r>
            <w:r>
              <w:rPr>
                <w:rFonts w:ascii="Arial" w:eastAsia="Arial" w:hAnsi="Arial" w:cs="Arial"/>
                <w:b/>
                <w:bCs/>
                <w:color w:val="8EA2C5"/>
                <w:spacing w:val="0"/>
                <w:w w:val="100"/>
                <w:position w:val="0"/>
                <w:sz w:val="11"/>
                <w:szCs w:val="11"/>
              </w:rPr>
              <w:tab/>
              <w:t>mum</w:t>
            </w:r>
          </w:p>
          <w:p>
            <w:pPr>
              <w:pStyle w:val="Style2"/>
              <w:keepNext w:val="0"/>
              <w:keepLines w:val="0"/>
              <w:widowControl w:val="0"/>
              <w:pBdr>
                <w:top w:val="single" w:sz="0" w:space="0" w:color="13245A"/>
                <w:left w:val="single" w:sz="0" w:space="0" w:color="13245A"/>
                <w:bottom w:val="single" w:sz="0" w:space="0" w:color="13245A"/>
                <w:right w:val="single" w:sz="0" w:space="0" w:color="13245A"/>
              </w:pBdr>
              <w:shd w:val="clear" w:color="auto" w:fill="13245A"/>
              <w:tabs>
                <w:tab w:pos="1440" w:val="left"/>
                <w:tab w:pos="2606" w:val="left"/>
              </w:tabs>
              <w:bidi w:val="0"/>
              <w:spacing w:before="0" w:after="60" w:line="209" w:lineRule="auto"/>
              <w:ind w:left="0" w:right="0" w:firstLine="0"/>
              <w:jc w:val="left"/>
              <w:rPr>
                <w:sz w:val="11"/>
                <w:szCs w:val="11"/>
              </w:rPr>
            </w:pPr>
            <w:r>
              <w:rPr>
                <w:rFonts w:ascii="Arial" w:eastAsia="Arial" w:hAnsi="Arial" w:cs="Arial"/>
                <w:b/>
                <w:bCs/>
                <w:color w:val="76D5F1"/>
                <w:spacing w:val="0"/>
                <w:w w:val="100"/>
                <w:position w:val="0"/>
                <w:sz w:val="11"/>
                <w:szCs w:val="11"/>
                <w:vertAlign w:val="superscript"/>
              </w:rPr>
              <w:t>p</w:t>
            </w:r>
            <w:r>
              <w:rPr>
                <w:rFonts w:ascii="Arial" w:eastAsia="Arial" w:hAnsi="Arial" w:cs="Arial"/>
                <w:b/>
                <w:bCs/>
                <w:color w:val="76D5F1"/>
                <w:spacing w:val="0"/>
                <w:w w:val="100"/>
                <w:position w:val="0"/>
                <w:sz w:val="11"/>
                <w:szCs w:val="11"/>
              </w:rPr>
              <w:t xml:space="preserve"> 634532 ! 16</w:t>
              <w:tab/>
              <w:t>2143566 63421</w:t>
              <w:tab/>
            </w:r>
            <w:r>
              <w:rPr>
                <w:color w:val="76D5F1"/>
                <w:spacing w:val="0"/>
                <w:w w:val="100"/>
                <w:position w:val="0"/>
                <w:sz w:val="8"/>
                <w:szCs w:val="8"/>
              </w:rPr>
              <w:t>园</w:t>
            </w:r>
            <w:r>
              <w:rPr>
                <w:rFonts w:ascii="Arial" w:eastAsia="Arial" w:hAnsi="Arial" w:cs="Arial"/>
                <w:b/>
                <w:bCs/>
                <w:color w:val="76D5F1"/>
                <w:spacing w:val="0"/>
                <w:w w:val="100"/>
                <w:position w:val="0"/>
                <w:sz w:val="11"/>
                <w:szCs w:val="11"/>
              </w:rPr>
              <w:t>3421</w:t>
            </w:r>
          </w:p>
          <w:p>
            <w:pPr>
              <w:pStyle w:val="Style2"/>
              <w:keepNext w:val="0"/>
              <w:keepLines w:val="0"/>
              <w:widowControl w:val="0"/>
              <w:pBdr>
                <w:top w:val="single" w:sz="0" w:space="0" w:color="13245A"/>
                <w:left w:val="single" w:sz="0" w:space="0" w:color="13245A"/>
                <w:bottom w:val="single" w:sz="0" w:space="0" w:color="13245A"/>
                <w:right w:val="single" w:sz="0" w:space="0" w:color="13245A"/>
              </w:pBdr>
              <w:shd w:val="clear" w:color="auto" w:fill="13245A"/>
              <w:bidi w:val="0"/>
              <w:spacing w:before="0" w:after="620" w:line="240" w:lineRule="auto"/>
              <w:ind w:left="0" w:right="0" w:firstLine="600"/>
              <w:jc w:val="left"/>
              <w:rPr>
                <w:sz w:val="11"/>
                <w:szCs w:val="11"/>
              </w:rPr>
            </w:pPr>
            <w:r>
              <w:rPr>
                <w:rFonts w:ascii="Arial" w:eastAsia="Arial" w:hAnsi="Arial" w:cs="Arial"/>
                <w:b/>
                <w:bCs/>
                <w:color w:val="8EA2C5"/>
                <w:spacing w:val="0"/>
                <w:w w:val="100"/>
                <w:position w:val="0"/>
                <w:sz w:val="11"/>
                <w:szCs w:val="11"/>
              </w:rPr>
              <w:t xml:space="preserve">u </w:t>
            </w:r>
            <w:r>
              <w:rPr>
                <w:rFonts w:ascii="Arial" w:eastAsia="Arial" w:hAnsi="Arial" w:cs="Arial"/>
                <w:b/>
                <w:bCs/>
                <w:color w:val="8769B1"/>
                <w:spacing w:val="0"/>
                <w:w w:val="100"/>
                <w:position w:val="0"/>
                <w:sz w:val="11"/>
                <w:szCs w:val="11"/>
              </w:rPr>
              <w:t>—</w:t>
            </w:r>
            <w:r>
              <w:rPr>
                <w:color w:val="5399C2"/>
                <w:spacing w:val="0"/>
                <w:w w:val="100"/>
                <w:position w:val="0"/>
                <w:sz w:val="8"/>
                <w:szCs w:val="8"/>
              </w:rPr>
              <w:t xml:space="preserve">金通.行业企业 </w:t>
            </w:r>
            <w:r>
              <w:rPr>
                <w:rFonts w:ascii="Arial" w:eastAsia="Arial" w:hAnsi="Arial" w:cs="Arial"/>
                <w:b/>
                <w:bCs/>
                <w:color w:val="5399C2"/>
                <w:spacing w:val="0"/>
                <w:w w:val="100"/>
                <w:position w:val="0"/>
                <w:sz w:val="11"/>
                <w:szCs w:val="11"/>
              </w:rPr>
              <w:t>tiiaaiit</w:t>
            </w:r>
          </w:p>
          <w:p>
            <w:pPr>
              <w:pStyle w:val="Style2"/>
              <w:keepNext w:val="0"/>
              <w:keepLines w:val="0"/>
              <w:widowControl w:val="0"/>
              <w:pBdr>
                <w:top w:val="single" w:sz="0" w:space="0" w:color="13245A"/>
                <w:left w:val="single" w:sz="0" w:space="0" w:color="13245A"/>
                <w:bottom w:val="single" w:sz="0" w:space="0" w:color="13245A"/>
                <w:right w:val="single" w:sz="0" w:space="0" w:color="13245A"/>
              </w:pBdr>
              <w:shd w:val="clear" w:color="auto" w:fill="13245A"/>
              <w:bidi w:val="0"/>
              <w:spacing w:before="0" w:after="200" w:line="240" w:lineRule="auto"/>
              <w:ind w:left="0" w:right="340" w:firstLine="0"/>
              <w:jc w:val="right"/>
              <w:rPr>
                <w:sz w:val="11"/>
                <w:szCs w:val="11"/>
              </w:rPr>
            </w:pPr>
            <w:r>
              <w:rPr>
                <w:rFonts w:ascii="Arial" w:eastAsia="Arial" w:hAnsi="Arial" w:cs="Arial"/>
                <w:b/>
                <w:bCs/>
                <w:color w:val="5399C2"/>
                <w:spacing w:val="0"/>
                <w:w w:val="100"/>
                <w:position w:val="0"/>
                <w:sz w:val="11"/>
                <w:szCs w:val="11"/>
              </w:rPr>
              <w:t>ir</w:t>
            </w:r>
          </w:p>
          <w:p>
            <w:pPr>
              <w:pStyle w:val="Style2"/>
              <w:keepNext w:val="0"/>
              <w:keepLines w:val="0"/>
              <w:widowControl w:val="0"/>
              <w:pBdr>
                <w:top w:val="single" w:sz="0" w:space="0" w:color="13245A"/>
                <w:left w:val="single" w:sz="0" w:space="0" w:color="13245A"/>
                <w:bottom w:val="single" w:sz="0" w:space="0" w:color="13245A"/>
                <w:right w:val="single" w:sz="0" w:space="0" w:color="13245A"/>
              </w:pBdr>
              <w:shd w:val="clear" w:color="auto" w:fill="13245A"/>
              <w:tabs>
                <w:tab w:pos="1258" w:val="left"/>
                <w:tab w:pos="1886" w:val="left"/>
              </w:tabs>
              <w:bidi w:val="0"/>
              <w:spacing w:before="0" w:after="0" w:line="120" w:lineRule="exact"/>
              <w:ind w:left="0" w:right="0" w:firstLine="0"/>
              <w:jc w:val="right"/>
              <w:rPr>
                <w:sz w:val="8"/>
                <w:szCs w:val="8"/>
              </w:rPr>
            </w:pPr>
            <w:r>
              <w:rPr>
                <w:color w:val="8EA2C5"/>
                <w:spacing w:val="0"/>
                <w:w w:val="100"/>
                <w:position w:val="0"/>
                <w:sz w:val="8"/>
                <w:szCs w:val="8"/>
              </w:rPr>
              <w:t>堂</w:t>
            </w:r>
            <w:r>
              <w:rPr>
                <w:color w:val="A0B556"/>
                <w:spacing w:val="0"/>
                <w:w w:val="100"/>
                <w:position w:val="0"/>
                <w:sz w:val="8"/>
                <w:szCs w:val="8"/>
              </w:rPr>
              <w:t>—</w:t>
            </w:r>
            <w:r>
              <w:rPr>
                <w:color w:val="A0B556"/>
                <w:spacing w:val="0"/>
                <w:w w:val="100"/>
                <w:position w:val="0"/>
                <w:sz w:val="8"/>
                <w:szCs w:val="8"/>
              </w:rPr>
              <w:t>:</w:t>
            </w:r>
            <w:r>
              <w:rPr>
                <w:color w:val="596FAE"/>
                <w:spacing w:val="0"/>
                <w:w w:val="100"/>
                <w:position w:val="0"/>
                <w:sz w:val="8"/>
                <w:szCs w:val="8"/>
              </w:rPr>
              <w:t xml:space="preserve">-： </w:t>
            </w:r>
            <w:r>
              <w:rPr>
                <w:color w:val="8769B1"/>
                <w:spacing w:val="0"/>
                <w:w w:val="100"/>
                <w:position w:val="0"/>
                <w:sz w:val="8"/>
                <w:szCs w:val="8"/>
              </w:rPr>
              <w:t>:</w:t>
            </w:r>
            <w:r>
              <w:rPr>
                <w:color w:val="596FAE"/>
                <w:spacing w:val="0"/>
                <w:w w:val="100"/>
                <w:position w:val="0"/>
                <w:sz w:val="8"/>
                <w:szCs w:val="8"/>
              </w:rPr>
              <w:t xml:space="preserve">h </w:t>
            </w:r>
            <w:r>
              <w:rPr>
                <w:b/>
                <w:bCs/>
                <w:color w:val="596894"/>
                <w:spacing w:val="0"/>
                <w:w w:val="100"/>
                <w:position w:val="0"/>
                <w:sz w:val="13"/>
                <w:szCs w:val="13"/>
              </w:rPr>
              <w:t>(</w:t>
            </w:r>
            <w:r>
              <w:rPr>
                <w:rFonts w:ascii="Arial" w:eastAsia="Arial" w:hAnsi="Arial" w:cs="Arial"/>
                <w:b/>
                <w:bCs/>
                <w:color w:val="596894"/>
                <w:spacing w:val="0"/>
                <w:w w:val="100"/>
                <w:position w:val="0"/>
                <w:sz w:val="11"/>
                <w:szCs w:val="11"/>
              </w:rPr>
              <w:t xml:space="preserve">5&gt; </w:t>
            </w:r>
            <w:r>
              <w:rPr>
                <w:rFonts w:ascii="Arial" w:eastAsia="Arial" w:hAnsi="Arial" w:cs="Arial"/>
                <w:b/>
                <w:bCs/>
                <w:color w:val="8EA2C5"/>
                <w:spacing w:val="0"/>
                <w:w w:val="100"/>
                <w:position w:val="0"/>
                <w:sz w:val="11"/>
                <w:szCs w:val="11"/>
              </w:rPr>
              <w:t xml:space="preserve">¥'■" </w:t>
            </w:r>
            <w:r>
              <w:rPr>
                <w:rFonts w:ascii="Arial" w:eastAsia="Arial" w:hAnsi="Arial" w:cs="Arial"/>
                <w:b/>
                <w:bCs/>
                <w:color w:val="596FAE"/>
                <w:spacing w:val="0"/>
                <w:w w:val="100"/>
                <w:position w:val="0"/>
                <w:sz w:val="11"/>
                <w:szCs w:val="11"/>
                <w:vertAlign w:val="subscript"/>
              </w:rPr>
              <w:t>t</w:t>
            </w:r>
            <w:r>
              <w:rPr>
                <w:rFonts w:ascii="Arial" w:eastAsia="Arial" w:hAnsi="Arial" w:cs="Arial"/>
                <w:b/>
                <w:bCs/>
                <w:color w:val="596FAE"/>
                <w:spacing w:val="0"/>
                <w:w w:val="100"/>
                <w:position w:val="0"/>
                <w:sz w:val="11"/>
                <w:szCs w:val="11"/>
              </w:rPr>
              <w:tab/>
            </w:r>
            <w:r>
              <w:rPr>
                <w:rFonts w:ascii="Arial" w:eastAsia="Arial" w:hAnsi="Arial" w:cs="Arial"/>
                <w:b/>
                <w:bCs/>
                <w:color w:val="8EA2C5"/>
                <w:spacing w:val="0"/>
                <w:w w:val="100"/>
                <w:position w:val="0"/>
                <w:sz w:val="11"/>
                <w:szCs w:val="11"/>
              </w:rPr>
              <w:t>“</w:t>
              <w:tab/>
            </w:r>
            <w:r>
              <w:rPr>
                <w:color w:val="8769B1"/>
                <w:spacing w:val="0"/>
                <w:w w:val="100"/>
                <w:position w:val="0"/>
                <w:sz w:val="8"/>
                <w:szCs w:val="8"/>
              </w:rPr>
              <w:t xml:space="preserve">二疽 </w:t>
            </w:r>
            <w:r>
              <w:rPr>
                <w:color w:val="5399C2"/>
                <w:spacing w:val="0"/>
                <w:w w:val="100"/>
                <w:position w:val="0"/>
                <w:sz w:val="8"/>
                <w:szCs w:val="8"/>
              </w:rPr>
              <w:t>h</w:t>
            </w:r>
          </w:p>
          <w:p>
            <w:pPr>
              <w:pStyle w:val="Style2"/>
              <w:keepNext w:val="0"/>
              <w:keepLines w:val="0"/>
              <w:widowControl w:val="0"/>
              <w:pBdr>
                <w:top w:val="single" w:sz="0" w:space="0" w:color="13245A"/>
                <w:left w:val="single" w:sz="0" w:space="0" w:color="13245A"/>
                <w:bottom w:val="single" w:sz="0" w:space="0" w:color="13245A"/>
                <w:right w:val="single" w:sz="0" w:space="0" w:color="13245A"/>
              </w:pBdr>
              <w:shd w:val="clear" w:color="auto" w:fill="13245A"/>
              <w:tabs>
                <w:tab w:pos="3302" w:val="left"/>
              </w:tabs>
              <w:bidi w:val="0"/>
              <w:spacing w:before="0" w:after="0" w:line="240" w:lineRule="auto"/>
              <w:ind w:left="1060" w:right="0" w:firstLine="0"/>
              <w:jc w:val="left"/>
              <w:rPr>
                <w:sz w:val="11"/>
                <w:szCs w:val="11"/>
              </w:rPr>
            </w:pPr>
            <w:r>
              <w:rPr>
                <w:color w:val="596894"/>
                <w:spacing w:val="0"/>
                <w:w w:val="100"/>
                <w:position w:val="0"/>
                <w:sz w:val="8"/>
                <w:szCs w:val="8"/>
              </w:rPr>
              <w:t xml:space="preserve">» </w:t>
            </w:r>
            <w:r>
              <w:rPr>
                <w:color w:val="596FAE"/>
                <w:spacing w:val="0"/>
                <w:w w:val="100"/>
                <w:position w:val="0"/>
                <w:sz w:val="8"/>
                <w:szCs w:val="8"/>
              </w:rPr>
              <w:t>公、—.</w:t>
            </w:r>
            <w:r>
              <w:rPr>
                <w:rFonts w:ascii="Arial" w:eastAsia="Arial" w:hAnsi="Arial" w:cs="Arial"/>
                <w:b/>
                <w:bCs/>
                <w:color w:val="596FAE"/>
                <w:spacing w:val="0"/>
                <w:w w:val="100"/>
                <w:position w:val="0"/>
                <w:sz w:val="11"/>
                <w:szCs w:val="11"/>
              </w:rPr>
              <w:t xml:space="preserve">1 </w:t>
            </w:r>
            <w:r>
              <w:rPr>
                <w:rFonts w:ascii="Arial" w:eastAsia="Arial" w:hAnsi="Arial" w:cs="Arial"/>
                <w:b/>
                <w:bCs/>
                <w:i/>
                <w:iCs/>
                <w:color w:val="8EA2C5"/>
                <w:spacing w:val="0"/>
                <w:w w:val="100"/>
                <w:position w:val="0"/>
                <w:sz w:val="11"/>
                <w:szCs w:val="11"/>
              </w:rPr>
              <w:t>B</w:t>
            </w:r>
            <w:r>
              <w:rPr>
                <w:rFonts w:ascii="Arial" w:eastAsia="Arial" w:hAnsi="Arial" w:cs="Arial"/>
                <w:b/>
                <w:bCs/>
                <w:color w:val="8EA2C5"/>
                <w:spacing w:val="0"/>
                <w:w w:val="100"/>
                <w:position w:val="0"/>
                <w:sz w:val="11"/>
                <w:szCs w:val="11"/>
              </w:rPr>
              <w:t xml:space="preserve"> </w:t>
            </w:r>
            <w:r>
              <w:rPr>
                <w:rFonts w:ascii="Arial" w:eastAsia="Arial" w:hAnsi="Arial" w:cs="Arial"/>
                <w:b/>
                <w:bCs/>
                <w:color w:val="D55774"/>
                <w:spacing w:val="0"/>
                <w:w w:val="100"/>
                <w:position w:val="0"/>
                <w:sz w:val="11"/>
                <w:szCs w:val="11"/>
              </w:rPr>
              <w:t>V V</w:t>
              <w:tab/>
            </w:r>
            <w:r>
              <w:rPr>
                <w:rFonts w:ascii="Arial" w:eastAsia="Arial" w:hAnsi="Arial" w:cs="Arial"/>
                <w:b/>
                <w:bCs/>
                <w:color w:val="8769B1"/>
                <w:spacing w:val="0"/>
                <w:w w:val="100"/>
                <w:position w:val="0"/>
                <w:sz w:val="11"/>
                <w:szCs w:val="11"/>
              </w:rPr>
              <w:t>:</w:t>
            </w:r>
            <w:r>
              <w:rPr>
                <w:rFonts w:ascii="Arial" w:eastAsia="Arial" w:hAnsi="Arial" w:cs="Arial"/>
                <w:b/>
                <w:bCs/>
                <w:color w:val="596FAE"/>
                <w:spacing w:val="0"/>
                <w:w w:val="100"/>
                <w:position w:val="0"/>
                <w:sz w:val="11"/>
                <w:szCs w:val="11"/>
              </w:rPr>
              <w:t>h</w:t>
            </w:r>
          </w:p>
          <w:p>
            <w:pPr>
              <w:pStyle w:val="Style2"/>
              <w:keepNext w:val="0"/>
              <w:keepLines w:val="0"/>
              <w:widowControl w:val="0"/>
              <w:pBdr>
                <w:top w:val="single" w:sz="0" w:space="0" w:color="13245A"/>
                <w:left w:val="single" w:sz="0" w:space="0" w:color="13245A"/>
                <w:bottom w:val="single" w:sz="0" w:space="0" w:color="13245A"/>
                <w:right w:val="single" w:sz="0" w:space="0" w:color="13245A"/>
              </w:pBdr>
              <w:shd w:val="clear" w:color="auto" w:fill="13245A"/>
              <w:tabs>
                <w:tab w:pos="912" w:val="left"/>
                <w:tab w:pos="1526" w:val="left"/>
              </w:tabs>
              <w:bidi w:val="0"/>
              <w:spacing w:before="0" w:after="0" w:line="240" w:lineRule="auto"/>
              <w:ind w:left="0" w:right="0" w:firstLine="0"/>
              <w:jc w:val="right"/>
              <w:rPr>
                <w:sz w:val="11"/>
                <w:szCs w:val="11"/>
              </w:rPr>
            </w:pPr>
            <w:r>
              <w:rPr>
                <w:color w:val="8769B1"/>
                <w:spacing w:val="0"/>
                <w:w w:val="100"/>
                <w:position w:val="0"/>
                <w:sz w:val="8"/>
                <w:szCs w:val="8"/>
              </w:rPr>
              <w:t>.</w:t>
              <w:tab/>
            </w:r>
            <w:r>
              <w:rPr>
                <w:color w:val="8769B1"/>
                <w:spacing w:val="0"/>
                <w:w w:val="100"/>
                <w:position w:val="0"/>
                <w:sz w:val="8"/>
                <w:szCs w:val="8"/>
              </w:rPr>
              <w:t>二</w:t>
              <w:tab/>
            </w:r>
            <w:r>
              <w:rPr>
                <w:rFonts w:ascii="Arial" w:eastAsia="Arial" w:hAnsi="Arial" w:cs="Arial"/>
                <w:b/>
                <w:bCs/>
                <w:color w:val="8769B1"/>
                <w:spacing w:val="0"/>
                <w:w w:val="100"/>
                <w:position w:val="0"/>
                <w:sz w:val="11"/>
                <w:szCs w:val="11"/>
              </w:rPr>
              <w:t xml:space="preserve">aau^a </w:t>
            </w:r>
            <w:r>
              <w:rPr>
                <w:b/>
                <w:bCs/>
                <w:color w:val="8769B1"/>
                <w:spacing w:val="0"/>
                <w:w w:val="100"/>
                <w:position w:val="0"/>
                <w:sz w:val="13"/>
                <w:szCs w:val="13"/>
              </w:rPr>
              <w:t>・・</w:t>
            </w:r>
            <w:r>
              <w:rPr>
                <w:rFonts w:ascii="Arial" w:eastAsia="Arial" w:hAnsi="Arial" w:cs="Arial"/>
                <w:b/>
                <w:bCs/>
                <w:color w:val="8769B1"/>
                <w:spacing w:val="0"/>
                <w:w w:val="100"/>
                <w:position w:val="0"/>
                <w:sz w:val="11"/>
                <w:szCs w:val="11"/>
              </w:rPr>
              <w:t>w</w:t>
            </w:r>
          </w:p>
          <w:p>
            <w:pPr>
              <w:pStyle w:val="Style2"/>
              <w:keepNext w:val="0"/>
              <w:keepLines w:val="0"/>
              <w:widowControl w:val="0"/>
              <w:pBdr>
                <w:top w:val="single" w:sz="0" w:space="0" w:color="13245A"/>
                <w:left w:val="single" w:sz="0" w:space="0" w:color="13245A"/>
                <w:bottom w:val="single" w:sz="0" w:space="0" w:color="13245A"/>
                <w:right w:val="single" w:sz="0" w:space="0" w:color="13245A"/>
              </w:pBdr>
              <w:shd w:val="clear" w:color="auto" w:fill="13245A"/>
              <w:tabs>
                <w:tab w:pos="288" w:val="left"/>
                <w:tab w:pos="1478" w:val="left"/>
              </w:tabs>
              <w:bidi w:val="0"/>
              <w:spacing w:before="0" w:after="0" w:line="180" w:lineRule="auto"/>
              <w:ind w:left="0" w:right="0" w:firstLine="0"/>
              <w:jc w:val="right"/>
              <w:rPr>
                <w:sz w:val="11"/>
                <w:szCs w:val="11"/>
              </w:rPr>
            </w:pPr>
            <w:r>
              <w:rPr>
                <w:rFonts w:ascii="Arial" w:eastAsia="Arial" w:hAnsi="Arial" w:cs="Arial"/>
                <w:b/>
                <w:bCs/>
                <w:i/>
                <w:iCs/>
                <w:color w:val="596FAE"/>
                <w:spacing w:val="0"/>
                <w:w w:val="100"/>
                <w:position w:val="0"/>
                <w:sz w:val="11"/>
                <w:szCs w:val="11"/>
              </w:rPr>
              <w:t>1</w:t>
              <w:tab/>
              <w:t>1</w:t>
            </w:r>
            <w:r>
              <w:rPr>
                <w:rFonts w:ascii="Arial" w:eastAsia="Arial" w:hAnsi="Arial" w:cs="Arial"/>
                <w:b/>
                <w:bCs/>
                <w:color w:val="596FAE"/>
                <w:spacing w:val="0"/>
                <w:w w:val="100"/>
                <w:position w:val="0"/>
                <w:sz w:val="11"/>
                <w:szCs w:val="11"/>
              </w:rPr>
              <w:tab/>
            </w:r>
            <w:r>
              <w:rPr>
                <w:rFonts w:ascii="Arial" w:eastAsia="Arial" w:hAnsi="Arial" w:cs="Arial"/>
                <w:b/>
                <w:bCs/>
                <w:color w:val="8769B1"/>
                <w:spacing w:val="0"/>
                <w:w w:val="100"/>
                <w:position w:val="0"/>
                <w:sz w:val="11"/>
                <w:szCs w:val="11"/>
              </w:rPr>
              <w:t xml:space="preserve">aaur </w:t>
            </w:r>
            <w:r>
              <w:rPr>
                <w:rFonts w:ascii="Arial" w:eastAsia="Arial" w:hAnsi="Arial" w:cs="Arial"/>
                <w:b/>
                <w:bCs/>
                <w:color w:val="5399C2"/>
                <w:spacing w:val="0"/>
                <w:w w:val="100"/>
                <w:position w:val="0"/>
                <w:sz w:val="11"/>
                <w:szCs w:val="11"/>
              </w:rPr>
              <w:t>aar«&gt;</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20"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p>
      <w:pPr>
        <w:pStyle w:val="Style10"/>
        <w:keepNext w:val="0"/>
        <w:keepLines w:val="0"/>
        <w:widowControl w:val="0"/>
        <w:shd w:val="clear" w:color="auto" w:fill="auto"/>
        <w:bidi w:val="0"/>
        <w:spacing w:before="0" w:after="100" w:line="312" w:lineRule="exact"/>
        <w:ind w:left="0" w:right="0" w:firstLine="260"/>
        <w:jc w:val="both"/>
      </w:pPr>
      <w:r>
        <w:drawing>
          <wp:anchor distT="0" distB="0" distL="563880" distR="0" simplePos="0" relativeHeight="125829385" behindDoc="0" locked="0" layoutInCell="1" allowOverlap="1">
            <wp:simplePos x="0" y="0"/>
            <wp:positionH relativeFrom="page">
              <wp:posOffset>1306195</wp:posOffset>
            </wp:positionH>
            <wp:positionV relativeFrom="paragraph">
              <wp:posOffset>127000</wp:posOffset>
            </wp:positionV>
            <wp:extent cx="2365375" cy="1554480"/>
            <wp:wrapSquare wrapText="right"/>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39"/>
                    <a:stretch/>
                  </pic:blipFill>
                  <pic:spPr>
                    <a:xfrm>
                      <a:ext cx="2365375" cy="1554480"/>
                    </a:xfrm>
                    <a:prstGeom prst="rect"/>
                  </pic:spPr>
                </pic:pic>
              </a:graphicData>
            </a:graphic>
          </wp:anchor>
        </w:drawing>
      </w:r>
      <w:r>
        <mc:AlternateContent>
          <mc:Choice Requires="wps">
            <w:drawing>
              <wp:anchor distT="0" distB="0" distL="0" distR="0" simplePos="0" relativeHeight="503316522" behindDoc="0" locked="0" layoutInCell="1" allowOverlap="1">
                <wp:simplePos x="0" y="0"/>
                <wp:positionH relativeFrom="page">
                  <wp:posOffset>742315</wp:posOffset>
                </wp:positionH>
                <wp:positionV relativeFrom="paragraph">
                  <wp:posOffset>584200</wp:posOffset>
                </wp:positionV>
                <wp:extent cx="557530" cy="612775"/>
                <wp:wrapNone/>
                <wp:docPr id="76" name="Shape 76"/>
                <a:graphic xmlns:a="http://schemas.openxmlformats.org/drawingml/2006/main">
                  <a:graphicData uri="http://schemas.microsoft.com/office/word/2010/wordprocessingShape">
                    <wps:wsp>
                      <wps:cNvSpPr txBox="1"/>
                      <wps:spPr>
                        <a:xfrm>
                          <a:ext cx="557530" cy="612775"/>
                        </a:xfrm>
                        <a:prstGeom prst="rect"/>
                        <a:noFill/>
                      </wps:spPr>
                      <wps:txbx>
                        <w:txbxContent>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智慧园区 综合服务 平台</w:t>
                            </w:r>
                          </w:p>
                        </w:txbxContent>
                      </wps:txbx>
                      <wps:bodyPr lIns="0" tIns="0" rIns="0" bIns="0">
                        <a:noAutoFit/>
                      </wps:bodyPr>
                    </wps:wsp>
                  </a:graphicData>
                </a:graphic>
              </wp:anchor>
            </w:drawing>
          </mc:Choice>
          <mc:Fallback>
            <w:pict>
              <v:shape id="_x0000_s1102" type="#_x0000_t202" style="position:absolute;margin-left:58.450000000000003pt;margin-top:46.pt;width:43.899999999999999pt;height:48.25pt;z-index:251657769;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智慧园区 综合服务 平台</w:t>
                      </w:r>
                    </w:p>
                  </w:txbxContent>
                </v:textbox>
                <w10:wrap anchorx="page"/>
              </v:shape>
            </w:pict>
          </mc:Fallback>
        </mc:AlternateContent>
      </w:r>
      <w:r>
        <mc:AlternateContent>
          <mc:Choice Requires="wps">
            <w:drawing>
              <wp:anchor distT="0" distB="0" distL="0" distR="0" simplePos="0" relativeHeight="125829386" behindDoc="0" locked="0" layoutInCell="1" allowOverlap="1">
                <wp:simplePos x="0" y="0"/>
                <wp:positionH relativeFrom="page">
                  <wp:posOffset>6088380</wp:posOffset>
                </wp:positionH>
                <wp:positionV relativeFrom="paragraph">
                  <wp:posOffset>635000</wp:posOffset>
                </wp:positionV>
                <wp:extent cx="753110" cy="362585"/>
                <wp:wrapSquare wrapText="left"/>
                <wp:docPr id="78" name="Shape 78"/>
                <a:graphic xmlns:a="http://schemas.openxmlformats.org/drawingml/2006/main">
                  <a:graphicData uri="http://schemas.microsoft.com/office/word/2010/wordprocessingShape">
                    <wps:wsp>
                      <wps:cNvSpPr txBox="1"/>
                      <wps:spPr>
                        <a:xfrm>
                          <a:ext cx="753110" cy="362585"/>
                        </a:xfrm>
                        <a:prstGeom prst="rect"/>
                        <a:noFill/>
                      </wps:spPr>
                      <wps:txbx>
                        <w:txbxContent>
                          <w:p>
                            <w:pPr>
                              <w:pStyle w:val="Style1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工业园区、</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产业集聚区</w:t>
                            </w:r>
                          </w:p>
                        </w:txbxContent>
                      </wps:txbx>
                      <wps:bodyPr lIns="0" tIns="0" rIns="0" bIns="0">
                        <a:noAutoFit/>
                      </wps:bodyPr>
                    </wps:wsp>
                  </a:graphicData>
                </a:graphic>
              </wp:anchor>
            </w:drawing>
          </mc:Choice>
          <mc:Fallback>
            <w:pict>
              <v:shape id="_x0000_s1104" type="#_x0000_t202" style="position:absolute;margin-left:479.40000000000003pt;margin-top:50.pt;width:59.300000000000004pt;height:28.550000000000001pt;z-index:-125829367;mso-wrap-distance-left:0;mso-wrap-distance-right:0;mso-position-horizontal-relative:page" filled="f" stroked="f">
                <v:textbox inset="0,0,0,0">
                  <w:txbxContent>
                    <w:p>
                      <w:pPr>
                        <w:pStyle w:val="Style1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工业园区、</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产业集聚区</w:t>
                      </w:r>
                    </w:p>
                  </w:txbxContent>
                </v:textbox>
                <w10:wrap type="square" side="left" anchorx="page"/>
              </v:shape>
            </w:pict>
          </mc:Fallback>
        </mc:AlternateContent>
      </w:r>
      <w:r>
        <w:rPr>
          <w:color w:val="000000"/>
          <w:spacing w:val="0"/>
          <w:w w:val="100"/>
          <w:position w:val="0"/>
        </w:rPr>
        <w:t xml:space="preserve">j i=t±i j </w:t>
      </w:r>
      <w:r>
        <w:rPr>
          <w:color w:val="000000"/>
          <w:spacing w:val="0"/>
          <w:w w:val="100"/>
          <w:position w:val="0"/>
        </w:rPr>
        <w:t xml:space="preserve">白 </w:t>
      </w:r>
      <w:r>
        <w:rPr>
          <w:color w:val="000000"/>
          <w:spacing w:val="0"/>
          <w:w w:val="100"/>
          <w:position w:val="0"/>
        </w:rPr>
        <w:t xml:space="preserve">izx </w:t>
      </w:r>
      <w:r>
        <w:rPr>
          <w:rFonts w:ascii="Courier New" w:eastAsia="Courier New" w:hAnsi="Courier New" w:cs="Courier New"/>
          <w:smallCaps/>
          <w:color w:val="000000"/>
          <w:spacing w:val="0"/>
          <w:w w:val="100"/>
          <w:position w:val="0"/>
          <w:sz w:val="18"/>
          <w:szCs w:val="18"/>
        </w:rPr>
        <w:t>xe</w:t>
      </w:r>
      <w:r>
        <w:rPr>
          <w:color w:val="000000"/>
          <w:spacing w:val="0"/>
          <w:w w:val="100"/>
          <w:position w:val="0"/>
        </w:rPr>
        <w:t xml:space="preserve"> ux. </w:t>
      </w:r>
      <w:r>
        <w:rPr>
          <w:color w:val="000000"/>
          <w:spacing w:val="0"/>
          <w:w w:val="100"/>
          <w:position w:val="0"/>
        </w:rPr>
        <w:t xml:space="preserve">口 </w:t>
      </w:r>
      <w:r>
        <w:rPr>
          <w:color w:val="000000"/>
          <w:spacing w:val="0"/>
          <w:w w:val="100"/>
          <w:position w:val="0"/>
        </w:rPr>
        <w:t xml:space="preserve">J i </w:t>
      </w:r>
      <w:r>
        <w:rPr>
          <w:color w:val="000000"/>
          <w:spacing w:val="0"/>
          <w:w w:val="100"/>
          <w:position w:val="0"/>
        </w:rPr>
        <w:t>-</w:t>
      </w:r>
      <w:r>
        <w:rPr>
          <w:color w:val="000000"/>
          <w:spacing w:val="0"/>
          <w:w w:val="100"/>
          <w:position w:val="0"/>
        </w:rPr>
        <w:t xml:space="preserve">1 r </w:t>
      </w:r>
      <w:r>
        <w:rPr>
          <w:color w:val="000000"/>
          <w:spacing w:val="0"/>
          <w:w w:val="100"/>
          <w:position w:val="0"/>
        </w:rPr>
        <w:t>刁、， 在充分利用园区己建信息化成果的基础 上，结合园区实际需求，利用大数据分析、 数据视频两网融合等先进技术理论，采集 园区安全环保、消防应急、能源物流、综 合服务、产业运行等业务管理信息或相关 系统数据，打通不同业务场景及系统之间 信息孤岛和数据壁垒，建设智慧园区一体 化管理平台。</w:t>
      </w:r>
    </w:p>
    <w:p>
      <w:pPr>
        <w:pStyle w:val="Style10"/>
        <w:keepNext w:val="0"/>
        <w:keepLines w:val="0"/>
        <w:widowControl w:val="0"/>
        <w:shd w:val="clear" w:color="auto" w:fill="auto"/>
        <w:bidi w:val="0"/>
        <w:spacing w:before="0" w:after="0" w:line="240" w:lineRule="auto"/>
        <w:ind w:left="4640" w:right="0" w:firstLine="0"/>
        <w:jc w:val="both"/>
      </w:pPr>
      <w:r>
        <w:rPr>
          <w:color w:val="000000"/>
          <w:spacing w:val="0"/>
          <w:w w:val="100"/>
          <w:position w:val="0"/>
        </w:rPr>
        <w:t>将移动互联网、物联网、云计算技术等先</w:t>
      </w:r>
    </w:p>
    <w:p>
      <w:pPr>
        <w:pStyle w:val="Style10"/>
        <w:keepNext w:val="0"/>
        <w:keepLines w:val="0"/>
        <w:widowControl w:val="0"/>
        <w:shd w:val="clear" w:color="auto" w:fill="auto"/>
        <w:bidi w:val="0"/>
        <w:spacing w:before="0" w:after="100" w:line="313" w:lineRule="exact"/>
        <w:ind w:left="0" w:right="0" w:firstLine="0"/>
        <w:jc w:val="both"/>
      </w:pPr>
      <w:r>
        <w:drawing>
          <wp:anchor distT="0" distB="0" distL="557530" distR="0" simplePos="0" relativeHeight="125829388" behindDoc="0" locked="0" layoutInCell="1" allowOverlap="1">
            <wp:simplePos x="0" y="0"/>
            <wp:positionH relativeFrom="page">
              <wp:posOffset>1299845</wp:posOffset>
            </wp:positionH>
            <wp:positionV relativeFrom="paragraph">
              <wp:posOffset>203200</wp:posOffset>
            </wp:positionV>
            <wp:extent cx="2365375" cy="1237615"/>
            <wp:wrapSquare wrapText="right"/>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41"/>
                    <a:stretch/>
                  </pic:blipFill>
                  <pic:spPr>
                    <a:xfrm>
                      <a:ext cx="2365375" cy="1237615"/>
                    </a:xfrm>
                    <a:prstGeom prst="rect"/>
                  </pic:spPr>
                </pic:pic>
              </a:graphicData>
            </a:graphic>
          </wp:anchor>
        </w:drawing>
      </w:r>
      <w:r>
        <mc:AlternateContent>
          <mc:Choice Requires="wps">
            <w:drawing>
              <wp:anchor distT="0" distB="0" distL="0" distR="0" simplePos="0" relativeHeight="503316524" behindDoc="0" locked="0" layoutInCell="1" allowOverlap="1">
                <wp:simplePos x="0" y="0"/>
                <wp:positionH relativeFrom="page">
                  <wp:posOffset>742315</wp:posOffset>
                </wp:positionH>
                <wp:positionV relativeFrom="paragraph">
                  <wp:posOffset>504825</wp:posOffset>
                </wp:positionV>
                <wp:extent cx="557530" cy="597535"/>
                <wp:wrapNone/>
                <wp:docPr id="82" name="Shape 82"/>
                <a:graphic xmlns:a="http://schemas.openxmlformats.org/drawingml/2006/main">
                  <a:graphicData uri="http://schemas.microsoft.com/office/word/2010/wordprocessingShape">
                    <wps:wsp>
                      <wps:cNvSpPr txBox="1"/>
                      <wps:spPr>
                        <a:xfrm>
                          <a:ext cx="557530" cy="597535"/>
                        </a:xfrm>
                        <a:prstGeom prst="rect"/>
                        <a:noFill/>
                      </wps:spPr>
                      <wps:txbx>
                        <w:txbxContent>
                          <w:p>
                            <w:pPr>
                              <w:pStyle w:val="Style33"/>
                              <w:keepNext w:val="0"/>
                              <w:keepLines w:val="0"/>
                              <w:widowControl w:val="0"/>
                              <w:shd w:val="clear" w:color="auto" w:fill="auto"/>
                              <w:bidi w:val="0"/>
                              <w:spacing w:before="0" w:after="0" w:line="305" w:lineRule="exact"/>
                              <w:ind w:left="0" w:right="0" w:firstLine="0"/>
                              <w:jc w:val="both"/>
                            </w:pPr>
                            <w:r>
                              <w:rPr>
                                <w:color w:val="000000"/>
                                <w:spacing w:val="0"/>
                                <w:w w:val="100"/>
                                <w:position w:val="0"/>
                              </w:rPr>
                              <w:t>应急管理 综合应用 平台</w:t>
                            </w:r>
                          </w:p>
                        </w:txbxContent>
                      </wps:txbx>
                      <wps:bodyPr lIns="0" tIns="0" rIns="0" bIns="0">
                        <a:noAutoFit/>
                      </wps:bodyPr>
                    </wps:wsp>
                  </a:graphicData>
                </a:graphic>
              </wp:anchor>
            </w:drawing>
          </mc:Choice>
          <mc:Fallback>
            <w:pict>
              <v:shape id="_x0000_s1108" type="#_x0000_t202" style="position:absolute;margin-left:58.450000000000003pt;margin-top:39.75pt;width:43.899999999999999pt;height:47.050000000000004pt;z-index:251657771;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305" w:lineRule="exact"/>
                        <w:ind w:left="0" w:right="0" w:firstLine="0"/>
                        <w:jc w:val="both"/>
                      </w:pPr>
                      <w:r>
                        <w:rPr>
                          <w:color w:val="000000"/>
                          <w:spacing w:val="0"/>
                          <w:w w:val="100"/>
                          <w:position w:val="0"/>
                        </w:rPr>
                        <w:t>应急管理 综合应用 平台</w:t>
                      </w:r>
                    </w:p>
                  </w:txbxContent>
                </v:textbox>
                <w10:wrap anchorx="page"/>
              </v:shape>
            </w:pict>
          </mc:Fallback>
        </mc:AlternateContent>
      </w:r>
      <w:r>
        <mc:AlternateContent>
          <mc:Choice Requires="wps">
            <w:drawing>
              <wp:anchor distT="0" distB="0" distL="0" distR="0" simplePos="0" relativeHeight="125829389" behindDoc="0" locked="0" layoutInCell="1" allowOverlap="1">
                <wp:simplePos x="0" y="0"/>
                <wp:positionH relativeFrom="page">
                  <wp:posOffset>6091555</wp:posOffset>
                </wp:positionH>
                <wp:positionV relativeFrom="paragraph">
                  <wp:posOffset>406400</wp:posOffset>
                </wp:positionV>
                <wp:extent cx="749935" cy="810895"/>
                <wp:wrapSquare wrapText="left"/>
                <wp:docPr id="84" name="Shape 84"/>
                <a:graphic xmlns:a="http://schemas.openxmlformats.org/drawingml/2006/main">
                  <a:graphicData uri="http://schemas.microsoft.com/office/word/2010/wordprocessingShape">
                    <wps:wsp>
                      <wps:cNvSpPr txBox="1"/>
                      <wps:spPr>
                        <a:xfrm>
                          <a:ext cx="749935" cy="810895"/>
                        </a:xfrm>
                        <a:prstGeom prst="rect"/>
                        <a:noFill/>
                      </wps:spPr>
                      <wps:txbx>
                        <w:txbxContent>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省、市、县 区级政府应 急管理机 构。</w:t>
                            </w:r>
                          </w:p>
                        </w:txbxContent>
                      </wps:txbx>
                      <wps:bodyPr lIns="0" tIns="0" rIns="0" bIns="0">
                        <a:noAutoFit/>
                      </wps:bodyPr>
                    </wps:wsp>
                  </a:graphicData>
                </a:graphic>
              </wp:anchor>
            </w:drawing>
          </mc:Choice>
          <mc:Fallback>
            <w:pict>
              <v:shape id="_x0000_s1110" type="#_x0000_t202" style="position:absolute;margin-left:479.65000000000003pt;margin-top:32.pt;width:59.050000000000004pt;height:63.850000000000001pt;z-index:-125829364;mso-wrap-distance-left:0;mso-wrap-distance-right:0;mso-position-horizontal-relative:page" filled="f" stroked="f">
                <v:textbox inset="0,0,0,0">
                  <w:txbxContent>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省、市、县 区级政府应 急管理机 构。</w:t>
                      </w:r>
                    </w:p>
                  </w:txbxContent>
                </v:textbox>
                <w10:wrap type="square" side="left" anchorx="page"/>
              </v:shape>
            </w:pict>
          </mc:Fallback>
        </mc:AlternateContent>
      </w:r>
      <w:r>
        <w:rPr>
          <w:color w:val="000000"/>
          <w:spacing w:val="0"/>
          <w:w w:val="100"/>
          <w:position w:val="0"/>
        </w:rPr>
        <w:t>进技术应用到应急管理业务中，通过感知 数据的统一集中管理、海量信息的智能化 处理，构建一个面向服务的智慧应急管理 平台，实现安全生产要素实时监控、事故 隐患智能分析、智慧安全管理、应急协同 指挥、培训教育考核一体化的“物联网+ 大安全”的创新模式，为企业安全生产和 政府部门监督管理提供高效实时的智能应</w:t>
      </w:r>
    </w:p>
    <w:p>
      <w:pPr>
        <w:pStyle w:val="Style10"/>
        <w:keepNext w:val="0"/>
        <w:keepLines w:val="0"/>
        <w:widowControl w:val="0"/>
        <w:shd w:val="clear" w:color="auto" w:fill="auto"/>
        <w:bidi w:val="0"/>
        <w:spacing w:before="0" w:after="160" w:line="240" w:lineRule="auto"/>
        <w:ind w:left="4640" w:right="0" w:firstLine="0"/>
        <w:jc w:val="left"/>
      </w:pPr>
      <w:r>
        <w:rPr>
          <w:color w:val="000000"/>
          <w:spacing w:val="0"/>
          <w:w w:val="100"/>
          <w:position w:val="0"/>
        </w:rPr>
        <w:t>用与服务。</w:t>
      </w:r>
    </w:p>
    <w:p>
      <w:pPr>
        <w:pStyle w:val="Style10"/>
        <w:keepNext w:val="0"/>
        <w:keepLines w:val="0"/>
        <w:widowControl w:val="0"/>
        <w:shd w:val="clear" w:color="auto" w:fill="auto"/>
        <w:bidi w:val="0"/>
        <w:spacing w:before="0" w:after="0" w:line="240" w:lineRule="auto"/>
        <w:ind w:left="0" w:right="0" w:firstLine="440"/>
        <w:jc w:val="both"/>
      </w:pPr>
      <w:bookmarkStart w:id="91" w:name="bookmark91"/>
      <w:r>
        <w:rPr>
          <w:b/>
          <w:bCs/>
          <w:color w:val="000000"/>
          <w:spacing w:val="0"/>
          <w:w w:val="100"/>
          <w:position w:val="0"/>
        </w:rPr>
        <w:t>（</w:t>
      </w:r>
      <w:bookmarkEnd w:id="91"/>
      <w:r>
        <w:rPr>
          <w:b/>
          <w:bCs/>
          <w:color w:val="000000"/>
          <w:spacing w:val="0"/>
          <w:w w:val="100"/>
          <w:position w:val="0"/>
        </w:rPr>
        <w:t>2）智慧城市系统解决方案</w:t>
      </w:r>
    </w:p>
    <w:p>
      <w:pPr>
        <w:pStyle w:val="Style10"/>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公司智慧城市系统解决方案业务综合了多门类物联网技术，面向燃气、水务、热力、市政、园区、楼 宇等领域，提供集管网</w:t>
      </w:r>
      <w:r>
        <w:rPr>
          <w:color w:val="000000"/>
          <w:spacing w:val="0"/>
          <w:w w:val="100"/>
          <w:position w:val="0"/>
        </w:rPr>
        <w:t>GIS、</w:t>
      </w:r>
      <w:r>
        <w:rPr>
          <w:color w:val="000000"/>
          <w:spacing w:val="0"/>
          <w:w w:val="100"/>
          <w:position w:val="0"/>
        </w:rPr>
        <w:t>信息采集、运营管理为一体、垂直贯通的“感知+应用+云平台”物联网解决 方案。</w:t>
      </w:r>
    </w:p>
    <w:p>
      <w:pPr>
        <w:widowControl w:val="0"/>
        <w:spacing w:line="1" w:lineRule="exact"/>
      </w:pPr>
      <w:r>
        <mc:AlternateContent>
          <mc:Choice Requires="wps">
            <w:drawing>
              <wp:anchor distT="88900" distB="2776855" distL="0" distR="0" simplePos="0" relativeHeight="125829391" behindDoc="0" locked="0" layoutInCell="1" allowOverlap="1">
                <wp:simplePos x="0" y="0"/>
                <wp:positionH relativeFrom="page">
                  <wp:posOffset>733425</wp:posOffset>
                </wp:positionH>
                <wp:positionV relativeFrom="paragraph">
                  <wp:posOffset>88900</wp:posOffset>
                </wp:positionV>
                <wp:extent cx="560705" cy="170815"/>
                <wp:wrapTopAndBottom/>
                <wp:docPr id="86" name="Shape 86"/>
                <a:graphic xmlns:a="http://schemas.openxmlformats.org/drawingml/2006/main">
                  <a:graphicData uri="http://schemas.microsoft.com/office/word/2010/wordprocessingShape">
                    <wps:wsp>
                      <wps:cNvSpPr txBox="1"/>
                      <wps:spPr>
                        <a:xfrm>
                          <a:ext cx="560705"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产品名称</w:t>
                            </w:r>
                          </w:p>
                        </w:txbxContent>
                      </wps:txbx>
                      <wps:bodyPr wrap="none" lIns="0" tIns="0" rIns="0" bIns="0">
                        <a:noAutoFit/>
                      </wps:bodyPr>
                    </wps:wsp>
                  </a:graphicData>
                </a:graphic>
              </wp:anchor>
            </w:drawing>
          </mc:Choice>
          <mc:Fallback>
            <w:pict>
              <v:shape id="_x0000_s1112" type="#_x0000_t202" style="position:absolute;margin-left:57.75pt;margin-top:7.pt;width:44.149999999999999pt;height:13.450000000000001pt;z-index:-125829362;mso-wrap-distance-left:0;mso-wrap-distance-top:7.pt;mso-wrap-distance-right:0;mso-wrap-distance-bottom:218.65000000000001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产品名称</w:t>
                      </w:r>
                    </w:p>
                  </w:txbxContent>
                </v:textbox>
                <w10:wrap type="topAndBottom" anchorx="page"/>
              </v:shape>
            </w:pict>
          </mc:Fallback>
        </mc:AlternateContent>
      </w:r>
      <w:r>
        <mc:AlternateContent>
          <mc:Choice Requires="wps">
            <w:drawing>
              <wp:anchor distT="88900" distB="2776855" distL="0" distR="0" simplePos="0" relativeHeight="125829393" behindDoc="0" locked="0" layoutInCell="1" allowOverlap="1">
                <wp:simplePos x="0" y="0"/>
                <wp:positionH relativeFrom="page">
                  <wp:posOffset>2287905</wp:posOffset>
                </wp:positionH>
                <wp:positionV relativeFrom="paragraph">
                  <wp:posOffset>88900</wp:posOffset>
                </wp:positionV>
                <wp:extent cx="283210" cy="170815"/>
                <wp:wrapTopAndBottom/>
                <wp:docPr id="88" name="Shape 88"/>
                <a:graphic xmlns:a="http://schemas.openxmlformats.org/drawingml/2006/main">
                  <a:graphicData uri="http://schemas.microsoft.com/office/word/2010/wordprocessingShape">
                    <wps:wsp>
                      <wps:cNvSpPr txBox="1"/>
                      <wps:spPr>
                        <a:xfrm>
                          <a:ext cx="283210"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图示</w:t>
                            </w:r>
                          </w:p>
                        </w:txbxContent>
                      </wps:txbx>
                      <wps:bodyPr wrap="none" lIns="0" tIns="0" rIns="0" bIns="0">
                        <a:noAutoFit/>
                      </wps:bodyPr>
                    </wps:wsp>
                  </a:graphicData>
                </a:graphic>
              </wp:anchor>
            </w:drawing>
          </mc:Choice>
          <mc:Fallback>
            <w:pict>
              <v:shape id="_x0000_s1114" type="#_x0000_t202" style="position:absolute;margin-left:180.15000000000001pt;margin-top:7.pt;width:22.300000000000001pt;height:13.450000000000001pt;z-index:-125829360;mso-wrap-distance-left:0;mso-wrap-distance-top:7.pt;mso-wrap-distance-right:0;mso-wrap-distance-bottom:218.65000000000001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图示</w:t>
                      </w:r>
                    </w:p>
                  </w:txbxContent>
                </v:textbox>
                <w10:wrap type="topAndBottom" anchorx="page"/>
              </v:shape>
            </w:pict>
          </mc:Fallback>
        </mc:AlternateContent>
      </w:r>
      <w:r>
        <mc:AlternateContent>
          <mc:Choice Requires="wps">
            <w:drawing>
              <wp:anchor distT="88900" distB="2776855" distL="0" distR="0" simplePos="0" relativeHeight="125829395" behindDoc="0" locked="0" layoutInCell="1" allowOverlap="1">
                <wp:simplePos x="0" y="0"/>
                <wp:positionH relativeFrom="page">
                  <wp:posOffset>4601210</wp:posOffset>
                </wp:positionH>
                <wp:positionV relativeFrom="paragraph">
                  <wp:posOffset>88900</wp:posOffset>
                </wp:positionV>
                <wp:extent cx="295910" cy="170815"/>
                <wp:wrapTopAndBottom/>
                <wp:docPr id="90" name="Shape 90"/>
                <a:graphic xmlns:a="http://schemas.openxmlformats.org/drawingml/2006/main">
                  <a:graphicData uri="http://schemas.microsoft.com/office/word/2010/wordprocessingShape">
                    <wps:wsp>
                      <wps:cNvSpPr txBox="1"/>
                      <wps:spPr>
                        <a:xfrm>
                          <a:ext cx="295910"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功能</w:t>
                            </w:r>
                          </w:p>
                        </w:txbxContent>
                      </wps:txbx>
                      <wps:bodyPr wrap="none" lIns="0" tIns="0" rIns="0" bIns="0">
                        <a:noAutoFit/>
                      </wps:bodyPr>
                    </wps:wsp>
                  </a:graphicData>
                </a:graphic>
              </wp:anchor>
            </w:drawing>
          </mc:Choice>
          <mc:Fallback>
            <w:pict>
              <v:shape id="_x0000_s1116" type="#_x0000_t202" style="position:absolute;margin-left:362.30000000000001pt;margin-top:7.pt;width:23.300000000000001pt;height:13.450000000000001pt;z-index:-125829358;mso-wrap-distance-left:0;mso-wrap-distance-top:7.pt;mso-wrap-distance-right:0;mso-wrap-distance-bottom:218.65000000000001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功能</w:t>
                      </w:r>
                    </w:p>
                  </w:txbxContent>
                </v:textbox>
                <w10:wrap type="topAndBottom" anchorx="page"/>
              </v:shape>
            </w:pict>
          </mc:Fallback>
        </mc:AlternateContent>
      </w:r>
      <w:r>
        <mc:AlternateContent>
          <mc:Choice Requires="wps">
            <w:drawing>
              <wp:anchor distT="88900" distB="2776855" distL="0" distR="0" simplePos="0" relativeHeight="125829397" behindDoc="0" locked="0" layoutInCell="1" allowOverlap="1">
                <wp:simplePos x="0" y="0"/>
                <wp:positionH relativeFrom="page">
                  <wp:posOffset>6131560</wp:posOffset>
                </wp:positionH>
                <wp:positionV relativeFrom="paragraph">
                  <wp:posOffset>88900</wp:posOffset>
                </wp:positionV>
                <wp:extent cx="563880" cy="170815"/>
                <wp:wrapTopAndBottom/>
                <wp:docPr id="92" name="Shape 92"/>
                <a:graphic xmlns:a="http://schemas.openxmlformats.org/drawingml/2006/main">
                  <a:graphicData uri="http://schemas.microsoft.com/office/word/2010/wordprocessingShape">
                    <wps:wsp>
                      <wps:cNvSpPr txBox="1"/>
                      <wps:spPr>
                        <a:xfrm>
                          <a:ext cx="563880"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应用场景</w:t>
                            </w:r>
                          </w:p>
                        </w:txbxContent>
                      </wps:txbx>
                      <wps:bodyPr wrap="none" lIns="0" tIns="0" rIns="0" bIns="0">
                        <a:noAutoFit/>
                      </wps:bodyPr>
                    </wps:wsp>
                  </a:graphicData>
                </a:graphic>
              </wp:anchor>
            </w:drawing>
          </mc:Choice>
          <mc:Fallback>
            <w:pict>
              <v:shape id="_x0000_s1118" type="#_x0000_t202" style="position:absolute;margin-left:482.80000000000001pt;margin-top:7.pt;width:44.399999999999999pt;height:13.450000000000001pt;z-index:-125829356;mso-wrap-distance-left:0;mso-wrap-distance-top:7.pt;mso-wrap-distance-right:0;mso-wrap-distance-bottom:218.65000000000001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应用场景</w:t>
                      </w:r>
                    </w:p>
                  </w:txbxContent>
                </v:textbox>
                <w10:wrap type="topAndBottom" anchorx="page"/>
              </v:shape>
            </w:pict>
          </mc:Fallback>
        </mc:AlternateContent>
      </w:r>
      <w:r>
        <mc:AlternateContent>
          <mc:Choice Requires="wps">
            <w:drawing>
              <wp:anchor distT="668020" distB="1762125" distL="0" distR="0" simplePos="0" relativeHeight="125829399" behindDoc="0" locked="0" layoutInCell="1" allowOverlap="1">
                <wp:simplePos x="0" y="0"/>
                <wp:positionH relativeFrom="page">
                  <wp:posOffset>745490</wp:posOffset>
                </wp:positionH>
                <wp:positionV relativeFrom="paragraph">
                  <wp:posOffset>668020</wp:posOffset>
                </wp:positionV>
                <wp:extent cx="551815" cy="606425"/>
                <wp:wrapTopAndBottom/>
                <wp:docPr id="94" name="Shape 94"/>
                <a:graphic xmlns:a="http://schemas.openxmlformats.org/drawingml/2006/main">
                  <a:graphicData uri="http://schemas.microsoft.com/office/word/2010/wordprocessingShape">
                    <wps:wsp>
                      <wps:cNvSpPr txBox="1"/>
                      <wps:spPr>
                        <a:xfrm>
                          <a:ext cx="551815" cy="606425"/>
                        </a:xfrm>
                        <a:prstGeom prst="rect"/>
                        <a:noFill/>
                      </wps:spPr>
                      <wps:txbx>
                        <w:txbxContent>
                          <w:p>
                            <w:pPr>
                              <w:pStyle w:val="Style10"/>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智慧燃气 管控一体 化平台</w:t>
                            </w:r>
                          </w:p>
                        </w:txbxContent>
                      </wps:txbx>
                      <wps:bodyPr lIns="0" tIns="0" rIns="0" bIns="0">
                        <a:noAutoFit/>
                      </wps:bodyPr>
                    </wps:wsp>
                  </a:graphicData>
                </a:graphic>
              </wp:anchor>
            </w:drawing>
          </mc:Choice>
          <mc:Fallback>
            <w:pict>
              <v:shape id="_x0000_s1120" type="#_x0000_t202" style="position:absolute;margin-left:58.700000000000003pt;margin-top:52.600000000000001pt;width:43.450000000000003pt;height:47.75pt;z-index:-125829354;mso-wrap-distance-left:0;mso-wrap-distance-top:52.600000000000001pt;mso-wrap-distance-right:0;mso-wrap-distance-bottom:138.75pt;mso-position-horizontal-relative:page" filled="f" stroked="f">
                <v:textbox inset="0,0,0,0">
                  <w:txbxContent>
                    <w:p>
                      <w:pPr>
                        <w:pStyle w:val="Style10"/>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智慧燃气 管控一体 化平台</w:t>
                      </w:r>
                    </w:p>
                  </w:txbxContent>
                </v:textbox>
                <w10:wrap type="topAndBottom" anchorx="page"/>
              </v:shape>
            </w:pict>
          </mc:Fallback>
        </mc:AlternateContent>
      </w:r>
      <w:r>
        <w:drawing>
          <wp:anchor distT="415290" distB="1515110" distL="0" distR="0" simplePos="0" relativeHeight="125829401" behindDoc="0" locked="0" layoutInCell="1" allowOverlap="1">
            <wp:simplePos x="0" y="0"/>
            <wp:positionH relativeFrom="page">
              <wp:posOffset>1598930</wp:posOffset>
            </wp:positionH>
            <wp:positionV relativeFrom="paragraph">
              <wp:posOffset>415290</wp:posOffset>
            </wp:positionV>
            <wp:extent cx="1657985" cy="1109345"/>
            <wp:wrapTopAndBottom/>
            <wp:docPr id="96" name="Shape 96"/>
            <a:graphic xmlns:a="http://schemas.openxmlformats.org/drawingml/2006/main">
              <a:graphicData uri="http://schemas.openxmlformats.org/drawingml/2006/picture">
                <pic:pic xmlns:pic="http://schemas.openxmlformats.org/drawingml/2006/picture">
                  <pic:nvPicPr>
                    <pic:cNvPr id="97" name="Picture box 97"/>
                    <pic:cNvPicPr/>
                  </pic:nvPicPr>
                  <pic:blipFill>
                    <a:blip r:embed="rId43"/>
                    <a:stretch/>
                  </pic:blipFill>
                  <pic:spPr>
                    <a:xfrm>
                      <a:ext cx="1657985" cy="1109345"/>
                    </a:xfrm>
                    <a:prstGeom prst="rect"/>
                  </pic:spPr>
                </pic:pic>
              </a:graphicData>
            </a:graphic>
          </wp:anchor>
        </w:drawing>
      </w:r>
      <w:r>
        <mc:AlternateContent>
          <mc:Choice Requires="wps">
            <w:drawing>
              <wp:anchor distT="262890" distB="1371600" distL="0" distR="0" simplePos="0" relativeHeight="125829402" behindDoc="0" locked="0" layoutInCell="1" allowOverlap="1">
                <wp:simplePos x="0" y="0"/>
                <wp:positionH relativeFrom="page">
                  <wp:posOffset>3549650</wp:posOffset>
                </wp:positionH>
                <wp:positionV relativeFrom="paragraph">
                  <wp:posOffset>262890</wp:posOffset>
                </wp:positionV>
                <wp:extent cx="2399030" cy="1402080"/>
                <wp:wrapTopAndBottom/>
                <wp:docPr id="98" name="Shape 98"/>
                <a:graphic xmlns:a="http://schemas.openxmlformats.org/drawingml/2006/main">
                  <a:graphicData uri="http://schemas.microsoft.com/office/word/2010/wordprocessingShape">
                    <wps:wsp>
                      <wps:cNvSpPr txBox="1"/>
                      <wps:spPr>
                        <a:xfrm>
                          <a:ext cx="2399030" cy="1402080"/>
                        </a:xfrm>
                        <a:prstGeom prst="rect"/>
                        <a:noFill/>
                      </wps:spPr>
                      <wps:txbx>
                        <w:txbxContent>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以管网运行数据为基础，整合自动化技 术、物联网技术，地理信息技术，云平台 技术实现城市燃气输配管网全方位的数 据汇集管理，对异常及突发事件做出可视 化的处理结果辅助决策建议，以更加精细 和动态的方式管理公司的整个生产、管理 和服务流程。</w:t>
                            </w:r>
                          </w:p>
                        </w:txbxContent>
                      </wps:txbx>
                      <wps:bodyPr lIns="0" tIns="0" rIns="0" bIns="0">
                        <a:noAutoFit/>
                      </wps:bodyPr>
                    </wps:wsp>
                  </a:graphicData>
                </a:graphic>
              </wp:anchor>
            </w:drawing>
          </mc:Choice>
          <mc:Fallback>
            <w:pict>
              <v:shape id="_x0000_s1124" type="#_x0000_t202" style="position:absolute;margin-left:279.5pt;margin-top:20.699999999999999pt;width:188.90000000000001pt;height:110.40000000000001pt;z-index:-125829351;mso-wrap-distance-left:0;mso-wrap-distance-top:20.699999999999999pt;mso-wrap-distance-right:0;mso-wrap-distance-bottom:108.pt;mso-position-horizontal-relative:page" filled="f" stroked="f">
                <v:textbox inset="0,0,0,0">
                  <w:txbxContent>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以管网运行数据为基础，整合自动化技 术、物联网技术，地理信息技术，云平台 技术实现城市燃气输配管网全方位的数 据汇集管理，对异常及突发事件做出可视 化的处理结果辅助决策建议，以更加精细 和动态的方式管理公司的整个生产、管理 和服务流程。</w:t>
                      </w:r>
                    </w:p>
                  </w:txbxContent>
                </v:textbox>
                <w10:wrap type="topAndBottom" anchorx="page"/>
              </v:shape>
            </w:pict>
          </mc:Fallback>
        </mc:AlternateContent>
      </w:r>
      <w:r>
        <mc:AlternateContent>
          <mc:Choice Requires="wps">
            <w:drawing>
              <wp:anchor distT="463550" distB="1570355" distL="0" distR="0" simplePos="0" relativeHeight="125829404" behindDoc="0" locked="0" layoutInCell="1" allowOverlap="1">
                <wp:simplePos x="0" y="0"/>
                <wp:positionH relativeFrom="page">
                  <wp:posOffset>5936615</wp:posOffset>
                </wp:positionH>
                <wp:positionV relativeFrom="paragraph">
                  <wp:posOffset>463550</wp:posOffset>
                </wp:positionV>
                <wp:extent cx="948055" cy="1002665"/>
                <wp:wrapTopAndBottom/>
                <wp:docPr id="100" name="Shape 100"/>
                <a:graphic xmlns:a="http://schemas.openxmlformats.org/drawingml/2006/main">
                  <a:graphicData uri="http://schemas.microsoft.com/office/word/2010/wordprocessingShape">
                    <wps:wsp>
                      <wps:cNvSpPr txBox="1"/>
                      <wps:spPr>
                        <a:xfrm>
                          <a:ext cx="948055" cy="1002665"/>
                        </a:xfrm>
                        <a:prstGeom prst="rect"/>
                        <a:noFill/>
                      </wps:spPr>
                      <wps:txbx>
                        <w:txbxContent>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适用于燃气集 团，城市燃气输 配运行企业，行 业管理人员、生 产调度人员。</w:t>
                            </w:r>
                          </w:p>
                        </w:txbxContent>
                      </wps:txbx>
                      <wps:bodyPr lIns="0" tIns="0" rIns="0" bIns="0">
                        <a:noAutoFit/>
                      </wps:bodyPr>
                    </wps:wsp>
                  </a:graphicData>
                </a:graphic>
              </wp:anchor>
            </w:drawing>
          </mc:Choice>
          <mc:Fallback>
            <w:pict>
              <v:shape id="_x0000_s1126" type="#_x0000_t202" style="position:absolute;margin-left:467.44999999999999pt;margin-top:36.5pt;width:74.650000000000006pt;height:78.950000000000003pt;z-index:-125829349;mso-wrap-distance-left:0;mso-wrap-distance-top:36.5pt;mso-wrap-distance-right:0;mso-wrap-distance-bottom:123.65000000000001pt;mso-position-horizontal-relative:page" filled="f" stroked="f">
                <v:textbox inset="0,0,0,0">
                  <w:txbxContent>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适用于燃气集 团，城市燃气输 配运行企业，行 业管理人员、生 产调度人员。</w:t>
                      </w:r>
                    </w:p>
                  </w:txbxContent>
                </v:textbox>
                <w10:wrap type="topAndBottom" anchorx="page"/>
              </v:shape>
            </w:pict>
          </mc:Fallback>
        </mc:AlternateContent>
      </w:r>
      <w:r>
        <w:drawing>
          <wp:anchor distT="1750060" distB="0" distL="615950" distR="0" simplePos="0" relativeHeight="125829406" behindDoc="0" locked="0" layoutInCell="1" allowOverlap="1">
            <wp:simplePos x="0" y="0"/>
            <wp:positionH relativeFrom="page">
              <wp:posOffset>1361440</wp:posOffset>
            </wp:positionH>
            <wp:positionV relativeFrom="paragraph">
              <wp:posOffset>1750060</wp:posOffset>
            </wp:positionV>
            <wp:extent cx="2121535" cy="1286510"/>
            <wp:wrapTopAndBottom/>
            <wp:docPr id="102" name="Shape 102"/>
            <a:graphic xmlns:a="http://schemas.openxmlformats.org/drawingml/2006/main">
              <a:graphicData uri="http://schemas.openxmlformats.org/drawingml/2006/picture">
                <pic:pic xmlns:pic="http://schemas.openxmlformats.org/drawingml/2006/picture">
                  <pic:nvPicPr>
                    <pic:cNvPr id="103" name="Picture box 103"/>
                    <pic:cNvPicPr/>
                  </pic:nvPicPr>
                  <pic:blipFill>
                    <a:blip r:embed="rId45"/>
                    <a:stretch/>
                  </pic:blipFill>
                  <pic:spPr>
                    <a:xfrm>
                      <a:ext cx="2121535" cy="1286510"/>
                    </a:xfrm>
                    <a:prstGeom prst="rect"/>
                  </pic:spPr>
                </pic:pic>
              </a:graphicData>
            </a:graphic>
          </wp:anchor>
        </w:drawing>
      </w:r>
      <w:r>
        <mc:AlternateContent>
          <mc:Choice Requires="wps">
            <w:drawing>
              <wp:anchor distT="0" distB="0" distL="0" distR="0" simplePos="0" relativeHeight="503316526" behindDoc="0" locked="0" layoutInCell="1" allowOverlap="1">
                <wp:simplePos x="0" y="0"/>
                <wp:positionH relativeFrom="page">
                  <wp:posOffset>745490</wp:posOffset>
                </wp:positionH>
                <wp:positionV relativeFrom="paragraph">
                  <wp:posOffset>2076450</wp:posOffset>
                </wp:positionV>
                <wp:extent cx="551815" cy="606425"/>
                <wp:wrapNone/>
                <wp:docPr id="104" name="Shape 104"/>
                <a:graphic xmlns:a="http://schemas.openxmlformats.org/drawingml/2006/main">
                  <a:graphicData uri="http://schemas.microsoft.com/office/word/2010/wordprocessingShape">
                    <wps:wsp>
                      <wps:cNvSpPr txBox="1"/>
                      <wps:spPr>
                        <a:xfrm>
                          <a:ext cx="551815" cy="606425"/>
                        </a:xfrm>
                        <a:prstGeom prst="rect"/>
                        <a:noFill/>
                      </wps:spPr>
                      <wps:txbx>
                        <w:txbxContent>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政府燃气 安全管理 系统</w:t>
                            </w:r>
                          </w:p>
                        </w:txbxContent>
                      </wps:txbx>
                      <wps:bodyPr lIns="0" tIns="0" rIns="0" bIns="0">
                        <a:noAutoFit/>
                      </wps:bodyPr>
                    </wps:wsp>
                  </a:graphicData>
                </a:graphic>
              </wp:anchor>
            </w:drawing>
          </mc:Choice>
          <mc:Fallback>
            <w:pict>
              <v:shape id="_x0000_s1130" type="#_x0000_t202" style="position:absolute;margin-left:58.700000000000003pt;margin-top:163.5pt;width:43.450000000000003pt;height:47.75pt;z-index:251657773;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政府燃气 安全管理 系统</w:t>
                      </w:r>
                    </w:p>
                  </w:txbxContent>
                </v:textbox>
                <w10:wrap anchorx="page"/>
              </v:shape>
            </w:pict>
          </mc:Fallback>
        </mc:AlternateContent>
      </w:r>
      <w:r>
        <mc:AlternateContent>
          <mc:Choice Requires="wps">
            <w:drawing>
              <wp:anchor distT="1871980" distB="158750" distL="0" distR="0" simplePos="0" relativeHeight="125829407" behindDoc="0" locked="0" layoutInCell="1" allowOverlap="1">
                <wp:simplePos x="0" y="0"/>
                <wp:positionH relativeFrom="page">
                  <wp:posOffset>3549650</wp:posOffset>
                </wp:positionH>
                <wp:positionV relativeFrom="paragraph">
                  <wp:posOffset>1871980</wp:posOffset>
                </wp:positionV>
                <wp:extent cx="2399030" cy="1005840"/>
                <wp:wrapTopAndBottom/>
                <wp:docPr id="106" name="Shape 106"/>
                <a:graphic xmlns:a="http://schemas.openxmlformats.org/drawingml/2006/main">
                  <a:graphicData uri="http://schemas.microsoft.com/office/word/2010/wordprocessingShape">
                    <wps:wsp>
                      <wps:cNvSpPr txBox="1"/>
                      <wps:spPr>
                        <a:xfrm>
                          <a:ext cx="2399030" cy="1005840"/>
                        </a:xfrm>
                        <a:prstGeom prst="rect"/>
                        <a:noFill/>
                      </wps:spPr>
                      <wps:txbx>
                        <w:txbxContent>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行业各类监管数据信息化将燃气安全监 管由传统的线下监管转化为线上监管，实 现了燃气安全监管的实时化、可视化、预 警化和大数据，有效提升监管力度，规范 化燃气行业运营。</w:t>
                            </w:r>
                          </w:p>
                        </w:txbxContent>
                      </wps:txbx>
                      <wps:bodyPr lIns="0" tIns="0" rIns="0" bIns="0">
                        <a:noAutoFit/>
                      </wps:bodyPr>
                    </wps:wsp>
                  </a:graphicData>
                </a:graphic>
              </wp:anchor>
            </w:drawing>
          </mc:Choice>
          <mc:Fallback>
            <w:pict>
              <v:shape id="_x0000_s1132" type="#_x0000_t202" style="position:absolute;margin-left:279.5pt;margin-top:147.40000000000001pt;width:188.90000000000001pt;height:79.200000000000003pt;z-index:-125829346;mso-wrap-distance-left:0;mso-wrap-distance-top:147.40000000000001pt;mso-wrap-distance-right:0;mso-wrap-distance-bottom:12.5pt;mso-position-horizontal-relative:page" filled="f" stroked="f">
                <v:textbox inset="0,0,0,0">
                  <w:txbxContent>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行业各类监管数据信息化将燃气安全监 管由传统的线下监管转化为线上监管，实 现了燃气安全监管的实时化、可视化、预 警化和大数据，有效提升监管力度，规范 化燃气行业运营。</w:t>
                      </w:r>
                    </w:p>
                  </w:txbxContent>
                </v:textbox>
                <w10:wrap type="topAndBottom" anchorx="page"/>
              </v:shape>
            </w:pict>
          </mc:Fallback>
        </mc:AlternateContent>
      </w:r>
      <w:r>
        <mc:AlternateContent>
          <mc:Choice Requires="wps">
            <w:drawing>
              <wp:anchor distT="1878330" distB="158750" distL="0" distR="0" simplePos="0" relativeHeight="125829409" behindDoc="0" locked="0" layoutInCell="1" allowOverlap="1">
                <wp:simplePos x="0" y="0"/>
                <wp:positionH relativeFrom="page">
                  <wp:posOffset>5936615</wp:posOffset>
                </wp:positionH>
                <wp:positionV relativeFrom="paragraph">
                  <wp:posOffset>1878330</wp:posOffset>
                </wp:positionV>
                <wp:extent cx="960120" cy="999490"/>
                <wp:wrapTopAndBottom/>
                <wp:docPr id="108" name="Shape 108"/>
                <a:graphic xmlns:a="http://schemas.openxmlformats.org/drawingml/2006/main">
                  <a:graphicData uri="http://schemas.microsoft.com/office/word/2010/wordprocessingShape">
                    <wps:wsp>
                      <wps:cNvSpPr txBox="1"/>
                      <wps:spPr>
                        <a:xfrm>
                          <a:ext cx="960120" cy="999490"/>
                        </a:xfrm>
                        <a:prstGeom prst="rect"/>
                        <a:noFill/>
                      </wps:spPr>
                      <wps:txbx>
                        <w:txbxContent>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适用于政府燃 气行业主管单 位，智慧城市、 智慧市政建设 单位。</w:t>
                            </w:r>
                          </w:p>
                        </w:txbxContent>
                      </wps:txbx>
                      <wps:bodyPr lIns="0" tIns="0" rIns="0" bIns="0">
                        <a:noAutoFit/>
                      </wps:bodyPr>
                    </wps:wsp>
                  </a:graphicData>
                </a:graphic>
              </wp:anchor>
            </w:drawing>
          </mc:Choice>
          <mc:Fallback>
            <w:pict>
              <v:shape id="_x0000_s1134" type="#_x0000_t202" style="position:absolute;margin-left:467.44999999999999pt;margin-top:147.90000000000001pt;width:75.600000000000009pt;height:78.700000000000003pt;z-index:-125829344;mso-wrap-distance-left:0;mso-wrap-distance-top:147.90000000000001pt;mso-wrap-distance-right:0;mso-wrap-distance-bottom:12.5pt;mso-position-horizontal-relative:page" filled="f" stroked="f">
                <v:textbox inset="0,0,0,0">
                  <w:txbxContent>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适用于政府燃 气行业主管单 位，智慧城市、 智慧市政建设 单位。</w:t>
                      </w:r>
                    </w:p>
                  </w:txbxContent>
                </v:textbox>
                <w10:wrap type="topAndBottom" anchorx="page"/>
              </v:shape>
            </w:pict>
          </mc:Fallback>
        </mc:AlternateContent>
      </w:r>
      <w:r>
        <w:br w:type="page"/>
      </w:r>
    </w:p>
    <w:p>
      <w:pPr>
        <w:pStyle w:val="Style10"/>
        <w:keepNext w:val="0"/>
        <w:keepLines w:val="0"/>
        <w:widowControl w:val="0"/>
        <w:shd w:val="clear" w:color="auto" w:fill="auto"/>
        <w:bidi w:val="0"/>
        <w:spacing w:before="0" w:after="160" w:line="314" w:lineRule="exact"/>
        <w:ind w:left="0" w:right="0" w:firstLine="0"/>
        <w:jc w:val="both"/>
      </w:pPr>
      <w:r>
        <w:drawing>
          <wp:anchor distT="12700" distB="5273675" distL="625475" distR="37465" simplePos="0" relativeHeight="125829411" behindDoc="0" locked="0" layoutInCell="1" allowOverlap="1">
            <wp:simplePos x="0" y="0"/>
            <wp:positionH relativeFrom="page">
              <wp:posOffset>1310640</wp:posOffset>
            </wp:positionH>
            <wp:positionV relativeFrom="margin">
              <wp:posOffset>186055</wp:posOffset>
            </wp:positionV>
            <wp:extent cx="2157730" cy="1414145"/>
            <wp:wrapSquare wrapText="right"/>
            <wp:docPr id="110" name="Shape 110"/>
            <a:graphic xmlns:a="http://schemas.openxmlformats.org/drawingml/2006/main">
              <a:graphicData uri="http://schemas.openxmlformats.org/drawingml/2006/picture">
                <pic:pic xmlns:pic="http://schemas.openxmlformats.org/drawingml/2006/picture">
                  <pic:nvPicPr>
                    <pic:cNvPr id="111" name="Picture box 111"/>
                    <pic:cNvPicPr/>
                  </pic:nvPicPr>
                  <pic:blipFill>
                    <a:blip r:embed="rId47"/>
                    <a:stretch/>
                  </pic:blipFill>
                  <pic:spPr>
                    <a:xfrm>
                      <a:ext cx="2157730" cy="1414145"/>
                    </a:xfrm>
                    <a:prstGeom prst="rect"/>
                  </pic:spPr>
                </pic:pic>
              </a:graphicData>
            </a:graphic>
          </wp:anchor>
        </w:drawing>
      </w:r>
      <w:r>
        <mc:AlternateContent>
          <mc:Choice Requires="wps">
            <w:drawing>
              <wp:anchor distT="0" distB="0" distL="0" distR="0" simplePos="0" relativeHeight="503316528" behindDoc="0" locked="0" layoutInCell="1" allowOverlap="1">
                <wp:simplePos x="0" y="0"/>
                <wp:positionH relativeFrom="page">
                  <wp:posOffset>697865</wp:posOffset>
                </wp:positionH>
                <wp:positionV relativeFrom="margin">
                  <wp:posOffset>575945</wp:posOffset>
                </wp:positionV>
                <wp:extent cx="567055" cy="606425"/>
                <wp:wrapNone/>
                <wp:docPr id="112" name="Shape 112"/>
                <a:graphic xmlns:a="http://schemas.openxmlformats.org/drawingml/2006/main">
                  <a:graphicData uri="http://schemas.microsoft.com/office/word/2010/wordprocessingShape">
                    <wps:wsp>
                      <wps:cNvSpPr txBox="1"/>
                      <wps:spPr>
                        <a:xfrm>
                          <a:ext cx="567055" cy="606425"/>
                        </a:xfrm>
                        <a:prstGeom prst="rect"/>
                        <a:noFill/>
                      </wps:spPr>
                      <wps:txbx>
                        <w:txbxContent>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智慧水务 管控一体 化平台</w:t>
                            </w:r>
                          </w:p>
                        </w:txbxContent>
                      </wps:txbx>
                      <wps:bodyPr lIns="0" tIns="0" rIns="0" bIns="0">
                        <a:noAutoFit/>
                      </wps:bodyPr>
                    </wps:wsp>
                  </a:graphicData>
                </a:graphic>
              </wp:anchor>
            </w:drawing>
          </mc:Choice>
          <mc:Fallback>
            <w:pict>
              <v:shape id="_x0000_s1138" type="#_x0000_t202" style="position:absolute;margin-left:54.950000000000003pt;margin-top:45.350000000000001pt;width:44.649999999999999pt;height:47.75pt;z-index:251657775;mso-wrap-distance-left:0;mso-wrap-distance-right:0;mso-position-horizontal-relative:page;mso-position-vertical-relative:margin" filled="f" stroked="f">
                <v:textbox inset="0,0,0,0">
                  <w:txbxContent>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智慧水务 管控一体 化平台</w:t>
                      </w:r>
                    </w:p>
                  </w:txbxContent>
                </v:textbox>
                <w10:wrap anchorx="page" anchory="margin"/>
              </v:shape>
            </w:pict>
          </mc:Fallback>
        </mc:AlternateContent>
      </w:r>
      <w:r>
        <w:drawing>
          <wp:anchor distT="1624965" distB="3670300" distL="603885" distR="15875" simplePos="0" relativeHeight="125829412" behindDoc="0" locked="0" layoutInCell="1" allowOverlap="1">
            <wp:simplePos x="0" y="0"/>
            <wp:positionH relativeFrom="page">
              <wp:posOffset>1289050</wp:posOffset>
            </wp:positionH>
            <wp:positionV relativeFrom="margin">
              <wp:posOffset>1798320</wp:posOffset>
            </wp:positionV>
            <wp:extent cx="2200910" cy="1408430"/>
            <wp:wrapSquare wrapText="right"/>
            <wp:docPr id="114" name="Shape 114"/>
            <a:graphic xmlns:a="http://schemas.openxmlformats.org/drawingml/2006/main">
              <a:graphicData uri="http://schemas.openxmlformats.org/drawingml/2006/picture">
                <pic:pic xmlns:pic="http://schemas.openxmlformats.org/drawingml/2006/picture">
                  <pic:nvPicPr>
                    <pic:cNvPr id="115" name="Picture box 115"/>
                    <pic:cNvPicPr/>
                  </pic:nvPicPr>
                  <pic:blipFill>
                    <a:blip r:embed="rId49"/>
                    <a:stretch/>
                  </pic:blipFill>
                  <pic:spPr>
                    <a:xfrm>
                      <a:ext cx="2200910" cy="1408430"/>
                    </a:xfrm>
                    <a:prstGeom prst="rect"/>
                  </pic:spPr>
                </pic:pic>
              </a:graphicData>
            </a:graphic>
          </wp:anchor>
        </w:drawing>
      </w:r>
      <w:r>
        <mc:AlternateContent>
          <mc:Choice Requires="wps">
            <w:drawing>
              <wp:anchor distT="0" distB="0" distL="0" distR="0" simplePos="0" relativeHeight="503316530" behindDoc="0" locked="0" layoutInCell="1" allowOverlap="1">
                <wp:simplePos x="0" y="0"/>
                <wp:positionH relativeFrom="page">
                  <wp:posOffset>697865</wp:posOffset>
                </wp:positionH>
                <wp:positionV relativeFrom="margin">
                  <wp:posOffset>2179320</wp:posOffset>
                </wp:positionV>
                <wp:extent cx="567055" cy="612775"/>
                <wp:wrapNone/>
                <wp:docPr id="116" name="Shape 116"/>
                <a:graphic xmlns:a="http://schemas.openxmlformats.org/drawingml/2006/main">
                  <a:graphicData uri="http://schemas.microsoft.com/office/word/2010/wordprocessingShape">
                    <wps:wsp>
                      <wps:cNvSpPr txBox="1"/>
                      <wps:spPr>
                        <a:xfrm>
                          <a:ext cx="567055" cy="612775"/>
                        </a:xfrm>
                        <a:prstGeom prst="rect"/>
                        <a:noFill/>
                      </wps:spPr>
                      <wps:txbx>
                        <w:txbxContent>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智慧供热 管控一体 化平台</w:t>
                            </w:r>
                          </w:p>
                        </w:txbxContent>
                      </wps:txbx>
                      <wps:bodyPr lIns="0" tIns="0" rIns="0" bIns="0">
                        <a:noAutoFit/>
                      </wps:bodyPr>
                    </wps:wsp>
                  </a:graphicData>
                </a:graphic>
              </wp:anchor>
            </w:drawing>
          </mc:Choice>
          <mc:Fallback>
            <w:pict>
              <v:shape id="_x0000_s1142" type="#_x0000_t202" style="position:absolute;margin-left:54.950000000000003pt;margin-top:171.59999999999999pt;width:44.649999999999999pt;height:48.25pt;z-index:251657777;mso-wrap-distance-left:0;mso-wrap-distance-right:0;mso-position-horizontal-relative:page;mso-position-vertical-relative:margin" filled="f" stroked="f">
                <v:textbox inset="0,0,0,0">
                  <w:txbxContent>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智慧供热 管控一体 化平台</w:t>
                      </w:r>
                    </w:p>
                  </w:txbxContent>
                </v:textbox>
                <w10:wrap anchorx="page" anchory="margin"/>
              </v:shape>
            </w:pict>
          </mc:Fallback>
        </mc:AlternateContent>
      </w:r>
      <w:r>
        <w:drawing>
          <wp:anchor distT="3435350" distB="1869440" distL="615950" distR="27940" simplePos="0" relativeHeight="125829413" behindDoc="0" locked="0" layoutInCell="1" allowOverlap="1">
            <wp:simplePos x="0" y="0"/>
            <wp:positionH relativeFrom="page">
              <wp:posOffset>1301115</wp:posOffset>
            </wp:positionH>
            <wp:positionV relativeFrom="margin">
              <wp:posOffset>3608705</wp:posOffset>
            </wp:positionV>
            <wp:extent cx="2176145" cy="1395730"/>
            <wp:wrapSquare wrapText="right"/>
            <wp:docPr id="118" name="Shape 118"/>
            <a:graphic xmlns:a="http://schemas.openxmlformats.org/drawingml/2006/main">
              <a:graphicData uri="http://schemas.openxmlformats.org/drawingml/2006/picture">
                <pic:pic xmlns:pic="http://schemas.openxmlformats.org/drawingml/2006/picture">
                  <pic:nvPicPr>
                    <pic:cNvPr id="119" name="Picture box 119"/>
                    <pic:cNvPicPr/>
                  </pic:nvPicPr>
                  <pic:blipFill>
                    <a:blip r:embed="rId51"/>
                    <a:stretch/>
                  </pic:blipFill>
                  <pic:spPr>
                    <a:xfrm>
                      <a:ext cx="2176145" cy="1395730"/>
                    </a:xfrm>
                    <a:prstGeom prst="rect"/>
                  </pic:spPr>
                </pic:pic>
              </a:graphicData>
            </a:graphic>
          </wp:anchor>
        </w:drawing>
      </w:r>
      <w:r>
        <mc:AlternateContent>
          <mc:Choice Requires="wps">
            <w:drawing>
              <wp:anchor distT="0" distB="0" distL="0" distR="0" simplePos="0" relativeHeight="503316532" behindDoc="0" locked="0" layoutInCell="1" allowOverlap="1">
                <wp:simplePos x="0" y="0"/>
                <wp:positionH relativeFrom="page">
                  <wp:posOffset>697865</wp:posOffset>
                </wp:positionH>
                <wp:positionV relativeFrom="margin">
                  <wp:posOffset>3998595</wp:posOffset>
                </wp:positionV>
                <wp:extent cx="567055" cy="585470"/>
                <wp:wrapNone/>
                <wp:docPr id="120" name="Shape 120"/>
                <a:graphic xmlns:a="http://schemas.openxmlformats.org/drawingml/2006/main">
                  <a:graphicData uri="http://schemas.microsoft.com/office/word/2010/wordprocessingShape">
                    <wps:wsp>
                      <wps:cNvSpPr txBox="1"/>
                      <wps:spPr>
                        <a:xfrm>
                          <a:ext cx="567055" cy="585470"/>
                        </a:xfrm>
                        <a:prstGeom prst="rect"/>
                        <a:noFill/>
                      </wps:spPr>
                      <wps:txbx>
                        <w:txbxContent>
                          <w:p>
                            <w:pPr>
                              <w:pStyle w:val="Style33"/>
                              <w:keepNext w:val="0"/>
                              <w:keepLines w:val="0"/>
                              <w:widowControl w:val="0"/>
                              <w:shd w:val="clear" w:color="auto" w:fill="auto"/>
                              <w:bidi w:val="0"/>
                              <w:spacing w:before="0" w:after="0" w:line="293" w:lineRule="exact"/>
                              <w:ind w:left="0" w:right="0" w:firstLine="0"/>
                              <w:jc w:val="left"/>
                            </w:pPr>
                            <w:r>
                              <w:rPr>
                                <w:color w:val="000000"/>
                                <w:spacing w:val="0"/>
                                <w:w w:val="100"/>
                                <w:position w:val="0"/>
                              </w:rPr>
                              <w:t>智慧市政</w:t>
                            </w:r>
                          </w:p>
                          <w:p>
                            <w:pPr>
                              <w:pStyle w:val="Style33"/>
                              <w:keepNext w:val="0"/>
                              <w:keepLines w:val="0"/>
                              <w:widowControl w:val="0"/>
                              <w:shd w:val="clear" w:color="auto" w:fill="auto"/>
                              <w:bidi w:val="0"/>
                              <w:spacing w:before="0" w:after="0" w:line="293" w:lineRule="exact"/>
                              <w:ind w:left="0" w:right="0" w:firstLine="0"/>
                              <w:jc w:val="left"/>
                            </w:pPr>
                            <w:r>
                              <w:rPr>
                                <w:color w:val="000000"/>
                                <w:spacing w:val="0"/>
                                <w:w w:val="100"/>
                                <w:position w:val="0"/>
                              </w:rPr>
                              <w:t>管控一体 化平台</w:t>
                            </w:r>
                          </w:p>
                        </w:txbxContent>
                      </wps:txbx>
                      <wps:bodyPr lIns="0" tIns="0" rIns="0" bIns="0">
                        <a:noAutoFit/>
                      </wps:bodyPr>
                    </wps:wsp>
                  </a:graphicData>
                </a:graphic>
              </wp:anchor>
            </w:drawing>
          </mc:Choice>
          <mc:Fallback>
            <w:pict>
              <v:shape id="_x0000_s1146" type="#_x0000_t202" style="position:absolute;margin-left:54.950000000000003pt;margin-top:314.85000000000002pt;width:44.649999999999999pt;height:46.100000000000001pt;z-index:251657779;mso-wrap-distance-left:0;mso-wrap-distance-right:0;mso-position-horizontal-relative:page;mso-position-vertical-relative:margin" filled="f" stroked="f">
                <v:textbox inset="0,0,0,0">
                  <w:txbxContent>
                    <w:p>
                      <w:pPr>
                        <w:pStyle w:val="Style33"/>
                        <w:keepNext w:val="0"/>
                        <w:keepLines w:val="0"/>
                        <w:widowControl w:val="0"/>
                        <w:shd w:val="clear" w:color="auto" w:fill="auto"/>
                        <w:bidi w:val="0"/>
                        <w:spacing w:before="0" w:after="0" w:line="293" w:lineRule="exact"/>
                        <w:ind w:left="0" w:right="0" w:firstLine="0"/>
                        <w:jc w:val="left"/>
                      </w:pPr>
                      <w:r>
                        <w:rPr>
                          <w:color w:val="000000"/>
                          <w:spacing w:val="0"/>
                          <w:w w:val="100"/>
                          <w:position w:val="0"/>
                        </w:rPr>
                        <w:t>智慧市政</w:t>
                      </w:r>
                    </w:p>
                    <w:p>
                      <w:pPr>
                        <w:pStyle w:val="Style33"/>
                        <w:keepNext w:val="0"/>
                        <w:keepLines w:val="0"/>
                        <w:widowControl w:val="0"/>
                        <w:shd w:val="clear" w:color="auto" w:fill="auto"/>
                        <w:bidi w:val="0"/>
                        <w:spacing w:before="0" w:after="0" w:line="293" w:lineRule="exact"/>
                        <w:ind w:left="0" w:right="0" w:firstLine="0"/>
                        <w:jc w:val="left"/>
                      </w:pPr>
                      <w:r>
                        <w:rPr>
                          <w:color w:val="000000"/>
                          <w:spacing w:val="0"/>
                          <w:w w:val="100"/>
                          <w:position w:val="0"/>
                        </w:rPr>
                        <w:t>管控一体 化平台</w:t>
                      </w:r>
                    </w:p>
                  </w:txbxContent>
                </v:textbox>
                <w10:wrap anchorx="page" anchory="margin"/>
              </v:shape>
            </w:pict>
          </mc:Fallback>
        </mc:AlternateContent>
      </w:r>
      <w:r>
        <w:drawing>
          <wp:anchor distT="5386070" distB="12700" distL="600710" distR="12700" simplePos="0" relativeHeight="125829414" behindDoc="0" locked="0" layoutInCell="1" allowOverlap="1">
            <wp:simplePos x="0" y="0"/>
            <wp:positionH relativeFrom="page">
              <wp:posOffset>1285875</wp:posOffset>
            </wp:positionH>
            <wp:positionV relativeFrom="margin">
              <wp:posOffset>5559425</wp:posOffset>
            </wp:positionV>
            <wp:extent cx="2206625" cy="1304290"/>
            <wp:wrapSquare wrapText="right"/>
            <wp:docPr id="122" name="Shape 122"/>
            <a:graphic xmlns:a="http://schemas.openxmlformats.org/drawingml/2006/main">
              <a:graphicData uri="http://schemas.openxmlformats.org/drawingml/2006/picture">
                <pic:pic xmlns:pic="http://schemas.openxmlformats.org/drawingml/2006/picture">
                  <pic:nvPicPr>
                    <pic:cNvPr id="123" name="Picture box 123"/>
                    <pic:cNvPicPr/>
                  </pic:nvPicPr>
                  <pic:blipFill>
                    <a:blip r:embed="rId53"/>
                    <a:stretch/>
                  </pic:blipFill>
                  <pic:spPr>
                    <a:xfrm>
                      <a:ext cx="2206625" cy="1304290"/>
                    </a:xfrm>
                    <a:prstGeom prst="rect"/>
                  </pic:spPr>
                </pic:pic>
              </a:graphicData>
            </a:graphic>
          </wp:anchor>
        </w:drawing>
      </w:r>
      <w:r>
        <mc:AlternateContent>
          <mc:Choice Requires="wps">
            <w:drawing>
              <wp:anchor distT="0" distB="0" distL="0" distR="0" simplePos="0" relativeHeight="503316534" behindDoc="0" locked="0" layoutInCell="1" allowOverlap="1">
                <wp:simplePos x="0" y="0"/>
                <wp:positionH relativeFrom="page">
                  <wp:posOffset>697865</wp:posOffset>
                </wp:positionH>
                <wp:positionV relativeFrom="margin">
                  <wp:posOffset>5894705</wp:posOffset>
                </wp:positionV>
                <wp:extent cx="567055" cy="606425"/>
                <wp:wrapNone/>
                <wp:docPr id="124" name="Shape 124"/>
                <a:graphic xmlns:a="http://schemas.openxmlformats.org/drawingml/2006/main">
                  <a:graphicData uri="http://schemas.microsoft.com/office/word/2010/wordprocessingShape">
                    <wps:wsp>
                      <wps:cNvSpPr txBox="1"/>
                      <wps:spPr>
                        <a:xfrm>
                          <a:ext cx="567055" cy="606425"/>
                        </a:xfrm>
                        <a:prstGeom prst="rect"/>
                        <a:noFill/>
                      </wps:spPr>
                      <wps:txbx>
                        <w:txbxContent>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城市排水 防涝指挥 调度系统</w:t>
                            </w:r>
                          </w:p>
                        </w:txbxContent>
                      </wps:txbx>
                      <wps:bodyPr lIns="0" tIns="0" rIns="0" bIns="0">
                        <a:noAutoFit/>
                      </wps:bodyPr>
                    </wps:wsp>
                  </a:graphicData>
                </a:graphic>
              </wp:anchor>
            </w:drawing>
          </mc:Choice>
          <mc:Fallback>
            <w:pict>
              <v:shape id="_x0000_s1150" type="#_x0000_t202" style="position:absolute;margin-left:54.950000000000003pt;margin-top:464.15000000000003pt;width:44.649999999999999pt;height:47.75pt;z-index:251657781;mso-wrap-distance-left:0;mso-wrap-distance-right:0;mso-position-horizontal-relative:page;mso-position-vertical-relative:margin" filled="f" stroked="f">
                <v:textbox inset="0,0,0,0">
                  <w:txbxContent>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城市排水 防涝指挥 调度系统</w:t>
                      </w:r>
                    </w:p>
                  </w:txbxContent>
                </v:textbox>
                <w10:wrap anchorx="page" anchory="margin"/>
              </v:shape>
            </w:pict>
          </mc:Fallback>
        </mc:AlternateContent>
      </w:r>
      <w:r>
        <w:rPr>
          <w:color w:val="000000"/>
          <w:spacing w:val="0"/>
          <w:w w:val="100"/>
          <w:position w:val="0"/>
        </w:rPr>
        <w:t>以</w:t>
      </w:r>
      <w:r>
        <w:rPr>
          <w:color w:val="000000"/>
          <w:spacing w:val="0"/>
          <w:w w:val="100"/>
          <w:position w:val="0"/>
        </w:rPr>
        <w:t>SCADA、GIS</w:t>
      </w:r>
      <w:r>
        <w:rPr>
          <w:color w:val="000000"/>
          <w:spacing w:val="0"/>
          <w:w w:val="100"/>
          <w:position w:val="0"/>
        </w:rPr>
        <w:t>系统为中心，整合物联网技 术，云计算技术、</w:t>
      </w:r>
      <w:r>
        <w:rPr>
          <w:color w:val="000000"/>
          <w:spacing w:val="0"/>
          <w:w w:val="100"/>
          <w:position w:val="0"/>
        </w:rPr>
        <w:t>GIS</w:t>
      </w:r>
      <w:r>
        <w:rPr>
          <w:color w:val="000000"/>
          <w:spacing w:val="0"/>
          <w:w w:val="100"/>
          <w:position w:val="0"/>
        </w:rPr>
        <w:t>技术、信息化、自 动化技术，实现压力、流量、水质等管网 参数、二次供水及水厂数据的领域化汇集 管理，做出可视化的相应的处理结果辅助 决策建议，以更加精细和动态的方式管理 水务系统的整个生产、管理和服务流程。</w:t>
      </w:r>
    </w:p>
    <w:p>
      <w:pPr>
        <w:pStyle w:val="Style10"/>
        <w:keepNext w:val="0"/>
        <w:keepLines w:val="0"/>
        <w:widowControl w:val="0"/>
        <w:shd w:val="clear" w:color="auto" w:fill="auto"/>
        <w:bidi w:val="0"/>
        <w:spacing w:before="0" w:after="0" w:line="313" w:lineRule="exact"/>
        <w:ind w:left="0" w:right="0" w:firstLine="0"/>
        <w:jc w:val="both"/>
      </w:pPr>
      <w:r>
        <mc:AlternateContent>
          <mc:Choice Requires="wps">
            <w:drawing>
              <wp:anchor distT="0" distB="0" distL="0" distR="0" simplePos="0" relativeHeight="125829415" behindDoc="0" locked="0" layoutInCell="1" allowOverlap="1">
                <wp:simplePos x="0" y="0"/>
                <wp:positionH relativeFrom="page">
                  <wp:posOffset>5904230</wp:posOffset>
                </wp:positionH>
                <wp:positionV relativeFrom="margin">
                  <wp:posOffset>274320</wp:posOffset>
                </wp:positionV>
                <wp:extent cx="960120" cy="1200785"/>
                <wp:wrapSquare wrapText="left"/>
                <wp:docPr id="126" name="Shape 126"/>
                <a:graphic xmlns:a="http://schemas.openxmlformats.org/drawingml/2006/main">
                  <a:graphicData uri="http://schemas.microsoft.com/office/word/2010/wordprocessingShape">
                    <wps:wsp>
                      <wps:cNvSpPr txBox="1"/>
                      <wps:spPr>
                        <a:xfrm>
                          <a:ext cx="960120" cy="1200785"/>
                        </a:xfrm>
                        <a:prstGeom prst="rect"/>
                        <a:noFill/>
                      </wps:spPr>
                      <wps:txbx>
                        <w:txbxContent>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适用于水务集 团和各大水厂， 城市自来水输 配运行企业，行 业管理人员、生 产调度人员。</w:t>
                            </w:r>
                          </w:p>
                        </w:txbxContent>
                      </wps:txbx>
                      <wps:bodyPr lIns="0" tIns="0" rIns="0" bIns="0">
                        <a:noAutoFit/>
                      </wps:bodyPr>
                    </wps:wsp>
                  </a:graphicData>
                </a:graphic>
              </wp:anchor>
            </w:drawing>
          </mc:Choice>
          <mc:Fallback>
            <w:pict>
              <v:shape id="_x0000_s1152" type="#_x0000_t202" style="position:absolute;margin-left:464.90000000000003pt;margin-top:21.600000000000001pt;width:75.600000000000009pt;height:94.549999999999997pt;z-index:-125829338;mso-wrap-distance-left:0;mso-wrap-distance-right:0;mso-position-horizontal-relative:page;mso-position-vertical-relative:margin" filled="f" stroked="f">
                <v:textbox inset="0,0,0,0">
                  <w:txbxContent>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适用于水务集 团和各大水厂， 城市自来水输 配运行企业，行 业管理人员、生 产调度人员。</w:t>
                      </w:r>
                    </w:p>
                  </w:txbxContent>
                </v:textbox>
                <w10:wrap type="square" side="left" anchorx="page" anchory="margin"/>
              </v:shape>
            </w:pict>
          </mc:Fallback>
        </mc:AlternateContent>
      </w:r>
      <w:r>
        <w:rPr>
          <w:color w:val="000000"/>
          <w:spacing w:val="0"/>
          <w:w w:val="100"/>
          <w:position w:val="0"/>
        </w:rPr>
        <w:t>以</w:t>
      </w:r>
      <w:r>
        <w:rPr>
          <w:color w:val="000000"/>
          <w:spacing w:val="0"/>
          <w:w w:val="100"/>
          <w:position w:val="0"/>
        </w:rPr>
        <w:t>SCADA、GIS</w:t>
      </w:r>
      <w:r>
        <w:rPr>
          <w:color w:val="000000"/>
          <w:spacing w:val="0"/>
          <w:w w:val="100"/>
          <w:position w:val="0"/>
        </w:rPr>
        <w:t>系统为中心，整合物联网技 术，云计算技术、</w:t>
      </w:r>
      <w:r>
        <w:rPr>
          <w:color w:val="000000"/>
          <w:spacing w:val="0"/>
          <w:w w:val="100"/>
          <w:position w:val="0"/>
        </w:rPr>
        <w:t>GIS</w:t>
      </w:r>
      <w:r>
        <w:rPr>
          <w:color w:val="000000"/>
          <w:spacing w:val="0"/>
          <w:w w:val="100"/>
          <w:position w:val="0"/>
        </w:rPr>
        <w:t>技术、</w:t>
      </w:r>
      <w:r>
        <w:rPr>
          <w:color w:val="000000"/>
          <w:spacing w:val="0"/>
          <w:w w:val="100"/>
          <w:position w:val="0"/>
        </w:rPr>
        <w:t>SCADA</w:t>
      </w:r>
      <w:r>
        <w:rPr>
          <w:color w:val="000000"/>
          <w:spacing w:val="0"/>
          <w:w w:val="100"/>
          <w:position w:val="0"/>
        </w:rPr>
        <w:t>技术， 实现用热单位及居民室内温度，管网压 力、流量、温度等参数，换热站和热源厂 数据汇集管理，做出可视化的处理结果辅 助决策建议，以更加精细和动态的方式管 理供热系统的整个生产、管理和服务流 程。</w:t>
      </w:r>
    </w:p>
    <w:p>
      <w:pPr>
        <w:pStyle w:val="Style10"/>
        <w:keepNext w:val="0"/>
        <w:keepLines w:val="0"/>
        <w:widowControl w:val="0"/>
        <w:shd w:val="clear" w:color="auto" w:fill="auto"/>
        <w:bidi w:val="0"/>
        <w:spacing w:before="0" w:after="960" w:line="312" w:lineRule="exact"/>
        <w:ind w:left="0" w:right="0" w:firstLine="0"/>
        <w:jc w:val="both"/>
      </w:pPr>
      <w:r>
        <mc:AlternateContent>
          <mc:Choice Requires="wps">
            <w:drawing>
              <wp:anchor distT="0" distB="0" distL="0" distR="0" simplePos="0" relativeHeight="125829417" behindDoc="0" locked="0" layoutInCell="1" allowOverlap="1">
                <wp:simplePos x="0" y="0"/>
                <wp:positionH relativeFrom="page">
                  <wp:posOffset>5904230</wp:posOffset>
                </wp:positionH>
                <wp:positionV relativeFrom="margin">
                  <wp:posOffset>1883410</wp:posOffset>
                </wp:positionV>
                <wp:extent cx="948055" cy="1200785"/>
                <wp:wrapSquare wrapText="left"/>
                <wp:docPr id="128" name="Shape 128"/>
                <a:graphic xmlns:a="http://schemas.openxmlformats.org/drawingml/2006/main">
                  <a:graphicData uri="http://schemas.microsoft.com/office/word/2010/wordprocessingShape">
                    <wps:wsp>
                      <wps:cNvSpPr txBox="1"/>
                      <wps:spPr>
                        <a:xfrm>
                          <a:ext cx="948055" cy="1200785"/>
                        </a:xfrm>
                        <a:prstGeom prst="rect"/>
                        <a:noFill/>
                      </wps:spPr>
                      <wps:txbx>
                        <w:txbxContent>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适用于供暖集 团，城市换热站 和热源厂等企 业、行业管理人 员、生产调度人 员。</w:t>
                            </w:r>
                          </w:p>
                        </w:txbxContent>
                      </wps:txbx>
                      <wps:bodyPr lIns="0" tIns="0" rIns="0" bIns="0">
                        <a:noAutoFit/>
                      </wps:bodyPr>
                    </wps:wsp>
                  </a:graphicData>
                </a:graphic>
              </wp:anchor>
            </w:drawing>
          </mc:Choice>
          <mc:Fallback>
            <w:pict>
              <v:shape id="_x0000_s1154" type="#_x0000_t202" style="position:absolute;margin-left:464.90000000000003pt;margin-top:148.30000000000001pt;width:74.650000000000006pt;height:94.549999999999997pt;z-index:-125829336;mso-wrap-distance-left:0;mso-wrap-distance-right:0;mso-position-horizontal-relative:page;mso-position-vertical-relative:margin" filled="f" stroked="f">
                <v:textbox inset="0,0,0,0">
                  <w:txbxContent>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适用于供暖集 团，城市换热站 和热源厂等企 业、行业管理人 员、生产调度人 员。</w:t>
                      </w:r>
                    </w:p>
                  </w:txbxContent>
                </v:textbox>
                <w10:wrap type="square" side="left" anchorx="page" anchory="margin"/>
              </v:shape>
            </w:pict>
          </mc:Fallback>
        </mc:AlternateContent>
      </w:r>
      <w:r>
        <w:rPr>
          <w:color w:val="000000"/>
          <w:spacing w:val="0"/>
          <w:w w:val="100"/>
          <w:position w:val="0"/>
        </w:rPr>
        <w:t>以市政管理各项核心业务为主线，以空间 地理信息等基础数据为载体的信息化体 系，形成数字综合信息化管理平台。建设 基于地上、地下“一张图”理念的市政管 网设施综合管理平台，无缝嵌入在线监测 与预警系统、应急监管与处置系统、精确 定位与巡查系统、辅助规划与建设管理等 子系统，布局各种感知、监测设备，形成 一个由点到面到云端智慧的监测监控网 络，实现数据共享与大数据分析。</w:t>
      </w:r>
    </w:p>
    <w:p>
      <w:pPr>
        <w:pStyle w:val="Style10"/>
        <w:keepNext w:val="0"/>
        <w:keepLines w:val="0"/>
        <w:widowControl w:val="0"/>
        <w:shd w:val="clear" w:color="auto" w:fill="auto"/>
        <w:bidi w:val="0"/>
        <w:spacing w:before="0" w:after="1360" w:line="312" w:lineRule="exact"/>
        <w:ind w:left="0" w:right="0" w:firstLine="0"/>
        <w:jc w:val="both"/>
      </w:pPr>
      <w:r>
        <w:rPr>
          <w:color w:val="000000"/>
          <w:spacing w:val="0"/>
          <w:w w:val="100"/>
          <w:position w:val="0"/>
        </w:rPr>
        <w:t>大型的集中管理、统一调度、分散控制的 集散型分布式计算机应用系统平台，实现 地下排水管网可视化，实时化。</w:t>
      </w:r>
    </w:p>
    <w:p>
      <w:pPr>
        <w:pStyle w:val="Style10"/>
        <w:keepNext w:val="0"/>
        <w:keepLines w:val="0"/>
        <w:widowControl w:val="0"/>
        <w:shd w:val="clear" w:color="auto" w:fill="auto"/>
        <w:bidi w:val="0"/>
        <w:spacing w:before="0" w:after="0" w:line="466" w:lineRule="exact"/>
        <w:ind w:left="0" w:right="0" w:firstLine="380"/>
        <w:jc w:val="left"/>
      </w:pPr>
      <w:r>
        <mc:AlternateContent>
          <mc:Choice Requires="wps">
            <w:drawing>
              <wp:anchor distT="0" distB="1807845" distL="0" distR="0" simplePos="0" relativeHeight="125829419" behindDoc="0" locked="0" layoutInCell="1" allowOverlap="1">
                <wp:simplePos x="0" y="0"/>
                <wp:positionH relativeFrom="page">
                  <wp:posOffset>5904230</wp:posOffset>
                </wp:positionH>
                <wp:positionV relativeFrom="margin">
                  <wp:posOffset>3291840</wp:posOffset>
                </wp:positionV>
                <wp:extent cx="960120" cy="1993265"/>
                <wp:wrapSquare wrapText="left"/>
                <wp:docPr id="130" name="Shape 130"/>
                <a:graphic xmlns:a="http://schemas.openxmlformats.org/drawingml/2006/main">
                  <a:graphicData uri="http://schemas.microsoft.com/office/word/2010/wordprocessingShape">
                    <wps:wsp>
                      <wps:cNvSpPr txBox="1"/>
                      <wps:spPr>
                        <a:xfrm>
                          <a:ext cx="960120" cy="1993265"/>
                        </a:xfrm>
                        <a:prstGeom prst="rect"/>
                        <a:noFill/>
                      </wps:spPr>
                      <wps:txbx>
                        <w:txbxContent>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适用于对燃气、 供水、排水、供 暖、供电等市政 管线及设施的 全面监管，实现 能源输配、市政 安全、环境污 染、环境风险等 方面的可知、可 预、可控。</w:t>
                            </w:r>
                          </w:p>
                        </w:txbxContent>
                      </wps:txbx>
                      <wps:bodyPr lIns="0" tIns="0" rIns="0" bIns="0">
                        <a:noAutoFit/>
                      </wps:bodyPr>
                    </wps:wsp>
                  </a:graphicData>
                </a:graphic>
              </wp:anchor>
            </w:drawing>
          </mc:Choice>
          <mc:Fallback>
            <w:pict>
              <v:shape id="_x0000_s1156" type="#_x0000_t202" style="position:absolute;margin-left:464.90000000000003pt;margin-top:259.19999999999999pt;width:75.600000000000009pt;height:156.95000000000002pt;z-index:-125829334;mso-wrap-distance-left:0;mso-wrap-distance-right:0;mso-wrap-distance-bottom:142.34999999999999pt;mso-position-horizontal-relative:page;mso-position-vertical-relative:margin" filled="f" stroked="f">
                <v:textbox inset="0,0,0,0">
                  <w:txbxContent>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适用于对燃气、 供水、排水、供 暖、供电等市政 管线及设施的 全面监管，实现 能源输配、市政 安全、环境污 染、环境风险等 方面的可知、可 预、可控。</w:t>
                      </w:r>
                    </w:p>
                  </w:txbxContent>
                </v:textbox>
                <w10:wrap type="square" side="left" anchorx="page" anchory="margin"/>
              </v:shape>
            </w:pict>
          </mc:Fallback>
        </mc:AlternateContent>
      </w:r>
      <w:r>
        <mc:AlternateContent>
          <mc:Choice Requires="wps">
            <w:drawing>
              <wp:anchor distT="2002790" distB="0" distL="0" distR="0" simplePos="0" relativeHeight="125829421" behindDoc="0" locked="0" layoutInCell="1" allowOverlap="1">
                <wp:simplePos x="0" y="0"/>
                <wp:positionH relativeFrom="page">
                  <wp:posOffset>5904230</wp:posOffset>
                </wp:positionH>
                <wp:positionV relativeFrom="margin">
                  <wp:posOffset>5294630</wp:posOffset>
                </wp:positionV>
                <wp:extent cx="960120" cy="1798320"/>
                <wp:wrapSquare wrapText="left"/>
                <wp:docPr id="132" name="Shape 132"/>
                <a:graphic xmlns:a="http://schemas.openxmlformats.org/drawingml/2006/main">
                  <a:graphicData uri="http://schemas.microsoft.com/office/word/2010/wordprocessingShape">
                    <wps:wsp>
                      <wps:cNvSpPr txBox="1"/>
                      <wps:spPr>
                        <a:xfrm>
                          <a:ext cx="960120" cy="1798320"/>
                        </a:xfrm>
                        <a:prstGeom prst="rect"/>
                        <a:noFill/>
                      </wps:spPr>
                      <wps:txbx>
                        <w:txbxContent>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适用于城市排 水防涝管理人 员、调度中心人 员科学地进行 地下排水管网 的辅助规划、设 计，为城市建 设、防涝、抢险 提供决策辅助。</w:t>
                            </w:r>
                          </w:p>
                        </w:txbxContent>
                      </wps:txbx>
                      <wps:bodyPr lIns="0" tIns="0" rIns="0" bIns="0">
                        <a:noAutoFit/>
                      </wps:bodyPr>
                    </wps:wsp>
                  </a:graphicData>
                </a:graphic>
              </wp:anchor>
            </w:drawing>
          </mc:Choice>
          <mc:Fallback>
            <w:pict>
              <v:shape id="_x0000_s1158" type="#_x0000_t202" style="position:absolute;margin-left:464.90000000000003pt;margin-top:416.90000000000003pt;width:75.600000000000009pt;height:141.59999999999999pt;z-index:-125829332;mso-wrap-distance-left:0;mso-wrap-distance-top:157.70000000000002pt;mso-wrap-distance-right:0;mso-position-horizontal-relative:page;mso-position-vertical-relative:margin" filled="f" stroked="f">
                <v:textbox inset="0,0,0,0">
                  <w:txbxContent>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适用于城市排 水防涝管理人 员、调度中心人 员科学地进行 地下排水管网 的辅助规划、设 计，为城市建 设、防涝、抢险 提供决策辅助。</w:t>
                      </w:r>
                    </w:p>
                  </w:txbxContent>
                </v:textbox>
                <w10:wrap type="square" side="left" anchorx="page" anchory="margin"/>
              </v:shape>
            </w:pict>
          </mc:Fallback>
        </mc:AlternateContent>
      </w:r>
      <w:bookmarkStart w:id="92" w:name="bookmark92"/>
      <w:r>
        <w:rPr>
          <w:b/>
          <w:bCs/>
          <w:color w:val="000000"/>
          <w:spacing w:val="0"/>
          <w:w w:val="100"/>
          <w:position w:val="0"/>
        </w:rPr>
        <w:t>（</w:t>
      </w:r>
      <w:bookmarkEnd w:id="92"/>
      <w:r>
        <w:rPr>
          <w:b/>
          <w:bCs/>
          <w:color w:val="000000"/>
          <w:spacing w:val="0"/>
          <w:w w:val="100"/>
          <w:position w:val="0"/>
        </w:rPr>
        <w:t>3）智慧环保系统解决方案</w:t>
      </w:r>
    </w:p>
    <w:p>
      <w:pPr>
        <w:pStyle w:val="Style10"/>
        <w:keepNext w:val="0"/>
        <w:keepLines w:val="0"/>
        <w:widowControl w:val="0"/>
        <w:shd w:val="clear" w:color="auto" w:fill="auto"/>
        <w:bidi w:val="0"/>
        <w:spacing w:before="0" w:after="0" w:line="466" w:lineRule="exact"/>
        <w:ind w:left="0" w:right="0"/>
        <w:jc w:val="left"/>
      </w:pPr>
      <w:r>
        <w:rPr>
          <w:color w:val="000000"/>
          <w:spacing w:val="0"/>
          <w:w w:val="100"/>
          <w:position w:val="0"/>
        </w:rPr>
        <w:t>公司智慧环保系统解决方案依靠“传感器+监测终端+数据采集+空间信息技术+云应用+治理+运维服 务”整体方案，为企业、政府提供大气监测、污水及垃圾渗滤液处理、有机废气治理等一体化的环保服务。</w:t>
      </w:r>
      <w:r>
        <w:br w:type="page"/>
      </w:r>
    </w:p>
    <w:tbl>
      <w:tblPr>
        <w:tblOverlap w:val="never"/>
        <w:jc w:val="center"/>
        <w:tblLayout w:type="fixed"/>
      </w:tblPr>
      <w:tblGrid>
        <w:gridCol w:w="850"/>
        <w:gridCol w:w="3341"/>
        <w:gridCol w:w="3965"/>
        <w:gridCol w:w="1483"/>
      </w:tblGrid>
      <w:tr>
        <w:trPr>
          <w:trHeight w:val="6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产品名 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图示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功能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应用场景</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b/>
                <w:bCs/>
                <w:color w:val="000000"/>
                <w:spacing w:val="0"/>
                <w:w w:val="100"/>
                <w:position w:val="0"/>
              </w:rPr>
              <w:t>生态环 境大数 据平台</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整合环境相关的数据，对接己建业务系统， 将环境相关数据进行统一管理，结合</w:t>
            </w:r>
            <w:r>
              <w:rPr>
                <w:color w:val="000000"/>
                <w:spacing w:val="0"/>
                <w:w w:val="100"/>
                <w:position w:val="0"/>
              </w:rPr>
              <w:t>GIS</w:t>
            </w:r>
            <w:r>
              <w:rPr>
                <w:color w:val="000000"/>
                <w:spacing w:val="0"/>
                <w:w w:val="100"/>
                <w:position w:val="0"/>
              </w:rPr>
              <w:t>技 术进行监测、监控信息的展现和挖掘分析， 实现业务数据的快速收集、全面整合、深度 挖掘、智能分析、按需共享，发挥数据资源 价值，构建全要素智慧环保平台，为政府、 企业、社会公众提供智能化、可视化的环保 信息管理应用，为环境管理提供更智能化的 决策支持。</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环境监测、监控 领域。</w:t>
            </w:r>
          </w:p>
        </w:tc>
      </w:tr>
      <w:tr>
        <w:trPr>
          <w:trHeight w:val="2030" w:hRule="exact"/>
        </w:trPr>
        <w:tc>
          <w:tcPr>
            <w:vMerge/>
            <w:tcBorders>
              <w:left w:val="single" w:sz="4"/>
            </w:tcBorders>
            <w:shd w:val="clear" w:color="auto" w:fill="FFFFFF"/>
            <w:vAlign w:val="center"/>
          </w:tcPr>
          <w:p>
            <w:pPr/>
          </w:p>
        </w:tc>
        <w:tc>
          <w:tcPr>
            <w:tcBorders>
              <w:left w:val="single" w:sz="4"/>
            </w:tcBorders>
            <w:shd w:val="clear" w:color="auto" w:fill="091946"/>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41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66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智慧环 保大数 据平台</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该平台结合了智慧城市的整体建设思路，运 用“一网、一库、一平台、一中心”的架构， 通过建设大屏展示、综合研判、网格化监管、 大气环境、水环境、污染源、用电监管和视 频监控等11个子系统，实现对环境污染全要 素的综合展现、智能分析、预测预报等，并 结合本地环境污染责任目标考核情况，为打 好环境污染防治攻坚战提供丰富的技术支 撑、数据支撑，为领导决策提供科学化、精 细化的决策支撑。</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环境监测、监控 领域。</w:t>
            </w:r>
          </w:p>
        </w:tc>
      </w:tr>
      <w:tr>
        <w:trPr>
          <w:trHeight w:val="1819" w:hRule="exact"/>
        </w:trPr>
        <w:tc>
          <w:tcPr>
            <w:vMerge/>
            <w:tcBorders>
              <w:left w:val="single" w:sz="4"/>
            </w:tcBorders>
            <w:shd w:val="clear" w:color="auto" w:fill="FFFFFF"/>
            <w:vAlign w:val="center"/>
          </w:tcPr>
          <w:p>
            <w:pPr/>
          </w:p>
        </w:tc>
        <w:tc>
          <w:tcPr>
            <w:tcBorders>
              <w:left w:val="single" w:sz="4"/>
            </w:tcBorders>
            <w:shd w:val="clear" w:color="auto" w:fill="091946"/>
            <w:vAlign w:val="center"/>
          </w:tcPr>
          <w:p>
            <w:pPr>
              <w:pStyle w:val="Style2"/>
              <w:keepNext w:val="0"/>
              <w:keepLines w:val="0"/>
              <w:widowControl w:val="0"/>
              <w:pBdr>
                <w:top w:val="single" w:sz="0" w:space="0" w:color="05183C"/>
                <w:left w:val="single" w:sz="0" w:space="0" w:color="05183C"/>
                <w:bottom w:val="single" w:sz="0" w:space="0" w:color="05183C"/>
                <w:right w:val="single" w:sz="0" w:space="0" w:color="05183C"/>
              </w:pBdr>
              <w:shd w:val="clear" w:color="auto" w:fill="05183C"/>
              <w:tabs>
                <w:tab w:pos="792" w:val="left"/>
                <w:tab w:pos="1354" w:val="left"/>
                <w:tab w:pos="1752" w:val="left"/>
                <w:tab w:pos="2050" w:val="left"/>
                <w:tab w:pos="2472" w:val="left"/>
                <w:tab w:pos="2899" w:val="left"/>
              </w:tabs>
              <w:bidi w:val="0"/>
              <w:spacing w:before="0" w:after="0" w:line="240" w:lineRule="auto"/>
              <w:ind w:left="0" w:right="0" w:firstLine="0"/>
              <w:jc w:val="left"/>
              <w:rPr>
                <w:sz w:val="8"/>
                <w:szCs w:val="8"/>
              </w:rPr>
            </w:pPr>
            <w:r>
              <w:rPr>
                <w:rFonts w:ascii="Arial" w:eastAsia="Arial" w:hAnsi="Arial" w:cs="Arial"/>
                <w:b/>
                <w:bCs/>
                <w:color w:val="6C7D90"/>
                <w:spacing w:val="0"/>
                <w:w w:val="100"/>
                <w:position w:val="0"/>
                <w:sz w:val="8"/>
                <w:szCs w:val="8"/>
              </w:rPr>
              <w:t>'</w:t>
            </w:r>
            <w:r>
              <w:rPr>
                <w:rFonts w:ascii="Arial" w:eastAsia="Arial" w:hAnsi="Arial" w:cs="Arial"/>
                <w:b/>
                <w:bCs/>
                <w:color w:val="6C7D90"/>
                <w:spacing w:val="0"/>
                <w:w w:val="100"/>
                <w:position w:val="0"/>
                <w:sz w:val="8"/>
                <w:szCs w:val="8"/>
              </w:rPr>
              <w:t>-</w:t>
            </w:r>
            <w:r>
              <w:rPr>
                <w:rFonts w:ascii="Arial" w:eastAsia="Arial" w:hAnsi="Arial" w:cs="Arial"/>
                <w:b/>
                <w:bCs/>
                <w:color w:val="6C7D90"/>
                <w:spacing w:val="0"/>
                <w:w w:val="100"/>
                <w:position w:val="0"/>
                <w:sz w:val="8"/>
                <w:szCs w:val="8"/>
              </w:rPr>
              <w:t xml:space="preserve">-IM </w:t>
            </w:r>
            <w:r>
              <w:rPr>
                <w:rFonts w:ascii="Arial" w:eastAsia="Arial" w:hAnsi="Arial" w:cs="Arial"/>
                <w:b/>
                <w:bCs/>
                <w:color w:val="6C7D90"/>
                <w:spacing w:val="0"/>
                <w:w w:val="100"/>
                <w:position w:val="0"/>
                <w:sz w:val="8"/>
                <w:szCs w:val="8"/>
              </w:rPr>
              <w:t>-</w:t>
              <w:tab/>
              <w:t xml:space="preserve">- - </w:t>
            </w:r>
            <w:r>
              <w:rPr>
                <w:rFonts w:ascii="Arial" w:eastAsia="Arial" w:hAnsi="Arial" w:cs="Arial"/>
                <w:b/>
                <w:bCs/>
                <w:color w:val="6C7D90"/>
                <w:spacing w:val="0"/>
                <w:w w:val="100"/>
                <w:position w:val="0"/>
                <w:sz w:val="8"/>
                <w:szCs w:val="8"/>
              </w:rPr>
              <w:t>rH*</w:t>
              <w:tab/>
              <w:t>si'i-</w:t>
              <w:tab/>
              <w:t>"irt •</w:t>
              <w:tab/>
            </w:r>
            <w:r>
              <w:rPr>
                <w:rFonts w:ascii="Arial" w:eastAsia="Arial" w:hAnsi="Arial" w:cs="Arial"/>
                <w:b/>
                <w:bCs/>
                <w:color w:val="6C7D90"/>
                <w:spacing w:val="0"/>
                <w:w w:val="100"/>
                <w:position w:val="0"/>
                <w:sz w:val="8"/>
                <w:szCs w:val="8"/>
              </w:rPr>
              <w:t>• -</w:t>
              <w:tab/>
              <w:t xml:space="preserve">- </w:t>
            </w:r>
            <w:r>
              <w:rPr>
                <w:rFonts w:ascii="Arial" w:eastAsia="Arial" w:hAnsi="Arial" w:cs="Arial"/>
                <w:b/>
                <w:bCs/>
                <w:color w:val="6C7D90"/>
                <w:spacing w:val="0"/>
                <w:w w:val="100"/>
                <w:position w:val="0"/>
                <w:sz w:val="8"/>
                <w:szCs w:val="8"/>
              </w:rPr>
              <w:t>uag*</w:t>
              <w:tab/>
            </w:r>
            <w:r>
              <w:rPr>
                <w:rFonts w:ascii="Arial" w:eastAsia="Arial" w:hAnsi="Arial" w:cs="Arial"/>
                <w:b/>
                <w:bCs/>
                <w:color w:val="6C7D90"/>
                <w:spacing w:val="0"/>
                <w:w w:val="100"/>
                <w:position w:val="0"/>
                <w:sz w:val="8"/>
                <w:szCs w:val="8"/>
              </w:rPr>
              <w:t xml:space="preserve">- </w:t>
            </w:r>
            <w:r>
              <w:rPr>
                <w:rFonts w:ascii="Arial" w:eastAsia="Arial" w:hAnsi="Arial" w:cs="Arial"/>
                <w:b/>
                <w:bCs/>
                <w:color w:val="6C7D90"/>
                <w:spacing w:val="0"/>
                <w:w w:val="100"/>
                <w:position w:val="0"/>
                <w:sz w:val="8"/>
                <w:szCs w:val="8"/>
              </w:rPr>
              <w:t>m-</w:t>
            </w:r>
          </w:p>
          <w:p>
            <w:pPr>
              <w:pStyle w:val="Style2"/>
              <w:keepNext w:val="0"/>
              <w:keepLines w:val="0"/>
              <w:widowControl w:val="0"/>
              <w:pBdr>
                <w:top w:val="single" w:sz="0" w:space="0" w:color="05183C"/>
                <w:left w:val="single" w:sz="0" w:space="0" w:color="05183C"/>
                <w:bottom w:val="single" w:sz="0" w:space="0" w:color="05183C"/>
                <w:right w:val="single" w:sz="0" w:space="0" w:color="05183C"/>
              </w:pBdr>
              <w:shd w:val="clear" w:color="auto" w:fill="05183C"/>
              <w:tabs>
                <w:tab w:pos="830" w:val="left"/>
                <w:tab w:pos="2218" w:val="left"/>
              </w:tabs>
              <w:bidi w:val="0"/>
              <w:spacing w:before="0" w:after="0" w:line="240" w:lineRule="auto"/>
              <w:ind w:left="0" w:right="0" w:firstLine="0"/>
              <w:jc w:val="left"/>
              <w:rPr>
                <w:sz w:val="11"/>
                <w:szCs w:val="11"/>
              </w:rPr>
            </w:pPr>
            <w:r>
              <w:rPr>
                <w:rFonts w:ascii="SimHei" w:eastAsia="SimHei" w:hAnsi="SimHei" w:cs="SimHei"/>
                <w:i/>
                <w:iCs/>
                <w:color w:val="7387AC"/>
                <w:spacing w:val="0"/>
                <w:w w:val="100"/>
                <w:position w:val="0"/>
                <w:sz w:val="11"/>
                <w:szCs w:val="11"/>
              </w:rPr>
              <w:t>艾,</w:t>
            </w:r>
            <w:r>
              <w:rPr>
                <w:rFonts w:ascii="Arial" w:eastAsia="Arial" w:hAnsi="Arial" w:cs="Arial"/>
                <w:color w:val="7387AC"/>
                <w:spacing w:val="0"/>
                <w:w w:val="100"/>
                <w:position w:val="0"/>
                <w:sz w:val="9"/>
                <w:szCs w:val="9"/>
              </w:rPr>
              <w:t>„</w:t>
            </w:r>
            <w:r>
              <w:rPr>
                <w:rFonts w:ascii="SimHei" w:eastAsia="SimHei" w:hAnsi="SimHei" w:cs="SimHei"/>
                <w:color w:val="7387AC"/>
                <w:spacing w:val="0"/>
                <w:w w:val="100"/>
                <w:position w:val="0"/>
                <w:sz w:val="11"/>
                <w:szCs w:val="11"/>
              </w:rPr>
              <w:tab/>
              <w:t>'■</w:t>
              <w:tab/>
            </w:r>
            <w:r>
              <w:rPr>
                <w:rFonts w:ascii="SimHei" w:eastAsia="SimHei" w:hAnsi="SimHei" w:cs="SimHei"/>
                <w:color w:val="447FA3"/>
                <w:spacing w:val="0"/>
                <w:w w:val="100"/>
                <w:position w:val="0"/>
                <w:sz w:val="11"/>
                <w:szCs w:val="11"/>
              </w:rPr>
              <w:t xml:space="preserve">卜粗； </w:t>
            </w:r>
            <w:r>
              <w:rPr>
                <w:rFonts w:ascii="SimHei" w:eastAsia="SimHei" w:hAnsi="SimHei" w:cs="SimHei"/>
                <w:color w:val="7387AC"/>
                <w:spacing w:val="0"/>
                <w:w w:val="100"/>
                <w:position w:val="0"/>
                <w:sz w:val="11"/>
                <w:szCs w:val="11"/>
              </w:rPr>
              <w:t>—</w:t>
            </w:r>
            <w:r>
              <w:rPr>
                <w:rFonts w:ascii="SimHei" w:eastAsia="SimHei" w:hAnsi="SimHei" w:cs="SimHei"/>
                <w:color w:val="7387AC"/>
                <w:spacing w:val="0"/>
                <w:w w:val="100"/>
                <w:position w:val="0"/>
                <w:sz w:val="11"/>
                <w:szCs w:val="11"/>
              </w:rPr>
              <w:t>一</w:t>
            </w:r>
            <w:r>
              <w:rPr>
                <w:rFonts w:ascii="Arial" w:eastAsia="Arial" w:hAnsi="Arial" w:cs="Arial"/>
                <w:b/>
                <w:bCs/>
                <w:color w:val="7387AC"/>
                <w:spacing w:val="0"/>
                <w:w w:val="100"/>
                <w:position w:val="0"/>
                <w:sz w:val="8"/>
                <w:szCs w:val="8"/>
              </w:rPr>
              <w:t xml:space="preserve">a, = </w:t>
            </w:r>
            <w:r>
              <w:rPr>
                <w:rFonts w:ascii="Arial" w:eastAsia="Arial" w:hAnsi="Arial" w:cs="Arial"/>
                <w:b/>
                <w:bCs/>
                <w:color w:val="8EA2C5"/>
                <w:spacing w:val="0"/>
                <w:w w:val="100"/>
                <w:position w:val="0"/>
                <w:sz w:val="8"/>
                <w:szCs w:val="8"/>
              </w:rPr>
              <w:t xml:space="preserve">_ </w:t>
            </w:r>
            <w:r>
              <w:rPr>
                <w:rFonts w:ascii="SimHei" w:eastAsia="SimHei" w:hAnsi="SimHei" w:cs="SimHei"/>
                <w:color w:val="8EA2C5"/>
                <w:spacing w:val="0"/>
                <w:w w:val="100"/>
                <w:position w:val="0"/>
                <w:sz w:val="11"/>
                <w:szCs w:val="11"/>
              </w:rPr>
              <w:t>x</w:t>
            </w:r>
            <w:r>
              <w:rPr>
                <w:rFonts w:ascii="SimHei" w:eastAsia="SimHei" w:hAnsi="SimHei" w:cs="SimHei"/>
                <w:color w:val="7387AC"/>
                <w:spacing w:val="0"/>
                <w:w w:val="100"/>
                <w:position w:val="0"/>
                <w:sz w:val="11"/>
                <w:szCs w:val="11"/>
              </w:rPr>
              <w:t>二二</w:t>
            </w:r>
          </w:p>
          <w:p>
            <w:pPr>
              <w:pStyle w:val="Style2"/>
              <w:keepNext w:val="0"/>
              <w:keepLines w:val="0"/>
              <w:widowControl w:val="0"/>
              <w:pBdr>
                <w:top w:val="single" w:sz="0" w:space="0" w:color="05183C"/>
                <w:left w:val="single" w:sz="0" w:space="0" w:color="05183C"/>
                <w:bottom w:val="single" w:sz="0" w:space="0" w:color="05183C"/>
                <w:right w:val="single" w:sz="0" w:space="0" w:color="05183C"/>
              </w:pBdr>
              <w:shd w:val="clear" w:color="auto" w:fill="05183C"/>
              <w:tabs>
                <w:tab w:pos="307" w:val="left"/>
                <w:tab w:pos="662" w:val="left"/>
                <w:tab w:pos="1262" w:val="left"/>
                <w:tab w:pos="1877" w:val="left"/>
              </w:tabs>
              <w:bidi w:val="0"/>
              <w:spacing w:before="0" w:after="0" w:line="221" w:lineRule="auto"/>
              <w:ind w:left="0" w:right="0" w:firstLine="0"/>
              <w:jc w:val="left"/>
              <w:rPr>
                <w:sz w:val="11"/>
                <w:szCs w:val="11"/>
              </w:rPr>
            </w:pPr>
            <w:r>
              <w:rPr>
                <w:rFonts w:ascii="Arial" w:eastAsia="Arial" w:hAnsi="Arial" w:cs="Arial"/>
                <w:color w:val="596894"/>
                <w:spacing w:val="0"/>
                <w:w w:val="100"/>
                <w:position w:val="0"/>
                <w:sz w:val="9"/>
                <w:szCs w:val="9"/>
              </w:rPr>
              <w:t>£</w:t>
            </w:r>
            <w:r>
              <w:rPr>
                <w:rFonts w:ascii="SimHei" w:eastAsia="SimHei" w:hAnsi="SimHei" w:cs="SimHei"/>
                <w:color w:val="596894"/>
                <w:spacing w:val="0"/>
                <w:w w:val="100"/>
                <w:position w:val="0"/>
                <w:sz w:val="11"/>
                <w:szCs w:val="11"/>
              </w:rPr>
              <w:tab/>
              <w:t>_</w:t>
              <w:tab/>
            </w:r>
            <w:r>
              <w:rPr>
                <w:rFonts w:ascii="SimHei" w:eastAsia="SimHei" w:hAnsi="SimHei" w:cs="SimHei"/>
                <w:color w:val="7387AC"/>
                <w:spacing w:val="0"/>
                <w:w w:val="100"/>
                <w:position w:val="0"/>
                <w:sz w:val="11"/>
                <w:szCs w:val="11"/>
              </w:rPr>
              <w:t xml:space="preserve">' </w:t>
            </w:r>
            <w:r>
              <w:rPr>
                <w:rFonts w:ascii="SimHei" w:eastAsia="SimHei" w:hAnsi="SimHei" w:cs="SimHei"/>
                <w:color w:val="7387AC"/>
                <w:spacing w:val="0"/>
                <w:w w:val="100"/>
                <w:position w:val="0"/>
                <w:sz w:val="11"/>
                <w:szCs w:val="11"/>
                <w:vertAlign w:val="superscript"/>
              </w:rPr>
              <w:t>1</w:t>
            </w:r>
            <w:r>
              <w:rPr>
                <w:rFonts w:ascii="SimHei" w:eastAsia="SimHei" w:hAnsi="SimHei" w:cs="SimHei"/>
                <w:color w:val="7387AC"/>
                <w:spacing w:val="0"/>
                <w:w w:val="100"/>
                <w:position w:val="0"/>
                <w:sz w:val="11"/>
                <w:szCs w:val="11"/>
              </w:rPr>
              <w:t xml:space="preserve"> </w:t>
            </w:r>
            <w:r>
              <w:rPr>
                <w:rFonts w:ascii="SimHei" w:eastAsia="SimHei" w:hAnsi="SimHei" w:cs="SimHei"/>
                <w:color w:val="7387AC"/>
                <w:spacing w:val="0"/>
                <w:w w:val="100"/>
                <w:position w:val="0"/>
                <w:sz w:val="11"/>
                <w:szCs w:val="11"/>
              </w:rPr>
              <w:t>~</w:t>
              <w:tab/>
            </w:r>
            <w:r>
              <w:rPr>
                <w:rFonts w:ascii="SimHei" w:eastAsia="SimHei" w:hAnsi="SimHei" w:cs="SimHei"/>
                <w:color w:val="334B6D"/>
                <w:spacing w:val="0"/>
                <w:w w:val="100"/>
                <w:position w:val="0"/>
                <w:sz w:val="11"/>
                <w:szCs w:val="11"/>
              </w:rPr>
              <w:t>(</w:t>
              <w:tab/>
            </w:r>
            <w:r>
              <w:rPr>
                <w:rFonts w:ascii="SimHei" w:eastAsia="SimHei" w:hAnsi="SimHei" w:cs="SimHei"/>
                <w:color w:val="334B6D"/>
                <w:spacing w:val="0"/>
                <w:w w:val="100"/>
                <w:position w:val="0"/>
                <w:sz w:val="11"/>
                <w:szCs w:val="11"/>
              </w:rPr>
              <w:t>-</w:t>
            </w:r>
            <w:r>
              <w:rPr>
                <w:rFonts w:ascii="SimHei" w:eastAsia="SimHei" w:hAnsi="SimHei" w:cs="SimHei"/>
                <w:color w:val="7387AC"/>
                <w:spacing w:val="0"/>
                <w:w w:val="100"/>
                <w:position w:val="0"/>
                <w:sz w:val="11"/>
                <w:szCs w:val="11"/>
              </w:rPr>
              <w:t xml:space="preserve">疽％,% </w:t>
            </w:r>
            <w:r>
              <w:rPr>
                <w:rFonts w:ascii="SimHei" w:eastAsia="SimHei" w:hAnsi="SimHei" w:cs="SimHei"/>
                <w:color w:val="7387AC"/>
                <w:spacing w:val="0"/>
                <w:w w:val="100"/>
                <w:position w:val="0"/>
                <w:sz w:val="11"/>
                <w:szCs w:val="11"/>
              </w:rPr>
              <w:t>——</w:t>
            </w:r>
            <w:r>
              <w:rPr>
                <w:rFonts w:ascii="SimHei" w:eastAsia="SimHei" w:hAnsi="SimHei" w:cs="SimHei"/>
                <w:color w:val="6C7D90"/>
                <w:spacing w:val="0"/>
                <w:w w:val="100"/>
                <w:position w:val="0"/>
                <w:sz w:val="11"/>
                <w:szCs w:val="11"/>
              </w:rPr>
              <w:t>■</w:t>
            </w:r>
          </w:p>
          <w:p>
            <w:pPr>
              <w:pStyle w:val="Style2"/>
              <w:keepNext w:val="0"/>
              <w:keepLines w:val="0"/>
              <w:widowControl w:val="0"/>
              <w:pBdr>
                <w:top w:val="single" w:sz="0" w:space="0" w:color="05183C"/>
                <w:left w:val="single" w:sz="0" w:space="0" w:color="05183C"/>
                <w:bottom w:val="single" w:sz="0" w:space="0" w:color="05183C"/>
                <w:right w:val="single" w:sz="0" w:space="0" w:color="05183C"/>
              </w:pBdr>
              <w:shd w:val="clear" w:color="auto" w:fill="05183C"/>
              <w:tabs>
                <w:tab w:pos="2573" w:val="left"/>
              </w:tabs>
              <w:bidi w:val="0"/>
              <w:spacing w:before="0" w:after="0" w:line="180" w:lineRule="auto"/>
              <w:ind w:left="0" w:right="0" w:firstLine="0"/>
              <w:jc w:val="left"/>
              <w:rPr>
                <w:sz w:val="8"/>
                <w:szCs w:val="8"/>
              </w:rPr>
            </w:pPr>
            <w:r>
              <w:rPr>
                <w:rFonts w:ascii="Arial" w:eastAsia="Arial" w:hAnsi="Arial" w:cs="Arial"/>
                <w:b/>
                <w:bCs/>
                <w:color w:val="6C7D90"/>
                <w:spacing w:val="0"/>
                <w:w w:val="100"/>
                <w:position w:val="0"/>
                <w:sz w:val="8"/>
                <w:szCs w:val="8"/>
              </w:rPr>
              <w:t xml:space="preserve">™ </w:t>
            </w:r>
            <w:r>
              <w:rPr>
                <w:rFonts w:ascii="Arial" w:eastAsia="Arial" w:hAnsi="Arial" w:cs="Arial"/>
                <w:b/>
                <w:bCs/>
                <w:color w:val="7387AC"/>
                <w:spacing w:val="0"/>
                <w:w w:val="100"/>
                <w:position w:val="0"/>
                <w:sz w:val="8"/>
                <w:szCs w:val="8"/>
              </w:rPr>
              <w:t xml:space="preserve">- </w:t>
            </w:r>
            <w:r>
              <w:rPr>
                <w:rFonts w:ascii="Arial" w:eastAsia="Arial" w:hAnsi="Arial" w:cs="Arial"/>
                <w:b/>
                <w:bCs/>
                <w:color w:val="447FA3"/>
                <w:spacing w:val="0"/>
                <w:w w:val="100"/>
                <w:position w:val="0"/>
                <w:sz w:val="8"/>
                <w:szCs w:val="8"/>
              </w:rPr>
              <w:t xml:space="preserve">― </w:t>
            </w:r>
            <w:r>
              <w:rPr>
                <w:rFonts w:ascii="Arial" w:eastAsia="Arial" w:hAnsi="Arial" w:cs="Arial"/>
                <w:b/>
                <w:bCs/>
                <w:color w:val="7387AC"/>
                <w:spacing w:val="0"/>
                <w:w w:val="100"/>
                <w:position w:val="0"/>
                <w:sz w:val="8"/>
                <w:szCs w:val="8"/>
              </w:rPr>
              <w:t xml:space="preserve">» </w:t>
            </w:r>
            <w:r>
              <w:rPr>
                <w:rFonts w:ascii="Arial" w:eastAsia="Arial" w:hAnsi="Arial" w:cs="Arial"/>
                <w:b/>
                <w:bCs/>
                <w:color w:val="6C7D90"/>
                <w:spacing w:val="0"/>
                <w:w w:val="100"/>
                <w:position w:val="0"/>
                <w:sz w:val="8"/>
                <w:szCs w:val="8"/>
              </w:rPr>
              <w:t xml:space="preserve">% </w:t>
            </w:r>
            <w:r>
              <w:rPr>
                <w:rFonts w:ascii="Arial" w:eastAsia="Arial" w:hAnsi="Arial" w:cs="Arial"/>
                <w:b/>
                <w:bCs/>
                <w:color w:val="6C7D90"/>
                <w:spacing w:val="0"/>
                <w:w w:val="100"/>
                <w:position w:val="0"/>
                <w:sz w:val="8"/>
                <w:szCs w:val="8"/>
              </w:rPr>
              <w:t>-.</w:t>
              <w:tab/>
            </w:r>
            <w:r>
              <w:rPr>
                <w:rFonts w:ascii="Arial" w:eastAsia="Arial" w:hAnsi="Arial" w:cs="Arial"/>
                <w:b/>
                <w:bCs/>
                <w:color w:val="6C7D90"/>
                <w:spacing w:val="0"/>
                <w:w w:val="100"/>
                <w:position w:val="0"/>
                <w:sz w:val="8"/>
                <w:szCs w:val="8"/>
              </w:rPr>
              <w:t xml:space="preserve">- </w:t>
            </w:r>
            <w:r>
              <w:rPr>
                <w:rFonts w:ascii="Arial" w:eastAsia="Arial" w:hAnsi="Arial" w:cs="Arial"/>
                <w:b/>
                <w:bCs/>
                <w:color w:val="17538A"/>
                <w:spacing w:val="0"/>
                <w:w w:val="100"/>
                <w:position w:val="0"/>
                <w:sz w:val="8"/>
                <w:szCs w:val="8"/>
              </w:rPr>
              <w:t>—</w:t>
            </w:r>
          </w:p>
          <w:p>
            <w:pPr>
              <w:pStyle w:val="Style2"/>
              <w:keepNext w:val="0"/>
              <w:keepLines w:val="0"/>
              <w:widowControl w:val="0"/>
              <w:pBdr>
                <w:top w:val="single" w:sz="0" w:space="0" w:color="05183C"/>
                <w:left w:val="single" w:sz="0" w:space="0" w:color="05183C"/>
                <w:bottom w:val="single" w:sz="0" w:space="0" w:color="05183C"/>
                <w:right w:val="single" w:sz="0" w:space="0" w:color="05183C"/>
              </w:pBdr>
              <w:shd w:val="clear" w:color="auto" w:fill="05183C"/>
              <w:tabs>
                <w:tab w:pos="1152" w:val="left"/>
              </w:tabs>
              <w:bidi w:val="0"/>
              <w:spacing w:before="0" w:after="0" w:line="240" w:lineRule="auto"/>
              <w:ind w:left="0" w:right="0" w:firstLine="0"/>
              <w:jc w:val="left"/>
              <w:rPr>
                <w:sz w:val="9"/>
                <w:szCs w:val="9"/>
              </w:rPr>
            </w:pPr>
            <w:r>
              <w:rPr>
                <w:rFonts w:ascii="SimHei" w:eastAsia="SimHei" w:hAnsi="SimHei" w:cs="SimHei"/>
                <w:color w:val="8EA2C5"/>
                <w:spacing w:val="0"/>
                <w:w w:val="100"/>
                <w:position w:val="0"/>
                <w:sz w:val="11"/>
                <w:szCs w:val="11"/>
              </w:rPr>
              <w:t xml:space="preserve">—二一' </w:t>
            </w:r>
            <w:r>
              <w:rPr>
                <w:rFonts w:ascii="SimHei" w:eastAsia="SimHei" w:hAnsi="SimHei" w:cs="SimHei"/>
                <w:color w:val="8EA2C5"/>
                <w:spacing w:val="0"/>
                <w:w w:val="100"/>
                <w:position w:val="0"/>
                <w:sz w:val="11"/>
                <w:szCs w:val="11"/>
              </w:rPr>
              <w:t>'</w:t>
            </w:r>
            <w:r>
              <w:rPr>
                <w:rFonts w:ascii="SimHei" w:eastAsia="SimHei" w:hAnsi="SimHei" w:cs="SimHei"/>
                <w:color w:val="8EA2C5"/>
                <w:spacing w:val="0"/>
                <w:w w:val="100"/>
                <w:position w:val="0"/>
                <w:sz w:val="11"/>
                <w:szCs w:val="11"/>
                <w:vertAlign w:val="superscript"/>
              </w:rPr>
              <w:t>_</w:t>
            </w:r>
            <w:r>
              <w:rPr>
                <w:rFonts w:ascii="SimHei" w:eastAsia="SimHei" w:hAnsi="SimHei" w:cs="SimHei"/>
                <w:color w:val="8EA2C5"/>
                <w:spacing w:val="0"/>
                <w:w w:val="100"/>
                <w:position w:val="0"/>
                <w:sz w:val="11"/>
                <w:szCs w:val="11"/>
              </w:rPr>
              <w:t xml:space="preserve"> </w:t>
            </w:r>
            <w:r>
              <w:rPr>
                <w:rFonts w:ascii="Arial" w:eastAsia="Arial" w:hAnsi="Arial" w:cs="Arial"/>
                <w:color w:val="8EA2C5"/>
                <w:spacing w:val="0"/>
                <w:w w:val="100"/>
                <w:position w:val="0"/>
                <w:sz w:val="9"/>
                <w:szCs w:val="9"/>
              </w:rPr>
              <w:t>・•</w:t>
            </w:r>
            <w:r>
              <w:rPr>
                <w:rFonts w:ascii="SimHei" w:eastAsia="SimHei" w:hAnsi="SimHei" w:cs="SimHei"/>
                <w:color w:val="8EA2C5"/>
                <w:spacing w:val="0"/>
                <w:w w:val="100"/>
                <w:position w:val="0"/>
                <w:sz w:val="11"/>
                <w:szCs w:val="11"/>
              </w:rPr>
              <w:tab/>
            </w:r>
            <w:r>
              <w:rPr>
                <w:rFonts w:ascii="SimHei" w:eastAsia="SimHei" w:hAnsi="SimHei" w:cs="SimHei"/>
                <w:color w:val="8EA2C5"/>
                <w:spacing w:val="0"/>
                <w:w w:val="100"/>
                <w:position w:val="0"/>
                <w:sz w:val="11"/>
                <w:szCs w:val="11"/>
                <w:u w:val="single"/>
              </w:rPr>
              <w:t>- 一</w:t>
            </w:r>
            <w:r>
              <w:rPr>
                <w:rFonts w:ascii="SimHei" w:eastAsia="SimHei" w:hAnsi="SimHei" w:cs="SimHei"/>
                <w:color w:val="8EA2C5"/>
                <w:spacing w:val="0"/>
                <w:w w:val="100"/>
                <w:position w:val="0"/>
                <w:sz w:val="11"/>
                <w:szCs w:val="11"/>
              </w:rPr>
              <w:t>.</w:t>
            </w:r>
            <w:r>
              <w:rPr>
                <w:rFonts w:ascii="SimHei" w:eastAsia="SimHei" w:hAnsi="SimHei" w:cs="SimHei"/>
                <w:color w:val="8EA2C5"/>
                <w:spacing w:val="0"/>
                <w:w w:val="100"/>
                <w:position w:val="0"/>
                <w:sz w:val="11"/>
                <w:szCs w:val="11"/>
              </w:rPr>
              <w:t>手</w:t>
            </w:r>
            <w:r>
              <w:rPr>
                <w:rFonts w:ascii="SimHei" w:eastAsia="SimHei" w:hAnsi="SimHei" w:cs="SimHei"/>
                <w:color w:val="8EA2C5"/>
                <w:spacing w:val="0"/>
                <w:w w:val="100"/>
                <w:position w:val="0"/>
                <w:sz w:val="11"/>
                <w:szCs w:val="11"/>
              </w:rPr>
              <w:t xml:space="preserve">— </w:t>
            </w:r>
            <w:r>
              <w:rPr>
                <w:rFonts w:ascii="Arial" w:eastAsia="Arial" w:hAnsi="Arial" w:cs="Arial"/>
                <w:color w:val="8EA2C5"/>
                <w:spacing w:val="0"/>
                <w:w w:val="100"/>
                <w:position w:val="0"/>
                <w:sz w:val="9"/>
                <w:szCs w:val="9"/>
              </w:rPr>
              <w:t>•</w:t>
            </w:r>
          </w:p>
          <w:p>
            <w:pPr>
              <w:pStyle w:val="Style2"/>
              <w:keepNext w:val="0"/>
              <w:keepLines w:val="0"/>
              <w:widowControl w:val="0"/>
              <w:pBdr>
                <w:top w:val="single" w:sz="0" w:space="0" w:color="05183C"/>
                <w:left w:val="single" w:sz="0" w:space="0" w:color="05183C"/>
                <w:bottom w:val="single" w:sz="0" w:space="0" w:color="05183C"/>
                <w:right w:val="single" w:sz="0" w:space="0" w:color="05183C"/>
              </w:pBdr>
              <w:shd w:val="clear" w:color="auto" w:fill="05183C"/>
              <w:bidi w:val="0"/>
              <w:spacing w:before="0" w:after="0" w:line="180" w:lineRule="auto"/>
              <w:ind w:left="1160" w:right="0" w:firstLine="0"/>
              <w:jc w:val="left"/>
              <w:rPr>
                <w:sz w:val="18"/>
                <w:szCs w:val="18"/>
              </w:rPr>
            </w:pPr>
            <w:r>
              <w:rPr>
                <w:rFonts w:ascii="Times New Roman" w:eastAsia="Times New Roman" w:hAnsi="Times New Roman" w:cs="Times New Roman"/>
                <w:i/>
                <w:iCs/>
                <w:color w:val="C8C143"/>
                <w:spacing w:val="0"/>
                <w:w w:val="100"/>
                <w:position w:val="0"/>
                <w:sz w:val="18"/>
                <w:szCs w:val="18"/>
              </w:rPr>
              <w:t xml:space="preserve">-tK/K </w:t>
            </w:r>
            <w:r>
              <w:rPr>
                <w:rFonts w:ascii="Times New Roman" w:eastAsia="Times New Roman" w:hAnsi="Times New Roman" w:cs="Times New Roman"/>
                <w:i/>
                <w:iCs/>
                <w:color w:val="C8C143"/>
                <w:spacing w:val="0"/>
                <w:w w:val="100"/>
                <w:position w:val="0"/>
                <w:sz w:val="18"/>
                <w:szCs w:val="18"/>
              </w:rPr>
              <w:t xml:space="preserve">— </w:t>
            </w:r>
            <w:r>
              <w:rPr>
                <w:rFonts w:ascii="Times New Roman" w:eastAsia="Times New Roman" w:hAnsi="Times New Roman" w:cs="Times New Roman"/>
                <w:i/>
                <w:iCs/>
                <w:color w:val="8EA2C5"/>
                <w:spacing w:val="0"/>
                <w:w w:val="100"/>
                <w:position w:val="0"/>
                <w:sz w:val="18"/>
                <w:szCs w:val="18"/>
              </w:rPr>
              <w:t>•------</w:t>
            </w:r>
          </w:p>
          <w:p>
            <w:pPr>
              <w:pStyle w:val="Style2"/>
              <w:keepNext w:val="0"/>
              <w:keepLines w:val="0"/>
              <w:widowControl w:val="0"/>
              <w:pBdr>
                <w:top w:val="single" w:sz="0" w:space="0" w:color="05183C"/>
                <w:left w:val="single" w:sz="0" w:space="0" w:color="05183C"/>
                <w:bottom w:val="single" w:sz="0" w:space="0" w:color="05183C"/>
                <w:right w:val="single" w:sz="0" w:space="0" w:color="05183C"/>
              </w:pBdr>
              <w:shd w:val="clear" w:color="auto" w:fill="05183C"/>
              <w:bidi w:val="0"/>
              <w:spacing w:before="0" w:after="160" w:line="240" w:lineRule="auto"/>
              <w:ind w:left="0" w:right="0" w:firstLine="0"/>
              <w:jc w:val="left"/>
              <w:rPr>
                <w:sz w:val="11"/>
                <w:szCs w:val="11"/>
              </w:rPr>
            </w:pPr>
            <w:r>
              <w:rPr>
                <w:rFonts w:ascii="Arial" w:eastAsia="Arial" w:hAnsi="Arial" w:cs="Arial"/>
                <w:b/>
                <w:bCs/>
                <w:color w:val="6C7D90"/>
                <w:spacing w:val="0"/>
                <w:w w:val="100"/>
                <w:position w:val="0"/>
                <w:sz w:val="8"/>
                <w:szCs w:val="8"/>
                <w:vertAlign w:val="superscript"/>
              </w:rPr>
              <w:t>:</w:t>
            </w:r>
            <w:r>
              <w:rPr>
                <w:rFonts w:ascii="Arial" w:eastAsia="Arial" w:hAnsi="Arial" w:cs="Arial"/>
                <w:b/>
                <w:bCs/>
                <w:color w:val="6C7D90"/>
                <w:spacing w:val="0"/>
                <w:w w:val="100"/>
                <w:position w:val="0"/>
                <w:sz w:val="8"/>
                <w:szCs w:val="8"/>
              </w:rPr>
              <w:t xml:space="preserve">~~ </w:t>
            </w:r>
            <w:r>
              <w:rPr>
                <w:rFonts w:ascii="Arial" w:eastAsia="Arial" w:hAnsi="Arial" w:cs="Arial"/>
                <w:b/>
                <w:bCs/>
                <w:color w:val="6C7D90"/>
                <w:spacing w:val="0"/>
                <w:w w:val="100"/>
                <w:position w:val="0"/>
                <w:sz w:val="8"/>
                <w:szCs w:val="8"/>
              </w:rPr>
              <w:t>■ u</w:t>
            </w:r>
            <w:r>
              <w:rPr>
                <w:rFonts w:ascii="SimHei" w:eastAsia="SimHei" w:hAnsi="SimHei" w:cs="SimHei"/>
                <w:color w:val="6C7D90"/>
                <w:spacing w:val="0"/>
                <w:w w:val="100"/>
                <w:position w:val="0"/>
                <w:sz w:val="11"/>
                <w:szCs w:val="11"/>
              </w:rPr>
              <w:t>乙-</w:t>
            </w:r>
            <w:r>
              <w:rPr>
                <w:rFonts w:ascii="SimHei" w:eastAsia="SimHei" w:hAnsi="SimHei" w:cs="SimHei"/>
                <w:color w:val="6C7D90"/>
                <w:spacing w:val="0"/>
                <w:w w:val="100"/>
                <w:position w:val="0"/>
                <w:sz w:val="11"/>
                <w:szCs w:val="11"/>
              </w:rPr>
              <w:t>,</w:t>
            </w:r>
          </w:p>
          <w:p>
            <w:pPr>
              <w:pStyle w:val="Style2"/>
              <w:keepNext w:val="0"/>
              <w:keepLines w:val="0"/>
              <w:widowControl w:val="0"/>
              <w:pBdr>
                <w:top w:val="single" w:sz="0" w:space="0" w:color="05183C"/>
                <w:left w:val="single" w:sz="0" w:space="0" w:color="05183C"/>
                <w:bottom w:val="single" w:sz="0" w:space="0" w:color="05183C"/>
                <w:right w:val="single" w:sz="0" w:space="0" w:color="05183C"/>
              </w:pBdr>
              <w:shd w:val="clear" w:color="auto" w:fill="05183C"/>
              <w:tabs>
                <w:tab w:pos="1070" w:val="left"/>
                <w:tab w:pos="2424" w:val="left"/>
              </w:tabs>
              <w:bidi w:val="0"/>
              <w:spacing w:before="0" w:after="0" w:line="240" w:lineRule="auto"/>
              <w:ind w:left="0" w:right="0" w:firstLine="0"/>
              <w:jc w:val="left"/>
              <w:rPr>
                <w:sz w:val="8"/>
                <w:szCs w:val="8"/>
              </w:rPr>
            </w:pPr>
            <w:r>
              <w:rPr>
                <w:rFonts w:ascii="Arial" w:eastAsia="Arial" w:hAnsi="Arial" w:cs="Arial"/>
                <w:b/>
                <w:bCs/>
                <w:color w:val="596894"/>
                <w:spacing w:val="0"/>
                <w:w w:val="100"/>
                <w:position w:val="0"/>
                <w:sz w:val="8"/>
                <w:szCs w:val="8"/>
              </w:rPr>
              <w:t>'</w:t>
            </w:r>
            <w:r>
              <w:rPr>
                <w:rFonts w:ascii="Arial" w:eastAsia="Arial" w:hAnsi="Arial" w:cs="Arial"/>
                <w:b/>
                <w:bCs/>
                <w:color w:val="596894"/>
                <w:spacing w:val="0"/>
                <w:w w:val="100"/>
                <w:position w:val="0"/>
                <w:sz w:val="8"/>
                <w:szCs w:val="8"/>
              </w:rPr>
              <w:t>•…</w:t>
            </w:r>
            <w:r>
              <w:rPr>
                <w:b/>
                <w:bCs/>
                <w:color w:val="596894"/>
                <w:spacing w:val="0"/>
                <w:w w:val="100"/>
                <w:position w:val="0"/>
                <w:sz w:val="9"/>
                <w:szCs w:val="9"/>
              </w:rPr>
              <w:t>：</w:t>
            </w:r>
            <w:r>
              <w:rPr>
                <w:rFonts w:ascii="Arial" w:eastAsia="Arial" w:hAnsi="Arial" w:cs="Arial"/>
                <w:b/>
                <w:bCs/>
                <w:color w:val="596894"/>
                <w:spacing w:val="0"/>
                <w:w w:val="100"/>
                <w:position w:val="0"/>
                <w:sz w:val="8"/>
                <w:szCs w:val="8"/>
              </w:rPr>
              <w:t>…</w:t>
              <w:tab/>
            </w:r>
            <w:r>
              <w:rPr>
                <w:rFonts w:ascii="Arial" w:eastAsia="Arial" w:hAnsi="Arial" w:cs="Arial"/>
                <w:b/>
                <w:bCs/>
                <w:color w:val="C8C143"/>
                <w:spacing w:val="0"/>
                <w:w w:val="100"/>
                <w:position w:val="0"/>
                <w:sz w:val="8"/>
                <w:szCs w:val="8"/>
              </w:rPr>
              <w:t xml:space="preserve">r .tJ </w:t>
            </w:r>
            <w:r>
              <w:rPr>
                <w:rFonts w:ascii="Arial" w:eastAsia="Arial" w:hAnsi="Arial" w:cs="Arial"/>
                <w:b/>
                <w:bCs/>
                <w:color w:val="C8C143"/>
                <w:spacing w:val="0"/>
                <w:w w:val="100"/>
                <w:position w:val="0"/>
                <w:sz w:val="8"/>
                <w:szCs w:val="8"/>
              </w:rPr>
              <w:t>-</w:t>
              <w:tab/>
            </w:r>
            <w:r>
              <w:rPr>
                <w:rFonts w:ascii="Arial" w:eastAsia="Arial" w:hAnsi="Arial" w:cs="Arial"/>
                <w:b/>
                <w:bCs/>
                <w:color w:val="6C7D90"/>
                <w:spacing w:val="0"/>
                <w:w w:val="100"/>
                <w:position w:val="0"/>
                <w:sz w:val="8"/>
                <w:szCs w:val="8"/>
              </w:rPr>
              <w:t>0^0</w:t>
            </w:r>
          </w:p>
          <w:p>
            <w:pPr>
              <w:pStyle w:val="Style2"/>
              <w:keepNext w:val="0"/>
              <w:keepLines w:val="0"/>
              <w:widowControl w:val="0"/>
              <w:pBdr>
                <w:top w:val="single" w:sz="0" w:space="0" w:color="05183C"/>
                <w:left w:val="single" w:sz="0" w:space="0" w:color="05183C"/>
                <w:bottom w:val="single" w:sz="0" w:space="0" w:color="05183C"/>
                <w:right w:val="single" w:sz="0" w:space="0" w:color="05183C"/>
              </w:pBdr>
              <w:shd w:val="clear" w:color="auto" w:fill="05183C"/>
              <w:tabs>
                <w:tab w:pos="1166" w:val="left"/>
                <w:tab w:pos="1958" w:val="left"/>
                <w:tab w:pos="2971" w:val="left"/>
              </w:tabs>
              <w:bidi w:val="0"/>
              <w:spacing w:before="0" w:after="0" w:line="240" w:lineRule="auto"/>
              <w:ind w:left="0" w:right="0" w:firstLine="0"/>
              <w:jc w:val="left"/>
              <w:rPr>
                <w:sz w:val="11"/>
                <w:szCs w:val="11"/>
              </w:rPr>
            </w:pPr>
            <w:r>
              <w:rPr>
                <w:rFonts w:ascii="SimHei" w:eastAsia="SimHei" w:hAnsi="SimHei" w:cs="SimHei"/>
                <w:color w:val="C7A917"/>
                <w:spacing w:val="0"/>
                <w:w w:val="100"/>
                <w:position w:val="0"/>
                <w:sz w:val="11"/>
                <w:szCs w:val="11"/>
              </w:rPr>
              <w:t>王土</w:t>
            </w:r>
            <w:r>
              <w:rPr>
                <w:rFonts w:ascii="Arial" w:eastAsia="Arial" w:hAnsi="Arial" w:cs="Arial"/>
                <w:color w:val="C7A917"/>
                <w:spacing w:val="0"/>
                <w:w w:val="100"/>
                <w:position w:val="0"/>
                <w:sz w:val="9"/>
                <w:szCs w:val="9"/>
              </w:rPr>
              <w:t>•</w:t>
            </w:r>
            <w:r>
              <w:rPr>
                <w:rFonts w:ascii="SimHei" w:eastAsia="SimHei" w:hAnsi="SimHei" w:cs="SimHei"/>
                <w:color w:val="C7A917"/>
                <w:spacing w:val="0"/>
                <w:w w:val="100"/>
                <w:position w:val="0"/>
                <w:sz w:val="11"/>
                <w:szCs w:val="11"/>
              </w:rPr>
              <w:t>室二丘</w:t>
              <w:tab/>
            </w:r>
            <w:r>
              <w:rPr>
                <w:rFonts w:ascii="Arial" w:eastAsia="Arial" w:hAnsi="Arial" w:cs="Arial"/>
                <w:color w:val="C8C143"/>
                <w:spacing w:val="0"/>
                <w:w w:val="100"/>
                <w:position w:val="0"/>
                <w:sz w:val="9"/>
                <w:szCs w:val="9"/>
              </w:rPr>
              <w:t>•</w:t>
            </w:r>
            <w:r>
              <w:rPr>
                <w:rFonts w:ascii="SimHei" w:eastAsia="SimHei" w:hAnsi="SimHei" w:cs="SimHei"/>
                <w:color w:val="C8C143"/>
                <w:spacing w:val="0"/>
                <w:w w:val="100"/>
                <w:position w:val="0"/>
                <w:sz w:val="11"/>
                <w:szCs w:val="11"/>
              </w:rPr>
              <w:t xml:space="preserve"> </w:t>
            </w:r>
            <w:r>
              <w:rPr>
                <w:rFonts w:ascii="Arial" w:eastAsia="Arial" w:hAnsi="Arial" w:cs="Arial"/>
                <w:color w:val="C8C143"/>
                <w:spacing w:val="0"/>
                <w:w w:val="100"/>
                <w:position w:val="0"/>
                <w:sz w:val="9"/>
                <w:szCs w:val="9"/>
              </w:rPr>
              <w:t>•</w:t>
            </w:r>
            <w:r>
              <w:rPr>
                <w:rFonts w:ascii="SimHei" w:eastAsia="SimHei" w:hAnsi="SimHei" w:cs="SimHei"/>
                <w:color w:val="C8C143"/>
                <w:spacing w:val="0"/>
                <w:w w:val="100"/>
                <w:position w:val="0"/>
                <w:sz w:val="11"/>
                <w:szCs w:val="11"/>
              </w:rPr>
              <w:tab/>
            </w:r>
            <w:r>
              <w:rPr>
                <w:rFonts w:ascii="Arial" w:eastAsia="Arial" w:hAnsi="Arial" w:cs="Arial"/>
                <w:color w:val="C8C143"/>
                <w:spacing w:val="0"/>
                <w:w w:val="100"/>
                <w:position w:val="0"/>
                <w:sz w:val="9"/>
                <w:szCs w:val="9"/>
              </w:rPr>
              <w:t>•</w:t>
            </w:r>
            <w:r>
              <w:rPr>
                <w:rFonts w:ascii="SimHei" w:eastAsia="SimHei" w:hAnsi="SimHei" w:cs="SimHei"/>
                <w:color w:val="C8C143"/>
                <w:spacing w:val="0"/>
                <w:w w:val="100"/>
                <w:position w:val="0"/>
                <w:sz w:val="11"/>
                <w:szCs w:val="11"/>
              </w:rPr>
              <w:t xml:space="preserve"> </w:t>
            </w:r>
            <w:r>
              <w:rPr>
                <w:rFonts w:ascii="SimHei" w:eastAsia="SimHei" w:hAnsi="SimHei" w:cs="SimHei"/>
                <w:color w:val="C8C143"/>
                <w:spacing w:val="0"/>
                <w:w w:val="100"/>
                <w:position w:val="0"/>
                <w:sz w:val="11"/>
                <w:szCs w:val="11"/>
              </w:rPr>
              <w:t xml:space="preserve">- </w:t>
            </w:r>
            <w:r>
              <w:rPr>
                <w:rFonts w:ascii="SimHei" w:eastAsia="SimHei" w:hAnsi="SimHei" w:cs="SimHei"/>
                <w:color w:val="C8C143"/>
                <w:spacing w:val="0"/>
                <w:w w:val="100"/>
                <w:position w:val="0"/>
                <w:sz w:val="11"/>
                <w:szCs w:val="11"/>
              </w:rPr>
              <w:t>*</w:t>
              <w:tab/>
            </w:r>
            <w:r>
              <w:rPr>
                <w:rFonts w:ascii="SimHei" w:eastAsia="SimHei" w:hAnsi="SimHei" w:cs="SimHei"/>
                <w:color w:val="C8C143"/>
                <w:spacing w:val="0"/>
                <w:w w:val="100"/>
                <w:position w:val="0"/>
                <w:sz w:val="11"/>
                <w:szCs w:val="11"/>
              </w:rPr>
              <w:t>~-</w:t>
            </w:r>
          </w:p>
          <w:p>
            <w:pPr>
              <w:pStyle w:val="Style2"/>
              <w:keepNext w:val="0"/>
              <w:keepLines w:val="0"/>
              <w:widowControl w:val="0"/>
              <w:pBdr>
                <w:top w:val="single" w:sz="0" w:space="0" w:color="05183C"/>
                <w:left w:val="single" w:sz="0" w:space="0" w:color="05183C"/>
                <w:bottom w:val="single" w:sz="0" w:space="0" w:color="05183C"/>
                <w:right w:val="single" w:sz="0" w:space="0" w:color="05183C"/>
              </w:pBdr>
              <w:shd w:val="clear" w:color="auto" w:fill="05183C"/>
              <w:tabs>
                <w:tab w:pos="2382" w:val="left"/>
              </w:tabs>
              <w:bidi w:val="0"/>
              <w:spacing w:before="0" w:after="0" w:line="240" w:lineRule="auto"/>
              <w:ind w:left="1220" w:right="0" w:firstLine="0"/>
              <w:jc w:val="left"/>
              <w:rPr>
                <w:sz w:val="8"/>
                <w:szCs w:val="8"/>
              </w:rPr>
            </w:pPr>
            <w:r>
              <w:rPr>
                <w:rFonts w:ascii="Arial" w:eastAsia="Arial" w:hAnsi="Arial" w:cs="Arial"/>
                <w:b/>
                <w:bCs/>
                <w:color w:val="6C7D90"/>
                <w:spacing w:val="0"/>
                <w:w w:val="100"/>
                <w:position w:val="0"/>
                <w:sz w:val="8"/>
                <w:szCs w:val="8"/>
              </w:rPr>
              <w:t xml:space="preserve">U&lt;W« </w:t>
            </w:r>
            <w:r>
              <w:rPr>
                <w:rFonts w:ascii="SimHei" w:eastAsia="SimHei" w:hAnsi="SimHei" w:cs="SimHei"/>
                <w:color w:val="C8C143"/>
                <w:spacing w:val="0"/>
                <w:w w:val="100"/>
                <w:position w:val="0"/>
                <w:sz w:val="11"/>
                <w:szCs w:val="11"/>
              </w:rPr>
              <w:t>飞</w:t>
              <w:tab/>
            </w:r>
            <w:r>
              <w:rPr>
                <w:rFonts w:ascii="Arial" w:eastAsia="Arial" w:hAnsi="Arial" w:cs="Arial"/>
                <w:b/>
                <w:bCs/>
                <w:color w:val="C8C143"/>
                <w:spacing w:val="0"/>
                <w:w w:val="100"/>
                <w:position w:val="0"/>
                <w:sz w:val="8"/>
                <w:szCs w:val="8"/>
                <w:vertAlign w:val="superscript"/>
              </w:rPr>
              <w:t>1</w:t>
            </w:r>
            <w:r>
              <w:rPr>
                <w:rFonts w:ascii="Arial" w:eastAsia="Arial" w:hAnsi="Arial" w:cs="Arial"/>
                <w:b/>
                <w:bCs/>
                <w:color w:val="C8C143"/>
                <w:spacing w:val="0"/>
                <w:w w:val="100"/>
                <w:position w:val="0"/>
                <w:sz w:val="8"/>
                <w:szCs w:val="8"/>
              </w:rPr>
              <w:t xml:space="preserve"> </w:t>
            </w:r>
            <w:r>
              <w:rPr>
                <w:rFonts w:ascii="Arial" w:eastAsia="Arial" w:hAnsi="Arial" w:cs="Arial"/>
                <w:b/>
                <w:bCs/>
                <w:color w:val="3B8BD9"/>
                <w:spacing w:val="0"/>
                <w:w w:val="100"/>
                <w:position w:val="0"/>
                <w:sz w:val="8"/>
                <w:szCs w:val="8"/>
              </w:rPr>
              <w:t xml:space="preserve">I </w:t>
            </w:r>
            <w:r>
              <w:rPr>
                <w:rFonts w:ascii="Arial" w:eastAsia="Arial" w:hAnsi="Arial" w:cs="Arial"/>
                <w:b/>
                <w:bCs/>
                <w:color w:val="3B8BD9"/>
                <w:spacing w:val="0"/>
                <w:w w:val="100"/>
                <w:position w:val="0"/>
                <w:sz w:val="8"/>
                <w:szCs w:val="8"/>
                <w:vertAlign w:val="subscript"/>
              </w:rPr>
              <w:t>B</w:t>
            </w:r>
          </w:p>
          <w:p>
            <w:pPr>
              <w:pStyle w:val="Style2"/>
              <w:keepNext w:val="0"/>
              <w:keepLines w:val="0"/>
              <w:widowControl w:val="0"/>
              <w:pBdr>
                <w:top w:val="single" w:sz="0" w:space="0" w:color="05183C"/>
                <w:left w:val="single" w:sz="0" w:space="0" w:color="05183C"/>
                <w:bottom w:val="single" w:sz="0" w:space="0" w:color="05183C"/>
                <w:right w:val="single" w:sz="0" w:space="0" w:color="05183C"/>
              </w:pBdr>
              <w:shd w:val="clear" w:color="auto" w:fill="05183C"/>
              <w:tabs>
                <w:tab w:pos="1435" w:val="left"/>
                <w:tab w:pos="2266" w:val="left"/>
              </w:tabs>
              <w:bidi w:val="0"/>
              <w:spacing w:before="0" w:after="80" w:line="180" w:lineRule="auto"/>
              <w:ind w:left="0" w:right="0" w:firstLine="240"/>
              <w:jc w:val="left"/>
              <w:rPr>
                <w:sz w:val="11"/>
                <w:szCs w:val="11"/>
              </w:rPr>
            </w:pPr>
            <w:r>
              <w:rPr>
                <w:rFonts w:ascii="Arial" w:eastAsia="Arial" w:hAnsi="Arial" w:cs="Arial"/>
                <w:b/>
                <w:bCs/>
                <w:color w:val="596894"/>
                <w:spacing w:val="0"/>
                <w:w w:val="100"/>
                <w:position w:val="0"/>
                <w:sz w:val="8"/>
                <w:szCs w:val="8"/>
              </w:rPr>
              <w:t xml:space="preserve">- </w:t>
            </w:r>
            <w:r>
              <w:rPr>
                <w:rFonts w:ascii="Arial" w:eastAsia="Arial" w:hAnsi="Arial" w:cs="Arial"/>
                <w:b/>
                <w:bCs/>
                <w:color w:val="7387AC"/>
                <w:spacing w:val="0"/>
                <w:w w:val="100"/>
                <w:position w:val="0"/>
                <w:sz w:val="8"/>
                <w:szCs w:val="8"/>
              </w:rPr>
              <w:t>■■ - "■</w:t>
              <w:tab/>
            </w:r>
            <w:r>
              <w:rPr>
                <w:rFonts w:ascii="Arial" w:eastAsia="Arial" w:hAnsi="Arial" w:cs="Arial"/>
                <w:b/>
                <w:bCs/>
                <w:color w:val="6C7D90"/>
                <w:spacing w:val="0"/>
                <w:w w:val="100"/>
                <w:position w:val="0"/>
                <w:sz w:val="8"/>
                <w:szCs w:val="8"/>
              </w:rPr>
              <w:t>■—</w:t>
              <w:tab/>
            </w:r>
            <w:r>
              <w:rPr>
                <w:rFonts w:ascii="Arial" w:eastAsia="Arial" w:hAnsi="Arial" w:cs="Arial"/>
                <w:b/>
                <w:bCs/>
                <w:color w:val="6C7D90"/>
                <w:spacing w:val="0"/>
                <w:w w:val="100"/>
                <w:position w:val="0"/>
                <w:sz w:val="8"/>
                <w:szCs w:val="8"/>
              </w:rPr>
              <w:t xml:space="preserve">. </w:t>
            </w:r>
            <w:r>
              <w:rPr>
                <w:rFonts w:ascii="Arial" w:eastAsia="Arial" w:hAnsi="Arial" w:cs="Arial"/>
                <w:b/>
                <w:bCs/>
                <w:color w:val="8EA2C5"/>
                <w:spacing w:val="0"/>
                <w:w w:val="100"/>
                <w:position w:val="0"/>
                <w:sz w:val="8"/>
                <w:szCs w:val="8"/>
              </w:rPr>
              <w:t xml:space="preserve">— </w:t>
            </w:r>
            <w:r>
              <w:rPr>
                <w:rFonts w:ascii="Arial" w:eastAsia="Arial" w:hAnsi="Arial" w:cs="Arial"/>
                <w:b/>
                <w:bCs/>
                <w:color w:val="3B8BD9"/>
                <w:spacing w:val="0"/>
                <w:w w:val="100"/>
                <w:position w:val="0"/>
                <w:sz w:val="8"/>
                <w:szCs w:val="8"/>
              </w:rPr>
              <w:t xml:space="preserve">NM </w:t>
            </w:r>
            <w:r>
              <w:rPr>
                <w:rFonts w:ascii="Arial" w:eastAsia="Arial" w:hAnsi="Arial" w:cs="Arial"/>
                <w:b/>
                <w:bCs/>
                <w:color w:val="3B8BD9"/>
                <w:spacing w:val="0"/>
                <w:w w:val="100"/>
                <w:position w:val="0"/>
                <w:sz w:val="8"/>
                <w:szCs w:val="8"/>
                <w:u w:val="single"/>
              </w:rPr>
              <w:t>1_</w:t>
            </w:r>
            <w:r>
              <w:rPr>
                <w:rFonts w:ascii="SimHei" w:eastAsia="SimHei" w:hAnsi="SimHei" w:cs="SimHei"/>
                <w:color w:val="3B8BD9"/>
                <w:spacing w:val="0"/>
                <w:w w:val="100"/>
                <w:position w:val="0"/>
                <w:sz w:val="11"/>
                <w:szCs w:val="11"/>
                <w:u w:val="single"/>
              </w:rPr>
              <w:t>七</w:t>
            </w:r>
            <w:r>
              <w:rPr>
                <w:rFonts w:ascii="SimHei" w:eastAsia="SimHei" w:hAnsi="SimHei" w:cs="SimHei"/>
                <w:i/>
                <w:iCs/>
                <w:color w:val="6C7D90"/>
                <w:spacing w:val="0"/>
                <w:w w:val="100"/>
                <w:position w:val="0"/>
                <w:sz w:val="11"/>
                <w:szCs w:val="11"/>
              </w:rPr>
              <w:t>-二-</w:t>
            </w:r>
          </w:p>
          <w:p>
            <w:pPr>
              <w:pStyle w:val="Style2"/>
              <w:keepNext w:val="0"/>
              <w:keepLines w:val="0"/>
              <w:widowControl w:val="0"/>
              <w:pBdr>
                <w:top w:val="single" w:sz="0" w:space="0" w:color="05183C"/>
                <w:left w:val="single" w:sz="0" w:space="0" w:color="05183C"/>
                <w:bottom w:val="single" w:sz="0" w:space="0" w:color="05183C"/>
                <w:right w:val="single" w:sz="0" w:space="0" w:color="05183C"/>
              </w:pBdr>
              <w:shd w:val="clear" w:color="auto" w:fill="05183C"/>
              <w:tabs>
                <w:tab w:leader="dot" w:pos="1413" w:val="left"/>
              </w:tabs>
              <w:bidi w:val="0"/>
              <w:spacing w:before="0" w:after="80" w:line="240" w:lineRule="auto"/>
              <w:ind w:left="0" w:right="0" w:firstLine="160"/>
              <w:jc w:val="left"/>
              <w:rPr>
                <w:sz w:val="11"/>
                <w:szCs w:val="11"/>
              </w:rPr>
            </w:pPr>
            <w:r>
              <w:rPr>
                <w:rFonts w:ascii="Arial" w:eastAsia="Arial" w:hAnsi="Arial" w:cs="Arial"/>
                <w:color w:val="8D4CDA"/>
                <w:spacing w:val="0"/>
                <w:w w:val="100"/>
                <w:position w:val="0"/>
                <w:sz w:val="9"/>
                <w:szCs w:val="9"/>
              </w:rPr>
              <w:t>©</w:t>
            </w:r>
            <w:r>
              <w:rPr>
                <w:rFonts w:ascii="SimHei" w:eastAsia="SimHei" w:hAnsi="SimHei" w:cs="SimHei"/>
                <w:color w:val="8D4CDA"/>
                <w:spacing w:val="0"/>
                <w:w w:val="100"/>
                <w:position w:val="0"/>
                <w:sz w:val="11"/>
                <w:szCs w:val="11"/>
              </w:rPr>
              <w:t xml:space="preserve"> </w:t>
            </w:r>
            <w:r>
              <w:rPr>
                <w:rFonts w:ascii="SimHei" w:eastAsia="SimHei" w:hAnsi="SimHei" w:cs="SimHei"/>
                <w:color w:val="8D4CDA"/>
                <w:spacing w:val="0"/>
                <w:w w:val="100"/>
                <w:position w:val="0"/>
                <w:sz w:val="11"/>
                <w:szCs w:val="11"/>
              </w:rPr>
              <w:t xml:space="preserve">一 </w:t>
            </w:r>
            <w:r>
              <w:rPr>
                <w:rFonts w:ascii="SimHei" w:eastAsia="SimHei" w:hAnsi="SimHei" w:cs="SimHei"/>
                <w:color w:val="7387AC"/>
                <w:spacing w:val="0"/>
                <w:w w:val="100"/>
                <w:position w:val="0"/>
                <w:sz w:val="11"/>
                <w:szCs w:val="11"/>
              </w:rPr>
              <w:tab/>
              <w:t xml:space="preserve"> </w:t>
            </w:r>
            <w:r>
              <w:rPr>
                <w:rFonts w:ascii="SimHei" w:eastAsia="SimHei" w:hAnsi="SimHei" w:cs="SimHei"/>
                <w:color w:val="B5C5DE"/>
                <w:spacing w:val="0"/>
                <w:w w:val="100"/>
                <w:position w:val="0"/>
                <w:sz w:val="11"/>
                <w:szCs w:val="11"/>
              </w:rPr>
              <w:t xml:space="preserve">&amp; </w:t>
            </w:r>
            <w:r>
              <w:rPr>
                <w:rFonts w:ascii="SimHei" w:eastAsia="SimHei" w:hAnsi="SimHei" w:cs="SimHei"/>
                <w:color w:val="B5C5DE"/>
                <w:spacing w:val="0"/>
                <w:w w:val="100"/>
                <w:position w:val="0"/>
                <w:sz w:val="11"/>
                <w:szCs w:val="11"/>
              </w:rPr>
              <w:t>.</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66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51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b/>
                <w:bCs/>
                <w:color w:val="000000"/>
                <w:spacing w:val="0"/>
                <w:w w:val="100"/>
                <w:position w:val="0"/>
              </w:rPr>
              <w:t>环保大</w:t>
            </w:r>
          </w:p>
          <w:p>
            <w:pPr>
              <w:pStyle w:val="Style2"/>
              <w:keepNext w:val="0"/>
              <w:keepLines w:val="0"/>
              <w:widowControl w:val="0"/>
              <w:shd w:val="clear" w:color="auto" w:fill="auto"/>
              <w:bidi w:val="0"/>
              <w:spacing w:before="0" w:after="60" w:line="240" w:lineRule="auto"/>
              <w:ind w:left="0" w:right="0" w:firstLine="0"/>
              <w:jc w:val="both"/>
            </w:pPr>
            <w:r>
              <w:rPr>
                <w:b/>
                <w:bCs/>
                <w:color w:val="000000"/>
                <w:spacing w:val="0"/>
                <w:w w:val="100"/>
                <w:position w:val="0"/>
              </w:rPr>
              <w:t>数据管</w:t>
            </w:r>
          </w:p>
          <w:p>
            <w:pPr>
              <w:pStyle w:val="Style2"/>
              <w:keepNext w:val="0"/>
              <w:keepLines w:val="0"/>
              <w:widowControl w:val="0"/>
              <w:shd w:val="clear" w:color="auto" w:fill="auto"/>
              <w:bidi w:val="0"/>
              <w:spacing w:before="0" w:after="60" w:line="240" w:lineRule="auto"/>
              <w:ind w:left="0" w:right="0" w:firstLine="0"/>
              <w:jc w:val="both"/>
            </w:pPr>
            <w:r>
              <w:rPr>
                <w:b/>
                <w:bCs/>
                <w:color w:val="000000"/>
                <w:spacing w:val="0"/>
                <w:w w:val="100"/>
                <w:position w:val="0"/>
              </w:rPr>
              <w:t>理平台</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通过数据可视化展示了生态环境信息资源 数据的存储和分布情况，实现大数据平台之 间的数据交换、数据整合以及对外的数据共 享和服务。目前该平台归集的数据总量接近 7000万条，数据类型涵盖生态环境质量数 据、环境业务数据以及落实企业主体责任的 精细化管控数据。利用可视化界面更形象更 直观的展示了智慧环保理念中的大环保、大 数据。</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大数据整合，大 数据共享。</w:t>
            </w:r>
          </w:p>
        </w:tc>
      </w:tr>
      <w:tr>
        <w:trPr>
          <w:trHeight w:val="1819" w:hRule="exact"/>
        </w:trPr>
        <w:tc>
          <w:tcPr>
            <w:vMerge/>
            <w:tcBorders>
              <w:left w:val="single" w:sz="4"/>
            </w:tcBorders>
            <w:shd w:val="clear" w:color="auto" w:fill="FFFFFF"/>
            <w:vAlign w:val="center"/>
          </w:tcPr>
          <w:p>
            <w:pPr/>
          </w:p>
        </w:tc>
        <w:tc>
          <w:tcPr>
            <w:tcBorders>
              <w:left w:val="single" w:sz="4"/>
            </w:tcBorders>
            <w:shd w:val="clear" w:color="auto" w:fill="020A1E"/>
            <w:vAlign w:val="bottom"/>
          </w:tcPr>
          <w:p>
            <w:pPr>
              <w:pStyle w:val="Style2"/>
              <w:keepNext w:val="0"/>
              <w:keepLines w:val="0"/>
              <w:widowControl w:val="0"/>
              <w:pBdr>
                <w:top w:val="single" w:sz="0" w:space="0" w:color="020A1E"/>
                <w:left w:val="single" w:sz="0" w:space="0" w:color="020A1E"/>
                <w:bottom w:val="single" w:sz="0" w:space="0" w:color="020A1E"/>
                <w:right w:val="single" w:sz="0" w:space="0" w:color="020A1E"/>
              </w:pBdr>
              <w:shd w:val="clear" w:color="auto" w:fill="020A1E"/>
              <w:tabs>
                <w:tab w:pos="346" w:val="left"/>
                <w:tab w:pos="1555" w:val="left"/>
              </w:tabs>
              <w:bidi w:val="0"/>
              <w:spacing w:before="0" w:after="0" w:line="240" w:lineRule="auto"/>
              <w:ind w:left="0" w:right="0" w:firstLine="0"/>
              <w:jc w:val="left"/>
              <w:rPr>
                <w:sz w:val="10"/>
                <w:szCs w:val="10"/>
              </w:rPr>
            </w:pPr>
            <w:r>
              <w:rPr>
                <w:rFonts w:ascii="Times New Roman" w:eastAsia="Times New Roman" w:hAnsi="Times New Roman" w:cs="Times New Roman"/>
                <w:i/>
                <w:iCs/>
                <w:color w:val="17538A"/>
                <w:spacing w:val="0"/>
                <w:w w:val="100"/>
                <w:position w:val="0"/>
                <w:sz w:val="18"/>
                <w:szCs w:val="18"/>
              </w:rPr>
              <w:t>a</w:t>
            </w:r>
            <w:r>
              <w:rPr>
                <w:rFonts w:ascii="SimHei" w:eastAsia="SimHei" w:hAnsi="SimHei" w:cs="SimHei"/>
                <w:color w:val="17538A"/>
                <w:spacing w:val="0"/>
                <w:w w:val="100"/>
                <w:position w:val="0"/>
                <w:sz w:val="11"/>
                <w:szCs w:val="11"/>
              </w:rPr>
              <w:tab/>
            </w:r>
            <w:r>
              <w:rPr>
                <w:rFonts w:ascii="SimHei" w:eastAsia="SimHei" w:hAnsi="SimHei" w:cs="SimHei"/>
                <w:color w:val="17538A"/>
                <w:spacing w:val="0"/>
                <w:w w:val="100"/>
                <w:position w:val="0"/>
                <w:sz w:val="11"/>
                <w:szCs w:val="11"/>
              </w:rPr>
              <w:t xml:space="preserve">降 </w:t>
            </w:r>
            <w:r>
              <w:rPr>
                <w:rFonts w:ascii="SimHei" w:eastAsia="SimHei" w:hAnsi="SimHei" w:cs="SimHei"/>
                <w:color w:val="334B6D"/>
                <w:spacing w:val="0"/>
                <w:w w:val="100"/>
                <w:position w:val="0"/>
                <w:sz w:val="11"/>
                <w:szCs w:val="11"/>
              </w:rPr>
              <w:t xml:space="preserve">j </w:t>
            </w:r>
            <w:r>
              <w:rPr>
                <w:rFonts w:ascii="Arial" w:eastAsia="Arial" w:hAnsi="Arial" w:cs="Arial"/>
                <w:b/>
                <w:bCs/>
                <w:color w:val="2D92AA"/>
                <w:spacing w:val="0"/>
                <w:w w:val="100"/>
                <w:position w:val="0"/>
                <w:sz w:val="8"/>
                <w:szCs w:val="8"/>
              </w:rPr>
              <w:t xml:space="preserve">x </w:t>
            </w:r>
            <w:r>
              <w:rPr>
                <w:rFonts w:ascii="Arial" w:eastAsia="Arial" w:hAnsi="Arial" w:cs="Arial"/>
                <w:b/>
                <w:bCs/>
                <w:color w:val="334B6D"/>
                <w:spacing w:val="0"/>
                <w:w w:val="100"/>
                <w:position w:val="0"/>
                <w:sz w:val="8"/>
                <w:szCs w:val="8"/>
              </w:rPr>
              <w:t xml:space="preserve">j </w:t>
            </w:r>
            <w:r>
              <w:rPr>
                <w:rFonts w:ascii="Arial" w:eastAsia="Arial" w:hAnsi="Arial" w:cs="Arial"/>
                <w:b/>
                <w:bCs/>
                <w:color w:val="2D92AA"/>
                <w:spacing w:val="0"/>
                <w:w w:val="100"/>
                <w:position w:val="0"/>
                <w:sz w:val="8"/>
                <w:szCs w:val="8"/>
              </w:rPr>
              <w:t xml:space="preserve">a </w:t>
            </w:r>
            <w:r>
              <w:rPr>
                <w:rFonts w:ascii="Times New Roman" w:eastAsia="Times New Roman" w:hAnsi="Times New Roman" w:cs="Times New Roman"/>
                <w:i/>
                <w:iCs/>
                <w:color w:val="334B6D"/>
                <w:spacing w:val="0"/>
                <w:w w:val="100"/>
                <w:position w:val="0"/>
                <w:sz w:val="18"/>
                <w:szCs w:val="18"/>
              </w:rPr>
              <w:t>z....</w:t>
            </w:r>
            <w:r>
              <w:rPr>
                <w:rFonts w:ascii="Arial" w:eastAsia="Arial" w:hAnsi="Arial" w:cs="Arial"/>
                <w:b/>
                <w:bCs/>
                <w:color w:val="334B6D"/>
                <w:spacing w:val="0"/>
                <w:w w:val="100"/>
                <w:position w:val="0"/>
                <w:sz w:val="8"/>
                <w:szCs w:val="8"/>
              </w:rPr>
              <w:tab/>
            </w:r>
            <w:r>
              <w:rPr>
                <w:rFonts w:ascii="Arial" w:eastAsia="Arial" w:hAnsi="Arial" w:cs="Arial"/>
                <w:b/>
                <w:bCs/>
                <w:color w:val="2D92AA"/>
                <w:spacing w:val="0"/>
                <w:w w:val="100"/>
                <w:position w:val="0"/>
                <w:sz w:val="8"/>
                <w:szCs w:val="8"/>
              </w:rPr>
              <w:t xml:space="preserve">4 </w:t>
            </w:r>
            <w:r>
              <w:rPr>
                <w:rFonts w:ascii="Arial" w:eastAsia="Arial" w:hAnsi="Arial" w:cs="Arial"/>
                <w:b/>
                <w:bCs/>
                <w:color w:val="17538A"/>
                <w:spacing w:val="0"/>
                <w:w w:val="100"/>
                <w:position w:val="0"/>
                <w:sz w:val="8"/>
                <w:szCs w:val="8"/>
              </w:rPr>
              <w:t xml:space="preserve">s~ </w:t>
            </w:r>
            <w:r>
              <w:rPr>
                <w:rFonts w:ascii="Arial" w:eastAsia="Arial" w:hAnsi="Arial" w:cs="Arial"/>
                <w:b/>
                <w:bCs/>
                <w:color w:val="2D92AA"/>
                <w:spacing w:val="0"/>
                <w:w w:val="100"/>
                <w:position w:val="0"/>
                <w:sz w:val="8"/>
                <w:szCs w:val="8"/>
              </w:rPr>
              <w:t xml:space="preserve">■ </w:t>
            </w:r>
            <w:r>
              <w:rPr>
                <w:rFonts w:ascii="Arial" w:eastAsia="Arial" w:hAnsi="Arial" w:cs="Arial"/>
                <w:b/>
                <w:bCs/>
                <w:color w:val="17538A"/>
                <w:spacing w:val="0"/>
                <w:w w:val="100"/>
                <w:position w:val="0"/>
                <w:sz w:val="8"/>
                <w:szCs w:val="8"/>
              </w:rPr>
              <w:t xml:space="preserve">■?— </w:t>
            </w:r>
            <w:r>
              <w:rPr>
                <w:rFonts w:ascii="Times New Roman" w:eastAsia="Times New Roman" w:hAnsi="Times New Roman" w:cs="Times New Roman"/>
                <w:i/>
                <w:iCs/>
                <w:color w:val="2D92AA"/>
                <w:spacing w:val="0"/>
                <w:w w:val="100"/>
                <w:position w:val="0"/>
                <w:sz w:val="18"/>
                <w:szCs w:val="18"/>
              </w:rPr>
              <w:t xml:space="preserve">t </w:t>
            </w:r>
            <w:r>
              <w:rPr>
                <w:rFonts w:ascii="SimHei" w:eastAsia="SimHei" w:hAnsi="SimHei" w:cs="SimHei"/>
                <w:i/>
                <w:iCs/>
                <w:color w:val="334B6D"/>
                <w:spacing w:val="0"/>
                <w:w w:val="100"/>
                <w:position w:val="0"/>
                <w:sz w:val="11"/>
                <w:szCs w:val="11"/>
              </w:rPr>
              <w:t>孩“</w:t>
            </w:r>
            <w:r>
              <w:rPr>
                <w:rFonts w:ascii="Arial" w:eastAsia="Arial" w:hAnsi="Arial" w:cs="Arial"/>
                <w:b/>
                <w:bCs/>
                <w:color w:val="334B6D"/>
                <w:spacing w:val="0"/>
                <w:w w:val="100"/>
                <w:position w:val="0"/>
                <w:sz w:val="8"/>
                <w:szCs w:val="8"/>
              </w:rPr>
              <w:t xml:space="preserve"> </w:t>
            </w:r>
            <w:r>
              <w:rPr>
                <w:rFonts w:ascii="Arial" w:eastAsia="Arial" w:hAnsi="Arial" w:cs="Arial"/>
                <w:b/>
                <w:bCs/>
                <w:color w:val="2D92AA"/>
                <w:spacing w:val="0"/>
                <w:w w:val="100"/>
                <w:position w:val="0"/>
                <w:sz w:val="8"/>
                <w:szCs w:val="8"/>
              </w:rPr>
              <w:t xml:space="preserve">v </w:t>
            </w:r>
            <w:r>
              <w:rPr>
                <w:rFonts w:ascii="Arial" w:eastAsia="Arial" w:hAnsi="Arial" w:cs="Arial"/>
                <w:b/>
                <w:bCs/>
                <w:color w:val="334B6D"/>
                <w:spacing w:val="0"/>
                <w:w w:val="100"/>
                <w:position w:val="0"/>
                <w:sz w:val="8"/>
                <w:szCs w:val="8"/>
              </w:rPr>
              <w:t xml:space="preserve">=- </w:t>
            </w:r>
            <w:r>
              <w:rPr>
                <w:rFonts w:ascii="Times New Roman" w:eastAsia="Times New Roman" w:hAnsi="Times New Roman" w:cs="Times New Roman"/>
                <w:smallCaps/>
                <w:color w:val="2D92AA"/>
                <w:spacing w:val="0"/>
                <w:w w:val="100"/>
                <w:position w:val="0"/>
                <w:sz w:val="10"/>
                <w:szCs w:val="10"/>
              </w:rPr>
              <w:t>b</w:t>
            </w:r>
          </w:p>
          <w:p>
            <w:pPr>
              <w:pStyle w:val="Style2"/>
              <w:keepNext w:val="0"/>
              <w:keepLines w:val="0"/>
              <w:widowControl w:val="0"/>
              <w:pBdr>
                <w:top w:val="single" w:sz="0" w:space="0" w:color="020A1E"/>
                <w:left w:val="single" w:sz="0" w:space="0" w:color="020A1E"/>
                <w:bottom w:val="single" w:sz="0" w:space="0" w:color="020A1E"/>
                <w:right w:val="single" w:sz="0" w:space="0" w:color="020A1E"/>
              </w:pBdr>
              <w:shd w:val="clear" w:color="auto" w:fill="020A1E"/>
              <w:tabs>
                <w:tab w:pos="682" w:val="left"/>
                <w:tab w:pos="2990" w:val="left"/>
              </w:tabs>
              <w:bidi w:val="0"/>
              <w:spacing w:before="0" w:after="200" w:line="240" w:lineRule="auto"/>
              <w:ind w:left="0" w:right="0" w:firstLine="0"/>
              <w:jc w:val="left"/>
              <w:rPr>
                <w:sz w:val="11"/>
                <w:szCs w:val="11"/>
              </w:rPr>
            </w:pPr>
            <w:r>
              <w:rPr>
                <w:rFonts w:ascii="SimHei" w:eastAsia="SimHei" w:hAnsi="SimHei" w:cs="SimHei"/>
                <w:color w:val="17538A"/>
                <w:spacing w:val="0"/>
                <w:w w:val="100"/>
                <w:position w:val="0"/>
                <w:sz w:val="11"/>
                <w:szCs w:val="11"/>
              </w:rPr>
              <w:t xml:space="preserve">■ </w:t>
            </w:r>
            <w:r>
              <w:rPr>
                <w:rFonts w:ascii="SimHei" w:eastAsia="SimHei" w:hAnsi="SimHei" w:cs="SimHei"/>
                <w:color w:val="334B6D"/>
                <w:spacing w:val="0"/>
                <w:w w:val="100"/>
                <w:position w:val="0"/>
                <w:sz w:val="11"/>
                <w:szCs w:val="11"/>
              </w:rPr>
              <w:t>j.</w:t>
              <w:tab/>
            </w:r>
            <w:r>
              <w:rPr>
                <w:rFonts w:ascii="Arial" w:eastAsia="Arial" w:hAnsi="Arial" w:cs="Arial"/>
                <w:color w:val="2D92AA"/>
                <w:spacing w:val="0"/>
                <w:w w:val="100"/>
                <w:position w:val="0"/>
                <w:sz w:val="9"/>
                <w:szCs w:val="9"/>
              </w:rPr>
              <w:t>»</w:t>
            </w:r>
            <w:r>
              <w:rPr>
                <w:rFonts w:ascii="SimHei" w:eastAsia="SimHei" w:hAnsi="SimHei" w:cs="SimHei"/>
                <w:color w:val="17538A"/>
                <w:spacing w:val="0"/>
                <w:w w:val="100"/>
                <w:position w:val="0"/>
                <w:sz w:val="11"/>
                <w:szCs w:val="11"/>
              </w:rPr>
              <w:t xml:space="preserve">■.= </w:t>
            </w:r>
            <w:r>
              <w:rPr>
                <w:rFonts w:ascii="Arial" w:eastAsia="Arial" w:hAnsi="Arial" w:cs="Arial"/>
                <w:color w:val="17538A"/>
                <w:spacing w:val="0"/>
                <w:w w:val="100"/>
                <w:position w:val="0"/>
                <w:sz w:val="9"/>
                <w:szCs w:val="9"/>
              </w:rPr>
              <w:t>•</w:t>
            </w:r>
            <w:r>
              <w:rPr>
                <w:rFonts w:ascii="SimHei" w:eastAsia="SimHei" w:hAnsi="SimHei" w:cs="SimHei"/>
                <w:color w:val="17538A"/>
                <w:spacing w:val="0"/>
                <w:w w:val="100"/>
                <w:position w:val="0"/>
                <w:sz w:val="11"/>
                <w:szCs w:val="11"/>
              </w:rPr>
              <w:t>=</w:t>
              <w:tab/>
            </w:r>
            <w:r>
              <w:rPr>
                <w:rFonts w:ascii="SimHei" w:eastAsia="SimHei" w:hAnsi="SimHei" w:cs="SimHei"/>
                <w:color w:val="334B6D"/>
                <w:spacing w:val="0"/>
                <w:w w:val="100"/>
                <w:position w:val="0"/>
                <w:sz w:val="11"/>
                <w:szCs w:val="11"/>
              </w:rPr>
              <w:t>=</w:t>
            </w:r>
          </w:p>
          <w:p>
            <w:pPr>
              <w:pStyle w:val="Style2"/>
              <w:keepNext w:val="0"/>
              <w:keepLines w:val="0"/>
              <w:widowControl w:val="0"/>
              <w:pBdr>
                <w:top w:val="single" w:sz="0" w:space="0" w:color="020A1E"/>
                <w:left w:val="single" w:sz="0" w:space="0" w:color="020A1E"/>
                <w:bottom w:val="single" w:sz="0" w:space="0" w:color="020A1E"/>
                <w:right w:val="single" w:sz="0" w:space="0" w:color="020A1E"/>
              </w:pBdr>
              <w:shd w:val="clear" w:color="auto" w:fill="020A1E"/>
              <w:bidi w:val="0"/>
              <w:spacing w:before="0" w:after="0" w:line="240" w:lineRule="auto"/>
              <w:ind w:left="0" w:right="0" w:firstLine="0"/>
              <w:jc w:val="right"/>
              <w:rPr>
                <w:sz w:val="11"/>
                <w:szCs w:val="11"/>
              </w:rPr>
            </w:pPr>
            <w:r>
              <w:rPr>
                <w:rFonts w:ascii="SimHei" w:eastAsia="SimHei" w:hAnsi="SimHei" w:cs="SimHei"/>
                <w:color w:val="334B6D"/>
                <w:spacing w:val="0"/>
                <w:w w:val="100"/>
                <w:position w:val="0"/>
                <w:sz w:val="11"/>
                <w:szCs w:val="11"/>
              </w:rPr>
              <w:t>■- ■■—</w:t>
            </w:r>
            <w:r>
              <w:rPr>
                <w:rFonts w:ascii="SimHei" w:eastAsia="SimHei" w:hAnsi="SimHei" w:cs="SimHei"/>
                <w:color w:val="334B6D"/>
                <w:spacing w:val="0"/>
                <w:w w:val="100"/>
                <w:position w:val="0"/>
                <w:sz w:val="11"/>
                <w:szCs w:val="11"/>
              </w:rPr>
              <w:t>—</w:t>
            </w:r>
          </w:p>
          <w:p>
            <w:pPr>
              <w:pStyle w:val="Style2"/>
              <w:keepNext w:val="0"/>
              <w:keepLines w:val="0"/>
              <w:widowControl w:val="0"/>
              <w:pBdr>
                <w:top w:val="single" w:sz="0" w:space="0" w:color="020A1E"/>
                <w:left w:val="single" w:sz="0" w:space="0" w:color="020A1E"/>
                <w:bottom w:val="single" w:sz="0" w:space="0" w:color="020A1E"/>
                <w:right w:val="single" w:sz="0" w:space="0" w:color="020A1E"/>
              </w:pBdr>
              <w:shd w:val="clear" w:color="auto" w:fill="020A1E"/>
              <w:bidi w:val="0"/>
              <w:spacing w:before="0" w:after="0" w:line="240" w:lineRule="auto"/>
              <w:ind w:left="1040" w:right="0" w:firstLine="0"/>
              <w:jc w:val="left"/>
              <w:rPr>
                <w:sz w:val="11"/>
                <w:szCs w:val="11"/>
              </w:rPr>
            </w:pPr>
            <w:r>
              <w:rPr>
                <w:rFonts w:ascii="SimHei" w:eastAsia="SimHei" w:hAnsi="SimHei" w:cs="SimHei"/>
                <w:color w:val="2D92AA"/>
                <w:spacing w:val="0"/>
                <w:w w:val="100"/>
                <w:position w:val="0"/>
                <w:sz w:val="11"/>
                <w:szCs w:val="11"/>
              </w:rPr>
              <w:t>专"</w:t>
            </w:r>
            <w:r>
              <w:rPr>
                <w:rFonts w:ascii="SimHei" w:eastAsia="SimHei" w:hAnsi="SimHei" w:cs="SimHei"/>
                <w:color w:val="3B8BD9"/>
                <w:spacing w:val="0"/>
                <w:w w:val="100"/>
                <w:position w:val="0"/>
                <w:sz w:val="11"/>
                <w:szCs w:val="11"/>
              </w:rPr>
              <w:t>=冬二</w:t>
            </w:r>
          </w:p>
          <w:p>
            <w:pPr>
              <w:pStyle w:val="Style2"/>
              <w:keepNext w:val="0"/>
              <w:keepLines w:val="0"/>
              <w:widowControl w:val="0"/>
              <w:pBdr>
                <w:top w:val="single" w:sz="0" w:space="0" w:color="020A1E"/>
                <w:left w:val="single" w:sz="0" w:space="0" w:color="020A1E"/>
                <w:bottom w:val="single" w:sz="0" w:space="0" w:color="020A1E"/>
                <w:right w:val="single" w:sz="0" w:space="0" w:color="020A1E"/>
              </w:pBdr>
              <w:shd w:val="clear" w:color="auto" w:fill="020A1E"/>
              <w:bidi w:val="0"/>
              <w:spacing w:before="0" w:after="0" w:line="233" w:lineRule="auto"/>
              <w:ind w:left="0" w:right="0" w:firstLine="0"/>
              <w:jc w:val="left"/>
              <w:rPr>
                <w:sz w:val="34"/>
                <w:szCs w:val="34"/>
              </w:rPr>
            </w:pPr>
            <w:r>
              <w:rPr>
                <w:rFonts w:ascii="Times New Roman" w:eastAsia="Times New Roman" w:hAnsi="Times New Roman" w:cs="Times New Roman"/>
                <w:color w:val="6C7D90"/>
                <w:spacing w:val="0"/>
                <w:w w:val="100"/>
                <w:position w:val="0"/>
                <w:sz w:val="34"/>
                <w:szCs w:val="34"/>
              </w:rPr>
              <w:t xml:space="preserve">h_L </w:t>
            </w:r>
            <w:r>
              <w:rPr>
                <w:rFonts w:ascii="Times New Roman" w:eastAsia="Times New Roman" w:hAnsi="Times New Roman" w:cs="Times New Roman"/>
                <w:color w:val="7DABF0"/>
                <w:spacing w:val="0"/>
                <w:w w:val="100"/>
                <w:position w:val="0"/>
                <w:sz w:val="34"/>
                <w:szCs w:val="34"/>
              </w:rPr>
              <w:t xml:space="preserve">• </w:t>
            </w:r>
            <w:r>
              <w:rPr>
                <w:rFonts w:ascii="Times New Roman" w:eastAsia="Times New Roman" w:hAnsi="Times New Roman" w:cs="Times New Roman"/>
                <w:color w:val="8ACBEF"/>
                <w:spacing w:val="0"/>
                <w:w w:val="100"/>
                <w:position w:val="0"/>
                <w:sz w:val="34"/>
                <w:szCs w:val="34"/>
              </w:rPr>
              <w:t>■</w:t>
            </w:r>
          </w:p>
          <w:p>
            <w:pPr>
              <w:pStyle w:val="Style2"/>
              <w:keepNext w:val="0"/>
              <w:keepLines w:val="0"/>
              <w:widowControl w:val="0"/>
              <w:pBdr>
                <w:top w:val="single" w:sz="0" w:space="0" w:color="020A1E"/>
                <w:left w:val="single" w:sz="0" w:space="0" w:color="020A1E"/>
                <w:bottom w:val="single" w:sz="0" w:space="0" w:color="020A1E"/>
                <w:right w:val="single" w:sz="0" w:space="0" w:color="020A1E"/>
              </w:pBdr>
              <w:shd w:val="clear" w:color="auto" w:fill="020A1E"/>
              <w:bidi w:val="0"/>
              <w:spacing w:before="0" w:after="100" w:line="226" w:lineRule="auto"/>
              <w:ind w:left="0" w:right="0" w:firstLine="240"/>
              <w:jc w:val="left"/>
              <w:rPr>
                <w:sz w:val="34"/>
                <w:szCs w:val="34"/>
              </w:rPr>
            </w:pPr>
            <w:r>
              <w:rPr>
                <w:rFonts w:ascii="Times New Roman" w:eastAsia="Times New Roman" w:hAnsi="Times New Roman" w:cs="Times New Roman"/>
                <w:color w:val="2D92AA"/>
                <w:spacing w:val="0"/>
                <w:w w:val="100"/>
                <w:position w:val="0"/>
                <w:sz w:val="34"/>
                <w:szCs w:val="34"/>
              </w:rPr>
              <w:t xml:space="preserve">o </w:t>
            </w:r>
            <w:r>
              <w:rPr>
                <w:rFonts w:ascii="Times New Roman" w:eastAsia="Times New Roman" w:hAnsi="Times New Roman" w:cs="Times New Roman"/>
                <w:color w:val="21CCDE"/>
                <w:spacing w:val="0"/>
                <w:w w:val="100"/>
                <w:position w:val="0"/>
                <w:sz w:val="34"/>
                <w:szCs w:val="34"/>
              </w:rPr>
              <w:t xml:space="preserve">j </w:t>
            </w:r>
            <w:r>
              <w:rPr>
                <w:rFonts w:ascii="Times New Roman" w:eastAsia="Times New Roman" w:hAnsi="Times New Roman" w:cs="Times New Roman"/>
                <w:color w:val="0E93EB"/>
                <w:spacing w:val="0"/>
                <w:w w:val="100"/>
                <w:position w:val="0"/>
                <w:sz w:val="34"/>
                <w:szCs w:val="34"/>
              </w:rPr>
              <w:t>1</w:t>
            </w:r>
            <w:r>
              <w:rPr>
                <w:rFonts w:ascii="Times New Roman" w:eastAsia="Times New Roman" w:hAnsi="Times New Roman" w:cs="Times New Roman"/>
                <w:color w:val="5D43EB"/>
                <w:spacing w:val="0"/>
                <w:w w:val="100"/>
                <w:position w:val="0"/>
                <w:sz w:val="34"/>
                <w:szCs w:val="34"/>
              </w:rPr>
              <w:t xml:space="preserve">11 </w:t>
            </w:r>
            <w:r>
              <w:rPr>
                <w:rFonts w:ascii="Times New Roman" w:eastAsia="Times New Roman" w:hAnsi="Times New Roman" w:cs="Times New Roman"/>
                <w:color w:val="8ACBEF"/>
                <w:spacing w:val="0"/>
                <w:w w:val="100"/>
                <w:position w:val="0"/>
                <w:sz w:val="34"/>
                <w:szCs w:val="34"/>
              </w:rPr>
              <w:t xml:space="preserve">— </w:t>
            </w:r>
            <w:r>
              <w:rPr>
                <w:rFonts w:ascii="Times New Roman" w:eastAsia="Times New Roman" w:hAnsi="Times New Roman" w:cs="Times New Roman"/>
                <w:color w:val="2D92AA"/>
                <w:spacing w:val="0"/>
                <w:w w:val="100"/>
                <w:position w:val="0"/>
                <w:sz w:val="34"/>
                <w:szCs w:val="34"/>
              </w:rPr>
              <w:t>=.i</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518"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widowControl w:val="0"/>
        <w:spacing w:after="299" w:line="1" w:lineRule="exact"/>
      </w:pPr>
    </w:p>
    <w:p>
      <w:pPr>
        <w:pStyle w:val="Style10"/>
        <w:keepNext w:val="0"/>
        <w:keepLines w:val="0"/>
        <w:widowControl w:val="0"/>
        <w:shd w:val="clear" w:color="auto" w:fill="auto"/>
        <w:bidi w:val="0"/>
        <w:spacing w:before="0" w:after="0" w:line="469" w:lineRule="exact"/>
        <w:ind w:left="0" w:right="0" w:firstLine="440"/>
        <w:jc w:val="both"/>
      </w:pPr>
      <w:bookmarkStart w:id="93" w:name="bookmark93"/>
      <w:r>
        <w:rPr>
          <w:b/>
          <w:bCs/>
          <w:color w:val="000000"/>
          <w:spacing w:val="0"/>
          <w:w w:val="100"/>
          <w:position w:val="0"/>
        </w:rPr>
        <w:t>（</w:t>
      </w:r>
      <w:bookmarkEnd w:id="93"/>
      <w:r>
        <w:rPr>
          <w:b/>
          <w:bCs/>
          <w:color w:val="000000"/>
          <w:spacing w:val="0"/>
          <w:w w:val="100"/>
          <w:position w:val="0"/>
        </w:rPr>
        <w:t>三）主要经营模式</w:t>
      </w:r>
    </w:p>
    <w:p>
      <w:pPr>
        <w:pStyle w:val="Style10"/>
        <w:keepNext w:val="0"/>
        <w:keepLines w:val="0"/>
        <w:widowControl w:val="0"/>
        <w:shd w:val="clear" w:color="auto" w:fill="auto"/>
        <w:tabs>
          <w:tab w:pos="803" w:val="left"/>
        </w:tabs>
        <w:bidi w:val="0"/>
        <w:spacing w:before="0" w:after="0" w:line="469" w:lineRule="exact"/>
        <w:ind w:left="0" w:right="0" w:firstLine="440"/>
        <w:jc w:val="both"/>
      </w:pPr>
      <w:bookmarkStart w:id="94" w:name="bookmark94"/>
      <w:r>
        <w:rPr>
          <w:b/>
          <w:bCs/>
          <w:color w:val="000000"/>
          <w:spacing w:val="0"/>
          <w:w w:val="100"/>
          <w:position w:val="0"/>
        </w:rPr>
        <w:t>1</w:t>
      </w:r>
      <w:bookmarkEnd w:id="94"/>
      <w:r>
        <w:rPr>
          <w:b/>
          <w:bCs/>
          <w:color w:val="000000"/>
          <w:spacing w:val="0"/>
          <w:w w:val="100"/>
          <w:position w:val="0"/>
        </w:rPr>
        <w:t>、</w:t>
        <w:tab/>
        <w:t>采购模式</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公司重视供应链安全和供应商体系建设，主要原材料均有较为合格、稳定的供应商，产品质量符合国 际行业标准，质量可靠。公司制定了严格、科学的原材料采购制度，形成了从原材料供应商的选择、采购 价格的确定到原材料质量检验的完整的采购流程体系。此外，公司还与重要原材料的供应商结成战略同盟， 与其签署长期合作协议，确保供应链稳定。相关措施保障了公司采购原材料的质量、价格和供应期。</w:t>
      </w:r>
    </w:p>
    <w:p>
      <w:pPr>
        <w:pStyle w:val="Style10"/>
        <w:keepNext w:val="0"/>
        <w:keepLines w:val="0"/>
        <w:widowControl w:val="0"/>
        <w:shd w:val="clear" w:color="auto" w:fill="auto"/>
        <w:tabs>
          <w:tab w:pos="818" w:val="left"/>
        </w:tabs>
        <w:bidi w:val="0"/>
        <w:spacing w:before="0" w:after="0" w:line="469" w:lineRule="exact"/>
        <w:ind w:left="0" w:right="0" w:firstLine="440"/>
        <w:jc w:val="both"/>
      </w:pPr>
      <w:bookmarkStart w:id="95" w:name="bookmark95"/>
      <w:r>
        <w:rPr>
          <w:b/>
          <w:bCs/>
          <w:color w:val="000000"/>
          <w:spacing w:val="0"/>
          <w:w w:val="100"/>
          <w:position w:val="0"/>
        </w:rPr>
        <w:t>2</w:t>
      </w:r>
      <w:bookmarkEnd w:id="95"/>
      <w:r>
        <w:rPr>
          <w:b/>
          <w:bCs/>
          <w:color w:val="000000"/>
          <w:spacing w:val="0"/>
          <w:w w:val="100"/>
          <w:position w:val="0"/>
        </w:rPr>
        <w:t>、</w:t>
        <w:tab/>
        <w:t>生产模式</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生产制造方面，公司建立一体化和实时化的</w:t>
      </w:r>
      <w:r>
        <w:rPr>
          <w:color w:val="000000"/>
          <w:spacing w:val="0"/>
          <w:w w:val="100"/>
          <w:position w:val="0"/>
        </w:rPr>
        <w:t>ERP/MES/APS/WMS/</w:t>
      </w:r>
      <w:r>
        <w:rPr>
          <w:color w:val="000000"/>
          <w:spacing w:val="0"/>
          <w:w w:val="100"/>
          <w:position w:val="0"/>
        </w:rPr>
        <w:t xml:space="preserve">智能物流信息管理体系，使生产现场、 </w:t>
      </w:r>
      <w:r>
        <w:rPr>
          <w:color w:val="000000"/>
          <w:spacing w:val="0"/>
          <w:w w:val="100"/>
          <w:position w:val="0"/>
        </w:rPr>
        <w:t>控制层与管理层之间的信息互联互通。公司</w:t>
      </w:r>
      <w:r>
        <w:rPr>
          <w:color w:val="000000"/>
          <w:spacing w:val="0"/>
          <w:w w:val="100"/>
          <w:position w:val="0"/>
        </w:rPr>
        <w:t>MES</w:t>
      </w:r>
      <w:r>
        <w:rPr>
          <w:color w:val="000000"/>
          <w:spacing w:val="0"/>
          <w:w w:val="100"/>
          <w:position w:val="0"/>
        </w:rPr>
        <w:t>系统涵盖</w:t>
      </w:r>
      <w:r>
        <w:rPr>
          <w:color w:val="000000"/>
          <w:spacing w:val="0"/>
          <w:w w:val="100"/>
          <w:position w:val="0"/>
        </w:rPr>
        <w:t>SIM, ANDON、Traceability, WI、ORDER</w:t>
      </w:r>
      <w:r>
        <w:rPr>
          <w:color w:val="000000"/>
          <w:spacing w:val="0"/>
          <w:w w:val="100"/>
          <w:position w:val="0"/>
        </w:rPr>
        <w:t>五大功能 模块，在统一平台上集成生产调度、产品跟踪、质量控制、设备故障分析、报表等管理功能，可以同时为 制造部、品管部、工艺部、采购部、仓储部等提供信息服务，实施完整的闭环式生产。公司设置生产管理 中心统一负责公司的日常生产管理，协调组织各部门的生产活动。生产管理中心接到营销部门的订单后， 根据订单数量在</w:t>
      </w:r>
      <w:r>
        <w:rPr>
          <w:color w:val="000000"/>
          <w:spacing w:val="0"/>
          <w:w w:val="100"/>
          <w:position w:val="0"/>
        </w:rPr>
        <w:t>ERP</w:t>
      </w:r>
      <w:r>
        <w:rPr>
          <w:color w:val="000000"/>
          <w:spacing w:val="0"/>
          <w:w w:val="100"/>
          <w:position w:val="0"/>
        </w:rPr>
        <w:t>系统生成采购单与生产工单，协调采购部门与制造部门组织生产。由于公司产品品类 个性化差异大，定型产品标准化程度高的特点，选择“以销定产”为主、适度备货为辅的生产模式，即接 受客户订单以后，按照客户确定的产品规格、供货时间、质量和数量组织生产。产品未交付之前，当客户 需求发生变更时，生产管理中心根据生产订单进行状况实时变更物料采购计划、调整生产顺序，协调生产 资源配备，满足客户个性需求。除此之外，公司针对使用量较大、使用主体比较普遍的常规产品，无季节 性特点的气体传感器、气体检测仪器仪表产品生产适度备货，以实现对市场的及时满足。</w:t>
      </w:r>
    </w:p>
    <w:p>
      <w:pPr>
        <w:pStyle w:val="Style10"/>
        <w:keepNext w:val="0"/>
        <w:keepLines w:val="0"/>
        <w:widowControl w:val="0"/>
        <w:shd w:val="clear" w:color="auto" w:fill="auto"/>
        <w:bidi w:val="0"/>
        <w:spacing w:before="0" w:after="0" w:line="470" w:lineRule="exact"/>
        <w:ind w:left="0" w:right="0" w:firstLine="440"/>
        <w:jc w:val="both"/>
      </w:pPr>
      <w:bookmarkStart w:id="96" w:name="bookmark96"/>
      <w:r>
        <w:rPr>
          <w:b/>
          <w:bCs/>
          <w:color w:val="000000"/>
          <w:spacing w:val="0"/>
          <w:w w:val="100"/>
          <w:position w:val="0"/>
        </w:rPr>
        <w:t>3</w:t>
      </w:r>
      <w:bookmarkEnd w:id="96"/>
      <w:r>
        <w:rPr>
          <w:b/>
          <w:bCs/>
          <w:color w:val="000000"/>
          <w:spacing w:val="0"/>
          <w:w w:val="100"/>
          <w:position w:val="0"/>
        </w:rPr>
        <w:t>、销售模式</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公司传感器和仪器仪表类产品多以直销为主，因产品标准化程度较高，采用“备货+订单”相结合的 方式，从技术方案、产品设计、生产交付到售后服务的标准化批量生产的订单产、销模式。部分仪表类产 品也采用“解决方案+产品投标”的方式进行销售。</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公司物联网应用产品多以“项目+服务”的方式进行销售，需要提前为客户做项目方案，通过招投标 的方式开展项目的建设、实施、验收、回款，业务周期相对其他产品较长。</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公司产品与大部分的集团化客户都采用直销模式，少量碎片化的市场或产品采用合作伙伴分销的模 式。物联网解决方案通过集成和被集成的形式，在市场活动中以集成项目和“软件产品+服务”的模式销 售。近年来也通过物联网平台、云端</w:t>
      </w:r>
      <w:r>
        <w:rPr>
          <w:color w:val="000000"/>
          <w:spacing w:val="0"/>
          <w:w w:val="100"/>
          <w:position w:val="0"/>
        </w:rPr>
        <w:t>SaaS</w:t>
      </w:r>
      <w:r>
        <w:rPr>
          <w:color w:val="000000"/>
          <w:spacing w:val="0"/>
          <w:w w:val="100"/>
          <w:position w:val="0"/>
        </w:rPr>
        <w:t>服务在安全监管和运维服务方面开展业务，提高客户粘度，增加 营收。</w:t>
      </w:r>
    </w:p>
    <w:p>
      <w:pPr>
        <w:pStyle w:val="Style10"/>
        <w:keepNext w:val="0"/>
        <w:keepLines w:val="0"/>
        <w:widowControl w:val="0"/>
        <w:numPr>
          <w:ilvl w:val="0"/>
          <w:numId w:val="1"/>
        </w:numPr>
        <w:shd w:val="clear" w:color="auto" w:fill="auto"/>
        <w:bidi w:val="0"/>
        <w:spacing w:before="0" w:after="0" w:line="470" w:lineRule="exact"/>
        <w:ind w:left="0" w:right="0" w:firstLine="440"/>
        <w:jc w:val="both"/>
      </w:pPr>
      <w:bookmarkStart w:id="97" w:name="bookmark97"/>
      <w:bookmarkEnd w:id="97"/>
      <w:r>
        <w:rPr>
          <w:b/>
          <w:bCs/>
          <w:color w:val="000000"/>
          <w:spacing w:val="0"/>
          <w:w w:val="100"/>
          <w:position w:val="0"/>
        </w:rPr>
        <w:t>主要的业绩驱动因素</w:t>
      </w:r>
    </w:p>
    <w:p>
      <w:pPr>
        <w:pStyle w:val="Style10"/>
        <w:keepNext w:val="0"/>
        <w:keepLines w:val="0"/>
        <w:widowControl w:val="0"/>
        <w:shd w:val="clear" w:color="auto" w:fill="auto"/>
        <w:bidi w:val="0"/>
        <w:spacing w:before="0" w:after="0" w:line="470" w:lineRule="exact"/>
        <w:ind w:left="0" w:right="0" w:firstLine="440"/>
        <w:jc w:val="both"/>
      </w:pPr>
      <w:bookmarkStart w:id="98" w:name="bookmark98"/>
      <w:r>
        <w:rPr>
          <w:b/>
          <w:bCs/>
          <w:color w:val="000000"/>
          <w:spacing w:val="0"/>
          <w:w w:val="100"/>
          <w:position w:val="0"/>
        </w:rPr>
        <w:t>1</w:t>
      </w:r>
      <w:bookmarkEnd w:id="98"/>
      <w:r>
        <w:rPr>
          <w:b/>
          <w:bCs/>
          <w:color w:val="000000"/>
          <w:spacing w:val="0"/>
          <w:w w:val="100"/>
          <w:position w:val="0"/>
        </w:rPr>
        <w:t>、外部因素</w:t>
      </w:r>
    </w:p>
    <w:p>
      <w:pPr>
        <w:pStyle w:val="Style10"/>
        <w:keepNext w:val="0"/>
        <w:keepLines w:val="0"/>
        <w:widowControl w:val="0"/>
        <w:numPr>
          <w:ilvl w:val="0"/>
          <w:numId w:val="3"/>
        </w:numPr>
        <w:shd w:val="clear" w:color="auto" w:fill="auto"/>
        <w:tabs>
          <w:tab w:pos="882" w:val="left"/>
        </w:tabs>
        <w:bidi w:val="0"/>
        <w:spacing w:before="0" w:after="0" w:line="470" w:lineRule="exact"/>
        <w:ind w:left="0" w:right="0" w:firstLine="440"/>
        <w:jc w:val="both"/>
      </w:pPr>
      <w:bookmarkStart w:id="99" w:name="bookmark99"/>
      <w:bookmarkEnd w:id="99"/>
      <w:r>
        <w:rPr>
          <w:b/>
          <w:bCs/>
          <w:color w:val="000000"/>
          <w:spacing w:val="0"/>
          <w:w w:val="100"/>
          <w:position w:val="0"/>
        </w:rPr>
        <w:t>全社会数字化、智慧化促进公司产品市场需求旺盛</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万物互联时代，全社会各行各业都面临着数字化、智慧化的发展机遇，社会各界对传感器、物联网等 数字技术将爆发强劲需求。随着物联网在各行各业的加速渗透，传感器、智能仪表、智慧化解决方案的应 用场景和需求也将随之快速增长，并将不断为公司业绩打开向上空间。</w:t>
      </w:r>
    </w:p>
    <w:p>
      <w:pPr>
        <w:pStyle w:val="Style10"/>
        <w:keepNext w:val="0"/>
        <w:keepLines w:val="0"/>
        <w:widowControl w:val="0"/>
        <w:numPr>
          <w:ilvl w:val="0"/>
          <w:numId w:val="3"/>
        </w:numPr>
        <w:shd w:val="clear" w:color="auto" w:fill="auto"/>
        <w:tabs>
          <w:tab w:pos="882" w:val="left"/>
        </w:tabs>
        <w:bidi w:val="0"/>
        <w:spacing w:before="0" w:after="0" w:line="470" w:lineRule="exact"/>
        <w:ind w:left="0" w:right="0" w:firstLine="440"/>
        <w:jc w:val="both"/>
      </w:pPr>
      <w:bookmarkStart w:id="100" w:name="bookmark100"/>
      <w:bookmarkEnd w:id="100"/>
      <w:r>
        <w:rPr>
          <w:b/>
          <w:bCs/>
          <w:color w:val="000000"/>
          <w:spacing w:val="0"/>
          <w:w w:val="100"/>
          <w:position w:val="0"/>
        </w:rPr>
        <w:t>新《安全生产法》驱动安全刚需共识，公司优势领域市场空间广阔</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新《安全生产法》规定：工业安全、危化品监管、化工园区应加强安全仪表应用、安全智慧化建设。</w:t>
      </w:r>
    </w:p>
    <w:p>
      <w:pPr>
        <w:pStyle w:val="Style10"/>
        <w:keepNext w:val="0"/>
        <w:keepLines w:val="0"/>
        <w:widowControl w:val="0"/>
        <w:shd w:val="clear" w:color="auto" w:fill="auto"/>
        <w:bidi w:val="0"/>
        <w:spacing w:before="0" w:after="0" w:line="470" w:lineRule="exact"/>
        <w:ind w:left="0" w:right="0" w:firstLine="0"/>
        <w:jc w:val="left"/>
      </w:pPr>
      <w:r>
        <w:rPr>
          <w:color w:val="000000"/>
          <w:spacing w:val="0"/>
          <w:w w:val="100"/>
          <w:position w:val="0"/>
        </w:rPr>
        <w:t xml:space="preserve">“餐饮等行业的生产经营单位使用燃气的，应当安装可燃气体报警装置，并保障其正常使用”。目前国内 燃气安装报警装置的普及率并不高，公司在燃气监测传感器领域处于市场龙头地位，未来市场空间广阔。 </w:t>
      </w:r>
      <w:r>
        <w:rPr>
          <w:color w:val="000000"/>
          <w:spacing w:val="0"/>
          <w:w w:val="100"/>
          <w:position w:val="0"/>
        </w:rPr>
        <w:t>新《安全生产法》的实施以及湖北十堰爆炸事故进一步驱动政府、企业、居民安全意识的提升，加速释放 工业安全、化工园区、危化品监管、燃气安全领域及家居安全类仪表市场需求，进而带动公司相关产品市 场需求旺盛，销量快速增长。</w:t>
      </w:r>
    </w:p>
    <w:p>
      <w:pPr>
        <w:pStyle w:val="Style10"/>
        <w:keepNext w:val="0"/>
        <w:keepLines w:val="0"/>
        <w:widowControl w:val="0"/>
        <w:shd w:val="clear" w:color="auto" w:fill="auto"/>
        <w:tabs>
          <w:tab w:pos="869" w:val="left"/>
        </w:tabs>
        <w:bidi w:val="0"/>
        <w:spacing w:before="0" w:after="0" w:line="468" w:lineRule="exact"/>
        <w:ind w:left="0" w:right="0" w:firstLine="440"/>
        <w:jc w:val="both"/>
      </w:pPr>
      <w:bookmarkStart w:id="101" w:name="bookmark101"/>
      <w:r>
        <w:rPr>
          <w:b/>
          <w:bCs/>
          <w:color w:val="000000"/>
          <w:spacing w:val="0"/>
          <w:w w:val="100"/>
          <w:position w:val="0"/>
        </w:rPr>
        <w:t>（</w:t>
      </w:r>
      <w:bookmarkEnd w:id="101"/>
      <w:r>
        <w:rPr>
          <w:b/>
          <w:bCs/>
          <w:color w:val="000000"/>
          <w:spacing w:val="0"/>
          <w:w w:val="100"/>
          <w:position w:val="0"/>
        </w:rPr>
        <w:t>3）</w:t>
        <w:tab/>
        <w:t>低碳减排，“双碳”目标为公司带来长期受益</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“双碳”目标下，风电、光伏、氢能、储能、新能源汽车等产业将迎来“黄金时代”；排放监测、提 高效率、节能降耗将为低碳减排起到至关重要的作用，也将加快全社会数字化、智慧化转型，推动传感器、 物联网纵深发展，释放出更大的市场空间。建立循环经济的发展模式也是达成“双碳”目标的初衷之一， 传感器、物联网技术在发展经济、节能减排、环境保护、推动社会进步等方面起到重要作用，是循环经济 的重要工具。“双碳”目标的推进将为公司传感器、环保仪器、相关的物联网解决方案创造更多的市场空 间并长期受益。</w:t>
      </w:r>
    </w:p>
    <w:p>
      <w:pPr>
        <w:pStyle w:val="Style10"/>
        <w:keepNext w:val="0"/>
        <w:keepLines w:val="0"/>
        <w:widowControl w:val="0"/>
        <w:shd w:val="clear" w:color="auto" w:fill="auto"/>
        <w:tabs>
          <w:tab w:pos="869" w:val="left"/>
        </w:tabs>
        <w:bidi w:val="0"/>
        <w:spacing w:before="0" w:after="0" w:line="468" w:lineRule="exact"/>
        <w:ind w:left="0" w:right="0" w:firstLine="440"/>
        <w:jc w:val="both"/>
      </w:pPr>
      <w:bookmarkStart w:id="102" w:name="bookmark102"/>
      <w:r>
        <w:rPr>
          <w:b/>
          <w:bCs/>
          <w:color w:val="000000"/>
          <w:spacing w:val="0"/>
          <w:w w:val="100"/>
          <w:position w:val="0"/>
        </w:rPr>
        <w:t>（</w:t>
      </w:r>
      <w:bookmarkEnd w:id="102"/>
      <w:r>
        <w:rPr>
          <w:b/>
          <w:bCs/>
          <w:color w:val="000000"/>
          <w:spacing w:val="0"/>
          <w:w w:val="100"/>
          <w:position w:val="0"/>
        </w:rPr>
        <w:t>4）</w:t>
        <w:tab/>
        <w:t>国产替代进程加速，产品迎来更多市场机遇</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当前，国产替代是大势所趋，国家和企业在供应链的安全和自主可控上愈发重视，传感器、智能仪表 等关键器件国产替代需求正在加速释放，国内厂商迎来更好的市场进入机会。公司传感器从材料技术、设 计到工艺，全产业链自主可控，仪器仪表市场竞争力也在不断增强，在国产替代加速演进的大趋势下，相 关的工业安全、检测分析领域的传感器、仪表等产品迎来更多的市场机遇。</w:t>
      </w:r>
    </w:p>
    <w:p>
      <w:pPr>
        <w:pStyle w:val="Style10"/>
        <w:keepNext w:val="0"/>
        <w:keepLines w:val="0"/>
        <w:widowControl w:val="0"/>
        <w:shd w:val="clear" w:color="auto" w:fill="auto"/>
        <w:tabs>
          <w:tab w:pos="869" w:val="left"/>
        </w:tabs>
        <w:bidi w:val="0"/>
        <w:spacing w:before="0" w:after="0" w:line="468" w:lineRule="exact"/>
        <w:ind w:left="0" w:right="0" w:firstLine="440"/>
        <w:jc w:val="both"/>
      </w:pPr>
      <w:bookmarkStart w:id="103" w:name="bookmark103"/>
      <w:r>
        <w:rPr>
          <w:b/>
          <w:bCs/>
          <w:color w:val="000000"/>
          <w:spacing w:val="0"/>
          <w:w w:val="100"/>
          <w:position w:val="0"/>
        </w:rPr>
        <w:t>（</w:t>
      </w:r>
      <w:bookmarkEnd w:id="103"/>
      <w:r>
        <w:rPr>
          <w:b/>
          <w:bCs/>
          <w:color w:val="000000"/>
          <w:spacing w:val="0"/>
          <w:w w:val="100"/>
          <w:position w:val="0"/>
        </w:rPr>
        <w:t>5）</w:t>
        <w:tab/>
        <w:t>消费升级，智能化产品应用持续提升公司产品需求</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消费升级带来的智能化需求正在赋予家电、家居、汽车等领域更大的创新升级空间，新模式、新业态、 新产品不断涌现，市场发展空间巨大。作为相关产品的感官系统、智能化的基础，传感器的重要性不言而 喻。消费需求的不断升级将带来越来越多智能化的产品应用，也将带动公司相关领域的传感器、物联网智 能终端产品需求持续增加。</w:t>
      </w:r>
    </w:p>
    <w:p>
      <w:pPr>
        <w:pStyle w:val="Style10"/>
        <w:keepNext w:val="0"/>
        <w:keepLines w:val="0"/>
        <w:widowControl w:val="0"/>
        <w:shd w:val="clear" w:color="auto" w:fill="auto"/>
        <w:bidi w:val="0"/>
        <w:spacing w:before="0" w:after="0" w:line="468" w:lineRule="exact"/>
        <w:ind w:left="0" w:right="0" w:firstLine="440"/>
        <w:jc w:val="both"/>
      </w:pPr>
      <w:bookmarkStart w:id="104" w:name="bookmark104"/>
      <w:r>
        <w:rPr>
          <w:b/>
          <w:bCs/>
          <w:color w:val="000000"/>
          <w:spacing w:val="0"/>
          <w:w w:val="100"/>
          <w:position w:val="0"/>
        </w:rPr>
        <w:t>2</w:t>
      </w:r>
      <w:bookmarkEnd w:id="104"/>
      <w:r>
        <w:rPr>
          <w:b/>
          <w:bCs/>
          <w:color w:val="000000"/>
          <w:spacing w:val="0"/>
          <w:w w:val="100"/>
          <w:position w:val="0"/>
        </w:rPr>
        <w:t>、内部因素</w:t>
      </w:r>
    </w:p>
    <w:p>
      <w:pPr>
        <w:pStyle w:val="Style10"/>
        <w:keepNext w:val="0"/>
        <w:keepLines w:val="0"/>
        <w:widowControl w:val="0"/>
        <w:shd w:val="clear" w:color="auto" w:fill="auto"/>
        <w:bidi w:val="0"/>
        <w:spacing w:before="0" w:after="0" w:line="468" w:lineRule="exact"/>
        <w:ind w:left="0" w:right="0" w:firstLine="440"/>
        <w:jc w:val="both"/>
      </w:pPr>
      <w:bookmarkStart w:id="105" w:name="bookmark105"/>
      <w:r>
        <w:rPr>
          <w:b/>
          <w:bCs/>
          <w:color w:val="000000"/>
          <w:spacing w:val="0"/>
          <w:w w:val="100"/>
          <w:position w:val="0"/>
        </w:rPr>
        <w:t>（</w:t>
      </w:r>
      <w:bookmarkEnd w:id="105"/>
      <w:r>
        <w:rPr>
          <w:b/>
          <w:bCs/>
          <w:color w:val="000000"/>
          <w:spacing w:val="0"/>
          <w:w w:val="100"/>
          <w:position w:val="0"/>
        </w:rPr>
        <w:t>1）多年技术沉淀，创新技术融合，打造物联网生态圈持续竞争优势</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报告期内，公司以“成为以传感器为核心的物联网解决方案引领者”的产业愿景为指引，持续专注于 物联网垂直行业的'感•应•云'超级生态系统战略，围绕搭建的“传感器技术平台”、“仪器仪表技术平 台”和“物联网技术平台”三大平台优势，充分发挥三大平台技术融合、客户共享、市场促进的协同效应， 以战略组合和资源调配加速落地传感器、仪表数据和应用及物联网解决方案三大产品线在安全、环保、城 市管理、居家智能健康等领域的应用，促进公司在报告期内实现了较好的业绩增长。</w:t>
      </w:r>
      <w:r>
        <w:br w:type="page"/>
      </w:r>
    </w:p>
    <w:p>
      <w:pPr>
        <w:pStyle w:val="Style2"/>
        <w:keepNext w:val="0"/>
        <w:keepLines w:val="0"/>
        <w:widowControl w:val="0"/>
        <w:shd w:val="clear" w:color="auto" w:fill="auto"/>
        <w:bidi w:val="0"/>
        <w:spacing w:before="0" w:after="1660" w:line="240" w:lineRule="auto"/>
        <w:ind w:left="0" w:right="0" w:firstLine="0"/>
        <w:jc w:val="center"/>
        <w:rPr>
          <w:sz w:val="22"/>
          <w:szCs w:val="22"/>
        </w:rPr>
      </w:pPr>
      <w:r>
        <w:rPr>
          <w:rFonts w:ascii="SimHei" w:eastAsia="SimHei" w:hAnsi="SimHei" w:cs="SimHei"/>
          <w:color w:val="14252C"/>
          <w:spacing w:val="0"/>
          <w:w w:val="100"/>
          <w:position w:val="0"/>
          <w:sz w:val="22"/>
          <w:szCs w:val="22"/>
        </w:rPr>
        <w:t>汉威科技集团物联网战略导图</w:t>
      </w:r>
    </w:p>
    <w:p>
      <w:pPr>
        <w:pStyle w:val="Style161"/>
        <w:keepNext w:val="0"/>
        <w:keepLines w:val="0"/>
        <w:widowControl w:val="0"/>
        <w:shd w:val="clear" w:color="auto" w:fill="auto"/>
        <w:tabs>
          <w:tab w:leader="dot" w:pos="1176" w:val="left"/>
        </w:tabs>
        <w:bidi w:val="0"/>
        <w:spacing w:before="0" w:after="0"/>
        <w:ind w:right="0"/>
        <w:jc w:val="left"/>
      </w:pPr>
      <w:r>
        <w:drawing>
          <wp:anchor distT="127000" distB="88900" distL="0" distR="27305" simplePos="0" relativeHeight="125829423" behindDoc="0" locked="0" layoutInCell="1" allowOverlap="1">
            <wp:simplePos x="0" y="0"/>
            <wp:positionH relativeFrom="page">
              <wp:posOffset>1000125</wp:posOffset>
            </wp:positionH>
            <wp:positionV relativeFrom="margin">
              <wp:posOffset>594360</wp:posOffset>
            </wp:positionV>
            <wp:extent cx="5541010" cy="3230880"/>
            <wp:wrapTopAndBottom/>
            <wp:docPr id="134" name="Shape 134"/>
            <a:graphic xmlns:a="http://schemas.openxmlformats.org/drawingml/2006/main">
              <a:graphicData uri="http://schemas.openxmlformats.org/drawingml/2006/picture">
                <pic:pic xmlns:pic="http://schemas.openxmlformats.org/drawingml/2006/picture">
                  <pic:nvPicPr>
                    <pic:cNvPr id="135" name="Picture box 135"/>
                    <pic:cNvPicPr/>
                  </pic:nvPicPr>
                  <pic:blipFill>
                    <a:blip r:embed="rId55"/>
                    <a:stretch/>
                  </pic:blipFill>
                  <pic:spPr>
                    <a:xfrm>
                      <a:ext cx="5541010" cy="3230880"/>
                    </a:xfrm>
                    <a:prstGeom prst="rect"/>
                  </pic:spPr>
                </pic:pic>
              </a:graphicData>
            </a:graphic>
          </wp:anchor>
        </w:drawing>
      </w:r>
      <w:r>
        <mc:AlternateContent>
          <mc:Choice Requires="wps">
            <w:drawing>
              <wp:anchor distT="0" distB="0" distL="0" distR="0" simplePos="0" relativeHeight="503316536" behindDoc="0" locked="0" layoutInCell="1" allowOverlap="1">
                <wp:simplePos x="0" y="0"/>
                <wp:positionH relativeFrom="page">
                  <wp:posOffset>3401695</wp:posOffset>
                </wp:positionH>
                <wp:positionV relativeFrom="margin">
                  <wp:posOffset>1164590</wp:posOffset>
                </wp:positionV>
                <wp:extent cx="838200" cy="152400"/>
                <wp:wrapNone/>
                <wp:docPr id="136" name="Shape 136"/>
                <a:graphic xmlns:a="http://schemas.openxmlformats.org/drawingml/2006/main">
                  <a:graphicData uri="http://schemas.microsoft.com/office/word/2010/wordprocessingShape">
                    <wps:wsp>
                      <wps:cNvSpPr txBox="1"/>
                      <wps:spPr>
                        <a:xfrm>
                          <a:ext cx="838200" cy="15240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7387AC"/>
                                <w:spacing w:val="0"/>
                                <w:w w:val="100"/>
                                <w:position w:val="0"/>
                                <w:sz w:val="19"/>
                                <w:szCs w:val="19"/>
                              </w:rPr>
                              <w:t>Hanwei Cloud</w:t>
                            </w:r>
                          </w:p>
                        </w:txbxContent>
                      </wps:txbx>
                      <wps:bodyPr lIns="0" tIns="0" rIns="0" bIns="0">
                        <a:noAutoFit/>
                      </wps:bodyPr>
                    </wps:wsp>
                  </a:graphicData>
                </a:graphic>
              </wp:anchor>
            </w:drawing>
          </mc:Choice>
          <mc:Fallback>
            <w:pict>
              <v:shape id="_x0000_s1162" type="#_x0000_t202" style="position:absolute;margin-left:267.85000000000002pt;margin-top:91.700000000000003pt;width:66.pt;height:12.pt;z-index:251657783;mso-wrap-distance-left:0;mso-wrap-distance-right:0;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7387AC"/>
                          <w:spacing w:val="0"/>
                          <w:w w:val="100"/>
                          <w:position w:val="0"/>
                          <w:sz w:val="19"/>
                          <w:szCs w:val="19"/>
                        </w:rPr>
                        <w:t>Hanwei Cloud</w:t>
                      </w:r>
                    </w:p>
                  </w:txbxContent>
                </v:textbox>
                <w10:wrap anchorx="page" anchory="margin"/>
              </v:shape>
            </w:pict>
          </mc:Fallback>
        </mc:AlternateContent>
      </w:r>
      <w:r>
        <mc:AlternateContent>
          <mc:Choice Requires="wps">
            <w:drawing>
              <wp:anchor distT="0" distB="0" distL="0" distR="0" simplePos="0" relativeHeight="503316538" behindDoc="0" locked="0" layoutInCell="1" allowOverlap="1">
                <wp:simplePos x="0" y="0"/>
                <wp:positionH relativeFrom="page">
                  <wp:posOffset>5715635</wp:posOffset>
                </wp:positionH>
                <wp:positionV relativeFrom="margin">
                  <wp:posOffset>2645410</wp:posOffset>
                </wp:positionV>
                <wp:extent cx="777240" cy="338455"/>
                <wp:wrapNone/>
                <wp:docPr id="138" name="Shape 138"/>
                <a:graphic xmlns:a="http://schemas.openxmlformats.org/drawingml/2006/main">
                  <a:graphicData uri="http://schemas.microsoft.com/office/word/2010/wordprocessingShape">
                    <wps:wsp>
                      <wps:cNvSpPr txBox="1"/>
                      <wps:spPr>
                        <a:xfrm>
                          <a:ext cx="777240" cy="338455"/>
                        </a:xfrm>
                        <a:prstGeom prst="rect"/>
                        <a:noFill/>
                      </wps:spPr>
                      <wps:txbx>
                        <w:txbxContent>
                          <w:p>
                            <w:pPr>
                              <w:pStyle w:val="Style33"/>
                              <w:keepNext w:val="0"/>
                              <w:keepLines w:val="0"/>
                              <w:widowControl w:val="0"/>
                              <w:shd w:val="clear" w:color="auto" w:fill="auto"/>
                              <w:bidi w:val="0"/>
                              <w:spacing w:before="0" w:after="0" w:line="170" w:lineRule="exact"/>
                              <w:ind w:left="0" w:right="0" w:firstLine="0"/>
                              <w:jc w:val="left"/>
                              <w:rPr>
                                <w:sz w:val="14"/>
                                <w:szCs w:val="14"/>
                              </w:rPr>
                            </w:pPr>
                            <w:r>
                              <w:rPr>
                                <w:rFonts w:ascii="SimHei" w:eastAsia="SimHei" w:hAnsi="SimHei" w:cs="SimHei"/>
                                <w:b w:val="0"/>
                                <w:bCs w:val="0"/>
                                <w:color w:val="474646"/>
                                <w:spacing w:val="0"/>
                                <w:w w:val="100"/>
                                <w:position w:val="0"/>
                                <w:sz w:val="14"/>
                                <w:szCs w:val="14"/>
                              </w:rPr>
                              <w:t>应用</w:t>
                            </w:r>
                            <w:r>
                              <w:rPr>
                                <w:rFonts w:ascii="SimHei" w:eastAsia="SimHei" w:hAnsi="SimHei" w:cs="SimHei"/>
                                <w:b w:val="0"/>
                                <w:bCs w:val="0"/>
                                <w:color w:val="14252C"/>
                                <w:spacing w:val="0"/>
                                <w:w w:val="100"/>
                                <w:position w:val="0"/>
                                <w:sz w:val="14"/>
                                <w:szCs w:val="14"/>
                              </w:rPr>
                              <w:t>于环境</w:t>
                            </w:r>
                            <w:r>
                              <w:rPr>
                                <w:rFonts w:ascii="SimHei" w:eastAsia="SimHei" w:hAnsi="SimHei" w:cs="SimHei"/>
                                <w:color w:val="14252C"/>
                                <w:spacing w:val="0"/>
                                <w:w w:val="100"/>
                                <w:position w:val="0"/>
                                <w:sz w:val="14"/>
                                <w:szCs w:val="14"/>
                              </w:rPr>
                              <w:t xml:space="preserve">监测、 </w:t>
                            </w:r>
                            <w:r>
                              <w:rPr>
                                <w:rFonts w:ascii="SimHei" w:eastAsia="SimHei" w:hAnsi="SimHei" w:cs="SimHei"/>
                                <w:b w:val="0"/>
                                <w:bCs w:val="0"/>
                                <w:color w:val="14252C"/>
                                <w:spacing w:val="0"/>
                                <w:w w:val="100"/>
                                <w:position w:val="0"/>
                                <w:sz w:val="14"/>
                                <w:szCs w:val="14"/>
                              </w:rPr>
                              <w:t xml:space="preserve">三废治理、智慧 </w:t>
                            </w:r>
                            <w:r>
                              <w:rPr>
                                <w:rFonts w:ascii="SimHei" w:eastAsia="SimHei" w:hAnsi="SimHei" w:cs="SimHei"/>
                                <w:b w:val="0"/>
                                <w:bCs w:val="0"/>
                                <w:color w:val="000000"/>
                                <w:spacing w:val="0"/>
                                <w:w w:val="100"/>
                                <w:position w:val="0"/>
                                <w:sz w:val="14"/>
                                <w:szCs w:val="14"/>
                              </w:rPr>
                              <w:t>环</w:t>
                            </w:r>
                            <w:r>
                              <w:rPr>
                                <w:rFonts w:ascii="SimHei" w:eastAsia="SimHei" w:hAnsi="SimHei" w:cs="SimHei"/>
                                <w:b w:val="0"/>
                                <w:bCs w:val="0"/>
                                <w:color w:val="14252C"/>
                                <w:spacing w:val="0"/>
                                <w:w w:val="100"/>
                                <w:position w:val="0"/>
                                <w:sz w:val="14"/>
                                <w:szCs w:val="14"/>
                              </w:rPr>
                              <w:t>保平台</w:t>
                            </w:r>
                            <w:r>
                              <w:rPr>
                                <w:rFonts w:ascii="SimHei" w:eastAsia="SimHei" w:hAnsi="SimHei" w:cs="SimHei"/>
                                <w:b w:val="0"/>
                                <w:bCs w:val="0"/>
                                <w:color w:val="474646"/>
                                <w:spacing w:val="0"/>
                                <w:w w:val="100"/>
                                <w:position w:val="0"/>
                                <w:sz w:val="14"/>
                                <w:szCs w:val="14"/>
                              </w:rPr>
                              <w:t>等领域</w:t>
                            </w:r>
                          </w:p>
                        </w:txbxContent>
                      </wps:txbx>
                      <wps:bodyPr lIns="0" tIns="0" rIns="0" bIns="0">
                        <a:noAutoFit/>
                      </wps:bodyPr>
                    </wps:wsp>
                  </a:graphicData>
                </a:graphic>
              </wp:anchor>
            </w:drawing>
          </mc:Choice>
          <mc:Fallback>
            <w:pict>
              <v:shape id="_x0000_s1164" type="#_x0000_t202" style="position:absolute;margin-left:450.05000000000001pt;margin-top:208.30000000000001pt;width:61.200000000000003pt;height:26.650000000000002pt;z-index:251657785;mso-wrap-distance-left:0;mso-wrap-distance-right:0;mso-position-horizontal-relative:page;mso-position-vertical-relative:margin" filled="f" stroked="f">
                <v:textbox inset="0,0,0,0">
                  <w:txbxContent>
                    <w:p>
                      <w:pPr>
                        <w:pStyle w:val="Style33"/>
                        <w:keepNext w:val="0"/>
                        <w:keepLines w:val="0"/>
                        <w:widowControl w:val="0"/>
                        <w:shd w:val="clear" w:color="auto" w:fill="auto"/>
                        <w:bidi w:val="0"/>
                        <w:spacing w:before="0" w:after="0" w:line="170" w:lineRule="exact"/>
                        <w:ind w:left="0" w:right="0" w:firstLine="0"/>
                        <w:jc w:val="left"/>
                        <w:rPr>
                          <w:sz w:val="14"/>
                          <w:szCs w:val="14"/>
                        </w:rPr>
                      </w:pPr>
                      <w:r>
                        <w:rPr>
                          <w:rFonts w:ascii="SimHei" w:eastAsia="SimHei" w:hAnsi="SimHei" w:cs="SimHei"/>
                          <w:b w:val="0"/>
                          <w:bCs w:val="0"/>
                          <w:color w:val="474646"/>
                          <w:spacing w:val="0"/>
                          <w:w w:val="100"/>
                          <w:position w:val="0"/>
                          <w:sz w:val="14"/>
                          <w:szCs w:val="14"/>
                        </w:rPr>
                        <w:t>应用</w:t>
                      </w:r>
                      <w:r>
                        <w:rPr>
                          <w:rFonts w:ascii="SimHei" w:eastAsia="SimHei" w:hAnsi="SimHei" w:cs="SimHei"/>
                          <w:b w:val="0"/>
                          <w:bCs w:val="0"/>
                          <w:color w:val="14252C"/>
                          <w:spacing w:val="0"/>
                          <w:w w:val="100"/>
                          <w:position w:val="0"/>
                          <w:sz w:val="14"/>
                          <w:szCs w:val="14"/>
                        </w:rPr>
                        <w:t>于环境</w:t>
                      </w:r>
                      <w:r>
                        <w:rPr>
                          <w:rFonts w:ascii="SimHei" w:eastAsia="SimHei" w:hAnsi="SimHei" w:cs="SimHei"/>
                          <w:color w:val="14252C"/>
                          <w:spacing w:val="0"/>
                          <w:w w:val="100"/>
                          <w:position w:val="0"/>
                          <w:sz w:val="14"/>
                          <w:szCs w:val="14"/>
                        </w:rPr>
                        <w:t xml:space="preserve">监测、 </w:t>
                      </w:r>
                      <w:r>
                        <w:rPr>
                          <w:rFonts w:ascii="SimHei" w:eastAsia="SimHei" w:hAnsi="SimHei" w:cs="SimHei"/>
                          <w:b w:val="0"/>
                          <w:bCs w:val="0"/>
                          <w:color w:val="14252C"/>
                          <w:spacing w:val="0"/>
                          <w:w w:val="100"/>
                          <w:position w:val="0"/>
                          <w:sz w:val="14"/>
                          <w:szCs w:val="14"/>
                        </w:rPr>
                        <w:t xml:space="preserve">三废治理、智慧 </w:t>
                      </w:r>
                      <w:r>
                        <w:rPr>
                          <w:rFonts w:ascii="SimHei" w:eastAsia="SimHei" w:hAnsi="SimHei" w:cs="SimHei"/>
                          <w:b w:val="0"/>
                          <w:bCs w:val="0"/>
                          <w:color w:val="000000"/>
                          <w:spacing w:val="0"/>
                          <w:w w:val="100"/>
                          <w:position w:val="0"/>
                          <w:sz w:val="14"/>
                          <w:szCs w:val="14"/>
                        </w:rPr>
                        <w:t>环</w:t>
                      </w:r>
                      <w:r>
                        <w:rPr>
                          <w:rFonts w:ascii="SimHei" w:eastAsia="SimHei" w:hAnsi="SimHei" w:cs="SimHei"/>
                          <w:b w:val="0"/>
                          <w:bCs w:val="0"/>
                          <w:color w:val="14252C"/>
                          <w:spacing w:val="0"/>
                          <w:w w:val="100"/>
                          <w:position w:val="0"/>
                          <w:sz w:val="14"/>
                          <w:szCs w:val="14"/>
                        </w:rPr>
                        <w:t>保平台</w:t>
                      </w:r>
                      <w:r>
                        <w:rPr>
                          <w:rFonts w:ascii="SimHei" w:eastAsia="SimHei" w:hAnsi="SimHei" w:cs="SimHei"/>
                          <w:b w:val="0"/>
                          <w:bCs w:val="0"/>
                          <w:color w:val="474646"/>
                          <w:spacing w:val="0"/>
                          <w:w w:val="100"/>
                          <w:position w:val="0"/>
                          <w:sz w:val="14"/>
                          <w:szCs w:val="14"/>
                        </w:rPr>
                        <w:t>等领域</w:t>
                      </w:r>
                    </w:p>
                  </w:txbxContent>
                </v:textbox>
                <w10:wrap anchorx="page" anchory="margin"/>
              </v:shape>
            </w:pict>
          </mc:Fallback>
        </mc:AlternateContent>
      </w:r>
      <w:r>
        <mc:AlternateContent>
          <mc:Choice Requires="wps">
            <w:drawing>
              <wp:anchor distT="0" distB="0" distL="0" distR="0" simplePos="0" relativeHeight="503316540" behindDoc="0" locked="0" layoutInCell="1" allowOverlap="1">
                <wp:simplePos x="0" y="0"/>
                <wp:positionH relativeFrom="page">
                  <wp:posOffset>5657215</wp:posOffset>
                </wp:positionH>
                <wp:positionV relativeFrom="margin">
                  <wp:posOffset>1347470</wp:posOffset>
                </wp:positionV>
                <wp:extent cx="862330" cy="570230"/>
                <wp:wrapNone/>
                <wp:docPr id="140" name="Shape 140"/>
                <a:graphic xmlns:a="http://schemas.openxmlformats.org/drawingml/2006/main">
                  <a:graphicData uri="http://schemas.microsoft.com/office/word/2010/wordprocessingShape">
                    <wps:wsp>
                      <wps:cNvSpPr txBox="1"/>
                      <wps:spPr>
                        <a:xfrm>
                          <a:ext cx="862330" cy="570230"/>
                        </a:xfrm>
                        <a:prstGeom prst="rect"/>
                        <a:noFill/>
                      </wps:spPr>
                      <wps:txbx>
                        <w:txbxContent>
                          <w:p>
                            <w:pPr>
                              <w:pStyle w:val="Style33"/>
                              <w:keepNext w:val="0"/>
                              <w:keepLines w:val="0"/>
                              <w:widowControl w:val="0"/>
                              <w:shd w:val="clear" w:color="auto" w:fill="auto"/>
                              <w:tabs>
                                <w:tab w:pos="1104" w:val="left"/>
                              </w:tabs>
                              <w:bidi w:val="0"/>
                              <w:spacing w:before="0" w:after="0" w:line="172" w:lineRule="exact"/>
                              <w:ind w:left="0" w:right="0" w:firstLine="0"/>
                              <w:jc w:val="left"/>
                              <w:rPr>
                                <w:sz w:val="9"/>
                                <w:szCs w:val="9"/>
                              </w:rPr>
                            </w:pPr>
                            <w:r>
                              <w:rPr>
                                <w:rFonts w:ascii="SimHei" w:eastAsia="SimHei" w:hAnsi="SimHei" w:cs="SimHei"/>
                                <w:b w:val="0"/>
                                <w:bCs w:val="0"/>
                                <w:color w:val="474646"/>
                                <w:spacing w:val="0"/>
                                <w:w w:val="100"/>
                                <w:position w:val="0"/>
                                <w:sz w:val="14"/>
                                <w:szCs w:val="14"/>
                              </w:rPr>
                              <w:t>应</w:t>
                            </w:r>
                            <w:r>
                              <w:rPr>
                                <w:rFonts w:ascii="SimHei" w:eastAsia="SimHei" w:hAnsi="SimHei" w:cs="SimHei"/>
                                <w:b w:val="0"/>
                                <w:bCs w:val="0"/>
                                <w:color w:val="14252C"/>
                                <w:spacing w:val="0"/>
                                <w:w w:val="100"/>
                                <w:position w:val="0"/>
                                <w:sz w:val="14"/>
                                <w:szCs w:val="14"/>
                              </w:rPr>
                              <w:t>用于智慧水务</w:t>
                            </w:r>
                            <w:r>
                              <w:rPr>
                                <w:rFonts w:ascii="SimHei" w:eastAsia="SimHei" w:hAnsi="SimHei" w:cs="SimHei"/>
                                <w:b w:val="0"/>
                                <w:bCs w:val="0"/>
                                <w:color w:val="000000"/>
                                <w:spacing w:val="0"/>
                                <w:w w:val="100"/>
                                <w:position w:val="0"/>
                                <w:sz w:val="14"/>
                                <w:szCs w:val="14"/>
                              </w:rPr>
                              <w:t xml:space="preserve">、 </w:t>
                            </w:r>
                            <w:r>
                              <w:rPr>
                                <w:rFonts w:ascii="SimHei" w:eastAsia="SimHei" w:hAnsi="SimHei" w:cs="SimHei"/>
                                <w:b w:val="0"/>
                                <w:bCs w:val="0"/>
                                <w:color w:val="14252C"/>
                                <w:spacing w:val="0"/>
                                <w:w w:val="100"/>
                                <w:position w:val="0"/>
                                <w:sz w:val="14"/>
                                <w:szCs w:val="14"/>
                              </w:rPr>
                              <w:t>智慈燃气、智慧 热力等智</w:t>
                            </w:r>
                            <w:r>
                              <w:rPr>
                                <w:rFonts w:ascii="SimHei" w:eastAsia="SimHei" w:hAnsi="SimHei" w:cs="SimHei"/>
                                <w:b w:val="0"/>
                                <w:bCs w:val="0"/>
                                <w:color w:val="474646"/>
                                <w:spacing w:val="0"/>
                                <w:w w:val="100"/>
                                <w:position w:val="0"/>
                                <w:sz w:val="14"/>
                                <w:szCs w:val="14"/>
                              </w:rPr>
                              <w:t xml:space="preserve">慈城市 领域，行业垂直 </w:t>
                            </w:r>
                            <w:r>
                              <w:rPr>
                                <w:rFonts w:ascii="SimHei" w:eastAsia="SimHei" w:hAnsi="SimHei" w:cs="SimHei"/>
                                <w:b w:val="0"/>
                                <w:bCs w:val="0"/>
                                <w:color w:val="14252C"/>
                                <w:spacing w:val="0"/>
                                <w:w w:val="100"/>
                                <w:position w:val="0"/>
                                <w:sz w:val="14"/>
                                <w:szCs w:val="14"/>
                                <w:u w:val="single"/>
                              </w:rPr>
                              <w:t>应用标杆</w:t>
                              <w:tab/>
                            </w:r>
                            <w:r>
                              <w:rPr>
                                <w:b w:val="0"/>
                                <w:bCs w:val="0"/>
                                <w:i/>
                                <w:iCs/>
                                <w:color w:val="14252C"/>
                                <w:spacing w:val="0"/>
                                <w:w w:val="100"/>
                                <w:position w:val="0"/>
                                <w:sz w:val="9"/>
                                <w:szCs w:val="9"/>
                                <w:u w:val="single"/>
                              </w:rPr>
                              <w:t>疽</w:t>
                            </w:r>
                          </w:p>
                        </w:txbxContent>
                      </wps:txbx>
                      <wps:bodyPr lIns="0" tIns="0" rIns="0" bIns="0">
                        <a:noAutoFit/>
                      </wps:bodyPr>
                    </wps:wsp>
                  </a:graphicData>
                </a:graphic>
              </wp:anchor>
            </w:drawing>
          </mc:Choice>
          <mc:Fallback>
            <w:pict>
              <v:shape id="_x0000_s1166" type="#_x0000_t202" style="position:absolute;margin-left:445.44999999999999pt;margin-top:106.10000000000001pt;width:67.900000000000006pt;height:44.899999999999999pt;z-index:251657787;mso-wrap-distance-left:0;mso-wrap-distance-right:0;mso-position-horizontal-relative:page;mso-position-vertical-relative:margin" filled="f" stroked="f">
                <v:textbox inset="0,0,0,0">
                  <w:txbxContent>
                    <w:p>
                      <w:pPr>
                        <w:pStyle w:val="Style33"/>
                        <w:keepNext w:val="0"/>
                        <w:keepLines w:val="0"/>
                        <w:widowControl w:val="0"/>
                        <w:shd w:val="clear" w:color="auto" w:fill="auto"/>
                        <w:tabs>
                          <w:tab w:pos="1104" w:val="left"/>
                        </w:tabs>
                        <w:bidi w:val="0"/>
                        <w:spacing w:before="0" w:after="0" w:line="172" w:lineRule="exact"/>
                        <w:ind w:left="0" w:right="0" w:firstLine="0"/>
                        <w:jc w:val="left"/>
                        <w:rPr>
                          <w:sz w:val="9"/>
                          <w:szCs w:val="9"/>
                        </w:rPr>
                      </w:pPr>
                      <w:r>
                        <w:rPr>
                          <w:rFonts w:ascii="SimHei" w:eastAsia="SimHei" w:hAnsi="SimHei" w:cs="SimHei"/>
                          <w:b w:val="0"/>
                          <w:bCs w:val="0"/>
                          <w:color w:val="474646"/>
                          <w:spacing w:val="0"/>
                          <w:w w:val="100"/>
                          <w:position w:val="0"/>
                          <w:sz w:val="14"/>
                          <w:szCs w:val="14"/>
                        </w:rPr>
                        <w:t>应</w:t>
                      </w:r>
                      <w:r>
                        <w:rPr>
                          <w:rFonts w:ascii="SimHei" w:eastAsia="SimHei" w:hAnsi="SimHei" w:cs="SimHei"/>
                          <w:b w:val="0"/>
                          <w:bCs w:val="0"/>
                          <w:color w:val="14252C"/>
                          <w:spacing w:val="0"/>
                          <w:w w:val="100"/>
                          <w:position w:val="0"/>
                          <w:sz w:val="14"/>
                          <w:szCs w:val="14"/>
                        </w:rPr>
                        <w:t>用于智慧水务</w:t>
                      </w:r>
                      <w:r>
                        <w:rPr>
                          <w:rFonts w:ascii="SimHei" w:eastAsia="SimHei" w:hAnsi="SimHei" w:cs="SimHei"/>
                          <w:b w:val="0"/>
                          <w:bCs w:val="0"/>
                          <w:color w:val="000000"/>
                          <w:spacing w:val="0"/>
                          <w:w w:val="100"/>
                          <w:position w:val="0"/>
                          <w:sz w:val="14"/>
                          <w:szCs w:val="14"/>
                        </w:rPr>
                        <w:t xml:space="preserve">、 </w:t>
                      </w:r>
                      <w:r>
                        <w:rPr>
                          <w:rFonts w:ascii="SimHei" w:eastAsia="SimHei" w:hAnsi="SimHei" w:cs="SimHei"/>
                          <w:b w:val="0"/>
                          <w:bCs w:val="0"/>
                          <w:color w:val="14252C"/>
                          <w:spacing w:val="0"/>
                          <w:w w:val="100"/>
                          <w:position w:val="0"/>
                          <w:sz w:val="14"/>
                          <w:szCs w:val="14"/>
                        </w:rPr>
                        <w:t>智慈燃气、智慧 热力等智</w:t>
                      </w:r>
                      <w:r>
                        <w:rPr>
                          <w:rFonts w:ascii="SimHei" w:eastAsia="SimHei" w:hAnsi="SimHei" w:cs="SimHei"/>
                          <w:b w:val="0"/>
                          <w:bCs w:val="0"/>
                          <w:color w:val="474646"/>
                          <w:spacing w:val="0"/>
                          <w:w w:val="100"/>
                          <w:position w:val="0"/>
                          <w:sz w:val="14"/>
                          <w:szCs w:val="14"/>
                        </w:rPr>
                        <w:t xml:space="preserve">慈城市 领域，行业垂直 </w:t>
                      </w:r>
                      <w:r>
                        <w:rPr>
                          <w:rFonts w:ascii="SimHei" w:eastAsia="SimHei" w:hAnsi="SimHei" w:cs="SimHei"/>
                          <w:b w:val="0"/>
                          <w:bCs w:val="0"/>
                          <w:color w:val="14252C"/>
                          <w:spacing w:val="0"/>
                          <w:w w:val="100"/>
                          <w:position w:val="0"/>
                          <w:sz w:val="14"/>
                          <w:szCs w:val="14"/>
                          <w:u w:val="single"/>
                        </w:rPr>
                        <w:t>应用标杆</w:t>
                        <w:tab/>
                      </w:r>
                      <w:r>
                        <w:rPr>
                          <w:b w:val="0"/>
                          <w:bCs w:val="0"/>
                          <w:i/>
                          <w:iCs/>
                          <w:color w:val="14252C"/>
                          <w:spacing w:val="0"/>
                          <w:w w:val="100"/>
                          <w:position w:val="0"/>
                          <w:sz w:val="9"/>
                          <w:szCs w:val="9"/>
                          <w:u w:val="single"/>
                        </w:rPr>
                        <w:t>疽</w:t>
                      </w:r>
                    </w:p>
                  </w:txbxContent>
                </v:textbox>
                <w10:wrap anchorx="page" anchory="margin"/>
              </v:shape>
            </w:pict>
          </mc:Fallback>
        </mc:AlternateContent>
      </w:r>
      <w:r>
        <mc:AlternateContent>
          <mc:Choice Requires="wps">
            <w:drawing>
              <wp:anchor distT="0" distB="0" distL="0" distR="0" simplePos="0" relativeHeight="503316542" behindDoc="0" locked="0" layoutInCell="1" allowOverlap="1">
                <wp:simplePos x="0" y="0"/>
                <wp:positionH relativeFrom="page">
                  <wp:posOffset>5727700</wp:posOffset>
                </wp:positionH>
                <wp:positionV relativeFrom="margin">
                  <wp:posOffset>3209290</wp:posOffset>
                </wp:positionV>
                <wp:extent cx="841375" cy="570230"/>
                <wp:wrapNone/>
                <wp:docPr id="142" name="Shape 142"/>
                <a:graphic xmlns:a="http://schemas.openxmlformats.org/drawingml/2006/main">
                  <a:graphicData uri="http://schemas.microsoft.com/office/word/2010/wordprocessingShape">
                    <wps:wsp>
                      <wps:cNvSpPr txBox="1"/>
                      <wps:spPr>
                        <a:xfrm>
                          <a:ext cx="841375" cy="570230"/>
                        </a:xfrm>
                        <a:prstGeom prst="rect"/>
                        <a:noFill/>
                      </wps:spPr>
                      <wps:txbx>
                        <w:txbxContent>
                          <w:p>
                            <w:pPr>
                              <w:pStyle w:val="Style33"/>
                              <w:keepNext w:val="0"/>
                              <w:keepLines w:val="0"/>
                              <w:widowControl w:val="0"/>
                              <w:shd w:val="clear" w:color="auto" w:fill="auto"/>
                              <w:bidi w:val="0"/>
                              <w:spacing w:before="0" w:after="0" w:line="170" w:lineRule="exact"/>
                              <w:ind w:left="0" w:right="0" w:firstLine="0"/>
                              <w:jc w:val="left"/>
                              <w:rPr>
                                <w:sz w:val="14"/>
                                <w:szCs w:val="14"/>
                              </w:rPr>
                            </w:pPr>
                            <w:r>
                              <w:rPr>
                                <w:rFonts w:ascii="SimHei" w:eastAsia="SimHei" w:hAnsi="SimHei" w:cs="SimHei"/>
                                <w:b w:val="0"/>
                                <w:bCs w:val="0"/>
                                <w:color w:val="474646"/>
                                <w:spacing w:val="0"/>
                                <w:w w:val="100"/>
                                <w:position w:val="0"/>
                                <w:sz w:val="14"/>
                                <w:szCs w:val="14"/>
                              </w:rPr>
                              <w:t>围绕居家、</w:t>
                            </w:r>
                            <w:r>
                              <w:rPr>
                                <w:rFonts w:ascii="SimHei" w:eastAsia="SimHei" w:hAnsi="SimHei" w:cs="SimHei"/>
                                <w:b w:val="0"/>
                                <w:bCs w:val="0"/>
                                <w:color w:val="14252C"/>
                                <w:spacing w:val="0"/>
                                <w:w w:val="100"/>
                                <w:position w:val="0"/>
                                <w:sz w:val="14"/>
                                <w:szCs w:val="14"/>
                              </w:rPr>
                              <w:t xml:space="preserve">安全、 </w:t>
                            </w:r>
                            <w:r>
                              <w:rPr>
                                <w:rFonts w:ascii="SimHei" w:eastAsia="SimHei" w:hAnsi="SimHei" w:cs="SimHei"/>
                                <w:b w:val="0"/>
                                <w:bCs w:val="0"/>
                                <w:color w:val="474646"/>
                                <w:spacing w:val="0"/>
                                <w:w w:val="100"/>
                                <w:position w:val="0"/>
                                <w:sz w:val="14"/>
                                <w:szCs w:val="14"/>
                              </w:rPr>
                              <w:t>与环境领域的消 费电子产品，应 用</w:t>
                            </w:r>
                            <w:r>
                              <w:rPr>
                                <w:rFonts w:ascii="SimHei" w:eastAsia="SimHei" w:hAnsi="SimHei" w:cs="SimHei"/>
                                <w:b w:val="0"/>
                                <w:bCs w:val="0"/>
                                <w:color w:val="14252C"/>
                                <w:spacing w:val="0"/>
                                <w:w w:val="100"/>
                                <w:position w:val="0"/>
                                <w:sz w:val="14"/>
                                <w:szCs w:val="14"/>
                              </w:rPr>
                              <w:t>干空气</w:t>
                            </w:r>
                            <w:r>
                              <w:rPr>
                                <w:rFonts w:ascii="SimHei" w:eastAsia="SimHei" w:hAnsi="SimHei" w:cs="SimHei"/>
                                <w:color w:val="14252C"/>
                                <w:spacing w:val="0"/>
                                <w:w w:val="100"/>
                                <w:position w:val="0"/>
                                <w:sz w:val="14"/>
                                <w:szCs w:val="14"/>
                              </w:rPr>
                              <w:t xml:space="preserve">监测、 </w:t>
                            </w:r>
                            <w:r>
                              <w:rPr>
                                <w:rFonts w:ascii="SimHei" w:eastAsia="SimHei" w:hAnsi="SimHei" w:cs="SimHei"/>
                                <w:b w:val="0"/>
                                <w:bCs w:val="0"/>
                                <w:color w:val="14252C"/>
                                <w:spacing w:val="0"/>
                                <w:w w:val="100"/>
                                <w:position w:val="0"/>
                                <w:sz w:val="14"/>
                                <w:szCs w:val="14"/>
                                <w:u w:val="single"/>
                              </w:rPr>
                              <w:t>智能家电</w:t>
                            </w:r>
                            <w:r>
                              <w:rPr>
                                <w:rFonts w:ascii="SimHei" w:eastAsia="SimHei" w:hAnsi="SimHei" w:cs="SimHei"/>
                                <w:b w:val="0"/>
                                <w:bCs w:val="0"/>
                                <w:color w:val="474646"/>
                                <w:spacing w:val="0"/>
                                <w:w w:val="100"/>
                                <w:position w:val="0"/>
                                <w:sz w:val="14"/>
                                <w:szCs w:val="14"/>
                                <w:u w:val="single"/>
                              </w:rPr>
                              <w:t>等领域</w:t>
                            </w:r>
                            <w:r>
                              <w:rPr>
                                <w:rFonts w:ascii="SimHei" w:eastAsia="SimHei" w:hAnsi="SimHei" w:cs="SimHei"/>
                                <w:b w:val="0"/>
                                <w:bCs w:val="0"/>
                                <w:color w:val="14252C"/>
                                <w:spacing w:val="0"/>
                                <w:w w:val="100"/>
                                <w:position w:val="0"/>
                                <w:sz w:val="14"/>
                                <w:szCs w:val="14"/>
                                <w:u w:val="single"/>
                              </w:rPr>
                              <w:t>)</w:t>
                            </w:r>
                          </w:p>
                        </w:txbxContent>
                      </wps:txbx>
                      <wps:bodyPr lIns="0" tIns="0" rIns="0" bIns="0">
                        <a:noAutoFit/>
                      </wps:bodyPr>
                    </wps:wsp>
                  </a:graphicData>
                </a:graphic>
              </wp:anchor>
            </w:drawing>
          </mc:Choice>
          <mc:Fallback>
            <w:pict>
              <v:shape id="_x0000_s1168" type="#_x0000_t202" style="position:absolute;margin-left:451.pt;margin-top:252.70000000000002pt;width:66.25pt;height:44.899999999999999pt;z-index:251657789;mso-wrap-distance-left:0;mso-wrap-distance-right:0;mso-position-horizontal-relative:page;mso-position-vertical-relative:margin" filled="f" stroked="f">
                <v:textbox inset="0,0,0,0">
                  <w:txbxContent>
                    <w:p>
                      <w:pPr>
                        <w:pStyle w:val="Style33"/>
                        <w:keepNext w:val="0"/>
                        <w:keepLines w:val="0"/>
                        <w:widowControl w:val="0"/>
                        <w:shd w:val="clear" w:color="auto" w:fill="auto"/>
                        <w:bidi w:val="0"/>
                        <w:spacing w:before="0" w:after="0" w:line="170" w:lineRule="exact"/>
                        <w:ind w:left="0" w:right="0" w:firstLine="0"/>
                        <w:jc w:val="left"/>
                        <w:rPr>
                          <w:sz w:val="14"/>
                          <w:szCs w:val="14"/>
                        </w:rPr>
                      </w:pPr>
                      <w:r>
                        <w:rPr>
                          <w:rFonts w:ascii="SimHei" w:eastAsia="SimHei" w:hAnsi="SimHei" w:cs="SimHei"/>
                          <w:b w:val="0"/>
                          <w:bCs w:val="0"/>
                          <w:color w:val="474646"/>
                          <w:spacing w:val="0"/>
                          <w:w w:val="100"/>
                          <w:position w:val="0"/>
                          <w:sz w:val="14"/>
                          <w:szCs w:val="14"/>
                        </w:rPr>
                        <w:t>围绕居家、</w:t>
                      </w:r>
                      <w:r>
                        <w:rPr>
                          <w:rFonts w:ascii="SimHei" w:eastAsia="SimHei" w:hAnsi="SimHei" w:cs="SimHei"/>
                          <w:b w:val="0"/>
                          <w:bCs w:val="0"/>
                          <w:color w:val="14252C"/>
                          <w:spacing w:val="0"/>
                          <w:w w:val="100"/>
                          <w:position w:val="0"/>
                          <w:sz w:val="14"/>
                          <w:szCs w:val="14"/>
                        </w:rPr>
                        <w:t xml:space="preserve">安全、 </w:t>
                      </w:r>
                      <w:r>
                        <w:rPr>
                          <w:rFonts w:ascii="SimHei" w:eastAsia="SimHei" w:hAnsi="SimHei" w:cs="SimHei"/>
                          <w:b w:val="0"/>
                          <w:bCs w:val="0"/>
                          <w:color w:val="474646"/>
                          <w:spacing w:val="0"/>
                          <w:w w:val="100"/>
                          <w:position w:val="0"/>
                          <w:sz w:val="14"/>
                          <w:szCs w:val="14"/>
                        </w:rPr>
                        <w:t>与环境领域的消 费电子产品，应 用</w:t>
                      </w:r>
                      <w:r>
                        <w:rPr>
                          <w:rFonts w:ascii="SimHei" w:eastAsia="SimHei" w:hAnsi="SimHei" w:cs="SimHei"/>
                          <w:b w:val="0"/>
                          <w:bCs w:val="0"/>
                          <w:color w:val="14252C"/>
                          <w:spacing w:val="0"/>
                          <w:w w:val="100"/>
                          <w:position w:val="0"/>
                          <w:sz w:val="14"/>
                          <w:szCs w:val="14"/>
                        </w:rPr>
                        <w:t>干空气</w:t>
                      </w:r>
                      <w:r>
                        <w:rPr>
                          <w:rFonts w:ascii="SimHei" w:eastAsia="SimHei" w:hAnsi="SimHei" w:cs="SimHei"/>
                          <w:color w:val="14252C"/>
                          <w:spacing w:val="0"/>
                          <w:w w:val="100"/>
                          <w:position w:val="0"/>
                          <w:sz w:val="14"/>
                          <w:szCs w:val="14"/>
                        </w:rPr>
                        <w:t xml:space="preserve">监测、 </w:t>
                      </w:r>
                      <w:r>
                        <w:rPr>
                          <w:rFonts w:ascii="SimHei" w:eastAsia="SimHei" w:hAnsi="SimHei" w:cs="SimHei"/>
                          <w:b w:val="0"/>
                          <w:bCs w:val="0"/>
                          <w:color w:val="14252C"/>
                          <w:spacing w:val="0"/>
                          <w:w w:val="100"/>
                          <w:position w:val="0"/>
                          <w:sz w:val="14"/>
                          <w:szCs w:val="14"/>
                          <w:u w:val="single"/>
                        </w:rPr>
                        <w:t>智能家电</w:t>
                      </w:r>
                      <w:r>
                        <w:rPr>
                          <w:rFonts w:ascii="SimHei" w:eastAsia="SimHei" w:hAnsi="SimHei" w:cs="SimHei"/>
                          <w:b w:val="0"/>
                          <w:bCs w:val="0"/>
                          <w:color w:val="474646"/>
                          <w:spacing w:val="0"/>
                          <w:w w:val="100"/>
                          <w:position w:val="0"/>
                          <w:sz w:val="14"/>
                          <w:szCs w:val="14"/>
                          <w:u w:val="single"/>
                        </w:rPr>
                        <w:t>等领域</w:t>
                      </w:r>
                      <w:r>
                        <w:rPr>
                          <w:rFonts w:ascii="SimHei" w:eastAsia="SimHei" w:hAnsi="SimHei" w:cs="SimHei"/>
                          <w:b w:val="0"/>
                          <w:bCs w:val="0"/>
                          <w:color w:val="14252C"/>
                          <w:spacing w:val="0"/>
                          <w:w w:val="100"/>
                          <w:position w:val="0"/>
                          <w:sz w:val="14"/>
                          <w:szCs w:val="14"/>
                          <w:u w:val="single"/>
                        </w:rPr>
                        <w:t>)</w:t>
                      </w:r>
                    </w:p>
                  </w:txbxContent>
                </v:textbox>
                <w10:wrap anchorx="page" anchory="margin"/>
              </v:shape>
            </w:pict>
          </mc:Fallback>
        </mc:AlternateContent>
      </w:r>
      <w:r>
        <mc:AlternateContent>
          <mc:Choice Requires="wps">
            <w:drawing>
              <wp:anchor distT="0" distB="0" distL="0" distR="0" simplePos="0" relativeHeight="503316544" behindDoc="0" locked="0" layoutInCell="1" allowOverlap="1">
                <wp:simplePos x="0" y="0"/>
                <wp:positionH relativeFrom="page">
                  <wp:posOffset>5617845</wp:posOffset>
                </wp:positionH>
                <wp:positionV relativeFrom="margin">
                  <wp:posOffset>1996440</wp:posOffset>
                </wp:positionV>
                <wp:extent cx="902335" cy="466090"/>
                <wp:wrapNone/>
                <wp:docPr id="144" name="Shape 144"/>
                <a:graphic xmlns:a="http://schemas.openxmlformats.org/drawingml/2006/main">
                  <a:graphicData uri="http://schemas.microsoft.com/office/word/2010/wordprocessingShape">
                    <wps:wsp>
                      <wps:cNvSpPr txBox="1"/>
                      <wps:spPr>
                        <a:xfrm>
                          <a:ext cx="902335" cy="466090"/>
                        </a:xfrm>
                        <a:prstGeom prst="rect"/>
                        <a:noFill/>
                      </wps:spPr>
                      <wps:txbx>
                        <w:txbxContent>
                          <w:p>
                            <w:pPr>
                              <w:pStyle w:val="Style33"/>
                              <w:keepNext w:val="0"/>
                              <w:keepLines w:val="0"/>
                              <w:widowControl w:val="0"/>
                              <w:shd w:val="clear" w:color="auto" w:fill="auto"/>
                              <w:bidi w:val="0"/>
                              <w:spacing w:before="0" w:after="0" w:line="173" w:lineRule="exact"/>
                              <w:ind w:left="0" w:right="0" w:firstLine="0"/>
                              <w:jc w:val="center"/>
                              <w:rPr>
                                <w:sz w:val="9"/>
                                <w:szCs w:val="9"/>
                              </w:rPr>
                            </w:pPr>
                            <w:r>
                              <w:rPr>
                                <w:rFonts w:ascii="SimHei" w:eastAsia="SimHei" w:hAnsi="SimHei" w:cs="SimHei"/>
                                <w:b w:val="0"/>
                                <w:bCs w:val="0"/>
                                <w:color w:val="474646"/>
                                <w:spacing w:val="0"/>
                                <w:w w:val="100"/>
                                <w:position w:val="0"/>
                                <w:sz w:val="14"/>
                                <w:szCs w:val="14"/>
                              </w:rPr>
                              <w:t>应用于</w:t>
                            </w:r>
                            <w:r>
                              <w:rPr>
                                <w:rFonts w:ascii="SimHei" w:eastAsia="SimHei" w:hAnsi="SimHei" w:cs="SimHei"/>
                                <w:b w:val="0"/>
                                <w:bCs w:val="0"/>
                                <w:color w:val="14252C"/>
                                <w:spacing w:val="0"/>
                                <w:w w:val="100"/>
                                <w:position w:val="0"/>
                                <w:sz w:val="14"/>
                                <w:szCs w:val="14"/>
                              </w:rPr>
                              <w:t xml:space="preserve">工业互麻 </w:t>
                            </w:r>
                            <w:r>
                              <w:rPr>
                                <w:rFonts w:ascii="SimHei" w:eastAsia="SimHei" w:hAnsi="SimHei" w:cs="SimHei"/>
                                <w:color w:val="14252C"/>
                                <w:spacing w:val="0"/>
                                <w:w w:val="100"/>
                                <w:position w:val="0"/>
                                <w:sz w:val="14"/>
                                <w:szCs w:val="14"/>
                              </w:rPr>
                              <w:t xml:space="preserve">网、园区、政府 </w:t>
                            </w:r>
                            <w:r>
                              <w:rPr>
                                <w:rFonts w:ascii="SimHei" w:eastAsia="SimHei" w:hAnsi="SimHei" w:cs="SimHei"/>
                                <w:b w:val="0"/>
                                <w:bCs w:val="0"/>
                                <w:color w:val="14252C"/>
                                <w:spacing w:val="0"/>
                                <w:w w:val="100"/>
                                <w:position w:val="0"/>
                                <w:sz w:val="14"/>
                                <w:szCs w:val="14"/>
                              </w:rPr>
                              <w:t xml:space="preserve">安监、智急消防、 </w:t>
                            </w:r>
                            <w:r>
                              <w:rPr>
                                <w:rFonts w:ascii="Times New Roman" w:eastAsia="Times New Roman" w:hAnsi="Times New Roman" w:cs="Times New Roman"/>
                                <w:color w:val="14252C"/>
                                <w:spacing w:val="0"/>
                                <w:w w:val="100"/>
                                <w:position w:val="0"/>
                                <w:sz w:val="15"/>
                                <w:szCs w:val="15"/>
                                <w:u w:val="single"/>
                              </w:rPr>
                              <w:t>I</w:t>
                            </w:r>
                            <w:r>
                              <w:rPr>
                                <w:rFonts w:ascii="SimHei" w:eastAsia="SimHei" w:hAnsi="SimHei" w:cs="SimHei"/>
                                <w:b w:val="0"/>
                                <w:bCs w:val="0"/>
                                <w:color w:val="14252C"/>
                                <w:spacing w:val="0"/>
                                <w:w w:val="100"/>
                                <w:position w:val="0"/>
                                <w:sz w:val="14"/>
                                <w:szCs w:val="14"/>
                                <w:u w:val="single"/>
                              </w:rPr>
                              <w:t>智慧园区</w:t>
                            </w:r>
                            <w:r>
                              <w:rPr>
                                <w:rFonts w:ascii="SimHei" w:eastAsia="SimHei" w:hAnsi="SimHei" w:cs="SimHei"/>
                                <w:b w:val="0"/>
                                <w:bCs w:val="0"/>
                                <w:color w:val="474646"/>
                                <w:spacing w:val="0"/>
                                <w:w w:val="100"/>
                                <w:position w:val="0"/>
                                <w:sz w:val="14"/>
                                <w:szCs w:val="14"/>
                                <w:u w:val="single"/>
                              </w:rPr>
                              <w:t>等领域</w:t>
                            </w:r>
                            <w:r>
                              <w:rPr>
                                <w:b w:val="0"/>
                                <w:bCs w:val="0"/>
                                <w:i/>
                                <w:iCs/>
                                <w:color w:val="14252C"/>
                                <w:spacing w:val="0"/>
                                <w:w w:val="100"/>
                                <w:position w:val="0"/>
                                <w:sz w:val="9"/>
                                <w:szCs w:val="9"/>
                                <w:u w:val="single"/>
                              </w:rPr>
                              <w:t>」</w:t>
                            </w:r>
                          </w:p>
                        </w:txbxContent>
                      </wps:txbx>
                      <wps:bodyPr lIns="0" tIns="0" rIns="0" bIns="0">
                        <a:noAutoFit/>
                      </wps:bodyPr>
                    </wps:wsp>
                  </a:graphicData>
                </a:graphic>
              </wp:anchor>
            </w:drawing>
          </mc:Choice>
          <mc:Fallback>
            <w:pict>
              <v:shape id="_x0000_s1170" type="#_x0000_t202" style="position:absolute;margin-left:442.35000000000002pt;margin-top:157.20000000000002pt;width:71.049999999999997pt;height:36.700000000000003pt;z-index:251657791;mso-wrap-distance-left:0;mso-wrap-distance-right:0;mso-position-horizontal-relative:page;mso-position-vertical-relative:margin" filled="f" stroked="f">
                <v:textbox inset="0,0,0,0">
                  <w:txbxContent>
                    <w:p>
                      <w:pPr>
                        <w:pStyle w:val="Style33"/>
                        <w:keepNext w:val="0"/>
                        <w:keepLines w:val="0"/>
                        <w:widowControl w:val="0"/>
                        <w:shd w:val="clear" w:color="auto" w:fill="auto"/>
                        <w:bidi w:val="0"/>
                        <w:spacing w:before="0" w:after="0" w:line="173" w:lineRule="exact"/>
                        <w:ind w:left="0" w:right="0" w:firstLine="0"/>
                        <w:jc w:val="center"/>
                        <w:rPr>
                          <w:sz w:val="9"/>
                          <w:szCs w:val="9"/>
                        </w:rPr>
                      </w:pPr>
                      <w:r>
                        <w:rPr>
                          <w:rFonts w:ascii="SimHei" w:eastAsia="SimHei" w:hAnsi="SimHei" w:cs="SimHei"/>
                          <w:b w:val="0"/>
                          <w:bCs w:val="0"/>
                          <w:color w:val="474646"/>
                          <w:spacing w:val="0"/>
                          <w:w w:val="100"/>
                          <w:position w:val="0"/>
                          <w:sz w:val="14"/>
                          <w:szCs w:val="14"/>
                        </w:rPr>
                        <w:t>应用于</w:t>
                      </w:r>
                      <w:r>
                        <w:rPr>
                          <w:rFonts w:ascii="SimHei" w:eastAsia="SimHei" w:hAnsi="SimHei" w:cs="SimHei"/>
                          <w:b w:val="0"/>
                          <w:bCs w:val="0"/>
                          <w:color w:val="14252C"/>
                          <w:spacing w:val="0"/>
                          <w:w w:val="100"/>
                          <w:position w:val="0"/>
                          <w:sz w:val="14"/>
                          <w:szCs w:val="14"/>
                        </w:rPr>
                        <w:t xml:space="preserve">工业互麻 </w:t>
                      </w:r>
                      <w:r>
                        <w:rPr>
                          <w:rFonts w:ascii="SimHei" w:eastAsia="SimHei" w:hAnsi="SimHei" w:cs="SimHei"/>
                          <w:color w:val="14252C"/>
                          <w:spacing w:val="0"/>
                          <w:w w:val="100"/>
                          <w:position w:val="0"/>
                          <w:sz w:val="14"/>
                          <w:szCs w:val="14"/>
                        </w:rPr>
                        <w:t xml:space="preserve">网、园区、政府 </w:t>
                      </w:r>
                      <w:r>
                        <w:rPr>
                          <w:rFonts w:ascii="SimHei" w:eastAsia="SimHei" w:hAnsi="SimHei" w:cs="SimHei"/>
                          <w:b w:val="0"/>
                          <w:bCs w:val="0"/>
                          <w:color w:val="14252C"/>
                          <w:spacing w:val="0"/>
                          <w:w w:val="100"/>
                          <w:position w:val="0"/>
                          <w:sz w:val="14"/>
                          <w:szCs w:val="14"/>
                        </w:rPr>
                        <w:t xml:space="preserve">安监、智急消防、 </w:t>
                      </w:r>
                      <w:r>
                        <w:rPr>
                          <w:rFonts w:ascii="Times New Roman" w:eastAsia="Times New Roman" w:hAnsi="Times New Roman" w:cs="Times New Roman"/>
                          <w:color w:val="14252C"/>
                          <w:spacing w:val="0"/>
                          <w:w w:val="100"/>
                          <w:position w:val="0"/>
                          <w:sz w:val="15"/>
                          <w:szCs w:val="15"/>
                          <w:u w:val="single"/>
                        </w:rPr>
                        <w:t>I</w:t>
                      </w:r>
                      <w:r>
                        <w:rPr>
                          <w:rFonts w:ascii="SimHei" w:eastAsia="SimHei" w:hAnsi="SimHei" w:cs="SimHei"/>
                          <w:b w:val="0"/>
                          <w:bCs w:val="0"/>
                          <w:color w:val="14252C"/>
                          <w:spacing w:val="0"/>
                          <w:w w:val="100"/>
                          <w:position w:val="0"/>
                          <w:sz w:val="14"/>
                          <w:szCs w:val="14"/>
                          <w:u w:val="single"/>
                        </w:rPr>
                        <w:t>智慧园区</w:t>
                      </w:r>
                      <w:r>
                        <w:rPr>
                          <w:rFonts w:ascii="SimHei" w:eastAsia="SimHei" w:hAnsi="SimHei" w:cs="SimHei"/>
                          <w:b w:val="0"/>
                          <w:bCs w:val="0"/>
                          <w:color w:val="474646"/>
                          <w:spacing w:val="0"/>
                          <w:w w:val="100"/>
                          <w:position w:val="0"/>
                          <w:sz w:val="14"/>
                          <w:szCs w:val="14"/>
                          <w:u w:val="single"/>
                        </w:rPr>
                        <w:t>等领域</w:t>
                      </w:r>
                      <w:r>
                        <w:rPr>
                          <w:b w:val="0"/>
                          <w:bCs w:val="0"/>
                          <w:i/>
                          <w:iCs/>
                          <w:color w:val="14252C"/>
                          <w:spacing w:val="0"/>
                          <w:w w:val="100"/>
                          <w:position w:val="0"/>
                          <w:sz w:val="9"/>
                          <w:szCs w:val="9"/>
                          <w:u w:val="single"/>
                        </w:rPr>
                        <w:t>」</w:t>
                      </w:r>
                    </w:p>
                  </w:txbxContent>
                </v:textbox>
                <w10:wrap anchorx="page" anchory="margin"/>
              </v:shape>
            </w:pict>
          </mc:Fallback>
        </mc:AlternateContent>
      </w:r>
      <w:r>
        <w:rPr>
          <w:spacing w:val="0"/>
          <w:w w:val="100"/>
          <w:position w:val="0"/>
        </w:rPr>
        <w:t>气体传感</w:t>
      </w:r>
      <w:r>
        <w:rPr>
          <w:color w:val="14252C"/>
          <w:spacing w:val="0"/>
          <w:w w:val="100"/>
          <w:position w:val="0"/>
        </w:rPr>
        <w:t xml:space="preserve">器龙头 </w:t>
      </w:r>
      <w:r>
        <w:rPr>
          <w:spacing w:val="0"/>
          <w:w w:val="100"/>
          <w:position w:val="0"/>
        </w:rPr>
        <w:t xml:space="preserve">覆盖下游应用： 可燃气体泄露 空气质量检测 流程工业控制 新能源汽车 </w:t>
      </w:r>
      <w:r>
        <w:rPr>
          <w:color w:val="14252C"/>
          <w:spacing w:val="0"/>
          <w:w w:val="100"/>
          <w:position w:val="0"/>
        </w:rPr>
        <w:t>安</w:t>
      </w:r>
      <w:r>
        <w:rPr>
          <w:spacing w:val="0"/>
          <w:w w:val="100"/>
          <w:position w:val="0"/>
        </w:rPr>
        <w:t xml:space="preserve">防监控 </w:t>
      </w:r>
      <w:r>
        <w:rPr>
          <w:color w:val="14252C"/>
          <w:spacing w:val="0"/>
          <w:w w:val="100"/>
          <w:position w:val="0"/>
        </w:rPr>
        <w:t>环</w:t>
      </w:r>
      <w:r>
        <w:rPr>
          <w:spacing w:val="0"/>
          <w:w w:val="100"/>
          <w:position w:val="0"/>
        </w:rPr>
        <w:t>境保护 消费电子 医疗 家电</w:t>
      </w:r>
      <w:r>
        <w:rPr>
          <w:color w:val="14252C"/>
          <w:spacing w:val="0"/>
          <w:w w:val="100"/>
          <w:position w:val="0"/>
        </w:rPr>
        <w:tab/>
      </w:r>
    </w:p>
    <w:p>
      <w:pPr>
        <w:pStyle w:val="Style161"/>
        <w:keepNext w:val="0"/>
        <w:keepLines w:val="0"/>
        <w:widowControl w:val="0"/>
        <w:shd w:val="clear" w:color="auto" w:fill="auto"/>
        <w:bidi w:val="0"/>
        <w:spacing w:before="0" w:after="0" w:line="173" w:lineRule="exact"/>
        <w:ind w:right="0"/>
        <w:jc w:val="both"/>
      </w:pPr>
      <w:r>
        <w:rPr>
          <w:spacing w:val="0"/>
          <w:w w:val="100"/>
          <w:position w:val="0"/>
        </w:rPr>
        <w:t>国内领先的安</w:t>
      </w:r>
      <w:r>
        <w:rPr>
          <w:color w:val="14252C"/>
          <w:spacing w:val="0"/>
          <w:w w:val="100"/>
          <w:position w:val="0"/>
        </w:rPr>
        <w:t xml:space="preserve">全类智 能仪表、应急装备制 </w:t>
      </w:r>
      <w:r>
        <w:rPr>
          <w:spacing w:val="0"/>
          <w:w w:val="100"/>
          <w:position w:val="0"/>
        </w:rPr>
        <w:t>造商，服务数万家工 商业客户，应用于化 工、石油、燃气、医 药、制造等行业</w:t>
      </w:r>
    </w:p>
    <w:p>
      <w:pPr>
        <w:pStyle w:val="Style2"/>
        <w:keepNext w:val="0"/>
        <w:keepLines w:val="0"/>
        <w:widowControl w:val="0"/>
        <w:shd w:val="clear" w:color="auto" w:fill="auto"/>
        <w:tabs>
          <w:tab w:leader="underscore" w:pos="2006" w:val="left"/>
        </w:tabs>
        <w:bidi w:val="0"/>
        <w:spacing w:before="0" w:after="0" w:line="240" w:lineRule="auto"/>
        <w:ind w:left="0" w:right="0" w:firstLine="460"/>
        <w:jc w:val="left"/>
        <w:rPr>
          <w:sz w:val="15"/>
          <w:szCs w:val="15"/>
        </w:rPr>
        <w:sectPr>
          <w:footnotePr>
            <w:pos w:val="pageBottom"/>
            <w:numFmt w:val="decimal"/>
            <w:numRestart w:val="continuous"/>
          </w:footnotePr>
          <w:pgSz w:w="11900" w:h="16840"/>
          <w:pgMar w:top="1306" w:right="1028" w:bottom="1455" w:left="1090" w:header="0" w:footer="3" w:gutter="0"/>
          <w:cols w:space="720"/>
          <w:noEndnote/>
          <w:rtlGutter w:val="0"/>
          <w:docGrid w:linePitch="360"/>
        </w:sectPr>
      </w:pPr>
      <w:r>
        <w:drawing>
          <wp:anchor distT="0" distB="0" distL="114300" distR="114300" simplePos="0" relativeHeight="125829424" behindDoc="0" locked="0" layoutInCell="1" allowOverlap="1">
            <wp:simplePos x="0" y="0"/>
            <wp:positionH relativeFrom="page">
              <wp:posOffset>1002665</wp:posOffset>
            </wp:positionH>
            <wp:positionV relativeFrom="margin">
              <wp:posOffset>3855720</wp:posOffset>
            </wp:positionV>
            <wp:extent cx="5559425" cy="353695"/>
            <wp:wrapTopAndBottom/>
            <wp:docPr id="146" name="Shape 146"/>
            <a:graphic xmlns:a="http://schemas.openxmlformats.org/drawingml/2006/main">
              <a:graphicData uri="http://schemas.openxmlformats.org/drawingml/2006/picture">
                <pic:pic xmlns:pic="http://schemas.openxmlformats.org/drawingml/2006/picture">
                  <pic:nvPicPr>
                    <pic:cNvPr id="147" name="Picture box 147"/>
                    <pic:cNvPicPr/>
                  </pic:nvPicPr>
                  <pic:blipFill>
                    <a:blip r:embed="rId57"/>
                    <a:stretch/>
                  </pic:blipFill>
                  <pic:spPr>
                    <a:xfrm>
                      <a:ext cx="5559425" cy="353695"/>
                    </a:xfrm>
                    <a:prstGeom prst="rect"/>
                  </pic:spPr>
                </pic:pic>
              </a:graphicData>
            </a:graphic>
          </wp:anchor>
        </w:drawing>
      </w:r>
      <w:r>
        <w:rPr>
          <w:rFonts w:ascii="Times New Roman" w:eastAsia="Times New Roman" w:hAnsi="Times New Roman" w:cs="Times New Roman"/>
          <w:b/>
          <w:bCs/>
          <w:color w:val="14252C"/>
          <w:spacing w:val="0"/>
          <w:w w:val="100"/>
          <w:position w:val="0"/>
          <w:sz w:val="15"/>
          <w:szCs w:val="15"/>
        </w:rPr>
        <w:t>\</w:t>
        <w:tab/>
      </w:r>
    </w:p>
    <w:p>
      <w:pPr>
        <w:pStyle w:val="Style10"/>
        <w:keepNext w:val="0"/>
        <w:keepLines w:val="0"/>
        <w:widowControl w:val="0"/>
        <w:numPr>
          <w:ilvl w:val="0"/>
          <w:numId w:val="5"/>
        </w:numPr>
        <w:shd w:val="clear" w:color="auto" w:fill="auto"/>
        <w:bidi w:val="0"/>
        <w:spacing w:before="0" w:after="0" w:line="470" w:lineRule="exact"/>
        <w:ind w:left="0" w:right="0" w:firstLine="440"/>
        <w:jc w:val="both"/>
      </w:pPr>
      <w:bookmarkStart w:id="106" w:name="bookmark106"/>
      <w:bookmarkEnd w:id="106"/>
      <w:r>
        <w:rPr>
          <w:b/>
          <w:bCs/>
          <w:color w:val="000000"/>
          <w:spacing w:val="0"/>
          <w:w w:val="100"/>
          <w:position w:val="0"/>
        </w:rPr>
        <w:t>传感器技术平台</w:t>
      </w:r>
    </w:p>
    <w:p>
      <w:pPr>
        <w:pStyle w:val="Style1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公司传感器业务通过二十余年的技术积累，围绕敏感材料的制备技术、生产的工艺流程、芯片的设计 研发以及后端的封测形成了公司的传感器技术平台。公司作为国内最早能够生产六大门类气体传感器的企 业，多年来利用技术平台优势不断进行原有产品的升级迭代和新产品的技术研发，为下游的仪表和物联网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技术平台提供了良好的技术支撑，同时推动传感器板块业务的快速发展。</w:t>
      </w:r>
    </w:p>
    <w:p>
      <w:pPr>
        <w:widowControl w:val="0"/>
        <w:spacing w:line="1" w:lineRule="exact"/>
      </w:pPr>
      <w:r>
        <mc:AlternateContent>
          <mc:Choice Requires="wps">
            <w:drawing>
              <wp:anchor distT="528320" distB="902335" distL="0" distR="0" simplePos="0" relativeHeight="125829425" behindDoc="0" locked="0" layoutInCell="1" allowOverlap="1">
                <wp:simplePos x="0" y="0"/>
                <wp:positionH relativeFrom="page">
                  <wp:posOffset>1478280</wp:posOffset>
                </wp:positionH>
                <wp:positionV relativeFrom="paragraph">
                  <wp:posOffset>528320</wp:posOffset>
                </wp:positionV>
                <wp:extent cx="1063625" cy="1048385"/>
                <wp:wrapTopAndBottom/>
                <wp:docPr id="148" name="Shape 148"/>
                <a:graphic xmlns:a="http://schemas.openxmlformats.org/drawingml/2006/main">
                  <a:graphicData uri="http://schemas.microsoft.com/office/word/2010/wordprocessingShape">
                    <wps:wsp>
                      <wps:cNvSpPr txBox="1"/>
                      <wps:spPr>
                        <a:xfrm>
                          <a:ext cx="1063625" cy="1048385"/>
                        </a:xfrm>
                        <a:prstGeom prst="rect"/>
                        <a:noFill/>
                      </wps:spPr>
                      <wps:txbx>
                        <w:txbxContent>
                          <w:p>
                            <w:pPr>
                              <w:pStyle w:val="Style16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化学传感器</w:t>
                            </w:r>
                          </w:p>
                          <w:p>
                            <w:pPr>
                              <w:pStyle w:val="Style16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sz w:val="15"/>
                                <w:szCs w:val="15"/>
                              </w:rPr>
                              <w:t xml:space="preserve">＞ </w:t>
                            </w:r>
                            <w:r>
                              <w:rPr>
                                <w:rFonts w:ascii="Times New Roman" w:eastAsia="Times New Roman" w:hAnsi="Times New Roman" w:cs="Times New Roman"/>
                                <w:b/>
                                <w:bCs/>
                                <w:color w:val="000000"/>
                                <w:spacing w:val="0"/>
                                <w:w w:val="100"/>
                                <w:position w:val="0"/>
                                <w:sz w:val="15"/>
                                <w:szCs w:val="15"/>
                              </w:rPr>
                              <w:t>MOS</w:t>
                            </w:r>
                            <w:r>
                              <w:rPr>
                                <w:color w:val="000000"/>
                                <w:spacing w:val="0"/>
                                <w:w w:val="100"/>
                                <w:position w:val="0"/>
                              </w:rPr>
                              <w:t>气体传感器</w:t>
                            </w:r>
                          </w:p>
                          <w:p>
                            <w:pPr>
                              <w:pStyle w:val="Style16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＞催化燃烧气体传感器</w:t>
                            </w:r>
                          </w:p>
                          <w:p>
                            <w:pPr>
                              <w:pStyle w:val="Style16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＞电化学气体传感器</w:t>
                            </w:r>
                          </w:p>
                          <w:p>
                            <w:pPr>
                              <w:pStyle w:val="Style16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＞高子传感器</w:t>
                            </w:r>
                          </w:p>
                          <w:p>
                            <w:pPr>
                              <w:pStyle w:val="Style16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＞湿度传感器</w:t>
                            </w:r>
                          </w:p>
                        </w:txbxContent>
                      </wps:txbx>
                      <wps:bodyPr lIns="0" tIns="0" rIns="0" bIns="0">
                        <a:noAutoFit/>
                      </wps:bodyPr>
                    </wps:wsp>
                  </a:graphicData>
                </a:graphic>
              </wp:anchor>
            </w:drawing>
          </mc:Choice>
          <mc:Fallback>
            <w:pict>
              <v:shape id="_x0000_s1174" type="#_x0000_t202" style="position:absolute;margin-left:116.40000000000001pt;margin-top:41.600000000000001pt;width:83.75pt;height:82.549999999999997pt;z-index:-125829328;mso-wrap-distance-left:0;mso-wrap-distance-top:41.600000000000001pt;mso-wrap-distance-right:0;mso-wrap-distance-bottom:71.049999999999997pt;mso-position-horizontal-relative:page" filled="f" stroked="f">
                <v:textbox inset="0,0,0,0">
                  <w:txbxContent>
                    <w:p>
                      <w:pPr>
                        <w:pStyle w:val="Style16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化学传感器</w:t>
                      </w:r>
                    </w:p>
                    <w:p>
                      <w:pPr>
                        <w:pStyle w:val="Style16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sz w:val="15"/>
                          <w:szCs w:val="15"/>
                        </w:rPr>
                        <w:t xml:space="preserve">＞ </w:t>
                      </w:r>
                      <w:r>
                        <w:rPr>
                          <w:rFonts w:ascii="Times New Roman" w:eastAsia="Times New Roman" w:hAnsi="Times New Roman" w:cs="Times New Roman"/>
                          <w:b/>
                          <w:bCs/>
                          <w:color w:val="000000"/>
                          <w:spacing w:val="0"/>
                          <w:w w:val="100"/>
                          <w:position w:val="0"/>
                          <w:sz w:val="15"/>
                          <w:szCs w:val="15"/>
                        </w:rPr>
                        <w:t>MOS</w:t>
                      </w:r>
                      <w:r>
                        <w:rPr>
                          <w:color w:val="000000"/>
                          <w:spacing w:val="0"/>
                          <w:w w:val="100"/>
                          <w:position w:val="0"/>
                        </w:rPr>
                        <w:t>气体传感器</w:t>
                      </w:r>
                    </w:p>
                    <w:p>
                      <w:pPr>
                        <w:pStyle w:val="Style16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＞催化燃烧气体传感器</w:t>
                      </w:r>
                    </w:p>
                    <w:p>
                      <w:pPr>
                        <w:pStyle w:val="Style16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＞电化学气体传感器</w:t>
                      </w:r>
                    </w:p>
                    <w:p>
                      <w:pPr>
                        <w:pStyle w:val="Style16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＞高子传感器</w:t>
                      </w:r>
                    </w:p>
                    <w:p>
                      <w:pPr>
                        <w:pStyle w:val="Style16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＞湿度传感器</w:t>
                      </w:r>
                    </w:p>
                  </w:txbxContent>
                </v:textbox>
                <w10:wrap type="topAndBottom" anchorx="page"/>
              </v:shape>
            </w:pict>
          </mc:Fallback>
        </mc:AlternateContent>
      </w:r>
      <w:r>
        <w:drawing>
          <wp:anchor distT="351790" distB="916940" distL="0" distR="0" simplePos="0" relativeHeight="125829427" behindDoc="0" locked="0" layoutInCell="1" allowOverlap="1">
            <wp:simplePos x="0" y="0"/>
            <wp:positionH relativeFrom="page">
              <wp:posOffset>2825750</wp:posOffset>
            </wp:positionH>
            <wp:positionV relativeFrom="paragraph">
              <wp:posOffset>351790</wp:posOffset>
            </wp:positionV>
            <wp:extent cx="2042160" cy="1212850"/>
            <wp:wrapTopAndBottom/>
            <wp:docPr id="150" name="Shape 150"/>
            <a:graphic xmlns:a="http://schemas.openxmlformats.org/drawingml/2006/main">
              <a:graphicData uri="http://schemas.openxmlformats.org/drawingml/2006/picture">
                <pic:pic xmlns:pic="http://schemas.openxmlformats.org/drawingml/2006/picture">
                  <pic:nvPicPr>
                    <pic:cNvPr id="151" name="Picture box 151"/>
                    <pic:cNvPicPr/>
                  </pic:nvPicPr>
                  <pic:blipFill>
                    <a:blip r:embed="rId59"/>
                    <a:stretch/>
                  </pic:blipFill>
                  <pic:spPr>
                    <a:xfrm>
                      <a:ext cx="2042160" cy="1212850"/>
                    </a:xfrm>
                    <a:prstGeom prst="rect"/>
                  </pic:spPr>
                </pic:pic>
              </a:graphicData>
            </a:graphic>
          </wp:anchor>
        </w:drawing>
      </w:r>
      <w:r>
        <mc:AlternateContent>
          <mc:Choice Requires="wps">
            <w:drawing>
              <wp:anchor distT="528320" distB="1822450" distL="0" distR="0" simplePos="0" relativeHeight="125829428" behindDoc="0" locked="0" layoutInCell="1" allowOverlap="1">
                <wp:simplePos x="0" y="0"/>
                <wp:positionH relativeFrom="page">
                  <wp:posOffset>5318760</wp:posOffset>
                </wp:positionH>
                <wp:positionV relativeFrom="paragraph">
                  <wp:posOffset>528320</wp:posOffset>
                </wp:positionV>
                <wp:extent cx="527050" cy="128270"/>
                <wp:wrapTopAndBottom/>
                <wp:docPr id="152" name="Shape 152"/>
                <a:graphic xmlns:a="http://schemas.openxmlformats.org/drawingml/2006/main">
                  <a:graphicData uri="http://schemas.microsoft.com/office/word/2010/wordprocessingShape">
                    <wps:wsp>
                      <wps:cNvSpPr txBox="1"/>
                      <wps:spPr>
                        <a:xfrm>
                          <a:ext cx="527050" cy="128270"/>
                        </a:xfrm>
                        <a:prstGeom prst="rect"/>
                        <a:noFill/>
                      </wps:spPr>
                      <wps:txbx>
                        <w:txbxContent>
                          <w:p>
                            <w:pPr>
                              <w:pStyle w:val="Style161"/>
                              <w:keepNext w:val="0"/>
                              <w:keepLines w:val="0"/>
                              <w:widowControl w:val="0"/>
                              <w:shd w:val="clear" w:color="auto" w:fill="auto"/>
                              <w:bidi w:val="0"/>
                              <w:spacing w:before="0" w:after="0" w:line="240" w:lineRule="auto"/>
                              <w:ind w:left="0" w:right="0" w:firstLine="0"/>
                              <w:jc w:val="both"/>
                            </w:pPr>
                            <w:r>
                              <w:rPr>
                                <w:color w:val="000000"/>
                                <w:spacing w:val="0"/>
                                <w:w w:val="100"/>
                                <w:position w:val="0"/>
                              </w:rPr>
                              <w:t>物理传感器</w:t>
                            </w:r>
                          </w:p>
                        </w:txbxContent>
                      </wps:txbx>
                      <wps:bodyPr wrap="none" lIns="0" tIns="0" rIns="0" bIns="0">
                        <a:noAutoFit/>
                      </wps:bodyPr>
                    </wps:wsp>
                  </a:graphicData>
                </a:graphic>
              </wp:anchor>
            </w:drawing>
          </mc:Choice>
          <mc:Fallback>
            <w:pict>
              <v:shape id="_x0000_s1178" type="#_x0000_t202" style="position:absolute;margin-left:418.80000000000001pt;margin-top:41.600000000000001pt;width:41.5pt;height:10.1pt;z-index:-125829325;mso-wrap-distance-left:0;mso-wrap-distance-top:41.600000000000001pt;mso-wrap-distance-right:0;mso-wrap-distance-bottom:143.5pt;mso-position-horizontal-relative:page" filled="f" stroked="f">
                <v:textbox inset="0,0,0,0">
                  <w:txbxContent>
                    <w:p>
                      <w:pPr>
                        <w:pStyle w:val="Style161"/>
                        <w:keepNext w:val="0"/>
                        <w:keepLines w:val="0"/>
                        <w:widowControl w:val="0"/>
                        <w:shd w:val="clear" w:color="auto" w:fill="auto"/>
                        <w:bidi w:val="0"/>
                        <w:spacing w:before="0" w:after="0" w:line="240" w:lineRule="auto"/>
                        <w:ind w:left="0" w:right="0" w:firstLine="0"/>
                        <w:jc w:val="both"/>
                      </w:pPr>
                      <w:r>
                        <w:rPr>
                          <w:color w:val="000000"/>
                          <w:spacing w:val="0"/>
                          <w:w w:val="100"/>
                          <w:position w:val="0"/>
                        </w:rPr>
                        <w:t>物理传感器</w:t>
                      </w:r>
                    </w:p>
                  </w:txbxContent>
                </v:textbox>
                <w10:wrap type="topAndBottom" anchorx="page"/>
              </v:shape>
            </w:pict>
          </mc:Fallback>
        </mc:AlternateContent>
      </w:r>
      <w:r>
        <mc:AlternateContent>
          <mc:Choice Requires="wps">
            <w:drawing>
              <wp:anchor distT="177800" distB="1889760" distL="0" distR="0" simplePos="0" relativeHeight="125829430" behindDoc="0" locked="0" layoutInCell="1" allowOverlap="1">
                <wp:simplePos x="0" y="0"/>
                <wp:positionH relativeFrom="page">
                  <wp:posOffset>5982970</wp:posOffset>
                </wp:positionH>
                <wp:positionV relativeFrom="paragraph">
                  <wp:posOffset>177800</wp:posOffset>
                </wp:positionV>
                <wp:extent cx="579120" cy="411480"/>
                <wp:wrapTopAndBottom/>
                <wp:docPr id="154" name="Shape 154"/>
                <a:graphic xmlns:a="http://schemas.openxmlformats.org/drawingml/2006/main">
                  <a:graphicData uri="http://schemas.microsoft.com/office/word/2010/wordprocessingShape">
                    <wps:wsp>
                      <wps:cNvSpPr txBox="1"/>
                      <wps:spPr>
                        <a:xfrm>
                          <a:ext cx="579120" cy="411480"/>
                        </a:xfrm>
                        <a:prstGeom prst="rect"/>
                        <a:noFill/>
                      </wps:spPr>
                      <wps:txbx>
                        <w:txbxContent>
                          <w:p>
                            <w:pPr>
                              <w:pStyle w:val="Style16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rFonts w:ascii="SimSun" w:eastAsia="SimSun" w:hAnsi="SimSun" w:cs="SimSun"/>
                                <w:b w:val="0"/>
                                <w:bCs w:val="0"/>
                                <w:color w:val="14252C"/>
                                <w:spacing w:val="0"/>
                                <w:w w:val="100"/>
                                <w:position w:val="0"/>
                              </w:rPr>
                              <w:t>光手</w:t>
                            </w:r>
                            <w:r>
                              <w:rPr>
                                <w:rFonts w:ascii="SimSun" w:eastAsia="SimSun" w:hAnsi="SimSun" w:cs="SimSun"/>
                                <w:b w:val="0"/>
                                <w:bCs w:val="0"/>
                                <w:spacing w:val="0"/>
                                <w:w w:val="100"/>
                                <w:position w:val="0"/>
                              </w:rPr>
                              <w:t>技木： 非如事</w:t>
                            </w:r>
                            <w:r>
                              <w:rPr>
                                <w:color w:val="000000"/>
                                <w:spacing w:val="0"/>
                                <w:w w:val="100"/>
                                <w:position w:val="0"/>
                              </w:rPr>
                              <w:t>I</w:t>
                            </w:r>
                            <w:r>
                              <w:rPr>
                                <w:rFonts w:ascii="SimSun" w:eastAsia="SimSun" w:hAnsi="SimSun" w:cs="SimSun"/>
                                <w:b w:val="0"/>
                                <w:bCs w:val="0"/>
                                <w:color w:val="14252C"/>
                                <w:spacing w:val="0"/>
                                <w:w w:val="100"/>
                                <w:position w:val="0"/>
                              </w:rPr>
                              <w:t>外</w:t>
                            </w:r>
                            <w:r>
                              <w:rPr>
                                <w:spacing w:val="0"/>
                                <w:w w:val="100"/>
                                <w:position w:val="0"/>
                              </w:rPr>
                              <w:t xml:space="preserve">(NDIR) </w:t>
                            </w:r>
                            <w:r>
                              <w:rPr>
                                <w:rFonts w:ascii="SimSun" w:eastAsia="SimSun" w:hAnsi="SimSun" w:cs="SimSun"/>
                                <w:b w:val="0"/>
                                <w:bCs w:val="0"/>
                                <w:color w:val="14252C"/>
                                <w:spacing w:val="0"/>
                                <w:w w:val="100"/>
                                <w:position w:val="0"/>
                              </w:rPr>
                              <w:t>光哉射探测</w:t>
                            </w:r>
                            <w:r>
                              <w:rPr>
                                <w:spacing w:val="0"/>
                                <w:w w:val="100"/>
                                <w:position w:val="0"/>
                              </w:rPr>
                              <w:t xml:space="preserve">(LSD) </w:t>
                            </w:r>
                            <w:r>
                              <w:rPr>
                                <w:rFonts w:ascii="SimSun" w:eastAsia="SimSun" w:hAnsi="SimSun" w:cs="SimSun"/>
                                <w:b w:val="0"/>
                                <w:bCs w:val="0"/>
                                <w:spacing w:val="0"/>
                                <w:w w:val="100"/>
                                <w:position w:val="0"/>
                              </w:rPr>
                              <w:t>紫折羞命吸</w:t>
                            </w:r>
                            <w:r>
                              <w:rPr>
                                <w:rFonts w:ascii="SimSun" w:eastAsia="SimSun" w:hAnsi="SimSun" w:cs="SimSun"/>
                                <w:b w:val="0"/>
                                <w:bCs w:val="0"/>
                                <w:color w:val="14252C"/>
                                <w:spacing w:val="0"/>
                                <w:w w:val="100"/>
                                <w:position w:val="0"/>
                              </w:rPr>
                              <w:t xml:space="preserve">拔先谱 </w:t>
                            </w:r>
                            <w:r>
                              <w:rPr>
                                <w:rFonts w:ascii="SimSun" w:eastAsia="SimSun" w:hAnsi="SimSun" w:cs="SimSun"/>
                                <w:b w:val="0"/>
                                <w:bCs w:val="0"/>
                                <w:spacing w:val="0"/>
                                <w:w w:val="100"/>
                                <w:position w:val="0"/>
                              </w:rPr>
                              <w:t>心吸枚</w:t>
                            </w:r>
                            <w:r>
                              <w:rPr>
                                <w:spacing w:val="0"/>
                                <w:w w:val="100"/>
                                <w:position w:val="0"/>
                              </w:rPr>
                              <w:t>(IDLAS)</w:t>
                            </w:r>
                          </w:p>
                        </w:txbxContent>
                      </wps:txbx>
                      <wps:bodyPr lIns="0" tIns="0" rIns="0" bIns="0">
                        <a:noAutoFit/>
                      </wps:bodyPr>
                    </wps:wsp>
                  </a:graphicData>
                </a:graphic>
              </wp:anchor>
            </w:drawing>
          </mc:Choice>
          <mc:Fallback>
            <w:pict>
              <v:shape id="_x0000_s1180" type="#_x0000_t202" style="position:absolute;margin-left:471.10000000000002pt;margin-top:14.pt;width:45.600000000000001pt;height:32.399999999999999pt;z-index:-125829323;mso-wrap-distance-left:0;mso-wrap-distance-top:14.pt;mso-wrap-distance-right:0;mso-wrap-distance-bottom:148.80000000000001pt;mso-position-horizontal-relative:page" filled="f" stroked="f">
                <v:textbox inset="0,0,0,0">
                  <w:txbxContent>
                    <w:p>
                      <w:pPr>
                        <w:pStyle w:val="Style16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rFonts w:ascii="SimSun" w:eastAsia="SimSun" w:hAnsi="SimSun" w:cs="SimSun"/>
                          <w:b w:val="0"/>
                          <w:bCs w:val="0"/>
                          <w:color w:val="14252C"/>
                          <w:spacing w:val="0"/>
                          <w:w w:val="100"/>
                          <w:position w:val="0"/>
                        </w:rPr>
                        <w:t>光手</w:t>
                      </w:r>
                      <w:r>
                        <w:rPr>
                          <w:rFonts w:ascii="SimSun" w:eastAsia="SimSun" w:hAnsi="SimSun" w:cs="SimSun"/>
                          <w:b w:val="0"/>
                          <w:bCs w:val="0"/>
                          <w:spacing w:val="0"/>
                          <w:w w:val="100"/>
                          <w:position w:val="0"/>
                        </w:rPr>
                        <w:t>技木： 非如事</w:t>
                      </w:r>
                      <w:r>
                        <w:rPr>
                          <w:color w:val="000000"/>
                          <w:spacing w:val="0"/>
                          <w:w w:val="100"/>
                          <w:position w:val="0"/>
                        </w:rPr>
                        <w:t>I</w:t>
                      </w:r>
                      <w:r>
                        <w:rPr>
                          <w:rFonts w:ascii="SimSun" w:eastAsia="SimSun" w:hAnsi="SimSun" w:cs="SimSun"/>
                          <w:b w:val="0"/>
                          <w:bCs w:val="0"/>
                          <w:color w:val="14252C"/>
                          <w:spacing w:val="0"/>
                          <w:w w:val="100"/>
                          <w:position w:val="0"/>
                        </w:rPr>
                        <w:t>外</w:t>
                      </w:r>
                      <w:r>
                        <w:rPr>
                          <w:spacing w:val="0"/>
                          <w:w w:val="100"/>
                          <w:position w:val="0"/>
                        </w:rPr>
                        <w:t xml:space="preserve">(NDIR) </w:t>
                      </w:r>
                      <w:r>
                        <w:rPr>
                          <w:rFonts w:ascii="SimSun" w:eastAsia="SimSun" w:hAnsi="SimSun" w:cs="SimSun"/>
                          <w:b w:val="0"/>
                          <w:bCs w:val="0"/>
                          <w:color w:val="14252C"/>
                          <w:spacing w:val="0"/>
                          <w:w w:val="100"/>
                          <w:position w:val="0"/>
                        </w:rPr>
                        <w:t>光哉射探测</w:t>
                      </w:r>
                      <w:r>
                        <w:rPr>
                          <w:spacing w:val="0"/>
                          <w:w w:val="100"/>
                          <w:position w:val="0"/>
                        </w:rPr>
                        <w:t xml:space="preserve">(LSD) </w:t>
                      </w:r>
                      <w:r>
                        <w:rPr>
                          <w:rFonts w:ascii="SimSun" w:eastAsia="SimSun" w:hAnsi="SimSun" w:cs="SimSun"/>
                          <w:b w:val="0"/>
                          <w:bCs w:val="0"/>
                          <w:spacing w:val="0"/>
                          <w:w w:val="100"/>
                          <w:position w:val="0"/>
                        </w:rPr>
                        <w:t>紫折羞命吸</w:t>
                      </w:r>
                      <w:r>
                        <w:rPr>
                          <w:rFonts w:ascii="SimSun" w:eastAsia="SimSun" w:hAnsi="SimSun" w:cs="SimSun"/>
                          <w:b w:val="0"/>
                          <w:bCs w:val="0"/>
                          <w:color w:val="14252C"/>
                          <w:spacing w:val="0"/>
                          <w:w w:val="100"/>
                          <w:position w:val="0"/>
                        </w:rPr>
                        <w:t xml:space="preserve">拔先谱 </w:t>
                      </w:r>
                      <w:r>
                        <w:rPr>
                          <w:rFonts w:ascii="SimSun" w:eastAsia="SimSun" w:hAnsi="SimSun" w:cs="SimSun"/>
                          <w:b w:val="0"/>
                          <w:bCs w:val="0"/>
                          <w:spacing w:val="0"/>
                          <w:w w:val="100"/>
                          <w:position w:val="0"/>
                        </w:rPr>
                        <w:t>心吸枚</w:t>
                      </w:r>
                      <w:r>
                        <w:rPr>
                          <w:spacing w:val="0"/>
                          <w:w w:val="100"/>
                          <w:position w:val="0"/>
                        </w:rPr>
                        <w:t>(IDLAS)</w:t>
                      </w:r>
                    </w:p>
                  </w:txbxContent>
                </v:textbox>
                <w10:wrap type="topAndBottom" anchorx="page"/>
              </v:shape>
            </w:pict>
          </mc:Fallback>
        </mc:AlternateContent>
      </w:r>
      <w:r>
        <mc:AlternateContent>
          <mc:Choice Requires="wps">
            <w:drawing>
              <wp:anchor distT="1830070" distB="0" distL="0" distR="0" simplePos="0" relativeHeight="125829432" behindDoc="0" locked="0" layoutInCell="1" allowOverlap="1">
                <wp:simplePos x="0" y="0"/>
                <wp:positionH relativeFrom="page">
                  <wp:posOffset>3026410</wp:posOffset>
                </wp:positionH>
                <wp:positionV relativeFrom="paragraph">
                  <wp:posOffset>1830070</wp:posOffset>
                </wp:positionV>
                <wp:extent cx="1423670" cy="648970"/>
                <wp:wrapTopAndBottom/>
                <wp:docPr id="156" name="Shape 156"/>
                <a:graphic xmlns:a="http://schemas.openxmlformats.org/drawingml/2006/main">
                  <a:graphicData uri="http://schemas.microsoft.com/office/word/2010/wordprocessingShape">
                    <wps:wsp>
                      <wps:cNvSpPr txBox="1"/>
                      <wps:spPr>
                        <a:xfrm>
                          <a:ext cx="1423670" cy="648970"/>
                        </a:xfrm>
                        <a:prstGeom prst="rect"/>
                        <a:noFill/>
                      </wps:spPr>
                      <wps:txbx>
                        <w:txbxContent>
                          <w:p>
                            <w:pPr>
                              <w:pStyle w:val="Style172"/>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传感器技术平台</w:t>
                            </w:r>
                          </w:p>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93A0B2"/>
                                <w:spacing w:val="0"/>
                                <w:w w:val="100"/>
                                <w:position w:val="0"/>
                                <w:sz w:val="26"/>
                                <w:szCs w:val="26"/>
                              </w:rPr>
                              <w:t>"Cf" "O"</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设计材料芯片封测</w:t>
                            </w:r>
                          </w:p>
                        </w:txbxContent>
                      </wps:txbx>
                      <wps:bodyPr lIns="0" tIns="0" rIns="0" bIns="0">
                        <a:noAutoFit/>
                      </wps:bodyPr>
                    </wps:wsp>
                  </a:graphicData>
                </a:graphic>
              </wp:anchor>
            </w:drawing>
          </mc:Choice>
          <mc:Fallback>
            <w:pict>
              <v:shape id="_x0000_s1182" type="#_x0000_t202" style="position:absolute;margin-left:238.30000000000001pt;margin-top:144.09999999999999pt;width:112.10000000000001pt;height:51.100000000000001pt;z-index:-125829321;mso-wrap-distance-left:0;mso-wrap-distance-top:144.09999999999999pt;mso-wrap-distance-right:0;mso-position-horizontal-relative:page" filled="f" stroked="f">
                <v:textbox inset="0,0,0,0">
                  <w:txbxContent>
                    <w:p>
                      <w:pPr>
                        <w:pStyle w:val="Style172"/>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传感器技术平台</w:t>
                      </w:r>
                    </w:p>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93A0B2"/>
                          <w:spacing w:val="0"/>
                          <w:w w:val="100"/>
                          <w:position w:val="0"/>
                          <w:sz w:val="26"/>
                          <w:szCs w:val="26"/>
                        </w:rPr>
                        <w:t>"Cf" "O"</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设计材料芯片封测</w:t>
                      </w:r>
                    </w:p>
                  </w:txbxContent>
                </v:textbox>
                <w10:wrap type="topAndBottom" anchorx="page"/>
              </v:shape>
            </w:pict>
          </mc:Fallback>
        </mc:AlternateContent>
      </w:r>
      <w:r>
        <mc:AlternateContent>
          <mc:Choice Requires="wps">
            <w:drawing>
              <wp:anchor distT="714375" distB="356235" distL="0" distR="0" simplePos="0" relativeHeight="125829434" behindDoc="0" locked="0" layoutInCell="1" allowOverlap="1">
                <wp:simplePos x="0" y="0"/>
                <wp:positionH relativeFrom="page">
                  <wp:posOffset>5318760</wp:posOffset>
                </wp:positionH>
                <wp:positionV relativeFrom="paragraph">
                  <wp:posOffset>714375</wp:posOffset>
                </wp:positionV>
                <wp:extent cx="862330" cy="1408430"/>
                <wp:wrapTopAndBottom/>
                <wp:docPr id="158" name="Shape 158"/>
                <a:graphic xmlns:a="http://schemas.openxmlformats.org/drawingml/2006/main">
                  <a:graphicData uri="http://schemas.microsoft.com/office/word/2010/wordprocessingShape">
                    <wps:wsp>
                      <wps:cNvSpPr txBox="1"/>
                      <wps:spPr>
                        <a:xfrm>
                          <a:ext cx="862330" cy="1408430"/>
                        </a:xfrm>
                        <a:prstGeom prst="rect"/>
                        <a:noFill/>
                      </wps:spPr>
                      <wps:txbx>
                        <w:txbxContent>
                          <w:p>
                            <w:pPr>
                              <w:pStyle w:val="Style16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＞就外气体传感器</w:t>
                            </w:r>
                          </w:p>
                          <w:p>
                            <w:pPr>
                              <w:pStyle w:val="Style16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sz w:val="15"/>
                                <w:szCs w:val="15"/>
                              </w:rPr>
                              <w:t xml:space="preserve">＞ </w:t>
                            </w:r>
                            <w:r>
                              <w:rPr>
                                <w:rFonts w:ascii="Times New Roman" w:eastAsia="Times New Roman" w:hAnsi="Times New Roman" w:cs="Times New Roman"/>
                                <w:b/>
                                <w:bCs/>
                                <w:color w:val="000000"/>
                                <w:spacing w:val="0"/>
                                <w:w w:val="100"/>
                                <w:position w:val="0"/>
                                <w:sz w:val="15"/>
                                <w:szCs w:val="15"/>
                              </w:rPr>
                              <w:t>pm</w:t>
                            </w:r>
                            <w:r>
                              <w:rPr>
                                <w:color w:val="000000"/>
                                <w:spacing w:val="0"/>
                                <w:w w:val="100"/>
                                <w:position w:val="0"/>
                              </w:rPr>
                              <w:t>气体传感器</w:t>
                            </w:r>
                          </w:p>
                          <w:p>
                            <w:pPr>
                              <w:pStyle w:val="Style17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spacing w:val="0"/>
                                <w:w w:val="100"/>
                                <w:position w:val="0"/>
                              </w:rPr>
                              <w:t>红</w:t>
                            </w:r>
                            <w:r>
                              <w:rPr>
                                <w:color w:val="474646"/>
                                <w:spacing w:val="0"/>
                                <w:w w:val="100"/>
                                <w:position w:val="0"/>
                              </w:rPr>
                              <w:t>外热电</w:t>
                            </w:r>
                            <w:r>
                              <w:rPr>
                                <w:spacing w:val="0"/>
                                <w:w w:val="100"/>
                                <w:position w:val="0"/>
                              </w:rPr>
                              <w:t>传感器</w:t>
                            </w:r>
                          </w:p>
                          <w:p>
                            <w:pPr>
                              <w:pStyle w:val="Style176"/>
                              <w:keepNext w:val="0"/>
                              <w:keepLines w:val="0"/>
                              <w:widowControl w:val="0"/>
                              <w:shd w:val="clear" w:color="auto" w:fill="auto"/>
                              <w:bidi w:val="0"/>
                              <w:spacing w:before="0" w:line="240" w:lineRule="auto"/>
                              <w:ind w:left="0" w:right="0" w:firstLine="0"/>
                              <w:jc w:val="left"/>
                            </w:pPr>
                            <w:r>
                              <w:rPr>
                                <w:color w:val="000000"/>
                                <w:spacing w:val="0"/>
                                <w:w w:val="100"/>
                                <w:position w:val="0"/>
                              </w:rPr>
                              <w:t>A</w:t>
                            </w:r>
                            <w:r>
                              <w:rPr>
                                <w:spacing w:val="0"/>
                                <w:w w:val="100"/>
                                <w:position w:val="0"/>
                              </w:rPr>
                              <w:t>光电传感器</w:t>
                            </w:r>
                          </w:p>
                          <w:p>
                            <w:pPr>
                              <w:pStyle w:val="Style17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spacing w:val="0"/>
                                <w:w w:val="100"/>
                                <w:position w:val="0"/>
                              </w:rPr>
                              <w:t>流量传感器</w:t>
                            </w:r>
                          </w:p>
                          <w:p>
                            <w:pPr>
                              <w:pStyle w:val="Style17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474646"/>
                                <w:spacing w:val="0"/>
                                <w:w w:val="100"/>
                                <w:position w:val="0"/>
                              </w:rPr>
                              <w:t>射线</w:t>
                            </w:r>
                            <w:r>
                              <w:rPr>
                                <w:spacing w:val="0"/>
                                <w:w w:val="100"/>
                                <w:position w:val="0"/>
                              </w:rPr>
                              <w:t>传感器</w:t>
                            </w:r>
                          </w:p>
                          <w:p>
                            <w:pPr>
                              <w:pStyle w:val="Style17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spacing w:val="0"/>
                                <w:w w:val="100"/>
                                <w:position w:val="0"/>
                              </w:rPr>
                              <w:t>振动传感器</w:t>
                            </w:r>
                          </w:p>
                          <w:p>
                            <w:pPr>
                              <w:pStyle w:val="Style17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spacing w:val="0"/>
                                <w:w w:val="100"/>
                                <w:position w:val="0"/>
                              </w:rPr>
                              <w:t>压力传感器</w:t>
                            </w:r>
                          </w:p>
                        </w:txbxContent>
                      </wps:txbx>
                      <wps:bodyPr lIns="0" tIns="0" rIns="0" bIns="0">
                        <a:noAutoFit/>
                      </wps:bodyPr>
                    </wps:wsp>
                  </a:graphicData>
                </a:graphic>
              </wp:anchor>
            </w:drawing>
          </mc:Choice>
          <mc:Fallback>
            <w:pict>
              <v:shape id="_x0000_s1184" type="#_x0000_t202" style="position:absolute;margin-left:418.80000000000001pt;margin-top:56.25pt;width:67.900000000000006pt;height:110.90000000000001pt;z-index:-125829319;mso-wrap-distance-left:0;mso-wrap-distance-top:56.25pt;mso-wrap-distance-right:0;mso-wrap-distance-bottom:28.050000000000001pt;mso-position-horizontal-relative:page" filled="f" stroked="f">
                <v:textbox inset="0,0,0,0">
                  <w:txbxContent>
                    <w:p>
                      <w:pPr>
                        <w:pStyle w:val="Style16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＞就外气体传感器</w:t>
                      </w:r>
                    </w:p>
                    <w:p>
                      <w:pPr>
                        <w:pStyle w:val="Style16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sz w:val="15"/>
                          <w:szCs w:val="15"/>
                        </w:rPr>
                        <w:t xml:space="preserve">＞ </w:t>
                      </w:r>
                      <w:r>
                        <w:rPr>
                          <w:rFonts w:ascii="Times New Roman" w:eastAsia="Times New Roman" w:hAnsi="Times New Roman" w:cs="Times New Roman"/>
                          <w:b/>
                          <w:bCs/>
                          <w:color w:val="000000"/>
                          <w:spacing w:val="0"/>
                          <w:w w:val="100"/>
                          <w:position w:val="0"/>
                          <w:sz w:val="15"/>
                          <w:szCs w:val="15"/>
                        </w:rPr>
                        <w:t>pm</w:t>
                      </w:r>
                      <w:r>
                        <w:rPr>
                          <w:color w:val="000000"/>
                          <w:spacing w:val="0"/>
                          <w:w w:val="100"/>
                          <w:position w:val="0"/>
                        </w:rPr>
                        <w:t>气体传感器</w:t>
                      </w:r>
                    </w:p>
                    <w:p>
                      <w:pPr>
                        <w:pStyle w:val="Style17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spacing w:val="0"/>
                          <w:w w:val="100"/>
                          <w:position w:val="0"/>
                        </w:rPr>
                        <w:t>红</w:t>
                      </w:r>
                      <w:r>
                        <w:rPr>
                          <w:color w:val="474646"/>
                          <w:spacing w:val="0"/>
                          <w:w w:val="100"/>
                          <w:position w:val="0"/>
                        </w:rPr>
                        <w:t>外热电</w:t>
                      </w:r>
                      <w:r>
                        <w:rPr>
                          <w:spacing w:val="0"/>
                          <w:w w:val="100"/>
                          <w:position w:val="0"/>
                        </w:rPr>
                        <w:t>传感器</w:t>
                      </w:r>
                    </w:p>
                    <w:p>
                      <w:pPr>
                        <w:pStyle w:val="Style176"/>
                        <w:keepNext w:val="0"/>
                        <w:keepLines w:val="0"/>
                        <w:widowControl w:val="0"/>
                        <w:shd w:val="clear" w:color="auto" w:fill="auto"/>
                        <w:bidi w:val="0"/>
                        <w:spacing w:before="0" w:line="240" w:lineRule="auto"/>
                        <w:ind w:left="0" w:right="0" w:firstLine="0"/>
                        <w:jc w:val="left"/>
                      </w:pPr>
                      <w:r>
                        <w:rPr>
                          <w:color w:val="000000"/>
                          <w:spacing w:val="0"/>
                          <w:w w:val="100"/>
                          <w:position w:val="0"/>
                        </w:rPr>
                        <w:t>A</w:t>
                      </w:r>
                      <w:r>
                        <w:rPr>
                          <w:spacing w:val="0"/>
                          <w:w w:val="100"/>
                          <w:position w:val="0"/>
                        </w:rPr>
                        <w:t>光电传感器</w:t>
                      </w:r>
                    </w:p>
                    <w:p>
                      <w:pPr>
                        <w:pStyle w:val="Style17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spacing w:val="0"/>
                          <w:w w:val="100"/>
                          <w:position w:val="0"/>
                        </w:rPr>
                        <w:t>流量传感器</w:t>
                      </w:r>
                    </w:p>
                    <w:p>
                      <w:pPr>
                        <w:pStyle w:val="Style17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474646"/>
                          <w:spacing w:val="0"/>
                          <w:w w:val="100"/>
                          <w:position w:val="0"/>
                        </w:rPr>
                        <w:t>射线</w:t>
                      </w:r>
                      <w:r>
                        <w:rPr>
                          <w:spacing w:val="0"/>
                          <w:w w:val="100"/>
                          <w:position w:val="0"/>
                        </w:rPr>
                        <w:t>传感器</w:t>
                      </w:r>
                    </w:p>
                    <w:p>
                      <w:pPr>
                        <w:pStyle w:val="Style17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spacing w:val="0"/>
                          <w:w w:val="100"/>
                          <w:position w:val="0"/>
                        </w:rPr>
                        <w:t>振动传感器</w:t>
                      </w:r>
                    </w:p>
                    <w:p>
                      <w:pPr>
                        <w:pStyle w:val="Style17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spacing w:val="0"/>
                          <w:w w:val="100"/>
                          <w:position w:val="0"/>
                        </w:rPr>
                        <w:t>压力传感器</w:t>
                      </w:r>
                    </w:p>
                  </w:txbxContent>
                </v:textbox>
                <w10:wrap type="topAndBottom" anchorx="page"/>
              </v:shape>
            </w:pict>
          </mc:Fallback>
        </mc:AlternateContent>
      </w:r>
    </w:p>
    <w:p>
      <w:pPr>
        <w:widowControl w:val="0"/>
        <w:spacing w:after="550" w:line="1" w:lineRule="exact"/>
      </w:pPr>
      <w:r>
        <mc:AlternateContent>
          <mc:Choice Requires="wps">
            <w:drawing>
              <wp:anchor distT="0" distB="0" distL="0" distR="0" simplePos="0" relativeHeight="62914699" behindDoc="1" locked="0" layoutInCell="1" allowOverlap="1">
                <wp:simplePos x="0" y="0"/>
                <wp:positionH relativeFrom="page">
                  <wp:posOffset>1551305</wp:posOffset>
                </wp:positionH>
                <wp:positionV relativeFrom="paragraph">
                  <wp:posOffset>196850</wp:posOffset>
                </wp:positionV>
                <wp:extent cx="1481455" cy="152400"/>
                <wp:wrapNone/>
                <wp:docPr id="160" name="Shape 160"/>
                <a:graphic xmlns:a="http://schemas.openxmlformats.org/drawingml/2006/main">
                  <a:graphicData uri="http://schemas.microsoft.com/office/word/2010/wordprocessingShape">
                    <wps:wsp>
                      <wps:cNvSpPr txBox="1"/>
                      <wps:spPr>
                        <a:xfrm>
                          <a:ext cx="1481455" cy="1524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14252C"/>
                                <w:spacing w:val="0"/>
                                <w:w w:val="100"/>
                                <w:position w:val="0"/>
                              </w:rPr>
                              <w:t>无机</w:t>
                            </w:r>
                            <w:r>
                              <w:rPr>
                                <w:color w:val="000000"/>
                                <w:spacing w:val="0"/>
                                <w:w w:val="100"/>
                                <w:position w:val="0"/>
                              </w:rPr>
                              <w:t xml:space="preserve">^有机材料 </w:t>
                            </w:r>
                            <w:r>
                              <w:rPr>
                                <w:color w:val="14252C"/>
                                <w:spacing w:val="0"/>
                                <w:w w:val="100"/>
                                <w:position w:val="0"/>
                              </w:rPr>
                              <w:t>化学/</w:t>
                            </w:r>
                            <w:r>
                              <w:rPr>
                                <w:color w:val="000000"/>
                                <w:spacing w:val="0"/>
                                <w:w w:val="100"/>
                                <w:position w:val="0"/>
                              </w:rPr>
                              <w:t>物理方法</w:t>
                            </w:r>
                          </w:p>
                        </w:txbxContent>
                      </wps:txbx>
                      <wps:bodyPr wrap="none" lIns="0" tIns="0" rIns="0" bIns="0">
                        <a:noAutoFit/>
                      </wps:bodyPr>
                    </wps:wsp>
                  </a:graphicData>
                </a:graphic>
              </wp:anchor>
            </w:drawing>
          </mc:Choice>
          <mc:Fallback>
            <w:pict>
              <v:shape id="_x0000_s1186" type="#_x0000_t202" style="position:absolute;margin-left:122.15000000000001pt;margin-top:15.5pt;width:116.65000000000001pt;height:12.pt;z-index:-188744054;mso-wrap-distance-left:0;mso-wrap-distance-right:0;mso-position-horizontal-relative:page" wrapcoords="0 0"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14252C"/>
                          <w:spacing w:val="0"/>
                          <w:w w:val="100"/>
                          <w:position w:val="0"/>
                        </w:rPr>
                        <w:t>无机</w:t>
                      </w:r>
                      <w:r>
                        <w:rPr>
                          <w:color w:val="000000"/>
                          <w:spacing w:val="0"/>
                          <w:w w:val="100"/>
                          <w:position w:val="0"/>
                        </w:rPr>
                        <w:t xml:space="preserve">^有机材料 </w:t>
                      </w:r>
                      <w:r>
                        <w:rPr>
                          <w:color w:val="14252C"/>
                          <w:spacing w:val="0"/>
                          <w:w w:val="100"/>
                          <w:position w:val="0"/>
                        </w:rPr>
                        <w:t>化学/</w:t>
                      </w:r>
                      <w:r>
                        <w:rPr>
                          <w:color w:val="000000"/>
                          <w:spacing w:val="0"/>
                          <w:w w:val="100"/>
                          <w:position w:val="0"/>
                        </w:rPr>
                        <w:t>物理方法</w:t>
                      </w:r>
                    </w:p>
                  </w:txbxContent>
                </v:textbox>
                <w10:wrap anchorx="page"/>
              </v:shape>
            </w:pict>
          </mc:Fallback>
        </mc:AlternateContent>
      </w:r>
      <w:r>
        <mc:AlternateContent>
          <mc:Choice Requires="wps">
            <w:drawing>
              <wp:anchor distT="0" distB="0" distL="0" distR="0" simplePos="0" relativeHeight="62914701" behindDoc="1" locked="0" layoutInCell="1" allowOverlap="1">
                <wp:simplePos x="0" y="0"/>
                <wp:positionH relativeFrom="page">
                  <wp:posOffset>4450080</wp:posOffset>
                </wp:positionH>
                <wp:positionV relativeFrom="paragraph">
                  <wp:posOffset>190500</wp:posOffset>
                </wp:positionV>
                <wp:extent cx="1127760" cy="152400"/>
                <wp:wrapNone/>
                <wp:docPr id="162" name="Shape 162"/>
                <a:graphic xmlns:a="http://schemas.openxmlformats.org/drawingml/2006/main">
                  <a:graphicData uri="http://schemas.microsoft.com/office/word/2010/wordprocessingShape">
                    <wps:wsp>
                      <wps:cNvSpPr txBox="1"/>
                      <wps:spPr>
                        <a:xfrm>
                          <a:ext cx="1127760" cy="1524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厚膜薄膜</w:t>
                            </w:r>
                            <w:r>
                              <w:rPr>
                                <w:rFonts w:ascii="Times New Roman" w:eastAsia="Times New Roman" w:hAnsi="Times New Roman" w:cs="Times New Roman"/>
                                <w:b/>
                                <w:bCs/>
                                <w:color w:val="000000"/>
                                <w:spacing w:val="0"/>
                                <w:w w:val="100"/>
                                <w:position w:val="0"/>
                                <w:sz w:val="17"/>
                                <w:szCs w:val="17"/>
                              </w:rPr>
                              <w:t>MEMS</w:t>
                            </w:r>
                            <w:r>
                              <w:rPr>
                                <w:color w:val="000000"/>
                                <w:spacing w:val="0"/>
                                <w:w w:val="100"/>
                                <w:position w:val="0"/>
                              </w:rPr>
                              <w:t>陶瓷</w:t>
                            </w:r>
                          </w:p>
                        </w:txbxContent>
                      </wps:txbx>
                      <wps:bodyPr wrap="none" lIns="0" tIns="0" rIns="0" bIns="0">
                        <a:noAutoFit/>
                      </wps:bodyPr>
                    </wps:wsp>
                  </a:graphicData>
                </a:graphic>
              </wp:anchor>
            </w:drawing>
          </mc:Choice>
          <mc:Fallback>
            <w:pict>
              <v:shape id="_x0000_s1188" type="#_x0000_t202" style="position:absolute;margin-left:350.40000000000003pt;margin-top:15.pt;width:88.799999999999997pt;height:12.pt;z-index:-188744052;mso-wrap-distance-left:0;mso-wrap-distance-right:0;mso-position-horizontal-relative:page" wrapcoords="0 0"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厚膜薄膜</w:t>
                      </w:r>
                      <w:r>
                        <w:rPr>
                          <w:rFonts w:ascii="Times New Roman" w:eastAsia="Times New Roman" w:hAnsi="Times New Roman" w:cs="Times New Roman"/>
                          <w:b/>
                          <w:bCs/>
                          <w:color w:val="000000"/>
                          <w:spacing w:val="0"/>
                          <w:w w:val="100"/>
                          <w:position w:val="0"/>
                          <w:sz w:val="17"/>
                          <w:szCs w:val="17"/>
                        </w:rPr>
                        <w:t>MEMS</w:t>
                      </w:r>
                      <w:r>
                        <w:rPr>
                          <w:color w:val="000000"/>
                          <w:spacing w:val="0"/>
                          <w:w w:val="100"/>
                          <w:position w:val="0"/>
                        </w:rPr>
                        <w:t>陶瓷</w:t>
                      </w:r>
                    </w:p>
                  </w:txbxContent>
                </v:textbox>
                <w10:wrap anchorx="page"/>
              </v:shape>
            </w:pict>
          </mc:Fallback>
        </mc:AlternateContent>
      </w:r>
      <w:r>
        <w:br w:type="page"/>
      </w:r>
    </w:p>
    <w:p>
      <w:pPr>
        <w:pStyle w:val="Style10"/>
        <w:keepNext w:val="0"/>
        <w:keepLines w:val="0"/>
        <w:widowControl w:val="0"/>
        <w:shd w:val="clear" w:color="auto" w:fill="auto"/>
        <w:bidi w:val="0"/>
        <w:spacing w:before="0" w:after="0" w:line="468" w:lineRule="exact"/>
        <w:ind w:left="0" w:right="0" w:firstLine="300"/>
        <w:jc w:val="left"/>
      </w:pPr>
      <w:bookmarkStart w:id="107" w:name="bookmark107"/>
      <w:r>
        <w:rPr>
          <w:b/>
          <w:bCs/>
          <w:color w:val="000000"/>
          <w:spacing w:val="0"/>
          <w:w w:val="100"/>
          <w:position w:val="0"/>
        </w:rPr>
        <w:t>2</w:t>
      </w:r>
      <w:bookmarkEnd w:id="107"/>
      <w:r>
        <w:rPr>
          <w:b/>
          <w:bCs/>
          <w:color w:val="000000"/>
          <w:spacing w:val="0"/>
          <w:w w:val="100"/>
          <w:position w:val="0"/>
        </w:rPr>
        <w:t>）仪器仪表技术平台</w:t>
      </w:r>
    </w:p>
    <w:p>
      <w:pPr>
        <w:pStyle w:val="Style10"/>
        <w:keepNext w:val="0"/>
        <w:keepLines w:val="0"/>
        <w:widowControl w:val="0"/>
        <w:shd w:val="clear" w:color="auto" w:fill="auto"/>
        <w:bidi w:val="0"/>
        <w:spacing w:before="0" w:after="510" w:line="468" w:lineRule="exact"/>
        <w:ind w:left="0" w:right="0"/>
        <w:jc w:val="both"/>
      </w:pPr>
      <w:r>
        <w:rPr>
          <w:color w:val="000000"/>
          <w:spacing w:val="0"/>
          <w:w w:val="100"/>
          <w:position w:val="0"/>
        </w:rPr>
        <w:t>智能仪表作为公司物联网产业生态圈的中间环节，是上游传感器的应用载体和下游物联网平台的数据 来源。公司作为国内安全仪表的引领者，同时也是安全仪表、智能仪表相关国家标准的重要参与者，充分 利用传感器的技术支撑和下游物联网行业理解的优势，在国家政策和行业驱动的促进下，一方面在环境监 测和工业安全等传统领域实现了较好增长，另一方面，在国产替代和新《安全生产法》的推动下不断提升 市场的潜力和空间，同时也带动了上游传感器的销售提升和下游物联网解决方案业务的综合竞争力。</w:t>
      </w:r>
    </w:p>
    <w:p>
      <w:pPr>
        <w:pStyle w:val="Style172"/>
        <w:keepNext w:val="0"/>
        <w:keepLines w:val="0"/>
        <w:widowControl w:val="0"/>
        <w:pBdr>
          <w:top w:val="single" w:sz="0" w:space="1" w:color="365896"/>
          <w:left w:val="single" w:sz="0" w:space="0" w:color="365896"/>
          <w:bottom w:val="single" w:sz="0" w:space="4" w:color="365896"/>
          <w:right w:val="single" w:sz="0" w:space="0" w:color="365896"/>
        </w:pBdr>
        <w:shd w:val="clear" w:color="auto" w:fill="365896"/>
        <w:bidi w:val="0"/>
        <w:spacing w:before="0" w:after="434" w:line="240" w:lineRule="auto"/>
        <w:ind w:left="0" w:right="0" w:firstLine="680"/>
        <w:jc w:val="left"/>
      </w:pPr>
      <w:r>
        <w:rPr>
          <w:color w:val="FFFFFF"/>
          <w:spacing w:val="0"/>
          <w:w w:val="100"/>
          <w:position w:val="0"/>
        </w:rPr>
        <w:t>仪器仪表技术平台</w:t>
      </w:r>
    </w:p>
    <w:p>
      <w:pPr>
        <w:pStyle w:val="Style24"/>
        <w:keepNext w:val="0"/>
        <w:keepLines w:val="0"/>
        <w:widowControl w:val="0"/>
        <w:shd w:val="clear" w:color="auto" w:fill="auto"/>
        <w:bidi w:val="0"/>
        <w:spacing w:before="0" w:after="0" w:line="240" w:lineRule="auto"/>
        <w:ind w:left="0" w:right="0" w:firstLine="300"/>
        <w:jc w:val="left"/>
        <w:rPr>
          <w:sz w:val="17"/>
          <w:szCs w:val="17"/>
        </w:rPr>
      </w:pPr>
      <w:r>
        <mc:AlternateContent>
          <mc:Choice Requires="wps">
            <w:drawing>
              <wp:anchor distT="1283335" distB="911225" distL="114300" distR="3040380" simplePos="0" relativeHeight="125829436" behindDoc="0" locked="0" layoutInCell="1" allowOverlap="1">
                <wp:simplePos x="0" y="0"/>
                <wp:positionH relativeFrom="page">
                  <wp:posOffset>1196340</wp:posOffset>
                </wp:positionH>
                <wp:positionV relativeFrom="margin">
                  <wp:posOffset>3926205</wp:posOffset>
                </wp:positionV>
                <wp:extent cx="719455" cy="133985"/>
                <wp:wrapSquare wrapText="right"/>
                <wp:docPr id="164" name="Shape 164"/>
                <a:graphic xmlns:a="http://schemas.openxmlformats.org/drawingml/2006/main">
                  <a:graphicData uri="http://schemas.microsoft.com/office/word/2010/wordprocessingShape">
                    <wps:wsp>
                      <wps:cNvSpPr txBox="1"/>
                      <wps:spPr>
                        <a:xfrm>
                          <a:ext cx="719455" cy="13398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596894"/>
                                <w:spacing w:val="0"/>
                                <w:w w:val="100"/>
                                <w:position w:val="0"/>
                                <w:sz w:val="17"/>
                                <w:szCs w:val="17"/>
                              </w:rPr>
                              <w:t>＞工业水监测</w:t>
                            </w:r>
                          </w:p>
                        </w:txbxContent>
                      </wps:txbx>
                      <wps:bodyPr wrap="none" lIns="0" tIns="0" rIns="0" bIns="0">
                        <a:noAutoFit/>
                      </wps:bodyPr>
                    </wps:wsp>
                  </a:graphicData>
                </a:graphic>
              </wp:anchor>
            </w:drawing>
          </mc:Choice>
          <mc:Fallback>
            <w:pict>
              <v:shape id="_x0000_s1190" type="#_x0000_t202" style="position:absolute;margin-left:94.200000000000003pt;margin-top:309.15000000000003pt;width:56.649999999999999pt;height:10.550000000000001pt;z-index:-125829317;mso-wrap-distance-left:9.pt;mso-wrap-distance-top:101.05pt;mso-wrap-distance-right:239.40000000000001pt;mso-wrap-distance-bottom:71.7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596894"/>
                          <w:spacing w:val="0"/>
                          <w:w w:val="100"/>
                          <w:position w:val="0"/>
                          <w:sz w:val="17"/>
                          <w:szCs w:val="17"/>
                        </w:rPr>
                        <w:t>＞工业水监测</w:t>
                      </w:r>
                    </w:p>
                  </w:txbxContent>
                </v:textbox>
                <w10:wrap type="square" side="right" anchorx="page" anchory="margin"/>
              </v:shape>
            </w:pict>
          </mc:Fallback>
        </mc:AlternateContent>
      </w:r>
      <w:r>
        <w:drawing>
          <wp:anchor distT="12065" distB="1197610" distL="1165860" distR="2303145" simplePos="0" relativeHeight="125829438" behindDoc="0" locked="0" layoutInCell="1" allowOverlap="1">
            <wp:simplePos x="0" y="0"/>
            <wp:positionH relativeFrom="page">
              <wp:posOffset>2247900</wp:posOffset>
            </wp:positionH>
            <wp:positionV relativeFrom="margin">
              <wp:posOffset>2654935</wp:posOffset>
            </wp:positionV>
            <wp:extent cx="408305" cy="1121410"/>
            <wp:wrapSquare wrapText="right"/>
            <wp:docPr id="166" name="Shape 166"/>
            <a:graphic xmlns:a="http://schemas.openxmlformats.org/drawingml/2006/main">
              <a:graphicData uri="http://schemas.openxmlformats.org/drawingml/2006/picture">
                <pic:pic xmlns:pic="http://schemas.openxmlformats.org/drawingml/2006/picture">
                  <pic:nvPicPr>
                    <pic:cNvPr id="167" name="Picture box 167"/>
                    <pic:cNvPicPr/>
                  </pic:nvPicPr>
                  <pic:blipFill>
                    <a:blip r:embed="rId61"/>
                    <a:stretch/>
                  </pic:blipFill>
                  <pic:spPr>
                    <a:xfrm>
                      <a:ext cx="408305" cy="1121410"/>
                    </a:xfrm>
                    <a:prstGeom prst="rect"/>
                  </pic:spPr>
                </pic:pic>
              </a:graphicData>
            </a:graphic>
          </wp:anchor>
        </w:drawing>
      </w:r>
      <w:r>
        <mc:AlternateContent>
          <mc:Choice Requires="wps">
            <w:drawing>
              <wp:anchor distT="0" distB="0" distL="0" distR="0" simplePos="0" relativeHeight="503316546" behindDoc="0" locked="0" layoutInCell="1" allowOverlap="1">
                <wp:simplePos x="0" y="0"/>
                <wp:positionH relativeFrom="page">
                  <wp:posOffset>1196340</wp:posOffset>
                </wp:positionH>
                <wp:positionV relativeFrom="margin">
                  <wp:posOffset>2670175</wp:posOffset>
                </wp:positionV>
                <wp:extent cx="938530" cy="1188720"/>
                <wp:wrapNone/>
                <wp:docPr id="168" name="Shape 168"/>
                <a:graphic xmlns:a="http://schemas.openxmlformats.org/drawingml/2006/main">
                  <a:graphicData uri="http://schemas.microsoft.com/office/word/2010/wordprocessingShape">
                    <wps:wsp>
                      <wps:cNvSpPr txBox="1"/>
                      <wps:spPr>
                        <a:xfrm>
                          <a:ext cx="938530" cy="1188720"/>
                        </a:xfrm>
                        <a:prstGeom prst="rect"/>
                        <a:noFill/>
                      </wps:spPr>
                      <wps:txbx>
                        <w:txbxContent>
                          <w:p>
                            <w:pPr>
                              <w:pStyle w:val="Style33"/>
                              <w:keepNext w:val="0"/>
                              <w:keepLines w:val="0"/>
                              <w:widowControl w:val="0"/>
                              <w:shd w:val="clear" w:color="auto" w:fill="auto"/>
                              <w:bidi w:val="0"/>
                              <w:spacing w:before="0" w:after="120" w:line="240" w:lineRule="auto"/>
                              <w:ind w:left="0" w:right="0" w:firstLine="0"/>
                              <w:jc w:val="left"/>
                              <w:rPr>
                                <w:sz w:val="17"/>
                                <w:szCs w:val="17"/>
                              </w:rPr>
                            </w:pPr>
                            <w:r>
                              <w:rPr>
                                <w:b w:val="0"/>
                                <w:bCs w:val="0"/>
                                <w:color w:val="596894"/>
                                <w:spacing w:val="0"/>
                                <w:w w:val="100"/>
                                <w:position w:val="0"/>
                                <w:sz w:val="17"/>
                                <w:szCs w:val="17"/>
                              </w:rPr>
                              <w:t>环境监测仪表</w:t>
                            </w:r>
                          </w:p>
                          <w:p>
                            <w:pPr>
                              <w:pStyle w:val="Style33"/>
                              <w:keepNext w:val="0"/>
                              <w:keepLines w:val="0"/>
                              <w:widowControl w:val="0"/>
                              <w:shd w:val="clear" w:color="auto" w:fill="auto"/>
                              <w:bidi w:val="0"/>
                              <w:spacing w:before="0" w:after="120" w:line="240" w:lineRule="auto"/>
                              <w:ind w:left="0" w:right="0" w:firstLine="0"/>
                              <w:jc w:val="left"/>
                              <w:rPr>
                                <w:sz w:val="17"/>
                                <w:szCs w:val="17"/>
                              </w:rPr>
                            </w:pPr>
                            <w:r>
                              <w:rPr>
                                <w:b w:val="0"/>
                                <w:bCs w:val="0"/>
                                <w:color w:val="596894"/>
                                <w:spacing w:val="0"/>
                                <w:w w:val="100"/>
                                <w:position w:val="0"/>
                                <w:sz w:val="17"/>
                                <w:szCs w:val="17"/>
                              </w:rPr>
                              <w:t>＞大气环境监洌</w:t>
                            </w:r>
                          </w:p>
                          <w:p>
                            <w:pPr>
                              <w:pStyle w:val="Style33"/>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596894"/>
                                <w:spacing w:val="0"/>
                                <w:w w:val="100"/>
                                <w:position w:val="0"/>
                                <w:sz w:val="17"/>
                                <w:szCs w:val="17"/>
                              </w:rPr>
                              <w:t xml:space="preserve">＞ </w:t>
                            </w:r>
                            <w:r>
                              <w:rPr>
                                <w:rFonts w:ascii="Times New Roman" w:eastAsia="Times New Roman" w:hAnsi="Times New Roman" w:cs="Times New Roman"/>
                                <w:color w:val="596894"/>
                                <w:spacing w:val="0"/>
                                <w:w w:val="100"/>
                                <w:position w:val="0"/>
                                <w:sz w:val="17"/>
                                <w:szCs w:val="17"/>
                              </w:rPr>
                              <w:t>VOCs＞</w:t>
                            </w:r>
                            <w:r>
                              <w:rPr>
                                <w:b w:val="0"/>
                                <w:bCs w:val="0"/>
                                <w:color w:val="596894"/>
                                <w:spacing w:val="0"/>
                                <w:w w:val="100"/>
                                <w:position w:val="0"/>
                                <w:sz w:val="17"/>
                                <w:szCs w:val="17"/>
                              </w:rPr>
                              <w:t>测</w:t>
                            </w:r>
                          </w:p>
                          <w:p>
                            <w:pPr>
                              <w:pStyle w:val="Style33"/>
                              <w:keepNext w:val="0"/>
                              <w:keepLines w:val="0"/>
                              <w:widowControl w:val="0"/>
                              <w:shd w:val="clear" w:color="auto" w:fill="auto"/>
                              <w:bidi w:val="0"/>
                              <w:spacing w:before="0" w:after="120" w:line="240" w:lineRule="auto"/>
                              <w:ind w:left="0" w:right="0" w:firstLine="0"/>
                              <w:jc w:val="left"/>
                              <w:rPr>
                                <w:sz w:val="17"/>
                                <w:szCs w:val="17"/>
                              </w:rPr>
                            </w:pPr>
                            <w:r>
                              <w:rPr>
                                <w:b w:val="0"/>
                                <w:bCs w:val="0"/>
                                <w:color w:val="596894"/>
                                <w:spacing w:val="0"/>
                                <w:w w:val="100"/>
                                <w:position w:val="0"/>
                                <w:sz w:val="17"/>
                                <w:szCs w:val="17"/>
                              </w:rPr>
                              <w:t>＞碳排放相关监测</w:t>
                            </w:r>
                          </w:p>
                          <w:p>
                            <w:pPr>
                              <w:pStyle w:val="Style33"/>
                              <w:keepNext w:val="0"/>
                              <w:keepLines w:val="0"/>
                              <w:widowControl w:val="0"/>
                              <w:shd w:val="clear" w:color="auto" w:fill="auto"/>
                              <w:bidi w:val="0"/>
                              <w:spacing w:before="0" w:after="120" w:line="240" w:lineRule="auto"/>
                              <w:ind w:left="0" w:right="0" w:firstLine="0"/>
                              <w:jc w:val="left"/>
                              <w:rPr>
                                <w:sz w:val="17"/>
                                <w:szCs w:val="17"/>
                              </w:rPr>
                            </w:pPr>
                            <w:r>
                              <w:rPr>
                                <w:b w:val="0"/>
                                <w:bCs w:val="0"/>
                                <w:color w:val="596894"/>
                                <w:spacing w:val="0"/>
                                <w:w w:val="100"/>
                                <w:position w:val="0"/>
                                <w:sz w:val="17"/>
                                <w:szCs w:val="17"/>
                              </w:rPr>
                              <w:t>＞供水水质监测</w:t>
                            </w:r>
                          </w:p>
                          <w:p>
                            <w:pPr>
                              <w:pStyle w:val="Style33"/>
                              <w:keepNext w:val="0"/>
                              <w:keepLines w:val="0"/>
                              <w:widowControl w:val="0"/>
                              <w:shd w:val="clear" w:color="auto" w:fill="auto"/>
                              <w:bidi w:val="0"/>
                              <w:spacing w:before="0" w:after="120" w:line="240" w:lineRule="auto"/>
                              <w:ind w:left="0" w:right="0" w:firstLine="0"/>
                              <w:jc w:val="left"/>
                              <w:rPr>
                                <w:sz w:val="17"/>
                                <w:szCs w:val="17"/>
                              </w:rPr>
                            </w:pPr>
                            <w:r>
                              <w:rPr>
                                <w:b w:val="0"/>
                                <w:bCs w:val="0"/>
                                <w:color w:val="596894"/>
                                <w:spacing w:val="0"/>
                                <w:w w:val="100"/>
                                <w:position w:val="0"/>
                                <w:sz w:val="17"/>
                                <w:szCs w:val="17"/>
                              </w:rPr>
                              <w:t>＞环保水质监测</w:t>
                            </w:r>
                          </w:p>
                        </w:txbxContent>
                      </wps:txbx>
                      <wps:bodyPr lIns="0" tIns="0" rIns="0" bIns="0">
                        <a:noAutoFit/>
                      </wps:bodyPr>
                    </wps:wsp>
                  </a:graphicData>
                </a:graphic>
              </wp:anchor>
            </w:drawing>
          </mc:Choice>
          <mc:Fallback>
            <w:pict>
              <v:shape id="_x0000_s1194" type="#_x0000_t202" style="position:absolute;margin-left:94.200000000000003pt;margin-top:210.25pt;width:73.900000000000006pt;height:93.600000000000009pt;z-index:251657793;mso-wrap-distance-left:0;mso-wrap-distance-right:0;mso-position-horizontal-relative:page;mso-position-vertical-relative:margin" filled="f" stroked="f">
                <v:textbox inset="0,0,0,0">
                  <w:txbxContent>
                    <w:p>
                      <w:pPr>
                        <w:pStyle w:val="Style33"/>
                        <w:keepNext w:val="0"/>
                        <w:keepLines w:val="0"/>
                        <w:widowControl w:val="0"/>
                        <w:shd w:val="clear" w:color="auto" w:fill="auto"/>
                        <w:bidi w:val="0"/>
                        <w:spacing w:before="0" w:after="120" w:line="240" w:lineRule="auto"/>
                        <w:ind w:left="0" w:right="0" w:firstLine="0"/>
                        <w:jc w:val="left"/>
                        <w:rPr>
                          <w:sz w:val="17"/>
                          <w:szCs w:val="17"/>
                        </w:rPr>
                      </w:pPr>
                      <w:r>
                        <w:rPr>
                          <w:b w:val="0"/>
                          <w:bCs w:val="0"/>
                          <w:color w:val="596894"/>
                          <w:spacing w:val="0"/>
                          <w:w w:val="100"/>
                          <w:position w:val="0"/>
                          <w:sz w:val="17"/>
                          <w:szCs w:val="17"/>
                        </w:rPr>
                        <w:t>环境监测仪表</w:t>
                      </w:r>
                    </w:p>
                    <w:p>
                      <w:pPr>
                        <w:pStyle w:val="Style33"/>
                        <w:keepNext w:val="0"/>
                        <w:keepLines w:val="0"/>
                        <w:widowControl w:val="0"/>
                        <w:shd w:val="clear" w:color="auto" w:fill="auto"/>
                        <w:bidi w:val="0"/>
                        <w:spacing w:before="0" w:after="120" w:line="240" w:lineRule="auto"/>
                        <w:ind w:left="0" w:right="0" w:firstLine="0"/>
                        <w:jc w:val="left"/>
                        <w:rPr>
                          <w:sz w:val="17"/>
                          <w:szCs w:val="17"/>
                        </w:rPr>
                      </w:pPr>
                      <w:r>
                        <w:rPr>
                          <w:b w:val="0"/>
                          <w:bCs w:val="0"/>
                          <w:color w:val="596894"/>
                          <w:spacing w:val="0"/>
                          <w:w w:val="100"/>
                          <w:position w:val="0"/>
                          <w:sz w:val="17"/>
                          <w:szCs w:val="17"/>
                        </w:rPr>
                        <w:t>＞大气环境监洌</w:t>
                      </w:r>
                    </w:p>
                    <w:p>
                      <w:pPr>
                        <w:pStyle w:val="Style33"/>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596894"/>
                          <w:spacing w:val="0"/>
                          <w:w w:val="100"/>
                          <w:position w:val="0"/>
                          <w:sz w:val="17"/>
                          <w:szCs w:val="17"/>
                        </w:rPr>
                        <w:t xml:space="preserve">＞ </w:t>
                      </w:r>
                      <w:r>
                        <w:rPr>
                          <w:rFonts w:ascii="Times New Roman" w:eastAsia="Times New Roman" w:hAnsi="Times New Roman" w:cs="Times New Roman"/>
                          <w:color w:val="596894"/>
                          <w:spacing w:val="0"/>
                          <w:w w:val="100"/>
                          <w:position w:val="0"/>
                          <w:sz w:val="17"/>
                          <w:szCs w:val="17"/>
                        </w:rPr>
                        <w:t>VOCs＞</w:t>
                      </w:r>
                      <w:r>
                        <w:rPr>
                          <w:b w:val="0"/>
                          <w:bCs w:val="0"/>
                          <w:color w:val="596894"/>
                          <w:spacing w:val="0"/>
                          <w:w w:val="100"/>
                          <w:position w:val="0"/>
                          <w:sz w:val="17"/>
                          <w:szCs w:val="17"/>
                        </w:rPr>
                        <w:t>测</w:t>
                      </w:r>
                    </w:p>
                    <w:p>
                      <w:pPr>
                        <w:pStyle w:val="Style33"/>
                        <w:keepNext w:val="0"/>
                        <w:keepLines w:val="0"/>
                        <w:widowControl w:val="0"/>
                        <w:shd w:val="clear" w:color="auto" w:fill="auto"/>
                        <w:bidi w:val="0"/>
                        <w:spacing w:before="0" w:after="120" w:line="240" w:lineRule="auto"/>
                        <w:ind w:left="0" w:right="0" w:firstLine="0"/>
                        <w:jc w:val="left"/>
                        <w:rPr>
                          <w:sz w:val="17"/>
                          <w:szCs w:val="17"/>
                        </w:rPr>
                      </w:pPr>
                      <w:r>
                        <w:rPr>
                          <w:b w:val="0"/>
                          <w:bCs w:val="0"/>
                          <w:color w:val="596894"/>
                          <w:spacing w:val="0"/>
                          <w:w w:val="100"/>
                          <w:position w:val="0"/>
                          <w:sz w:val="17"/>
                          <w:szCs w:val="17"/>
                        </w:rPr>
                        <w:t>＞碳排放相关监测</w:t>
                      </w:r>
                    </w:p>
                    <w:p>
                      <w:pPr>
                        <w:pStyle w:val="Style33"/>
                        <w:keepNext w:val="0"/>
                        <w:keepLines w:val="0"/>
                        <w:widowControl w:val="0"/>
                        <w:shd w:val="clear" w:color="auto" w:fill="auto"/>
                        <w:bidi w:val="0"/>
                        <w:spacing w:before="0" w:after="120" w:line="240" w:lineRule="auto"/>
                        <w:ind w:left="0" w:right="0" w:firstLine="0"/>
                        <w:jc w:val="left"/>
                        <w:rPr>
                          <w:sz w:val="17"/>
                          <w:szCs w:val="17"/>
                        </w:rPr>
                      </w:pPr>
                      <w:r>
                        <w:rPr>
                          <w:b w:val="0"/>
                          <w:bCs w:val="0"/>
                          <w:color w:val="596894"/>
                          <w:spacing w:val="0"/>
                          <w:w w:val="100"/>
                          <w:position w:val="0"/>
                          <w:sz w:val="17"/>
                          <w:szCs w:val="17"/>
                        </w:rPr>
                        <w:t>＞供水水质监测</w:t>
                      </w:r>
                    </w:p>
                    <w:p>
                      <w:pPr>
                        <w:pStyle w:val="Style33"/>
                        <w:keepNext w:val="0"/>
                        <w:keepLines w:val="0"/>
                        <w:widowControl w:val="0"/>
                        <w:shd w:val="clear" w:color="auto" w:fill="auto"/>
                        <w:bidi w:val="0"/>
                        <w:spacing w:before="0" w:after="120" w:line="240" w:lineRule="auto"/>
                        <w:ind w:left="0" w:right="0" w:firstLine="0"/>
                        <w:jc w:val="left"/>
                        <w:rPr>
                          <w:sz w:val="17"/>
                          <w:szCs w:val="17"/>
                        </w:rPr>
                      </w:pPr>
                      <w:r>
                        <w:rPr>
                          <w:b w:val="0"/>
                          <w:bCs w:val="0"/>
                          <w:color w:val="596894"/>
                          <w:spacing w:val="0"/>
                          <w:w w:val="100"/>
                          <w:position w:val="0"/>
                          <w:sz w:val="17"/>
                          <w:szCs w:val="17"/>
                        </w:rPr>
                        <w:t>＞环保水质监测</w:t>
                      </w:r>
                    </w:p>
                  </w:txbxContent>
                </v:textbox>
                <w10:wrap anchorx="page" anchory="margin"/>
              </v:shape>
            </w:pict>
          </mc:Fallback>
        </mc:AlternateContent>
      </w:r>
      <w:r>
        <w:drawing>
          <wp:anchor distT="0" distB="1173480" distL="1748155" distR="114300" simplePos="0" relativeHeight="125829439" behindDoc="0" locked="0" layoutInCell="1" allowOverlap="1">
            <wp:simplePos x="0" y="0"/>
            <wp:positionH relativeFrom="page">
              <wp:posOffset>2830195</wp:posOffset>
            </wp:positionH>
            <wp:positionV relativeFrom="margin">
              <wp:posOffset>2642870</wp:posOffset>
            </wp:positionV>
            <wp:extent cx="2011680" cy="1158240"/>
            <wp:wrapSquare wrapText="right"/>
            <wp:docPr id="170" name="Shape 170"/>
            <a:graphic xmlns:a="http://schemas.openxmlformats.org/drawingml/2006/main">
              <a:graphicData uri="http://schemas.openxmlformats.org/drawingml/2006/picture">
                <pic:pic xmlns:pic="http://schemas.openxmlformats.org/drawingml/2006/picture">
                  <pic:nvPicPr>
                    <pic:cNvPr id="171" name="Picture box 171"/>
                    <pic:cNvPicPr/>
                  </pic:nvPicPr>
                  <pic:blipFill>
                    <a:blip r:embed="rId63"/>
                    <a:stretch/>
                  </pic:blipFill>
                  <pic:spPr>
                    <a:xfrm>
                      <a:ext cx="2011680" cy="1158240"/>
                    </a:xfrm>
                    <a:prstGeom prst="rect"/>
                  </pic:spPr>
                </pic:pic>
              </a:graphicData>
            </a:graphic>
          </wp:anchor>
        </w:drawing>
      </w:r>
      <w:r>
        <mc:AlternateContent>
          <mc:Choice Requires="wps">
            <w:drawing>
              <wp:anchor distT="1588135" distB="0" distL="1614170" distR="376555" simplePos="0" relativeHeight="125829440" behindDoc="0" locked="0" layoutInCell="1" allowOverlap="1">
                <wp:simplePos x="0" y="0"/>
                <wp:positionH relativeFrom="page">
                  <wp:posOffset>2696210</wp:posOffset>
                </wp:positionH>
                <wp:positionV relativeFrom="margin">
                  <wp:posOffset>4231005</wp:posOffset>
                </wp:positionV>
                <wp:extent cx="1883410" cy="740410"/>
                <wp:wrapSquare wrapText="right"/>
                <wp:docPr id="172" name="Shape 172"/>
                <a:graphic xmlns:a="http://schemas.openxmlformats.org/drawingml/2006/main">
                  <a:graphicData uri="http://schemas.microsoft.com/office/word/2010/wordprocessingShape">
                    <wps:wsp>
                      <wps:cNvSpPr txBox="1"/>
                      <wps:spPr>
                        <a:xfrm>
                          <a:ext cx="1883410" cy="740410"/>
                        </a:xfrm>
                        <a:prstGeom prst="rect"/>
                        <a:noFill/>
                      </wps:spPr>
                      <wps:txbx>
                        <w:txbxContent>
                          <w:p>
                            <w:pPr>
                              <w:pStyle w:val="Style2"/>
                              <w:keepNext w:val="0"/>
                              <w:keepLines w:val="0"/>
                              <w:widowControl w:val="0"/>
                              <w:shd w:val="clear" w:color="auto" w:fill="auto"/>
                              <w:bidi w:val="0"/>
                              <w:spacing w:before="0" w:after="200" w:line="240" w:lineRule="auto"/>
                              <w:ind w:left="0" w:right="0" w:firstLine="0"/>
                              <w:jc w:val="right"/>
                              <w:rPr>
                                <w:sz w:val="30"/>
                                <w:szCs w:val="30"/>
                              </w:rPr>
                            </w:pPr>
                            <w:r>
                              <w:rPr>
                                <w:color w:val="596894"/>
                                <w:spacing w:val="0"/>
                                <w:w w:val="100"/>
                                <w:position w:val="0"/>
                                <w:sz w:val="30"/>
                                <w:szCs w:val="30"/>
                              </w:rPr>
                              <w:t>仪器仪表技术平台</w:t>
                            </w:r>
                          </w:p>
                          <w:p>
                            <w:pPr>
                              <w:pStyle w:val="Style2"/>
                              <w:keepNext w:val="0"/>
                              <w:keepLines w:val="0"/>
                              <w:widowControl w:val="0"/>
                              <w:shd w:val="clear" w:color="auto" w:fill="auto"/>
                              <w:tabs>
                                <w:tab w:pos="1354" w:val="left"/>
                              </w:tabs>
                              <w:bidi w:val="0"/>
                              <w:spacing w:before="0" w:after="0" w:line="240" w:lineRule="auto"/>
                              <w:ind w:left="0" w:right="0" w:firstLine="0"/>
                              <w:jc w:val="right"/>
                              <w:rPr>
                                <w:sz w:val="22"/>
                                <w:szCs w:val="22"/>
                              </w:rPr>
                            </w:pPr>
                            <w:r>
                              <w:rPr>
                                <w:rFonts w:ascii="Courier New" w:eastAsia="Courier New" w:hAnsi="Courier New" w:cs="Courier New"/>
                                <w:color w:val="7387AC"/>
                                <w:spacing w:val="0"/>
                                <w:w w:val="100"/>
                                <w:position w:val="0"/>
                                <w:sz w:val="30"/>
                                <w:szCs w:val="30"/>
                              </w:rPr>
                              <w:t>"12b</w:t>
                              <w:tab/>
                              <w:t xml:space="preserve">"O" </w:t>
                            </w:r>
                            <w:r>
                              <w:rPr>
                                <w:rFonts w:ascii="Arial" w:eastAsia="Arial" w:hAnsi="Arial" w:cs="Arial"/>
                                <w:smallCaps/>
                                <w:color w:val="7387AC"/>
                                <w:spacing w:val="0"/>
                                <w:w w:val="100"/>
                                <w:position w:val="0"/>
                                <w:sz w:val="22"/>
                                <w:szCs w:val="22"/>
                              </w:rPr>
                              <w:t>"Cj"</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设计机城/电子/光学/软件制造</w:t>
                            </w:r>
                          </w:p>
                        </w:txbxContent>
                      </wps:txbx>
                      <wps:bodyPr lIns="0" tIns="0" rIns="0" bIns="0">
                        <a:noAutoFit/>
                      </wps:bodyPr>
                    </wps:wsp>
                  </a:graphicData>
                </a:graphic>
              </wp:anchor>
            </w:drawing>
          </mc:Choice>
          <mc:Fallback>
            <w:pict>
              <v:shape id="_x0000_s1198" type="#_x0000_t202" style="position:absolute;margin-left:212.30000000000001pt;margin-top:333.15000000000003pt;width:148.30000000000001pt;height:58.300000000000004pt;z-index:-125829313;mso-wrap-distance-left:127.10000000000001pt;mso-wrap-distance-top:125.05pt;mso-wrap-distance-right:29.650000000000002pt;mso-position-horizontal-relative:page;mso-position-vertical-relative:margin" filled="f" stroked="f">
                <v:textbox inset="0,0,0,0">
                  <w:txbxContent>
                    <w:p>
                      <w:pPr>
                        <w:pStyle w:val="Style2"/>
                        <w:keepNext w:val="0"/>
                        <w:keepLines w:val="0"/>
                        <w:widowControl w:val="0"/>
                        <w:shd w:val="clear" w:color="auto" w:fill="auto"/>
                        <w:bidi w:val="0"/>
                        <w:spacing w:before="0" w:after="200" w:line="240" w:lineRule="auto"/>
                        <w:ind w:left="0" w:right="0" w:firstLine="0"/>
                        <w:jc w:val="right"/>
                        <w:rPr>
                          <w:sz w:val="30"/>
                          <w:szCs w:val="30"/>
                        </w:rPr>
                      </w:pPr>
                      <w:r>
                        <w:rPr>
                          <w:color w:val="596894"/>
                          <w:spacing w:val="0"/>
                          <w:w w:val="100"/>
                          <w:position w:val="0"/>
                          <w:sz w:val="30"/>
                          <w:szCs w:val="30"/>
                        </w:rPr>
                        <w:t>仪器仪表技术平台</w:t>
                      </w:r>
                    </w:p>
                    <w:p>
                      <w:pPr>
                        <w:pStyle w:val="Style2"/>
                        <w:keepNext w:val="0"/>
                        <w:keepLines w:val="0"/>
                        <w:widowControl w:val="0"/>
                        <w:shd w:val="clear" w:color="auto" w:fill="auto"/>
                        <w:tabs>
                          <w:tab w:pos="1354" w:val="left"/>
                        </w:tabs>
                        <w:bidi w:val="0"/>
                        <w:spacing w:before="0" w:after="0" w:line="240" w:lineRule="auto"/>
                        <w:ind w:left="0" w:right="0" w:firstLine="0"/>
                        <w:jc w:val="right"/>
                        <w:rPr>
                          <w:sz w:val="22"/>
                          <w:szCs w:val="22"/>
                        </w:rPr>
                      </w:pPr>
                      <w:r>
                        <w:rPr>
                          <w:rFonts w:ascii="Courier New" w:eastAsia="Courier New" w:hAnsi="Courier New" w:cs="Courier New"/>
                          <w:color w:val="7387AC"/>
                          <w:spacing w:val="0"/>
                          <w:w w:val="100"/>
                          <w:position w:val="0"/>
                          <w:sz w:val="30"/>
                          <w:szCs w:val="30"/>
                        </w:rPr>
                        <w:t>"12b</w:t>
                        <w:tab/>
                        <w:t xml:space="preserve">"O" </w:t>
                      </w:r>
                      <w:r>
                        <w:rPr>
                          <w:rFonts w:ascii="Arial" w:eastAsia="Arial" w:hAnsi="Arial" w:cs="Arial"/>
                          <w:smallCaps/>
                          <w:color w:val="7387AC"/>
                          <w:spacing w:val="0"/>
                          <w:w w:val="100"/>
                          <w:position w:val="0"/>
                          <w:sz w:val="22"/>
                          <w:szCs w:val="22"/>
                        </w:rPr>
                        <w:t>"Cj"</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设计机城/电子/光学/软件制造</w:t>
                      </w:r>
                    </w:p>
                  </w:txbxContent>
                </v:textbox>
                <w10:wrap type="square" side="right" anchorx="page" anchory="margin"/>
              </v:shape>
            </w:pict>
          </mc:Fallback>
        </mc:AlternateContent>
      </w:r>
      <w:r>
        <w:rPr>
          <w:color w:val="6C7D90"/>
          <w:spacing w:val="0"/>
          <w:w w:val="100"/>
          <w:position w:val="0"/>
          <w:sz w:val="17"/>
          <w:szCs w:val="17"/>
        </w:rPr>
        <w:t xml:space="preserve">\ </w:t>
      </w:r>
      <w:r>
        <w:rPr>
          <w:color w:val="334B6D"/>
          <w:spacing w:val="0"/>
          <w:w w:val="100"/>
          <w:position w:val="0"/>
          <w:sz w:val="17"/>
          <w:szCs w:val="17"/>
        </w:rPr>
        <w:t>工业安全仪表</w:t>
      </w:r>
    </w:p>
    <w:p>
      <w:pPr>
        <w:pStyle w:val="Style24"/>
        <w:keepNext w:val="0"/>
        <w:keepLines w:val="0"/>
        <w:widowControl w:val="0"/>
        <w:shd w:val="clear" w:color="auto" w:fill="auto"/>
        <w:tabs>
          <w:tab w:pos="756" w:val="left"/>
        </w:tabs>
        <w:bidi w:val="0"/>
        <w:spacing w:before="0" w:after="0" w:line="240" w:lineRule="auto"/>
        <w:ind w:left="0" w:right="0" w:firstLine="300"/>
        <w:jc w:val="left"/>
        <w:rPr>
          <w:sz w:val="17"/>
          <w:szCs w:val="17"/>
        </w:rPr>
      </w:pPr>
      <w:r>
        <w:rPr>
          <w:color w:val="6C7D90"/>
          <w:spacing w:val="0"/>
          <w:w w:val="100"/>
          <w:position w:val="0"/>
          <w:sz w:val="17"/>
          <w:szCs w:val="17"/>
        </w:rPr>
        <w:t xml:space="preserve">■ </w:t>
      </w:r>
      <w:r>
        <w:rPr>
          <w:color w:val="6C7D90"/>
          <w:spacing w:val="0"/>
          <w:w w:val="100"/>
          <w:position w:val="0"/>
          <w:sz w:val="17"/>
          <w:szCs w:val="17"/>
        </w:rPr>
        <w:t>\</w:t>
        <w:tab/>
        <w:t>＞便携气体检测仗</w:t>
      </w:r>
    </w:p>
    <w:p>
      <w:pPr>
        <w:pStyle w:val="Style24"/>
        <w:keepNext w:val="0"/>
        <w:keepLines w:val="0"/>
        <w:widowControl w:val="0"/>
        <w:shd w:val="clear" w:color="auto" w:fill="auto"/>
        <w:bidi w:val="0"/>
        <w:spacing w:before="0" w:after="120" w:line="240" w:lineRule="auto"/>
        <w:ind w:left="0" w:right="520" w:firstLine="0"/>
        <w:jc w:val="right"/>
        <w:rPr>
          <w:sz w:val="17"/>
          <w:szCs w:val="17"/>
        </w:rPr>
      </w:pPr>
      <w:r>
        <w:rPr>
          <w:color w:val="6C7D90"/>
          <w:spacing w:val="0"/>
          <w:w w:val="100"/>
          <w:position w:val="0"/>
          <w:sz w:val="17"/>
          <w:szCs w:val="17"/>
        </w:rPr>
        <w:t xml:space="preserve">\ </w:t>
      </w:r>
      <w:r>
        <w:rPr>
          <w:color w:val="334B6D"/>
          <w:spacing w:val="0"/>
          <w:w w:val="100"/>
          <w:position w:val="0"/>
          <w:sz w:val="17"/>
          <w:szCs w:val="17"/>
        </w:rPr>
        <w:t>＞</w:t>
      </w:r>
      <w:r>
        <w:rPr>
          <w:color w:val="6C7D90"/>
          <w:spacing w:val="0"/>
          <w:w w:val="100"/>
          <w:position w:val="0"/>
          <w:sz w:val="17"/>
          <w:szCs w:val="17"/>
        </w:rPr>
        <w:t>固定式气体探测器</w:t>
      </w:r>
    </w:p>
    <w:p>
      <w:pPr>
        <w:pStyle w:val="Style24"/>
        <w:keepNext w:val="0"/>
        <w:keepLines w:val="0"/>
        <w:widowControl w:val="0"/>
        <w:shd w:val="clear" w:color="auto" w:fill="auto"/>
        <w:bidi w:val="0"/>
        <w:spacing w:before="0" w:after="120" w:line="240" w:lineRule="auto"/>
        <w:ind w:left="0" w:right="0" w:firstLine="680"/>
        <w:jc w:val="left"/>
        <w:rPr>
          <w:sz w:val="17"/>
          <w:szCs w:val="17"/>
        </w:rPr>
      </w:pPr>
      <w:r>
        <w:rPr>
          <w:color w:val="6C7D90"/>
          <w:spacing w:val="0"/>
          <w:w w:val="100"/>
          <w:position w:val="0"/>
          <w:sz w:val="17"/>
          <w:szCs w:val="17"/>
        </w:rPr>
        <w:t>＞激光气体监测杈器</w:t>
      </w:r>
    </w:p>
    <w:p>
      <w:pPr>
        <w:pStyle w:val="Style24"/>
        <w:keepNext w:val="0"/>
        <w:keepLines w:val="0"/>
        <w:widowControl w:val="0"/>
        <w:shd w:val="clear" w:color="auto" w:fill="auto"/>
        <w:tabs>
          <w:tab w:pos="756" w:val="left"/>
        </w:tabs>
        <w:bidi w:val="0"/>
        <w:spacing w:before="0" w:after="0" w:line="240" w:lineRule="auto"/>
        <w:ind w:left="0" w:right="0" w:firstLine="300"/>
        <w:jc w:val="left"/>
        <w:rPr>
          <w:sz w:val="17"/>
          <w:szCs w:val="17"/>
        </w:rPr>
      </w:pPr>
      <w:r>
        <w:rPr>
          <w:color w:val="6C7D90"/>
          <w:spacing w:val="0"/>
          <w:w w:val="100"/>
          <w:position w:val="0"/>
          <w:sz w:val="17"/>
          <w:szCs w:val="17"/>
        </w:rPr>
        <w:t>'</w:t>
        <w:tab/>
      </w:r>
      <w:r>
        <w:rPr>
          <w:color w:val="6C7D90"/>
          <w:spacing w:val="0"/>
          <w:w w:val="100"/>
          <w:position w:val="0"/>
          <w:sz w:val="17"/>
          <w:szCs w:val="17"/>
        </w:rPr>
        <w:t>＞城市监管仪器</w:t>
      </w:r>
    </w:p>
    <w:p>
      <w:pPr>
        <w:pStyle w:val="Style24"/>
        <w:keepNext w:val="0"/>
        <w:keepLines w:val="0"/>
        <w:widowControl w:val="0"/>
        <w:shd w:val="clear" w:color="auto" w:fill="auto"/>
        <w:tabs>
          <w:tab w:pos="756" w:val="left"/>
        </w:tabs>
        <w:bidi w:val="0"/>
        <w:spacing w:before="0" w:after="120" w:line="240" w:lineRule="auto"/>
        <w:ind w:left="0" w:right="0" w:firstLine="300"/>
        <w:jc w:val="left"/>
        <w:rPr>
          <w:sz w:val="17"/>
          <w:szCs w:val="17"/>
        </w:rPr>
      </w:pPr>
      <w:r>
        <w:rPr>
          <w:color w:val="6C7D90"/>
          <w:spacing w:val="0"/>
          <w:w w:val="100"/>
          <w:position w:val="0"/>
          <w:sz w:val="17"/>
          <w:szCs w:val="17"/>
        </w:rPr>
        <w:t>"</w:t>
        <w:tab/>
      </w:r>
      <w:r>
        <w:rPr>
          <w:color w:val="6C7D90"/>
          <w:spacing w:val="0"/>
          <w:w w:val="100"/>
          <w:position w:val="0"/>
          <w:sz w:val="17"/>
          <w:szCs w:val="17"/>
        </w:rPr>
        <w:t>＞气体分析仪等</w:t>
      </w:r>
    </w:p>
    <w:p>
      <w:pPr>
        <w:pStyle w:val="Style24"/>
        <w:keepNext w:val="0"/>
        <w:keepLines w:val="0"/>
        <w:widowControl w:val="0"/>
        <w:shd w:val="clear" w:color="auto" w:fill="auto"/>
        <w:bidi w:val="0"/>
        <w:spacing w:before="0" w:after="120" w:line="240" w:lineRule="auto"/>
        <w:ind w:left="0" w:right="0" w:firstLine="680"/>
        <w:jc w:val="left"/>
        <w:rPr>
          <w:sz w:val="17"/>
          <w:szCs w:val="17"/>
        </w:rPr>
      </w:pPr>
      <w:r>
        <w:rPr>
          <w:i/>
          <w:iCs/>
          <w:color w:val="334B6D"/>
          <w:spacing w:val="0"/>
          <w:w w:val="100"/>
          <w:position w:val="0"/>
          <w:sz w:val="17"/>
          <w:szCs w:val="17"/>
        </w:rPr>
        <w:t>＞压力仪表</w:t>
      </w:r>
    </w:p>
    <w:p>
      <w:pPr>
        <w:pStyle w:val="Style24"/>
        <w:keepNext w:val="0"/>
        <w:keepLines w:val="0"/>
        <w:widowControl w:val="0"/>
        <w:shd w:val="clear" w:color="auto" w:fill="auto"/>
        <w:bidi w:val="0"/>
        <w:spacing w:before="0" w:after="0" w:line="240" w:lineRule="auto"/>
        <w:ind w:left="0" w:right="0" w:firstLine="680"/>
        <w:jc w:val="left"/>
        <w:rPr>
          <w:sz w:val="17"/>
          <w:szCs w:val="17"/>
        </w:rPr>
      </w:pPr>
      <w:r>
        <mc:AlternateContent>
          <mc:Choice Requires="wps">
            <w:drawing>
              <wp:anchor distT="347345" distB="0" distL="114300" distR="2741930" simplePos="0" relativeHeight="125829442" behindDoc="0" locked="0" layoutInCell="1" allowOverlap="1">
                <wp:simplePos x="0" y="0"/>
                <wp:positionH relativeFrom="page">
                  <wp:posOffset>1717675</wp:posOffset>
                </wp:positionH>
                <wp:positionV relativeFrom="margin">
                  <wp:posOffset>5257800</wp:posOffset>
                </wp:positionV>
                <wp:extent cx="1505585" cy="164465"/>
                <wp:wrapTopAndBottom/>
                <wp:docPr id="174" name="Shape 174"/>
                <a:graphic xmlns:a="http://schemas.openxmlformats.org/drawingml/2006/main">
                  <a:graphicData uri="http://schemas.microsoft.com/office/word/2010/wordprocessingShape">
                    <wps:wsp>
                      <wps:cNvSpPr txBox="1"/>
                      <wps:spPr>
                        <a:xfrm>
                          <a:ext cx="1505585" cy="16446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596894"/>
                                <w:spacing w:val="0"/>
                                <w:w w:val="100"/>
                                <w:position w:val="0"/>
                              </w:rPr>
                              <w:t>传感器技术理解和支撑优势</w:t>
                            </w:r>
                          </w:p>
                        </w:txbxContent>
                      </wps:txbx>
                      <wps:bodyPr wrap="none" lIns="0" tIns="0" rIns="0" bIns="0">
                        <a:noAutoFit/>
                      </wps:bodyPr>
                    </wps:wsp>
                  </a:graphicData>
                </a:graphic>
              </wp:anchor>
            </w:drawing>
          </mc:Choice>
          <mc:Fallback>
            <w:pict>
              <v:shape id="_x0000_s1200" type="#_x0000_t202" style="position:absolute;margin-left:135.25pt;margin-top:414.pt;width:118.55pt;height:12.950000000000001pt;z-index:-125829311;mso-wrap-distance-left:9.pt;mso-wrap-distance-top:27.350000000000001pt;mso-wrap-distance-right:215.90000000000001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596894"/>
                          <w:spacing w:val="0"/>
                          <w:w w:val="100"/>
                          <w:position w:val="0"/>
                        </w:rPr>
                        <w:t>传感器技术理解和支撑优势</w:t>
                      </w:r>
                    </w:p>
                  </w:txbxContent>
                </v:textbox>
                <w10:wrap type="topAndBottom" anchorx="page" anchory="margin"/>
              </v:shape>
            </w:pict>
          </mc:Fallback>
        </mc:AlternateContent>
      </w:r>
      <w:r>
        <mc:AlternateContent>
          <mc:Choice Requires="wps">
            <w:drawing>
              <wp:anchor distT="152400" distB="17780" distL="2363470" distR="114935" simplePos="0" relativeHeight="125829444" behindDoc="0" locked="0" layoutInCell="1" allowOverlap="1">
                <wp:simplePos x="0" y="0"/>
                <wp:positionH relativeFrom="page">
                  <wp:posOffset>3966845</wp:posOffset>
                </wp:positionH>
                <wp:positionV relativeFrom="margin">
                  <wp:posOffset>5062855</wp:posOffset>
                </wp:positionV>
                <wp:extent cx="1883410" cy="341630"/>
                <wp:wrapTopAndBottom/>
                <wp:docPr id="176" name="Shape 176"/>
                <a:graphic xmlns:a="http://schemas.openxmlformats.org/drawingml/2006/main">
                  <a:graphicData uri="http://schemas.microsoft.com/office/word/2010/wordprocessingShape">
                    <wps:wsp>
                      <wps:cNvSpPr txBox="1"/>
                      <wps:spPr>
                        <a:xfrm>
                          <a:ext cx="1883410" cy="341630"/>
                        </a:xfrm>
                        <a:prstGeom prst="rect"/>
                        <a:noFill/>
                      </wps:spPr>
                      <wps:txbx>
                        <w:txbxContent>
                          <w:p>
                            <w:pPr>
                              <w:pStyle w:val="Style24"/>
                              <w:keepNext w:val="0"/>
                              <w:keepLines w:val="0"/>
                              <w:widowControl w:val="0"/>
                              <w:shd w:val="clear" w:color="auto" w:fill="auto"/>
                              <w:bidi w:val="0"/>
                              <w:spacing w:before="0" w:after="0" w:line="240" w:lineRule="auto"/>
                              <w:ind w:left="-20" w:right="0" w:firstLine="0"/>
                              <w:jc w:val="center"/>
                            </w:pPr>
                            <w:r>
                              <w:rPr>
                                <w:color w:val="596894"/>
                                <w:spacing w:val="0"/>
                                <w:w w:val="100"/>
                                <w:position w:val="0"/>
                              </w:rPr>
                              <w:t>二物联网平台技术和生态优势</w:t>
                            </w:r>
                          </w:p>
                        </w:txbxContent>
                      </wps:txbx>
                      <wps:bodyPr wrap="none" lIns="0" tIns="0" rIns="0" bIns="0">
                        <a:noAutoFit/>
                      </wps:bodyPr>
                    </wps:wsp>
                  </a:graphicData>
                </a:graphic>
              </wp:anchor>
            </w:drawing>
          </mc:Choice>
          <mc:Fallback>
            <w:pict>
              <v:shape id="_x0000_s1202" type="#_x0000_t202" style="position:absolute;margin-left:312.35000000000002pt;margin-top:398.65000000000003pt;width:148.30000000000001pt;height:26.900000000000002pt;z-index:-125829309;mso-wrap-distance-left:186.09999999999999pt;mso-wrap-distance-top:12.pt;mso-wrap-distance-right:9.0500000000000007pt;mso-wrap-distance-bottom:1.4000000000000001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20" w:right="0" w:firstLine="0"/>
                        <w:jc w:val="center"/>
                      </w:pPr>
                      <w:r>
                        <w:rPr>
                          <w:color w:val="596894"/>
                          <w:spacing w:val="0"/>
                          <w:w w:val="100"/>
                          <w:position w:val="0"/>
                        </w:rPr>
                        <w:t>二物联网平台技术和生态优势</w:t>
                      </w:r>
                    </w:p>
                  </w:txbxContent>
                </v:textbox>
                <w10:wrap type="topAndBottom" anchorx="page" anchory="margin"/>
              </v:shape>
            </w:pict>
          </mc:Fallback>
        </mc:AlternateContent>
      </w:r>
      <w:r>
        <w:rPr>
          <w:color w:val="334B6D"/>
          <w:spacing w:val="0"/>
          <w:w w:val="100"/>
          <w:position w:val="0"/>
          <w:sz w:val="17"/>
          <w:szCs w:val="17"/>
        </w:rPr>
        <w:t>＞流量仪表</w:t>
      </w:r>
    </w:p>
    <w:p>
      <w:pPr>
        <w:pStyle w:val="Style10"/>
        <w:keepNext w:val="0"/>
        <w:keepLines w:val="0"/>
        <w:widowControl w:val="0"/>
        <w:shd w:val="clear" w:color="auto" w:fill="auto"/>
        <w:bidi w:val="0"/>
        <w:spacing w:before="0" w:after="0" w:line="467" w:lineRule="exact"/>
        <w:ind w:left="0" w:right="0" w:firstLine="440"/>
        <w:jc w:val="both"/>
      </w:pPr>
      <w:bookmarkStart w:id="108" w:name="bookmark108"/>
      <w:r>
        <w:rPr>
          <w:b/>
          <w:bCs/>
          <w:color w:val="000000"/>
          <w:spacing w:val="0"/>
          <w:w w:val="100"/>
          <w:position w:val="0"/>
        </w:rPr>
        <w:t>3</w:t>
      </w:r>
      <w:bookmarkEnd w:id="108"/>
      <w:r>
        <w:rPr>
          <w:b/>
          <w:bCs/>
          <w:color w:val="000000"/>
          <w:spacing w:val="0"/>
          <w:w w:val="100"/>
          <w:position w:val="0"/>
        </w:rPr>
        <w:t>）物联网技术平台</w:t>
      </w:r>
    </w:p>
    <w:p>
      <w:pPr>
        <w:pStyle w:val="Style10"/>
        <w:keepNext w:val="0"/>
        <w:keepLines w:val="0"/>
        <w:widowControl w:val="0"/>
        <w:shd w:val="clear" w:color="auto" w:fill="auto"/>
        <w:bidi w:val="0"/>
        <w:spacing w:before="0" w:after="0" w:line="467" w:lineRule="exact"/>
        <w:ind w:left="0" w:right="0" w:firstLine="440"/>
        <w:jc w:val="both"/>
        <w:sectPr>
          <w:footnotePr>
            <w:pos w:val="pageBottom"/>
            <w:numFmt w:val="decimal"/>
            <w:numRestart w:val="continuous"/>
          </w:footnotePr>
          <w:type w:val="continuous"/>
          <w:pgSz w:w="11900" w:h="16840"/>
          <w:pgMar w:top="1311" w:right="1112" w:bottom="2497" w:left="1112" w:header="0" w:footer="3" w:gutter="0"/>
          <w:cols w:space="720"/>
          <w:noEndnote/>
          <w:rtlGutter w:val="0"/>
          <w:docGrid w:linePitch="360"/>
        </w:sectPr>
      </w:pPr>
      <w:r>
        <w:rPr>
          <w:color w:val="000000"/>
          <w:spacing w:val="0"/>
          <w:w w:val="100"/>
          <w:position w:val="0"/>
        </w:rPr>
        <w:t>依托核心传感器技术产出的多样化智能仪表等感知硬件终端，将感知信息通过</w:t>
      </w:r>
      <w:r>
        <w:rPr>
          <w:color w:val="000000"/>
          <w:spacing w:val="0"/>
          <w:w w:val="100"/>
          <w:position w:val="0"/>
        </w:rPr>
        <w:t>NB-IoT</w:t>
      </w:r>
      <w:r>
        <w:rPr>
          <w:color w:val="000000"/>
          <w:spacing w:val="0"/>
          <w:w w:val="100"/>
          <w:position w:val="0"/>
        </w:rPr>
        <w:t>等多种通讯手段 传输至公司研发的物联网监控系统，监控系统根据客户需求对重点信息进行分析处理，最终形成可视化的 平台应用，在公司擅长和布局的智慧安全、智慧燃气、智慧水务、智慧环保等应用领域形成了成熟的市场 应用。近年来，随着数字中国、智慧城市</w:t>
      </w:r>
      <w:r>
        <w:rPr>
          <w:color w:val="000000"/>
          <w:spacing w:val="0"/>
          <w:w w:val="100"/>
          <w:position w:val="0"/>
        </w:rPr>
        <w:t>、5G、</w:t>
      </w:r>
      <w:r>
        <w:rPr>
          <w:color w:val="000000"/>
          <w:spacing w:val="0"/>
          <w:w w:val="100"/>
          <w:position w:val="0"/>
        </w:rPr>
        <w:t>新基建等行业政策驱动，物联网平台业务呈现了良好的增 长势头，市场空间持续释放，并且随着业务的发展和行业理解的持续加深，更好的带动了智能仪表和传感 器的市场应用和迭代升级，形成了良好的生态驱动。</w:t>
      </w:r>
    </w:p>
    <w:p>
      <w:pPr>
        <w:widowControl w:val="0"/>
        <w:spacing w:line="1" w:lineRule="exact"/>
      </w:pPr>
      <w:r>
        <mc:AlternateContent>
          <mc:Choice Requires="wps">
            <w:drawing>
              <wp:anchor distT="0" distB="0" distL="114300" distR="114300" simplePos="0" relativeHeight="125829446" behindDoc="0" locked="0" layoutInCell="1" allowOverlap="1">
                <wp:simplePos x="0" y="0"/>
                <wp:positionH relativeFrom="page">
                  <wp:posOffset>1260475</wp:posOffset>
                </wp:positionH>
                <wp:positionV relativeFrom="paragraph">
                  <wp:posOffset>12700</wp:posOffset>
                </wp:positionV>
                <wp:extent cx="1100455" cy="191770"/>
                <wp:wrapTopAndBottom/>
                <wp:docPr id="178" name="Shape 178"/>
                <a:graphic xmlns:a="http://schemas.openxmlformats.org/drawingml/2006/main">
                  <a:graphicData uri="http://schemas.microsoft.com/office/word/2010/wordprocessingShape">
                    <wps:wsp>
                      <wps:cNvSpPr txBox="1"/>
                      <wps:spPr>
                        <a:xfrm>
                          <a:ext cx="1100455" cy="191770"/>
                        </a:xfrm>
                        <a:prstGeom prst="rect"/>
                        <a:noFill/>
                      </wps:spPr>
                      <wps:txbx>
                        <w:txbxContent>
                          <w:p>
                            <w:pPr>
                              <w:pStyle w:val="Style172"/>
                              <w:keepNext w:val="0"/>
                              <w:keepLines w:val="0"/>
                              <w:widowControl w:val="0"/>
                              <w:pBdr>
                                <w:top w:val="single" w:sz="0" w:space="0" w:color="365995"/>
                                <w:left w:val="single" w:sz="0" w:space="0" w:color="365995"/>
                                <w:bottom w:val="single" w:sz="0" w:space="0" w:color="365995"/>
                                <w:right w:val="single" w:sz="0" w:space="0" w:color="365995"/>
                              </w:pBdr>
                              <w:shd w:val="clear" w:color="auto" w:fill="365995"/>
                              <w:bidi w:val="0"/>
                              <w:spacing w:before="0" w:after="0" w:line="240" w:lineRule="auto"/>
                              <w:ind w:left="0" w:right="0" w:firstLine="0"/>
                              <w:jc w:val="left"/>
                              <w:rPr>
                                <w:sz w:val="24"/>
                                <w:szCs w:val="24"/>
                              </w:rPr>
                            </w:pPr>
                            <w:r>
                              <w:rPr>
                                <w:color w:val="FFFFFF"/>
                                <w:spacing w:val="0"/>
                                <w:w w:val="100"/>
                                <w:position w:val="0"/>
                                <w:sz w:val="24"/>
                                <w:szCs w:val="24"/>
                              </w:rPr>
                              <w:t>物联网技术平台</w:t>
                            </w:r>
                          </w:p>
                        </w:txbxContent>
                      </wps:txbx>
                      <wps:bodyPr wrap="none" lIns="0" tIns="0" rIns="0" bIns="0">
                        <a:noAutoFit/>
                      </wps:bodyPr>
                    </wps:wsp>
                  </a:graphicData>
                </a:graphic>
              </wp:anchor>
            </w:drawing>
          </mc:Choice>
          <mc:Fallback>
            <w:pict>
              <v:shape id="_x0000_s1204" type="#_x0000_t202" style="position:absolute;margin-left:99.25pt;margin-top:1.pt;width:86.650000000000006pt;height:15.1pt;z-index:-125829307;mso-wrap-distance-left:9.pt;mso-wrap-distance-right:9.pt;mso-position-horizontal-relative:page" filled="f" stroked="f">
                <v:textbox inset="0,0,0,0">
                  <w:txbxContent>
                    <w:p>
                      <w:pPr>
                        <w:pStyle w:val="Style172"/>
                        <w:keepNext w:val="0"/>
                        <w:keepLines w:val="0"/>
                        <w:widowControl w:val="0"/>
                        <w:pBdr>
                          <w:top w:val="single" w:sz="0" w:space="0" w:color="365995"/>
                          <w:left w:val="single" w:sz="0" w:space="0" w:color="365995"/>
                          <w:bottom w:val="single" w:sz="0" w:space="0" w:color="365995"/>
                          <w:right w:val="single" w:sz="0" w:space="0" w:color="365995"/>
                        </w:pBdr>
                        <w:shd w:val="clear" w:color="auto" w:fill="365995"/>
                        <w:bidi w:val="0"/>
                        <w:spacing w:before="0" w:after="0" w:line="240" w:lineRule="auto"/>
                        <w:ind w:left="0" w:right="0" w:firstLine="0"/>
                        <w:jc w:val="left"/>
                        <w:rPr>
                          <w:sz w:val="24"/>
                          <w:szCs w:val="24"/>
                        </w:rPr>
                      </w:pPr>
                      <w:r>
                        <w:rPr>
                          <w:color w:val="FFFFFF"/>
                          <w:spacing w:val="0"/>
                          <w:w w:val="100"/>
                          <w:position w:val="0"/>
                          <w:sz w:val="24"/>
                          <w:szCs w:val="24"/>
                        </w:rPr>
                        <w:t>物联网技术平台</w:t>
                      </w:r>
                    </w:p>
                  </w:txbxContent>
                </v:textbox>
                <w10:wrap type="topAndBottom" anchorx="page"/>
              </v:shape>
            </w:pict>
          </mc:Fallback>
        </mc:AlternateContent>
      </w:r>
      <w:r>
        <mc:AlternateContent>
          <mc:Choice Requires="wps">
            <w:drawing>
              <wp:anchor distT="107315" distB="1021080" distL="114300" distR="4241165" simplePos="0" relativeHeight="125829448" behindDoc="0" locked="0" layoutInCell="1" allowOverlap="1">
                <wp:simplePos x="0" y="0"/>
                <wp:positionH relativeFrom="page">
                  <wp:posOffset>1300480</wp:posOffset>
                </wp:positionH>
                <wp:positionV relativeFrom="paragraph">
                  <wp:posOffset>682625</wp:posOffset>
                </wp:positionV>
                <wp:extent cx="960120" cy="1341120"/>
                <wp:wrapTopAndBottom/>
                <wp:docPr id="180" name="Shape 180"/>
                <a:graphic xmlns:a="http://schemas.openxmlformats.org/drawingml/2006/main">
                  <a:graphicData uri="http://schemas.microsoft.com/office/word/2010/wordprocessingShape">
                    <wps:wsp>
                      <wps:cNvSpPr txBox="1"/>
                      <wps:spPr>
                        <a:xfrm>
                          <a:ext cx="960120" cy="1341120"/>
                        </a:xfrm>
                        <a:prstGeom prst="rect"/>
                        <a:noFill/>
                      </wps:spPr>
                      <wps:txbx>
                        <w:txbxContent>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对外行业生态赋能</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＞仪器仪表</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＞智能家居</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A</w:t>
                            </w:r>
                            <w:r>
                              <w:rPr>
                                <w:color w:val="596894"/>
                                <w:spacing w:val="0"/>
                                <w:w w:val="100"/>
                                <w:position w:val="0"/>
                              </w:rPr>
                              <w:t>智慧城市</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＞智慧工厂</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＞智慧园区</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＞健康养老</w:t>
                            </w:r>
                          </w:p>
                        </w:txbxContent>
                      </wps:txbx>
                      <wps:bodyPr lIns="0" tIns="0" rIns="0" bIns="0">
                        <a:noAutoFit/>
                      </wps:bodyPr>
                    </wps:wsp>
                  </a:graphicData>
                </a:graphic>
              </wp:anchor>
            </w:drawing>
          </mc:Choice>
          <mc:Fallback>
            <w:pict>
              <v:shape id="_x0000_s1206" type="#_x0000_t202" style="position:absolute;margin-left:102.40000000000001pt;margin-top:53.75pt;width:75.600000000000009pt;height:105.60000000000001pt;z-index:-125829305;mso-wrap-distance-left:9.pt;mso-wrap-distance-top:8.4499999999999993pt;mso-wrap-distance-right:333.94999999999999pt;mso-wrap-distance-bottom:80.400000000000006pt;mso-position-horizontal-relative:page" filled="f" stroked="f">
                <v:textbox inset="0,0,0,0">
                  <w:txbxContent>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对外行业生态赋能</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＞仪器仪表</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＞智能家居</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A</w:t>
                      </w:r>
                      <w:r>
                        <w:rPr>
                          <w:color w:val="596894"/>
                          <w:spacing w:val="0"/>
                          <w:w w:val="100"/>
                          <w:position w:val="0"/>
                        </w:rPr>
                        <w:t>智慧城市</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＞智慧工厂</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＞智慧园区</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＞健康养老</w:t>
                      </w:r>
                    </w:p>
                  </w:txbxContent>
                </v:textbox>
                <w10:wrap type="topAndBottom" anchorx="page"/>
              </v:shape>
            </w:pict>
          </mc:Fallback>
        </mc:AlternateContent>
      </w:r>
      <w:r>
        <w:drawing>
          <wp:anchor distT="171450" distB="1673225" distL="2214245" distR="2360930" simplePos="0" relativeHeight="125829450" behindDoc="0" locked="0" layoutInCell="1" allowOverlap="1">
            <wp:simplePos x="0" y="0"/>
            <wp:positionH relativeFrom="page">
              <wp:posOffset>3400425</wp:posOffset>
            </wp:positionH>
            <wp:positionV relativeFrom="paragraph">
              <wp:posOffset>746760</wp:posOffset>
            </wp:positionV>
            <wp:extent cx="743585" cy="628015"/>
            <wp:wrapTopAndBottom/>
            <wp:docPr id="182" name="Shape 182"/>
            <a:graphic xmlns:a="http://schemas.openxmlformats.org/drawingml/2006/main">
              <a:graphicData uri="http://schemas.openxmlformats.org/drawingml/2006/picture">
                <pic:pic xmlns:pic="http://schemas.openxmlformats.org/drawingml/2006/picture">
                  <pic:nvPicPr>
                    <pic:cNvPr id="183" name="Picture box 183"/>
                    <pic:cNvPicPr/>
                  </pic:nvPicPr>
                  <pic:blipFill>
                    <a:blip r:embed="rId65"/>
                    <a:stretch/>
                  </pic:blipFill>
                  <pic:spPr>
                    <a:xfrm>
                      <a:ext cx="743585" cy="628015"/>
                    </a:xfrm>
                    <a:prstGeom prst="rect"/>
                  </pic:spPr>
                </pic:pic>
              </a:graphicData>
            </a:graphic>
          </wp:anchor>
        </w:drawing>
      </w:r>
      <w:r>
        <mc:AlternateContent>
          <mc:Choice Requires="wps">
            <w:drawing>
              <wp:anchor distT="0" distB="0" distL="0" distR="0" simplePos="0" relativeHeight="503316548" behindDoc="0" locked="0" layoutInCell="1" allowOverlap="1">
                <wp:simplePos x="0" y="0"/>
                <wp:positionH relativeFrom="page">
                  <wp:posOffset>3446145</wp:posOffset>
                </wp:positionH>
                <wp:positionV relativeFrom="paragraph">
                  <wp:posOffset>1591310</wp:posOffset>
                </wp:positionV>
                <wp:extent cx="655320" cy="94615"/>
                <wp:wrapNone/>
                <wp:docPr id="184" name="Shape 184"/>
                <a:graphic xmlns:a="http://schemas.openxmlformats.org/drawingml/2006/main">
                  <a:graphicData uri="http://schemas.microsoft.com/office/word/2010/wordprocessingShape">
                    <wps:wsp>
                      <wps:cNvSpPr txBox="1"/>
                      <wps:spPr>
                        <a:xfrm>
                          <a:ext cx="655320" cy="9461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93A0B2"/>
                                <w:spacing w:val="0"/>
                                <w:w w:val="100"/>
                                <w:position w:val="0"/>
                                <w:sz w:val="10"/>
                                <w:szCs w:val="10"/>
                              </w:rPr>
                              <w:t>XIANGYUNWUUAN</w:t>
                            </w:r>
                          </w:p>
                        </w:txbxContent>
                      </wps:txbx>
                      <wps:bodyPr lIns="0" tIns="0" rIns="0" bIns="0">
                        <a:noAutoFit/>
                      </wps:bodyPr>
                    </wps:wsp>
                  </a:graphicData>
                </a:graphic>
              </wp:anchor>
            </w:drawing>
          </mc:Choice>
          <mc:Fallback>
            <w:pict>
              <v:shape id="_x0000_s1210" type="#_x0000_t202" style="position:absolute;margin-left:271.35000000000002pt;margin-top:125.3pt;width:51.600000000000001pt;height:7.4500000000000002pt;z-index:251657795;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93A0B2"/>
                          <w:spacing w:val="0"/>
                          <w:w w:val="100"/>
                          <w:position w:val="0"/>
                          <w:sz w:val="10"/>
                          <w:szCs w:val="10"/>
                        </w:rPr>
                        <w:t>XIANGYUNWUUAN</w:t>
                      </w:r>
                    </w:p>
                  </w:txbxContent>
                </v:textbox>
                <w10:wrap anchorx="page"/>
              </v:shape>
            </w:pict>
          </mc:Fallback>
        </mc:AlternateContent>
      </w:r>
      <w:r>
        <mc:AlternateContent>
          <mc:Choice Requires="wps">
            <w:drawing>
              <wp:anchor distT="1423670" distB="363220" distL="1729740" distR="1824355" simplePos="0" relativeHeight="125829451" behindDoc="0" locked="0" layoutInCell="1" allowOverlap="1">
                <wp:simplePos x="0" y="0"/>
                <wp:positionH relativeFrom="page">
                  <wp:posOffset>2915920</wp:posOffset>
                </wp:positionH>
                <wp:positionV relativeFrom="paragraph">
                  <wp:posOffset>1998980</wp:posOffset>
                </wp:positionV>
                <wp:extent cx="1761490" cy="682625"/>
                <wp:wrapTopAndBottom/>
                <wp:docPr id="186" name="Shape 186"/>
                <a:graphic xmlns:a="http://schemas.openxmlformats.org/drawingml/2006/main">
                  <a:graphicData uri="http://schemas.microsoft.com/office/word/2010/wordprocessingShape">
                    <wps:wsp>
                      <wps:cNvSpPr txBox="1"/>
                      <wps:spPr>
                        <a:xfrm>
                          <a:ext cx="1761490" cy="682625"/>
                        </a:xfrm>
                        <a:prstGeom prst="rect"/>
                        <a:noFill/>
                      </wps:spPr>
                      <wps:txbx>
                        <w:txbxContent>
                          <w:p>
                            <w:pPr>
                              <w:pStyle w:val="Style172"/>
                              <w:keepNext w:val="0"/>
                              <w:keepLines w:val="0"/>
                              <w:widowControl w:val="0"/>
                              <w:shd w:val="clear" w:color="auto" w:fill="auto"/>
                              <w:bidi w:val="0"/>
                              <w:spacing w:before="0" w:after="80" w:line="240" w:lineRule="auto"/>
                              <w:ind w:left="0" w:right="0" w:firstLine="0"/>
                              <w:jc w:val="left"/>
                            </w:pPr>
                            <w:r>
                              <w:rPr>
                                <w:spacing w:val="0"/>
                                <w:w w:val="100"/>
                                <w:position w:val="0"/>
                              </w:rPr>
                              <w:t>物联网技术/应用平台</w:t>
                            </w:r>
                          </w:p>
                          <w:p>
                            <w:pPr>
                              <w:pStyle w:val="Style2"/>
                              <w:keepNext w:val="0"/>
                              <w:keepLines w:val="0"/>
                              <w:widowControl w:val="0"/>
                              <w:shd w:val="clear" w:color="auto" w:fill="auto"/>
                              <w:bidi w:val="0"/>
                              <w:spacing w:before="0" w:after="80" w:line="240" w:lineRule="auto"/>
                              <w:ind w:left="0" w:right="0" w:firstLine="0"/>
                              <w:jc w:val="left"/>
                              <w:rPr>
                                <w:sz w:val="30"/>
                                <w:szCs w:val="30"/>
                              </w:rPr>
                            </w:pPr>
                            <w:r>
                              <w:rPr>
                                <w:color w:val="6C7D90"/>
                                <w:spacing w:val="0"/>
                                <w:w w:val="100"/>
                                <w:position w:val="0"/>
                                <w:sz w:val="18"/>
                                <w:szCs w:val="18"/>
                              </w:rPr>
                              <w:t xml:space="preserve">右 </w:t>
                            </w:r>
                            <w:r>
                              <w:rPr>
                                <w:rFonts w:ascii="Arial" w:eastAsia="Arial" w:hAnsi="Arial" w:cs="Arial"/>
                                <w:color w:val="6C7D90"/>
                                <w:spacing w:val="0"/>
                                <w:w w:val="100"/>
                                <w:position w:val="0"/>
                                <w:sz w:val="30"/>
                                <w:szCs w:val="30"/>
                              </w:rPr>
                              <w:t>O O</w:t>
                            </w:r>
                          </w:p>
                          <w:p>
                            <w:pPr>
                              <w:pStyle w:val="Style24"/>
                              <w:keepNext w:val="0"/>
                              <w:keepLines w:val="0"/>
                              <w:widowControl w:val="0"/>
                              <w:shd w:val="clear" w:color="auto" w:fill="auto"/>
                              <w:bidi w:val="0"/>
                              <w:spacing w:before="0" w:after="80" w:line="240" w:lineRule="auto"/>
                              <w:ind w:left="0" w:right="0" w:firstLine="0"/>
                              <w:jc w:val="left"/>
                            </w:pPr>
                            <w:r>
                              <w:rPr>
                                <w:color w:val="596894"/>
                                <w:spacing w:val="0"/>
                                <w:w w:val="100"/>
                                <w:position w:val="0"/>
                              </w:rPr>
                              <w:t>架构软件</w:t>
                            </w:r>
                            <w:r>
                              <w:rPr>
                                <w:rFonts w:ascii="Times New Roman" w:eastAsia="Times New Roman" w:hAnsi="Times New Roman" w:cs="Times New Roman"/>
                                <w:color w:val="596894"/>
                                <w:spacing w:val="0"/>
                                <w:w w:val="100"/>
                                <w:position w:val="0"/>
                              </w:rPr>
                              <w:t>CIM</w:t>
                            </w:r>
                            <w:r>
                              <w:rPr>
                                <w:color w:val="596894"/>
                                <w:spacing w:val="0"/>
                                <w:w w:val="100"/>
                                <w:position w:val="0"/>
                              </w:rPr>
                              <w:t>算法大数据</w:t>
                            </w:r>
                          </w:p>
                        </w:txbxContent>
                      </wps:txbx>
                      <wps:bodyPr lIns="0" tIns="0" rIns="0" bIns="0">
                        <a:noAutoFit/>
                      </wps:bodyPr>
                    </wps:wsp>
                  </a:graphicData>
                </a:graphic>
              </wp:anchor>
            </w:drawing>
          </mc:Choice>
          <mc:Fallback>
            <w:pict>
              <v:shape id="_x0000_s1212" type="#_x0000_t202" style="position:absolute;margin-left:229.59999999999999pt;margin-top:157.40000000000001pt;width:138.70000000000002pt;height:53.75pt;z-index:-125829302;mso-wrap-distance-left:136.19999999999999pt;mso-wrap-distance-top:112.10000000000001pt;mso-wrap-distance-right:143.65000000000001pt;mso-wrap-distance-bottom:28.600000000000001pt;mso-position-horizontal-relative:page" filled="f" stroked="f">
                <v:textbox inset="0,0,0,0">
                  <w:txbxContent>
                    <w:p>
                      <w:pPr>
                        <w:pStyle w:val="Style172"/>
                        <w:keepNext w:val="0"/>
                        <w:keepLines w:val="0"/>
                        <w:widowControl w:val="0"/>
                        <w:shd w:val="clear" w:color="auto" w:fill="auto"/>
                        <w:bidi w:val="0"/>
                        <w:spacing w:before="0" w:after="80" w:line="240" w:lineRule="auto"/>
                        <w:ind w:left="0" w:right="0" w:firstLine="0"/>
                        <w:jc w:val="left"/>
                      </w:pPr>
                      <w:r>
                        <w:rPr>
                          <w:spacing w:val="0"/>
                          <w:w w:val="100"/>
                          <w:position w:val="0"/>
                        </w:rPr>
                        <w:t>物联网技术/应用平台</w:t>
                      </w:r>
                    </w:p>
                    <w:p>
                      <w:pPr>
                        <w:pStyle w:val="Style2"/>
                        <w:keepNext w:val="0"/>
                        <w:keepLines w:val="0"/>
                        <w:widowControl w:val="0"/>
                        <w:shd w:val="clear" w:color="auto" w:fill="auto"/>
                        <w:bidi w:val="0"/>
                        <w:spacing w:before="0" w:after="80" w:line="240" w:lineRule="auto"/>
                        <w:ind w:left="0" w:right="0" w:firstLine="0"/>
                        <w:jc w:val="left"/>
                        <w:rPr>
                          <w:sz w:val="30"/>
                          <w:szCs w:val="30"/>
                        </w:rPr>
                      </w:pPr>
                      <w:r>
                        <w:rPr>
                          <w:color w:val="6C7D90"/>
                          <w:spacing w:val="0"/>
                          <w:w w:val="100"/>
                          <w:position w:val="0"/>
                          <w:sz w:val="18"/>
                          <w:szCs w:val="18"/>
                        </w:rPr>
                        <w:t xml:space="preserve">右 </w:t>
                      </w:r>
                      <w:r>
                        <w:rPr>
                          <w:rFonts w:ascii="Arial" w:eastAsia="Arial" w:hAnsi="Arial" w:cs="Arial"/>
                          <w:color w:val="6C7D90"/>
                          <w:spacing w:val="0"/>
                          <w:w w:val="100"/>
                          <w:position w:val="0"/>
                          <w:sz w:val="30"/>
                          <w:szCs w:val="30"/>
                        </w:rPr>
                        <w:t>O O</w:t>
                      </w:r>
                    </w:p>
                    <w:p>
                      <w:pPr>
                        <w:pStyle w:val="Style24"/>
                        <w:keepNext w:val="0"/>
                        <w:keepLines w:val="0"/>
                        <w:widowControl w:val="0"/>
                        <w:shd w:val="clear" w:color="auto" w:fill="auto"/>
                        <w:bidi w:val="0"/>
                        <w:spacing w:before="0" w:after="80" w:line="240" w:lineRule="auto"/>
                        <w:ind w:left="0" w:right="0" w:firstLine="0"/>
                        <w:jc w:val="left"/>
                      </w:pPr>
                      <w:r>
                        <w:rPr>
                          <w:color w:val="596894"/>
                          <w:spacing w:val="0"/>
                          <w:w w:val="100"/>
                          <w:position w:val="0"/>
                        </w:rPr>
                        <w:t>架构软件</w:t>
                      </w:r>
                      <w:r>
                        <w:rPr>
                          <w:rFonts w:ascii="Times New Roman" w:eastAsia="Times New Roman" w:hAnsi="Times New Roman" w:cs="Times New Roman"/>
                          <w:color w:val="596894"/>
                          <w:spacing w:val="0"/>
                          <w:w w:val="100"/>
                          <w:position w:val="0"/>
                        </w:rPr>
                        <w:t>CIM</w:t>
                      </w:r>
                      <w:r>
                        <w:rPr>
                          <w:color w:val="596894"/>
                          <w:spacing w:val="0"/>
                          <w:w w:val="100"/>
                          <w:position w:val="0"/>
                        </w:rPr>
                        <w:t>算法大数据</w:t>
                      </w:r>
                    </w:p>
                  </w:txbxContent>
                </v:textbox>
                <w10:wrap type="topAndBottom" anchorx="page"/>
              </v:shape>
            </w:pict>
          </mc:Fallback>
        </mc:AlternateContent>
      </w:r>
      <w:r>
        <mc:AlternateContent>
          <mc:Choice Requires="wps">
            <w:drawing>
              <wp:anchor distT="88900" distB="847725" distL="4241165" distR="114300" simplePos="0" relativeHeight="125829453" behindDoc="0" locked="0" layoutInCell="1" allowOverlap="1">
                <wp:simplePos x="0" y="0"/>
                <wp:positionH relativeFrom="page">
                  <wp:posOffset>5427345</wp:posOffset>
                </wp:positionH>
                <wp:positionV relativeFrom="paragraph">
                  <wp:posOffset>664210</wp:posOffset>
                </wp:positionV>
                <wp:extent cx="960120" cy="1532890"/>
                <wp:wrapTopAndBottom/>
                <wp:docPr id="188" name="Shape 188"/>
                <a:graphic xmlns:a="http://schemas.openxmlformats.org/drawingml/2006/main">
                  <a:graphicData uri="http://schemas.microsoft.com/office/word/2010/wordprocessingShape">
                    <wps:wsp>
                      <wps:cNvSpPr txBox="1"/>
                      <wps:spPr>
                        <a:xfrm>
                          <a:ext cx="960120" cy="1532890"/>
                        </a:xfrm>
                        <a:prstGeom prst="rect"/>
                        <a:noFill/>
                      </wps:spPr>
                      <wps:txbx>
                        <w:txbxContent>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垂直行业解决方案</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＞智慧安全</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＞智慧燃气</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＞智慧水务</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＞智慧环保</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＞智慧消防</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＞智慧市政</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＞城市生命线</w:t>
                            </w:r>
                          </w:p>
                        </w:txbxContent>
                      </wps:txbx>
                      <wps:bodyPr lIns="0" tIns="0" rIns="0" bIns="0">
                        <a:noAutoFit/>
                      </wps:bodyPr>
                    </wps:wsp>
                  </a:graphicData>
                </a:graphic>
              </wp:anchor>
            </w:drawing>
          </mc:Choice>
          <mc:Fallback>
            <w:pict>
              <v:shape id="_x0000_s1214" type="#_x0000_t202" style="position:absolute;margin-left:427.35000000000002pt;margin-top:52.300000000000004pt;width:75.600000000000009pt;height:120.7pt;z-index:-125829300;mso-wrap-distance-left:333.94999999999999pt;mso-wrap-distance-top:7.pt;mso-wrap-distance-right:9.pt;mso-wrap-distance-bottom:66.75pt;mso-position-horizontal-relative:page" filled="f" stroked="f">
                <v:textbox inset="0,0,0,0">
                  <w:txbxContent>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垂直行业解决方案</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＞智慧安全</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＞智慧燃气</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＞智慧水务</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＞智慧环保</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＞智慧消防</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＞智慧市政</w:t>
                      </w:r>
                    </w:p>
                    <w:p>
                      <w:pPr>
                        <w:pStyle w:val="Style24"/>
                        <w:keepNext w:val="0"/>
                        <w:keepLines w:val="0"/>
                        <w:widowControl w:val="0"/>
                        <w:shd w:val="clear" w:color="auto" w:fill="auto"/>
                        <w:bidi w:val="0"/>
                        <w:spacing w:before="0" w:after="100" w:line="240" w:lineRule="auto"/>
                        <w:ind w:left="0" w:right="0" w:firstLine="0"/>
                        <w:jc w:val="left"/>
                      </w:pPr>
                      <w:r>
                        <w:rPr>
                          <w:color w:val="596894"/>
                          <w:spacing w:val="0"/>
                          <w:w w:val="100"/>
                          <w:position w:val="0"/>
                        </w:rPr>
                        <w:t>＞城市生命线</w:t>
                      </w:r>
                    </w:p>
                  </w:txbxContent>
                </v:textbox>
                <w10:wrap type="topAndBottom" anchorx="page"/>
              </v:shape>
            </w:pict>
          </mc:Fallback>
        </mc:AlternateContent>
      </w:r>
      <w:r>
        <mc:AlternateContent>
          <mc:Choice Requires="wps">
            <w:drawing>
              <wp:anchor distT="2313940" distB="0" distL="492125" distR="3451860" simplePos="0" relativeHeight="125829455" behindDoc="0" locked="0" layoutInCell="1" allowOverlap="1">
                <wp:simplePos x="0" y="0"/>
                <wp:positionH relativeFrom="page">
                  <wp:posOffset>1678305</wp:posOffset>
                </wp:positionH>
                <wp:positionV relativeFrom="paragraph">
                  <wp:posOffset>2889250</wp:posOffset>
                </wp:positionV>
                <wp:extent cx="1371600" cy="155575"/>
                <wp:wrapTopAndBottom/>
                <wp:docPr id="190" name="Shape 190"/>
                <a:graphic xmlns:a="http://schemas.openxmlformats.org/drawingml/2006/main">
                  <a:graphicData uri="http://schemas.microsoft.com/office/word/2010/wordprocessingShape">
                    <wps:wsp>
                      <wps:cNvSpPr txBox="1"/>
                      <wps:spPr>
                        <a:xfrm>
                          <a:ext cx="1371600" cy="1555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596894"/>
                                <w:spacing w:val="0"/>
                                <w:w w:val="100"/>
                                <w:position w:val="0"/>
                              </w:rPr>
                              <w:t>传感器/仪表硬件支撑优势</w:t>
                            </w:r>
                          </w:p>
                        </w:txbxContent>
                      </wps:txbx>
                      <wps:bodyPr wrap="none" lIns="0" tIns="0" rIns="0" bIns="0">
                        <a:noAutoFit/>
                      </wps:bodyPr>
                    </wps:wsp>
                  </a:graphicData>
                </a:graphic>
              </wp:anchor>
            </w:drawing>
          </mc:Choice>
          <mc:Fallback>
            <w:pict>
              <v:shape id="_x0000_s1216" type="#_x0000_t202" style="position:absolute;margin-left:132.15000000000001pt;margin-top:227.5pt;width:108.pt;height:12.25pt;z-index:-125829298;mso-wrap-distance-left:38.75pt;mso-wrap-distance-top:182.20000000000002pt;mso-wrap-distance-right:271.80000000000001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596894"/>
                          <w:spacing w:val="0"/>
                          <w:w w:val="100"/>
                          <w:position w:val="0"/>
                        </w:rPr>
                        <w:t>传感器/仪表硬件支撑优势</w:t>
                      </w:r>
                    </w:p>
                  </w:txbxContent>
                </v:textbox>
                <w10:wrap type="topAndBottom" anchorx="page"/>
              </v:shape>
            </w:pict>
          </mc:Fallback>
        </mc:AlternateContent>
      </w:r>
      <w:r>
        <w:drawing>
          <wp:anchor distT="2185670" distB="9525" distL="2107565" distR="2955290" simplePos="0" relativeHeight="125829457" behindDoc="0" locked="0" layoutInCell="1" allowOverlap="1">
            <wp:simplePos x="0" y="0"/>
            <wp:positionH relativeFrom="page">
              <wp:posOffset>3293745</wp:posOffset>
            </wp:positionH>
            <wp:positionV relativeFrom="paragraph">
              <wp:posOffset>2760980</wp:posOffset>
            </wp:positionV>
            <wp:extent cx="255905" cy="274320"/>
            <wp:wrapTopAndBottom/>
            <wp:docPr id="192" name="Shape 192"/>
            <a:graphic xmlns:a="http://schemas.openxmlformats.org/drawingml/2006/main">
              <a:graphicData uri="http://schemas.openxmlformats.org/drawingml/2006/picture">
                <pic:pic xmlns:pic="http://schemas.openxmlformats.org/drawingml/2006/picture">
                  <pic:nvPicPr>
                    <pic:cNvPr id="193" name="Picture box 193"/>
                    <pic:cNvPicPr/>
                  </pic:nvPicPr>
                  <pic:blipFill>
                    <a:blip r:embed="rId67"/>
                    <a:stretch/>
                  </pic:blipFill>
                  <pic:spPr>
                    <a:xfrm>
                      <a:ext cx="255905" cy="274320"/>
                    </a:xfrm>
                    <a:prstGeom prst="rect"/>
                  </pic:spPr>
                </pic:pic>
              </a:graphicData>
            </a:graphic>
          </wp:anchor>
        </w:drawing>
      </w:r>
      <w:r>
        <mc:AlternateContent>
          <mc:Choice Requires="wps">
            <w:drawing>
              <wp:anchor distT="2310765" distB="12700" distL="3226435" distR="1003935" simplePos="0" relativeHeight="125829458" behindDoc="0" locked="0" layoutInCell="1" allowOverlap="1">
                <wp:simplePos x="0" y="0"/>
                <wp:positionH relativeFrom="page">
                  <wp:posOffset>4412615</wp:posOffset>
                </wp:positionH>
                <wp:positionV relativeFrom="paragraph">
                  <wp:posOffset>2886075</wp:posOffset>
                </wp:positionV>
                <wp:extent cx="1085215" cy="146050"/>
                <wp:wrapTopAndBottom/>
                <wp:docPr id="194" name="Shape 194"/>
                <a:graphic xmlns:a="http://schemas.openxmlformats.org/drawingml/2006/main">
                  <a:graphicData uri="http://schemas.microsoft.com/office/word/2010/wordprocessingShape">
                    <wps:wsp>
                      <wps:cNvSpPr txBox="1"/>
                      <wps:spPr>
                        <a:xfrm>
                          <a:ext cx="1085215"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596894"/>
                                <w:spacing w:val="0"/>
                                <w:w w:val="100"/>
                                <w:position w:val="0"/>
                              </w:rPr>
                              <w:t>深厚的行业应用经验</w:t>
                            </w:r>
                          </w:p>
                        </w:txbxContent>
                      </wps:txbx>
                      <wps:bodyPr wrap="none" lIns="0" tIns="0" rIns="0" bIns="0">
                        <a:noAutoFit/>
                      </wps:bodyPr>
                    </wps:wsp>
                  </a:graphicData>
                </a:graphic>
              </wp:anchor>
            </w:drawing>
          </mc:Choice>
          <mc:Fallback>
            <w:pict>
              <v:shape id="_x0000_s1220" type="#_x0000_t202" style="position:absolute;margin-left:347.44999999999999pt;margin-top:227.25pt;width:85.450000000000003pt;height:11.5pt;z-index:-125829295;mso-wrap-distance-left:254.05000000000001pt;mso-wrap-distance-top:181.95000000000002pt;mso-wrap-distance-right:79.049999999999997pt;mso-wrap-distance-bottom:1.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596894"/>
                          <w:spacing w:val="0"/>
                          <w:w w:val="100"/>
                          <w:position w:val="0"/>
                        </w:rPr>
                        <w:t>深厚的行业应用经验</w:t>
                      </w:r>
                    </w:p>
                  </w:txbxContent>
                </v:textbox>
                <w10:wrap type="topAndBottom" anchorx="page"/>
              </v:shape>
            </w:pict>
          </mc:Fallback>
        </mc:AlternateContent>
      </w:r>
    </w:p>
    <w:p>
      <w:pPr>
        <w:pStyle w:val="Style24"/>
        <w:keepNext w:val="0"/>
        <w:keepLines w:val="0"/>
        <w:widowControl w:val="0"/>
        <w:shd w:val="clear" w:color="auto" w:fill="auto"/>
        <w:bidi w:val="0"/>
        <w:spacing w:before="0" w:after="0" w:line="240" w:lineRule="auto"/>
        <w:ind w:left="4900" w:right="0" w:firstLine="0"/>
        <w:jc w:val="left"/>
      </w:pPr>
      <w:r>
        <w:rPr>
          <w:color w:val="E02027"/>
          <w:spacing w:val="0"/>
          <w:w w:val="100"/>
          <w:position w:val="0"/>
        </w:rPr>
        <w:t>A</w:t>
      </w:r>
      <w:r>
        <w:rPr>
          <w:color w:val="DC4858"/>
          <w:spacing w:val="0"/>
          <w:w w:val="100"/>
          <w:position w:val="0"/>
        </w:rPr>
        <w:t>物联网技术关键节点自主、高度耦合可靠</w:t>
      </w:r>
    </w:p>
    <w:p>
      <w:pPr>
        <w:pStyle w:val="Style24"/>
        <w:keepNext w:val="0"/>
        <w:keepLines w:val="0"/>
        <w:widowControl w:val="0"/>
        <w:shd w:val="clear" w:color="auto" w:fill="auto"/>
        <w:bidi w:val="0"/>
        <w:spacing w:before="0" w:after="0" w:line="240" w:lineRule="auto"/>
        <w:ind w:left="4900" w:right="0" w:firstLine="0"/>
        <w:jc w:val="left"/>
        <w:sectPr>
          <w:footnotePr>
            <w:pos w:val="pageBottom"/>
            <w:numFmt w:val="decimal"/>
            <w:numRestart w:val="continuous"/>
          </w:footnotePr>
          <w:pgSz w:w="11900" w:h="16840"/>
          <w:pgMar w:top="1570" w:right="1088" w:bottom="1671" w:left="1136" w:header="0" w:footer="3" w:gutter="0"/>
          <w:cols w:space="720"/>
          <w:noEndnote/>
          <w:rtlGutter w:val="0"/>
          <w:docGrid w:linePitch="360"/>
        </w:sectPr>
      </w:pPr>
      <w:r>
        <w:rPr>
          <w:color w:val="E02027"/>
          <w:spacing w:val="0"/>
          <w:w w:val="100"/>
          <w:position w:val="0"/>
        </w:rPr>
        <w:t>＞</w:t>
      </w:r>
      <w:r>
        <w:rPr>
          <w:color w:val="DC4858"/>
          <w:spacing w:val="0"/>
          <w:w w:val="100"/>
          <w:position w:val="0"/>
        </w:rPr>
        <w:t>行业经验丰富</w:t>
      </w:r>
    </w:p>
    <w:p>
      <w:pPr>
        <w:widowControl w:val="0"/>
        <w:spacing w:line="109" w:lineRule="exact"/>
        <w:rPr>
          <w:sz w:val="9"/>
          <w:szCs w:val="9"/>
        </w:rPr>
      </w:pPr>
    </w:p>
    <w:p>
      <w:pPr>
        <w:widowControl w:val="0"/>
        <w:spacing w:line="1" w:lineRule="exact"/>
        <w:sectPr>
          <w:footnotePr>
            <w:pos w:val="pageBottom"/>
            <w:numFmt w:val="decimal"/>
            <w:numRestart w:val="continuous"/>
          </w:footnotePr>
          <w:type w:val="continuous"/>
          <w:pgSz w:w="11900" w:h="16840"/>
          <w:pgMar w:top="1302" w:right="0" w:bottom="1446" w:left="0" w:header="0" w:footer="3" w:gutter="0"/>
          <w:cols w:space="720"/>
          <w:noEndnote/>
          <w:rtlGutter w:val="0"/>
          <w:docGrid w:linePitch="360"/>
        </w:sectPr>
      </w:pP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整体来看，公司基于传感器核心技术优势赋能仪表产品不断升级迭代，提高市场竞争力；仪表产品能 够发挥传感器创新优势，提高产品毛利率，同时也能产生数据上传到物联网平台。仪表和物联网的发展又 能够滋养传感器，助力传感器产品的研发；物联网平台也能和仪表相互助力，通过物联网平台在客户的布 局，仪表进入客户也更加容易。传感器、智能仪表、物联网行业应用，三者之间形成强耦合关系，彼此互 相赋能，从而打造形成了公司完整的物联网产业生态圈及核心技术平台硬实力。</w:t>
      </w:r>
    </w:p>
    <w:p>
      <w:pPr>
        <w:pStyle w:val="Style10"/>
        <w:keepNext w:val="0"/>
        <w:keepLines w:val="0"/>
        <w:widowControl w:val="0"/>
        <w:shd w:val="clear" w:color="auto" w:fill="auto"/>
        <w:bidi w:val="0"/>
        <w:spacing w:before="0" w:after="0" w:line="468" w:lineRule="exact"/>
        <w:ind w:left="0" w:right="0" w:firstLine="440"/>
        <w:jc w:val="both"/>
      </w:pPr>
      <w:bookmarkStart w:id="109" w:name="bookmark109"/>
      <w:r>
        <w:rPr>
          <w:b/>
          <w:bCs/>
          <w:color w:val="000000"/>
          <w:spacing w:val="0"/>
          <w:w w:val="100"/>
          <w:position w:val="0"/>
        </w:rPr>
        <w:t>（</w:t>
      </w:r>
      <w:bookmarkEnd w:id="109"/>
      <w:r>
        <w:rPr>
          <w:b/>
          <w:bCs/>
          <w:color w:val="000000"/>
          <w:spacing w:val="0"/>
          <w:w w:val="100"/>
          <w:position w:val="0"/>
        </w:rPr>
        <w:t>2）强化研发、技术储备，新产品持续投放市场</w:t>
      </w:r>
    </w:p>
    <w:p>
      <w:pPr>
        <w:pStyle w:val="Style10"/>
        <w:keepNext w:val="0"/>
        <w:keepLines w:val="0"/>
        <w:widowControl w:val="0"/>
        <w:shd w:val="clear" w:color="auto" w:fill="auto"/>
        <w:bidi w:val="0"/>
        <w:spacing w:before="0" w:after="0" w:line="468" w:lineRule="exact"/>
        <w:ind w:left="0" w:right="0" w:firstLine="440"/>
        <w:jc w:val="both"/>
      </w:pPr>
      <w:bookmarkStart w:id="110" w:name="bookmark110"/>
      <w:r>
        <w:rPr>
          <w:b/>
          <w:bCs/>
          <w:color w:val="000000"/>
          <w:spacing w:val="0"/>
          <w:w w:val="100"/>
          <w:position w:val="0"/>
        </w:rPr>
        <w:t>1</w:t>
      </w:r>
      <w:bookmarkEnd w:id="110"/>
      <w:r>
        <w:rPr>
          <w:b/>
          <w:bCs/>
          <w:color w:val="000000"/>
          <w:spacing w:val="0"/>
          <w:w w:val="100"/>
          <w:position w:val="0"/>
        </w:rPr>
        <w:t>）传感器产品</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报告期内，公司完成红外气体光热、光电探测器、数字测温传感器、线阵测温传感器的研发定型；完 成</w:t>
      </w:r>
      <w:r>
        <w:rPr>
          <w:color w:val="000000"/>
          <w:spacing w:val="0"/>
          <w:w w:val="100"/>
          <w:position w:val="0"/>
        </w:rPr>
        <w:t>MEMS</w:t>
      </w:r>
      <w:r>
        <w:rPr>
          <w:color w:val="000000"/>
          <w:spacing w:val="0"/>
          <w:w w:val="100"/>
          <w:position w:val="0"/>
        </w:rPr>
        <w:t>温湿度传感器自主设计、流片、封装测试小批工作，产品性能达到国内先进水平；完善</w:t>
      </w:r>
      <w:r>
        <w:rPr>
          <w:color w:val="000000"/>
          <w:spacing w:val="0"/>
          <w:w w:val="100"/>
          <w:position w:val="0"/>
        </w:rPr>
        <w:t>MEMS</w:t>
      </w:r>
      <w:r>
        <w:rPr>
          <w:color w:val="000000"/>
          <w:spacing w:val="0"/>
          <w:w w:val="100"/>
          <w:position w:val="0"/>
        </w:rPr>
        <w:t>催化传 感器工艺，产品性能达到设计要求；优化电化学传感器设计，实现传感器的性能升级，电化学一氧化碳传 感器达到</w:t>
      </w:r>
      <w:r>
        <w:rPr>
          <w:color w:val="000000"/>
          <w:spacing w:val="0"/>
          <w:w w:val="100"/>
          <w:position w:val="0"/>
        </w:rPr>
        <w:t>EN</w:t>
      </w:r>
      <w:r>
        <w:rPr>
          <w:color w:val="000000"/>
          <w:spacing w:val="0"/>
          <w:w w:val="100"/>
          <w:position w:val="0"/>
        </w:rPr>
        <w:t>性能要求，完成工业氧气和无铅氧气的开发。</w:t>
      </w:r>
      <w:r>
        <w:rPr>
          <w:color w:val="000000"/>
          <w:spacing w:val="0"/>
          <w:w w:val="100"/>
          <w:position w:val="0"/>
        </w:rPr>
        <w:t>MEMS</w:t>
      </w:r>
      <w:r>
        <w:rPr>
          <w:color w:val="000000"/>
          <w:spacing w:val="0"/>
          <w:w w:val="100"/>
          <w:position w:val="0"/>
        </w:rPr>
        <w:t>燃气传感器性能得到明显提升并通过新国标 认证；</w:t>
      </w:r>
      <w:r>
        <w:rPr>
          <w:color w:val="000000"/>
          <w:spacing w:val="0"/>
          <w:w w:val="100"/>
          <w:position w:val="0"/>
        </w:rPr>
        <w:t>MEMS</w:t>
      </w:r>
      <w:r>
        <w:rPr>
          <w:color w:val="000000"/>
          <w:spacing w:val="0"/>
          <w:w w:val="100"/>
          <w:position w:val="0"/>
        </w:rPr>
        <w:t>结构催化甲烷、氢气传感器产品开发完成，</w:t>
      </w:r>
      <w:r>
        <w:rPr>
          <w:color w:val="000000"/>
          <w:spacing w:val="0"/>
          <w:w w:val="100"/>
          <w:position w:val="0"/>
        </w:rPr>
        <w:t>4R-PID</w:t>
      </w:r>
      <w:r>
        <w:rPr>
          <w:color w:val="000000"/>
          <w:spacing w:val="0"/>
          <w:w w:val="100"/>
          <w:position w:val="0"/>
        </w:rPr>
        <w:t>传感器和</w:t>
      </w:r>
      <w:r>
        <w:rPr>
          <w:color w:val="000000"/>
          <w:spacing w:val="0"/>
          <w:w w:val="100"/>
          <w:position w:val="0"/>
        </w:rPr>
        <w:t>4R-NDIR</w:t>
      </w:r>
      <w:r>
        <w:rPr>
          <w:color w:val="000000"/>
          <w:spacing w:val="0"/>
          <w:w w:val="100"/>
          <w:position w:val="0"/>
        </w:rPr>
        <w:t>超低功耗红外传感器相继 完成研发，进一步丰富了传感器产品体系。</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报告期内，公司在红外气体传感器完成产品升级，从传感器腔体镀膜工艺完善、关键元器件气体热电 堆探测器自研自产到自动化生产能力的提升，传感器在性能得到较大提升的同时，产品成本也得到了有较 控制。粉尘传感器在民用</w:t>
      </w:r>
      <w:r>
        <w:rPr>
          <w:color w:val="000000"/>
          <w:spacing w:val="0"/>
          <w:w w:val="100"/>
          <w:position w:val="0"/>
        </w:rPr>
        <w:t>PM10</w:t>
      </w:r>
      <w:r>
        <w:rPr>
          <w:color w:val="000000"/>
          <w:spacing w:val="0"/>
          <w:w w:val="100"/>
          <w:position w:val="0"/>
        </w:rPr>
        <w:t>检测、工业环境检测、车载环境检测等领域完善了产品的布局。红外类传感 器针对工业应用领域的酒精、制冷剂等进行了产品线扩充；粉尘和红外类气体传感器完成了海尔、海信、 美的、松下等家电企业的定制开发；汽车领域，继续优化车载</w:t>
      </w:r>
      <w:r>
        <w:rPr>
          <w:color w:val="000000"/>
          <w:spacing w:val="0"/>
          <w:w w:val="100"/>
          <w:position w:val="0"/>
        </w:rPr>
        <w:t>MEMS</w:t>
      </w:r>
      <w:r>
        <w:rPr>
          <w:color w:val="000000"/>
          <w:spacing w:val="0"/>
          <w:w w:val="100"/>
          <w:position w:val="0"/>
        </w:rPr>
        <w:t xml:space="preserve">空气质量传感器、车载粉尘传感器、车 </w:t>
      </w:r>
      <w:r>
        <w:rPr>
          <w:color w:val="000000"/>
          <w:spacing w:val="0"/>
          <w:w w:val="100"/>
          <w:position w:val="0"/>
        </w:rPr>
        <w:t>载二氧化碳传感器、车载电池安全检测传感器、车载氢气传感器的技术性能，完成</w:t>
      </w:r>
      <w:r>
        <w:rPr>
          <w:color w:val="000000"/>
          <w:spacing w:val="0"/>
          <w:w w:val="100"/>
          <w:position w:val="0"/>
        </w:rPr>
        <w:t>IATF16949</w:t>
      </w:r>
      <w:r>
        <w:rPr>
          <w:color w:val="000000"/>
          <w:spacing w:val="0"/>
          <w:w w:val="100"/>
          <w:position w:val="0"/>
        </w:rPr>
        <w:t>质量体系认 证，并与多家主机厂进行技术洽谈，取得吉利商用车定点。</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报告期内，公司进一步完善了红外探测传感器的产品品类，完成了钽酸锂火焰探测器、钽酸锂二氧化 碳探测器以及</w:t>
      </w:r>
      <w:r>
        <w:rPr>
          <w:color w:val="000000"/>
          <w:spacing w:val="0"/>
          <w:w w:val="100"/>
          <w:position w:val="0"/>
        </w:rPr>
        <w:t>PbSe、PbS</w:t>
      </w:r>
      <w:r>
        <w:rPr>
          <w:color w:val="000000"/>
          <w:spacing w:val="0"/>
          <w:w w:val="100"/>
          <w:position w:val="0"/>
        </w:rPr>
        <w:t>光电导火焰传感器的开发，实现了人体热释电传感器、火焰及气体探测热释电传 感器、热电堆传感器以及光电导传感器等全系列红外探测传感器的产品布局，打破国外垄断，为关键器件 国产替代增添了强劲动力。</w:t>
      </w:r>
    </w:p>
    <w:p>
      <w:pPr>
        <w:pStyle w:val="Style10"/>
        <w:keepNext w:val="0"/>
        <w:keepLines w:val="0"/>
        <w:widowControl w:val="0"/>
        <w:shd w:val="clear" w:color="auto" w:fill="auto"/>
        <w:tabs>
          <w:tab w:pos="772" w:val="left"/>
        </w:tabs>
        <w:bidi w:val="0"/>
        <w:spacing w:before="0" w:after="0" w:line="469" w:lineRule="exact"/>
        <w:ind w:left="0" w:right="0" w:firstLine="440"/>
        <w:jc w:val="both"/>
      </w:pPr>
      <w:bookmarkStart w:id="111" w:name="bookmark111"/>
      <w:r>
        <w:rPr>
          <w:b/>
          <w:bCs/>
          <w:color w:val="000000"/>
          <w:spacing w:val="0"/>
          <w:w w:val="100"/>
          <w:position w:val="0"/>
        </w:rPr>
        <w:t>2</w:t>
      </w:r>
      <w:bookmarkEnd w:id="111"/>
      <w:r>
        <w:rPr>
          <w:b/>
          <w:bCs/>
          <w:color w:val="000000"/>
          <w:spacing w:val="0"/>
          <w:w w:val="100"/>
          <w:position w:val="0"/>
        </w:rPr>
        <w:t>）</w:t>
        <w:tab/>
        <w:t>仪器仪表产品</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报告期内，公司工业、家用产品线全系列安全仪表以标准更高和质量更好的设计面向新国标完成升级 换代，并取得国家相应的第三方认证证书。工业产品经过重新开发，在产品报警值误差、全量程误差、全 温度范围误差、抗干扰误差等方面全面达到甚至超越国家标准；家用燃气产品，不仅在产品的质量指标上， 还在产品的易用性、人性化的安全提示方面都进行了重新设计，让产品使用更简单，安全性更放心。</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报告期内，气体探测器系列仪表产品以气体特性为基础，以传感器为载体，以应用场景为导向，深度 研究并优化响应模型，提升性能的同时优化客户体验，最终实现可满足工业/商业/民用等应用环境的全场 景适配的系列探测器；在工业气体探测器领域，业内首家探索并成功实现在防爆结构上采用有机复合材料 以及实现提前预知产品失效分数，进而提升产品稳定性；在民用探测器领域突破多光路技术和多干扰识别 算法，实现烟气多维同步识别，达到国际领先水平。</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报告期内，公司持续优化基于激光吸收光谱</w:t>
      </w:r>
      <w:r>
        <w:rPr>
          <w:color w:val="000000"/>
          <w:spacing w:val="0"/>
          <w:w w:val="100"/>
          <w:position w:val="0"/>
        </w:rPr>
        <w:t>（TDLAS）</w:t>
      </w:r>
      <w:r>
        <w:rPr>
          <w:color w:val="000000"/>
          <w:spacing w:val="0"/>
          <w:w w:val="100"/>
          <w:position w:val="0"/>
        </w:rPr>
        <w:t>技术的激光遥测产品，手持遥测仪在检测距离 和灵敏度方面获得提升，云台遥测仪增加背景物智能识别、报警智能识别、双向实时在线等功能。持续提 升非分光红外（</w:t>
      </w:r>
      <w:r>
        <w:rPr>
          <w:color w:val="000000"/>
          <w:spacing w:val="0"/>
          <w:w w:val="100"/>
          <w:position w:val="0"/>
        </w:rPr>
        <w:t>NDIR）、</w:t>
      </w:r>
      <w:r>
        <w:rPr>
          <w:color w:val="000000"/>
          <w:spacing w:val="0"/>
          <w:w w:val="100"/>
          <w:position w:val="0"/>
        </w:rPr>
        <w:t>光散射</w:t>
      </w:r>
      <w:r>
        <w:rPr>
          <w:color w:val="000000"/>
          <w:spacing w:val="0"/>
          <w:w w:val="100"/>
          <w:position w:val="0"/>
        </w:rPr>
        <w:t>（LSD）、</w:t>
      </w:r>
      <w:r>
        <w:rPr>
          <w:color w:val="000000"/>
          <w:spacing w:val="0"/>
          <w:w w:val="100"/>
          <w:position w:val="0"/>
        </w:rPr>
        <w:t>光致电离</w:t>
      </w:r>
      <w:r>
        <w:rPr>
          <w:color w:val="000000"/>
          <w:spacing w:val="0"/>
          <w:w w:val="100"/>
          <w:position w:val="0"/>
        </w:rPr>
        <w:t>（PID）</w:t>
      </w:r>
      <w:r>
        <w:rPr>
          <w:color w:val="000000"/>
          <w:spacing w:val="0"/>
          <w:w w:val="100"/>
          <w:position w:val="0"/>
        </w:rPr>
        <w:t>产品技术指标，达到国际同类产品水平。在红外 光电技术平台上，公司双光路烟感做到行业领先的灵敏度和抗干扰、抗误报性能。公司对相关产品线进行 了扩充，实现技术到产品系列的转化，让更广泛的用户可以用到更先进的技术，达到更好、更安全的预防 火灾水平。在目前新《安全生产法》通过和社会对工作、家庭安全越来越重视的社会背景下，物联网双光 路烟感系列产品为家庭、各类商业场所的火灾预防提供了产品和技术支撑。新开发的复合光谱烟雾探测技 术取得新进展，形成了抗水汽干扰算法和迷宫及产品样机，并达到预期抗水汽误报效果。烟感项目共计输 出申请8项专利，其中发明专利2项，实用新型专利6项。</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在光学技术方面，推出国产化光学组件的遥测仪产品，通过优化光路、数据处理算法，实现检测灵敏 度的提升和外形尺寸的小型化。通过优化设计，解决红外双光源双光路探测器抗乙酸气体干扰、响应时间 和脱附时间等技术难题，通过消防认证，并批量供货。采用新型电离技术和补偿算法，解决光离子化探测 器湿度干扰的问题，提高产品的稳定性。</w:t>
      </w:r>
    </w:p>
    <w:p>
      <w:pPr>
        <w:pStyle w:val="Style10"/>
        <w:keepNext w:val="0"/>
        <w:keepLines w:val="0"/>
        <w:widowControl w:val="0"/>
        <w:shd w:val="clear" w:color="auto" w:fill="auto"/>
        <w:tabs>
          <w:tab w:pos="772" w:val="left"/>
        </w:tabs>
        <w:bidi w:val="0"/>
        <w:spacing w:before="0" w:after="0" w:line="469" w:lineRule="exact"/>
        <w:ind w:left="0" w:right="0" w:firstLine="440"/>
        <w:jc w:val="both"/>
      </w:pPr>
      <w:bookmarkStart w:id="112" w:name="bookmark112"/>
      <w:r>
        <w:rPr>
          <w:b/>
          <w:bCs/>
          <w:color w:val="000000"/>
          <w:spacing w:val="0"/>
          <w:w w:val="100"/>
          <w:position w:val="0"/>
        </w:rPr>
        <w:t>3</w:t>
      </w:r>
      <w:bookmarkEnd w:id="112"/>
      <w:r>
        <w:rPr>
          <w:b/>
          <w:bCs/>
          <w:color w:val="000000"/>
          <w:spacing w:val="0"/>
          <w:w w:val="100"/>
          <w:position w:val="0"/>
        </w:rPr>
        <w:t>）</w:t>
        <w:tab/>
        <w:t>物联网综合解决方案</w:t>
      </w:r>
    </w:p>
    <w:p>
      <w:pPr>
        <w:pStyle w:val="Style10"/>
        <w:keepNext w:val="0"/>
        <w:keepLines w:val="0"/>
        <w:widowControl w:val="0"/>
        <w:shd w:val="clear" w:color="auto" w:fill="auto"/>
        <w:bidi w:val="0"/>
        <w:spacing w:before="0" w:after="220" w:line="467" w:lineRule="exact"/>
        <w:ind w:left="0" w:right="0" w:firstLine="440"/>
        <w:jc w:val="left"/>
      </w:pPr>
      <w:r>
        <w:rPr>
          <w:color w:val="000000"/>
          <w:spacing w:val="0"/>
          <w:w w:val="100"/>
          <w:position w:val="0"/>
        </w:rPr>
        <w:t>报告期内，公司物联网数据采集产品不断丰富，无线通讯和连接技术持续升级，在原</w:t>
      </w:r>
      <w:r>
        <w:rPr>
          <w:color w:val="000000"/>
          <w:spacing w:val="0"/>
          <w:w w:val="100"/>
          <w:position w:val="0"/>
        </w:rPr>
        <w:t>NB</w:t>
      </w:r>
      <w:r>
        <w:rPr>
          <w:color w:val="000000"/>
          <w:spacing w:val="0"/>
          <w:w w:val="100"/>
          <w:position w:val="0"/>
        </w:rPr>
        <w:t>产品的基础上 推出多款低成本</w:t>
      </w:r>
      <w:r>
        <w:rPr>
          <w:color w:val="000000"/>
          <w:spacing w:val="0"/>
          <w:w w:val="100"/>
          <w:position w:val="0"/>
        </w:rPr>
        <w:t>NB</w:t>
      </w:r>
      <w:r>
        <w:rPr>
          <w:color w:val="000000"/>
          <w:spacing w:val="0"/>
          <w:w w:val="100"/>
          <w:position w:val="0"/>
        </w:rPr>
        <w:t>模组，实现在家用燃气、一氧化碳、烟感报警探测器等多款产品上应用，增强民用商用 产品的应用场景和市场竞争力，促进销售业绩提升。同时根据行业发展趋势新推出</w:t>
      </w:r>
      <w:r>
        <w:rPr>
          <w:color w:val="000000"/>
          <w:spacing w:val="0"/>
          <w:w w:val="100"/>
          <w:position w:val="0"/>
        </w:rPr>
        <w:t>CAT.1</w:t>
      </w:r>
      <w:r>
        <w:rPr>
          <w:color w:val="000000"/>
          <w:spacing w:val="0"/>
          <w:w w:val="100"/>
          <w:position w:val="0"/>
        </w:rPr>
        <w:t>模组，对原</w:t>
      </w:r>
      <w:r>
        <w:rPr>
          <w:color w:val="000000"/>
          <w:spacing w:val="0"/>
          <w:w w:val="100"/>
          <w:position w:val="0"/>
        </w:rPr>
        <w:t xml:space="preserve">GPRS </w:t>
      </w:r>
      <w:r>
        <w:rPr>
          <w:color w:val="000000"/>
          <w:spacing w:val="0"/>
          <w:w w:val="100"/>
          <w:position w:val="0"/>
        </w:rPr>
        <w:t>设备进行技术升级替换，针对使用场景，逐步替换</w:t>
      </w:r>
      <w:r>
        <w:rPr>
          <w:color w:val="000000"/>
          <w:spacing w:val="0"/>
          <w:w w:val="100"/>
          <w:position w:val="0"/>
        </w:rPr>
        <w:t>CAT.4</w:t>
      </w:r>
      <w:r>
        <w:rPr>
          <w:color w:val="000000"/>
          <w:spacing w:val="0"/>
          <w:w w:val="100"/>
          <w:position w:val="0"/>
        </w:rPr>
        <w:t>模组，降低设备成本。同时针对工业场景出现的 视频图像需求，公司积极布局</w:t>
      </w:r>
      <w:r>
        <w:rPr>
          <w:color w:val="000000"/>
          <w:spacing w:val="0"/>
          <w:w w:val="100"/>
          <w:position w:val="0"/>
        </w:rPr>
        <w:t>5G</w:t>
      </w:r>
      <w:r>
        <w:rPr>
          <w:color w:val="000000"/>
          <w:spacing w:val="0"/>
          <w:w w:val="100"/>
          <w:position w:val="0"/>
        </w:rPr>
        <w:t xml:space="preserve">相关通信模组的研发测试，在公司云台激光产品上实现应用。新一代北斗、 </w:t>
      </w:r>
      <w:r>
        <w:rPr>
          <w:color w:val="000000"/>
          <w:spacing w:val="0"/>
          <w:w w:val="100"/>
          <w:position w:val="0"/>
        </w:rPr>
        <w:t>5G</w:t>
      </w:r>
      <w:r>
        <w:rPr>
          <w:color w:val="000000"/>
          <w:spacing w:val="0"/>
          <w:w w:val="100"/>
          <w:position w:val="0"/>
        </w:rPr>
        <w:t>模组、低功耗短距离无线数据采集模组等完成定型。</w:t>
      </w:r>
    </w:p>
    <w:p>
      <w:pPr>
        <w:pStyle w:val="Style21"/>
        <w:keepNext w:val="0"/>
        <w:keepLines w:val="0"/>
        <w:widowControl w:val="0"/>
        <w:shd w:val="clear" w:color="auto" w:fill="auto"/>
        <w:bidi w:val="0"/>
        <w:spacing w:before="0" w:after="0" w:line="240" w:lineRule="auto"/>
        <w:ind w:left="403" w:right="0" w:firstLine="0"/>
        <w:jc w:val="left"/>
      </w:pPr>
      <w:r>
        <w:rPr>
          <w:color w:val="000000"/>
          <w:spacing w:val="0"/>
          <w:w w:val="100"/>
          <w:position w:val="0"/>
        </w:rPr>
        <w:t>4）报告期内，公司通过自主创新持续跟进了主要研发项目，进展如下:</w:t>
      </w:r>
    </w:p>
    <w:tbl>
      <w:tblPr>
        <w:tblOverlap w:val="never"/>
        <w:jc w:val="center"/>
        <w:tblLayout w:type="fixed"/>
      </w:tblPr>
      <w:tblGrid>
        <w:gridCol w:w="523"/>
        <w:gridCol w:w="3034"/>
        <w:gridCol w:w="1541"/>
        <w:gridCol w:w="2957"/>
        <w:gridCol w:w="1555"/>
      </w:tblGrid>
      <w:tr>
        <w:trPr>
          <w:trHeight w:val="35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进展情况</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拟达到的目标</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完成情况</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水质检测传感器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工艺和结构优化中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r>
              <w:rPr>
                <w:color w:val="000000"/>
                <w:spacing w:val="0"/>
                <w:w w:val="100"/>
                <w:position w:val="0"/>
                <w:sz w:val="18"/>
                <w:szCs w:val="18"/>
              </w:rPr>
              <w:t>年</w:t>
            </w:r>
            <w:r>
              <w:rPr>
                <w:color w:val="000000"/>
                <w:spacing w:val="0"/>
                <w:w w:val="100"/>
                <w:position w:val="0"/>
                <w:sz w:val="18"/>
                <w:szCs w:val="18"/>
              </w:rPr>
              <w:t>3</w:t>
            </w:r>
            <w:r>
              <w:rPr>
                <w:color w:val="000000"/>
                <w:spacing w:val="0"/>
                <w:w w:val="100"/>
                <w:position w:val="0"/>
                <w:sz w:val="18"/>
                <w:szCs w:val="18"/>
              </w:rPr>
              <w:t>月完成性能测试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设计开发进行中</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激光甲烷遥测仪</w:t>
            </w:r>
            <w:r>
              <w:rPr>
                <w:color w:val="000000"/>
                <w:spacing w:val="0"/>
                <w:w w:val="100"/>
                <w:position w:val="0"/>
                <w:sz w:val="18"/>
                <w:szCs w:val="18"/>
              </w:rPr>
              <w:t>III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小批试产进行中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r>
              <w:rPr>
                <w:color w:val="000000"/>
                <w:spacing w:val="0"/>
                <w:w w:val="100"/>
                <w:position w:val="0"/>
                <w:sz w:val="18"/>
                <w:szCs w:val="18"/>
              </w:rPr>
              <w:t>年</w:t>
            </w:r>
            <w:r>
              <w:rPr>
                <w:color w:val="000000"/>
                <w:spacing w:val="0"/>
                <w:w w:val="100"/>
                <w:position w:val="0"/>
                <w:sz w:val="18"/>
                <w:szCs w:val="18"/>
              </w:rPr>
              <w:t>3</w:t>
            </w:r>
            <w:r>
              <w:rPr>
                <w:color w:val="000000"/>
                <w:spacing w:val="0"/>
                <w:w w:val="100"/>
                <w:position w:val="0"/>
                <w:sz w:val="18"/>
                <w:szCs w:val="18"/>
              </w:rPr>
              <w:t>月完成小批试产。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设计开发进行中</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基于服务管理、数据管理的可视化大屏 通用展示平台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项目收尾阶段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r>
              <w:rPr>
                <w:color w:val="000000"/>
                <w:spacing w:val="0"/>
                <w:w w:val="100"/>
                <w:position w:val="0"/>
                <w:sz w:val="18"/>
                <w:szCs w:val="18"/>
              </w:rPr>
              <w:t>年</w:t>
            </w:r>
            <w:r>
              <w:rPr>
                <w:color w:val="000000"/>
                <w:spacing w:val="0"/>
                <w:w w:val="100"/>
                <w:position w:val="0"/>
                <w:sz w:val="18"/>
                <w:szCs w:val="18"/>
              </w:rPr>
              <w:t>6</w:t>
            </w:r>
            <w:r>
              <w:rPr>
                <w:color w:val="000000"/>
                <w:spacing w:val="0"/>
                <w:w w:val="100"/>
                <w:position w:val="0"/>
                <w:sz w:val="18"/>
                <w:szCs w:val="18"/>
              </w:rPr>
              <w:t>月完成项目验收</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设计开发进行中</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MEMS</w:t>
            </w:r>
            <w:r>
              <w:rPr>
                <w:color w:val="000000"/>
                <w:spacing w:val="0"/>
                <w:w w:val="100"/>
                <w:position w:val="0"/>
                <w:sz w:val="18"/>
                <w:szCs w:val="18"/>
              </w:rPr>
              <w:t>阵列传感器开发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样品测试、技术资</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料完善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r>
              <w:rPr>
                <w:color w:val="000000"/>
                <w:spacing w:val="0"/>
                <w:w w:val="100"/>
                <w:position w:val="0"/>
                <w:sz w:val="18"/>
                <w:szCs w:val="18"/>
              </w:rPr>
              <w:t>年</w:t>
            </w:r>
            <w:r>
              <w:rPr>
                <w:color w:val="000000"/>
                <w:spacing w:val="0"/>
                <w:w w:val="100"/>
                <w:position w:val="0"/>
                <w:sz w:val="18"/>
                <w:szCs w:val="18"/>
              </w:rPr>
              <w:t>3</w:t>
            </w:r>
            <w:r>
              <w:rPr>
                <w:color w:val="000000"/>
                <w:spacing w:val="0"/>
                <w:w w:val="100"/>
                <w:position w:val="0"/>
                <w:sz w:val="18"/>
                <w:szCs w:val="18"/>
              </w:rPr>
              <w:t>月完成晶圆封装</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设计开发进行中</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红外气体成像仪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平台参数调试中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r>
              <w:rPr>
                <w:color w:val="000000"/>
                <w:spacing w:val="0"/>
                <w:w w:val="100"/>
                <w:position w:val="0"/>
                <w:sz w:val="18"/>
                <w:szCs w:val="18"/>
              </w:rPr>
              <w:t>年</w:t>
            </w:r>
            <w:r>
              <w:rPr>
                <w:color w:val="000000"/>
                <w:spacing w:val="0"/>
                <w:w w:val="100"/>
                <w:position w:val="0"/>
                <w:sz w:val="18"/>
                <w:szCs w:val="18"/>
              </w:rPr>
              <w:t>6</w:t>
            </w:r>
            <w:r>
              <w:rPr>
                <w:color w:val="000000"/>
                <w:spacing w:val="0"/>
                <w:w w:val="100"/>
                <w:position w:val="0"/>
                <w:sz w:val="18"/>
                <w:szCs w:val="18"/>
              </w:rPr>
              <w:t>月完成系统参数和技术确定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设计开发进行中</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中红外激光气体检测平台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平台参数调试中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r>
              <w:rPr>
                <w:color w:val="000000"/>
                <w:spacing w:val="0"/>
                <w:w w:val="100"/>
                <w:position w:val="0"/>
                <w:sz w:val="18"/>
                <w:szCs w:val="18"/>
              </w:rPr>
              <w:t>年</w:t>
            </w:r>
            <w:r>
              <w:rPr>
                <w:color w:val="000000"/>
                <w:spacing w:val="0"/>
                <w:w w:val="100"/>
                <w:position w:val="0"/>
                <w:sz w:val="18"/>
                <w:szCs w:val="18"/>
              </w:rPr>
              <w:t>5</w:t>
            </w:r>
            <w:r>
              <w:rPr>
                <w:color w:val="000000"/>
                <w:spacing w:val="0"/>
                <w:w w:val="100"/>
                <w:position w:val="0"/>
                <w:sz w:val="18"/>
                <w:szCs w:val="18"/>
              </w:rPr>
              <w:t>月完成电路设计方案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设计开发进行中</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物联网平台三期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项目已完成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已正常使用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API</w:t>
            </w:r>
            <w:r>
              <w:rPr>
                <w:color w:val="000000"/>
                <w:spacing w:val="0"/>
                <w:w w:val="100"/>
                <w:position w:val="0"/>
                <w:sz w:val="18"/>
                <w:szCs w:val="18"/>
              </w:rPr>
              <w:t>网关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项目已完成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已正常使用</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城市垃圾中转站及废水、废气成套工 艺、设备开发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设备机械设计进行 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r>
              <w:rPr>
                <w:color w:val="000000"/>
                <w:spacing w:val="0"/>
                <w:w w:val="100"/>
                <w:position w:val="0"/>
                <w:sz w:val="18"/>
                <w:szCs w:val="18"/>
              </w:rPr>
              <w:t>年</w:t>
            </w:r>
            <w:r>
              <w:rPr>
                <w:color w:val="000000"/>
                <w:spacing w:val="0"/>
                <w:w w:val="100"/>
                <w:position w:val="0"/>
                <w:sz w:val="18"/>
                <w:szCs w:val="18"/>
              </w:rPr>
              <w:t>4</w:t>
            </w:r>
            <w:r>
              <w:rPr>
                <w:color w:val="000000"/>
                <w:spacing w:val="0"/>
                <w:w w:val="100"/>
                <w:position w:val="0"/>
                <w:sz w:val="18"/>
                <w:szCs w:val="18"/>
              </w:rPr>
              <w:t>月完成设备机械设计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设计开发进行中</w:t>
            </w: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垃圾渗滤液短程硝化反硝化高效脱氮 新技术推广应用与成套智慧型设备开 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验收准备中</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r>
              <w:rPr>
                <w:color w:val="000000"/>
                <w:spacing w:val="0"/>
                <w:w w:val="100"/>
                <w:position w:val="0"/>
                <w:sz w:val="18"/>
                <w:szCs w:val="18"/>
              </w:rPr>
              <w:t>年</w:t>
            </w:r>
            <w:r>
              <w:rPr>
                <w:color w:val="000000"/>
                <w:spacing w:val="0"/>
                <w:w w:val="100"/>
                <w:position w:val="0"/>
                <w:sz w:val="18"/>
                <w:szCs w:val="18"/>
              </w:rPr>
              <w:t>3</w:t>
            </w:r>
            <w:r>
              <w:rPr>
                <w:color w:val="000000"/>
                <w:spacing w:val="0"/>
                <w:w w:val="100"/>
                <w:position w:val="0"/>
                <w:sz w:val="18"/>
                <w:szCs w:val="18"/>
              </w:rPr>
              <w:t>月完成项目验收</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设计开发进行中</w:t>
            </w:r>
          </w:p>
        </w:tc>
      </w:tr>
    </w:tbl>
    <w:p>
      <w:pPr>
        <w:pStyle w:val="Style21"/>
        <w:keepNext w:val="0"/>
        <w:keepLines w:val="0"/>
        <w:widowControl w:val="0"/>
        <w:shd w:val="clear" w:color="auto" w:fill="auto"/>
        <w:bidi w:val="0"/>
        <w:spacing w:before="0" w:after="0" w:line="240" w:lineRule="auto"/>
        <w:ind w:left="427" w:right="0" w:firstLine="0"/>
        <w:jc w:val="left"/>
      </w:pPr>
      <w:r>
        <w:rPr>
          <w:color w:val="000000"/>
          <w:spacing w:val="0"/>
          <w:w w:val="100"/>
          <w:position w:val="0"/>
        </w:rPr>
        <w:t>（3）营销发力，品牌建设助力价值多元提升</w:t>
      </w:r>
    </w:p>
    <w:p>
      <w:pPr>
        <w:pStyle w:val="Style1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报告期内，公司加强全集团品牌整合营销，分批开展全员品宣和线上营销，进一步提升市场竞争优势， 构建强势市场品牌。</w:t>
      </w:r>
    </w:p>
    <w:p>
      <w:pPr>
        <w:pStyle w:val="Style1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报告期内，公司重点围绕强化品牌意识、提高核心竞争力、加强品牌建设等品牌战略定位，打造全方 位、多形式的新媒体矩阵，对公司经营理念、生产经营状况、企业发展动态以及企业和产品形象进行了立 体化、多元化传播，公司品牌形象逐步强化，行业地位持续巩固。报告期内，公司广泛增强员工品牌宣传 意识，通过组织公司“商务形象大使”内部评选，分批开展全员营销，定期设立“品宣特别奖”等方式唤 起员工品牌建设的认同感和积极性，凝心聚力激发宣传内生动力，形成全员主动参与品宣、积极传递公司 价值的良好氛围。</w:t>
      </w:r>
    </w:p>
    <w:p>
      <w:pPr>
        <w:pStyle w:val="Style1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 xml:space="preserve">报告期内，公司发挥新媒体的即时性、灵活性、互动性，及时挖掘客户需求，改进产品性能，调整发 展策略，不断巩固增强公司各项产品在市场的竞争能力，产品知名度不断提高，市场影响力持续扩大。报 </w:t>
      </w:r>
      <w:r>
        <w:rPr>
          <w:color w:val="000000"/>
          <w:spacing w:val="0"/>
          <w:w w:val="100"/>
          <w:position w:val="0"/>
        </w:rPr>
        <w:t>告期内，公司树形象、扩影响，通过新媒体矩阵强化企业及产品推广，线上订单量逐步提升。同时，线下 活动与线上营销联动发力，增加客户粘性，推动业绩增长。此外，公司全面拓宽品牌建设渠道，加强在公 司全域产品市场及资本市场领域的交流互动，坚持主动、客观、真诚的沟通方式及时回应市场关切，加深 市场对公司及产品的认知，形成良性的发展机制，实现公司价值传递，推动企业健康发展。</w:t>
      </w:r>
    </w:p>
    <w:p>
      <w:pPr>
        <w:pStyle w:val="Style10"/>
        <w:keepNext w:val="0"/>
        <w:keepLines w:val="0"/>
        <w:widowControl w:val="0"/>
        <w:shd w:val="clear" w:color="auto" w:fill="auto"/>
        <w:bidi w:val="0"/>
        <w:spacing w:before="0" w:after="0" w:line="468" w:lineRule="exact"/>
        <w:ind w:left="0" w:right="0" w:firstLine="440"/>
        <w:jc w:val="left"/>
      </w:pPr>
      <w:bookmarkStart w:id="113" w:name="bookmark113"/>
      <w:r>
        <w:rPr>
          <w:b/>
          <w:bCs/>
          <w:color w:val="000000"/>
          <w:spacing w:val="0"/>
          <w:w w:val="100"/>
          <w:position w:val="0"/>
        </w:rPr>
        <w:t>（</w:t>
      </w:r>
      <w:bookmarkEnd w:id="113"/>
      <w:r>
        <w:rPr>
          <w:b/>
          <w:bCs/>
          <w:color w:val="000000"/>
          <w:spacing w:val="0"/>
          <w:w w:val="100"/>
          <w:position w:val="0"/>
        </w:rPr>
        <w:t>4）管理优化，集团化管控成效日益显著</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报告期内，公司以“战略牵引、创新驱动、平台支撑、协同发力”为指导，以战略落地、效率驱动、 平台升级、卓越运营为抓手，稳步推进汉威集团化管控</w:t>
      </w:r>
      <w:r>
        <w:rPr>
          <w:color w:val="000000"/>
          <w:spacing w:val="0"/>
          <w:w w:val="100"/>
          <w:position w:val="0"/>
        </w:rPr>
        <w:t>2.0</w:t>
      </w:r>
      <w:r>
        <w:rPr>
          <w:color w:val="000000"/>
          <w:spacing w:val="0"/>
          <w:w w:val="100"/>
          <w:position w:val="0"/>
        </w:rPr>
        <w:t>的全面实施。</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报告期内，公司持续深化集团化管控，加速推进关键岗位管理干部专业化、年轻化的进程，激活组织 内生动力，同时运用现金激励、股权激励等全方位的激励措施，增强公司管理团队“主人翁”意识，提高 管理效能。报告期内，公司着重加强了对战略落地的监督和评价，设计了支撑中长期战略的绩效考核体系， 强化了对协同、融合、学习、价值创造等深层次要素的关注，初步建立了完整的战略绩效管理模式；进一 步深化了人力资源、财务、业务等管理体系，建立健全了应急安全管理体系；公司积极推进干部轮岗、财 务委派、绩效考核、人才引进、内部协同、风险防控以及信息化、数字化等管理要素建设，充分利用</w:t>
      </w:r>
      <w:r>
        <w:rPr>
          <w:color w:val="000000"/>
          <w:spacing w:val="0"/>
          <w:w w:val="100"/>
          <w:position w:val="0"/>
        </w:rPr>
        <w:t>CRM、 MES、OA、PLM、ERP、SRM、HR、</w:t>
      </w:r>
      <w:r>
        <w:rPr>
          <w:color w:val="000000"/>
          <w:spacing w:val="0"/>
          <w:w w:val="100"/>
          <w:position w:val="0"/>
        </w:rPr>
        <w:t>威支付等系统，全面推进管理效益的显著提升。报告期内，公司整体运营 质量稳步提升，高质量发展指标呈良性发展态势。</w:t>
      </w:r>
    </w:p>
    <w:p>
      <w:pPr>
        <w:pStyle w:val="Style10"/>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报告期内，公司以产品和业务管理体系为重点，进一步整合平台资源，加强产业链与价值链协同，加 快融合业务孵化和产出，打造汉威一体化解决方案能力；加快推进以“为客户创造价值”为目的的流程再 造，进一步提升了集团层面跨板块业务整合能力，有效促进了各业务单位产品技术方案、市场开拓深度融 合；不断优化产品管理体系建设，并建立相应制度体系、考核体系和激励体系，加快构建差异化产品和融 合并生优势；探索推进营销支撑平台建设，首批布局的区域运营中心逐步完善、落地，为业务单元开疆拓 土提供强力支撑。报告期内，公司还完成了向特定对象发行股票以及限制性股票激励计划的设计与实施， 对公司中长期战略发展和企业及员工价值的长期共同成长起到了良好的促进作用。</w:t>
      </w:r>
    </w:p>
    <w:p>
      <w:pPr>
        <w:pStyle w:val="Style19"/>
        <w:keepNext/>
        <w:keepLines/>
        <w:widowControl w:val="0"/>
        <w:shd w:val="clear" w:color="auto" w:fill="auto"/>
        <w:bidi w:val="0"/>
        <w:spacing w:before="0" w:after="260" w:line="240" w:lineRule="auto"/>
        <w:ind w:left="0" w:right="0" w:firstLine="440"/>
        <w:jc w:val="left"/>
      </w:pPr>
      <w:bookmarkStart w:id="114" w:name="bookmark114"/>
      <w:bookmarkStart w:id="115" w:name="bookmark115"/>
      <w:bookmarkStart w:id="116" w:name="bookmark116"/>
      <w:bookmarkStart w:id="117" w:name="bookmark117"/>
      <w:r>
        <w:rPr>
          <w:color w:val="000000"/>
          <w:spacing w:val="0"/>
          <w:w w:val="100"/>
          <w:position w:val="0"/>
          <w:sz w:val="24"/>
          <w:szCs w:val="24"/>
        </w:rPr>
        <w:t>三</w:t>
      </w:r>
      <w:bookmarkEnd w:id="116"/>
      <w:r>
        <w:rPr>
          <w:color w:val="000000"/>
          <w:spacing w:val="0"/>
          <w:w w:val="100"/>
          <w:position w:val="0"/>
          <w:sz w:val="24"/>
          <w:szCs w:val="24"/>
        </w:rPr>
        <w:t>、核心竞争力分析</w:t>
      </w:r>
      <w:bookmarkEnd w:id="114"/>
      <w:bookmarkEnd w:id="115"/>
      <w:bookmarkEnd w:id="117"/>
    </w:p>
    <w:p>
      <w:pPr>
        <w:pStyle w:val="Style10"/>
        <w:keepNext w:val="0"/>
        <w:keepLines w:val="0"/>
        <w:widowControl w:val="0"/>
        <w:shd w:val="clear" w:color="auto" w:fill="auto"/>
        <w:bidi w:val="0"/>
        <w:spacing w:before="0" w:after="0" w:line="467" w:lineRule="exact"/>
        <w:ind w:left="0" w:right="0" w:firstLine="440"/>
        <w:jc w:val="both"/>
      </w:pPr>
      <w:bookmarkStart w:id="118" w:name="bookmark118"/>
      <w:r>
        <w:rPr>
          <w:b/>
          <w:bCs/>
          <w:color w:val="000000"/>
          <w:spacing w:val="0"/>
          <w:w w:val="100"/>
          <w:position w:val="0"/>
        </w:rPr>
        <w:t>（</w:t>
      </w:r>
      <w:bookmarkEnd w:id="118"/>
      <w:r>
        <w:rPr>
          <w:b/>
          <w:bCs/>
          <w:color w:val="000000"/>
          <w:spacing w:val="0"/>
          <w:w w:val="100"/>
          <w:position w:val="0"/>
        </w:rPr>
        <w:t>一）产业生态圈优势</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公司以“成为以传感器为核心的物联网解决方案引领者”为产业愿景，通过多年发展，形成以传感器 为核心、扩展到下游仪器仪表、物联网平台和行业应用的完整物联网生态圈。通过传感器材料、设计、工 艺等技术筑高行业壁垒，通过下游仪器仪表和物联网应用扩大业务规模，打通传感器直通应用的市场渠道 和信息通道，指引传感器创新发展方向；通过物联网平台和解决方案的高客户粘性，稳固并促进传感器、 </w:t>
      </w:r>
      <w:r>
        <w:rPr>
          <w:color w:val="000000"/>
          <w:spacing w:val="0"/>
          <w:w w:val="100"/>
          <w:position w:val="0"/>
        </w:rPr>
        <w:t>仪器仪表业务的可持续发展。生态圈各业务品类相互支撑、相互促进，互相赋能，并具备内生成长、有序 扩张能力。未来，公司将保持并扩大产业生态圈优势，稳固公司行业领军地位。</w:t>
      </w:r>
    </w:p>
    <w:p>
      <w:pPr>
        <w:pStyle w:val="Style10"/>
        <w:keepNext w:val="0"/>
        <w:keepLines w:val="0"/>
        <w:widowControl w:val="0"/>
        <w:shd w:val="clear" w:color="auto" w:fill="auto"/>
        <w:bidi w:val="0"/>
        <w:spacing w:before="0" w:after="0" w:line="468" w:lineRule="exact"/>
        <w:ind w:left="0" w:right="0" w:firstLine="440"/>
        <w:jc w:val="both"/>
      </w:pPr>
      <w:bookmarkStart w:id="119" w:name="bookmark119"/>
      <w:r>
        <w:rPr>
          <w:b/>
          <w:bCs/>
          <w:color w:val="000000"/>
          <w:spacing w:val="0"/>
          <w:w w:val="100"/>
          <w:position w:val="0"/>
        </w:rPr>
        <w:t>（</w:t>
      </w:r>
      <w:bookmarkEnd w:id="119"/>
      <w:r>
        <w:rPr>
          <w:b/>
          <w:bCs/>
          <w:color w:val="000000"/>
          <w:spacing w:val="0"/>
          <w:w w:val="100"/>
          <w:position w:val="0"/>
        </w:rPr>
        <w:t>二）核心技术优势</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传感器属于物联网感知层的核心技术，公司经过二十余年的潜心研发，现已打造出包含芯片设计、敏 感材料、制造工艺、封测技术等全流程的传感器核心技术平台，具备国内领先的气体传感器研发和生产技 术。随着平台技术的扩展强化，更多新种类的传感器产品不断产出。公司掌握厚膜、薄膜、</w:t>
      </w:r>
      <w:r>
        <w:rPr>
          <w:color w:val="000000"/>
          <w:spacing w:val="0"/>
          <w:w w:val="100"/>
          <w:position w:val="0"/>
        </w:rPr>
        <w:t>MEMS、</w:t>
      </w:r>
      <w:r>
        <w:rPr>
          <w:color w:val="000000"/>
          <w:spacing w:val="0"/>
          <w:w w:val="100"/>
          <w:position w:val="0"/>
        </w:rPr>
        <w:t>陶瓷等 核心工艺，能够生产半导体类、催化燃烧类、电化学类、红外光学类、光致电离类等主要种类气体传感器， 全产业链自主可控，稳居气体传感器领域龙头地位。同时，发挥传感器技术优势，支撑打造涵盖机械、电 子、光学、软件等设计制造为一体的仪器仪表技术平台，持续推进多门类传感器以及多种工业安全、环境 监测类仪器仪表的研发和市场投放，不断强化传感器的核心竞争力及仪器仪表的技术领先优势，筑高行业 壁垒。</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公司将传感器、仪器仪表深入到物联网下游应用领域，为物联网应用提供充分的硬件支撑和数据来源， 结合</w:t>
      </w:r>
      <w:r>
        <w:rPr>
          <w:color w:val="000000"/>
          <w:spacing w:val="0"/>
          <w:w w:val="100"/>
          <w:position w:val="0"/>
        </w:rPr>
        <w:t>GIS、SCADA</w:t>
      </w:r>
      <w:r>
        <w:rPr>
          <w:color w:val="000000"/>
          <w:spacing w:val="0"/>
          <w:w w:val="100"/>
          <w:position w:val="0"/>
        </w:rPr>
        <w:t>等技术组成领先的物联网系统技术，在智慧安全、智慧城市、智慧环保等领域进行智慧化 升级与改造，向着物联网平台化方向不断完善。未来，公司将持续保持领先的物联网技术，丰富物联网系 统解决方案的应用场景，不断打磨“三类平台”的协同发展、技术融合，高质量打造“传感器+监测终端+ 数据采集+空间信息技术+云应用”的完整物联网技术平台，加快构建深度融合、万物互联的物联网产业超 级生态圈。</w:t>
      </w:r>
    </w:p>
    <w:p>
      <w:pPr>
        <w:pStyle w:val="Style10"/>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公司拥有锐意创新的研发团队，具有独立的设计和开发能力，拥有“国家级企业技术中心”，在多项 应用领域中取得了领先成果，未来经营中将继续加强研发创新能力。截至报告期末，公司专利总数达到671 项，其中发明专利108项。报告期内，公司及子公司新增专利证书104项，新增软件著作权71项。部分新增 情况如下：</w:t>
      </w:r>
    </w:p>
    <w:p>
      <w:pPr>
        <w:pStyle w:val="Style21"/>
        <w:keepNext w:val="0"/>
        <w:keepLines w:val="0"/>
        <w:widowControl w:val="0"/>
        <w:shd w:val="clear" w:color="auto" w:fill="auto"/>
        <w:bidi w:val="0"/>
        <w:spacing w:before="0" w:after="0" w:line="240" w:lineRule="auto"/>
        <w:ind w:left="418" w:right="0" w:firstLine="0"/>
        <w:jc w:val="left"/>
      </w:pPr>
      <w:r>
        <w:rPr>
          <w:color w:val="000000"/>
          <w:spacing w:val="0"/>
          <w:w w:val="100"/>
          <w:position w:val="0"/>
        </w:rPr>
        <w:t>1、报告期内，公司及子公司新增的部分专利证书如下:</w:t>
      </w:r>
    </w:p>
    <w:tbl>
      <w:tblPr>
        <w:tblOverlap w:val="never"/>
        <w:jc w:val="center"/>
        <w:tblLayout w:type="fixed"/>
      </w:tblPr>
      <w:tblGrid>
        <w:gridCol w:w="437"/>
        <w:gridCol w:w="1891"/>
        <w:gridCol w:w="3178"/>
        <w:gridCol w:w="960"/>
        <w:gridCol w:w="1094"/>
        <w:gridCol w:w="1037"/>
        <w:gridCol w:w="105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专利类型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申请日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保护期限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专利权人</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2018 1 </w:t>
            </w:r>
            <w:r>
              <w:rPr>
                <w:color w:val="000000"/>
                <w:spacing w:val="0"/>
                <w:w w:val="100"/>
                <w:position w:val="0"/>
                <w:sz w:val="18"/>
                <w:szCs w:val="18"/>
              </w:rPr>
              <w:t>1365388.X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一种传感器标定方法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炜盛科技</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2020 2 </w:t>
            </w:r>
            <w:r>
              <w:rPr>
                <w:color w:val="000000"/>
                <w:spacing w:val="0"/>
                <w:w w:val="100"/>
                <w:position w:val="0"/>
                <w:sz w:val="18"/>
                <w:szCs w:val="18"/>
              </w:rPr>
              <w:t>0979776.</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一种微热板及包括该微热板的</w:t>
            </w:r>
            <w:r>
              <w:rPr>
                <w:color w:val="000000"/>
                <w:spacing w:val="0"/>
                <w:w w:val="100"/>
                <w:position w:val="0"/>
                <w:sz w:val="18"/>
                <w:szCs w:val="18"/>
              </w:rPr>
              <w:t>MEMS</w:t>
            </w:r>
            <w:r>
              <w:rPr>
                <w:color w:val="000000"/>
                <w:spacing w:val="0"/>
                <w:w w:val="100"/>
                <w:position w:val="0"/>
                <w:sz w:val="18"/>
                <w:szCs w:val="18"/>
              </w:rPr>
              <w:t>气体 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炜盛科技</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2020 2 </w:t>
            </w:r>
            <w:r>
              <w:rPr>
                <w:color w:val="000000"/>
                <w:spacing w:val="0"/>
                <w:w w:val="100"/>
                <w:position w:val="0"/>
                <w:sz w:val="18"/>
                <w:szCs w:val="18"/>
              </w:rPr>
              <w:t>1004428.0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InSb</w:t>
            </w:r>
            <w:r>
              <w:rPr>
                <w:color w:val="000000"/>
                <w:spacing w:val="0"/>
                <w:w w:val="100"/>
                <w:position w:val="0"/>
                <w:sz w:val="18"/>
                <w:szCs w:val="18"/>
              </w:rPr>
              <w:t>敏感元、无引线</w:t>
            </w:r>
            <w:r>
              <w:rPr>
                <w:color w:val="000000"/>
                <w:spacing w:val="0"/>
                <w:w w:val="100"/>
                <w:position w:val="0"/>
                <w:sz w:val="18"/>
                <w:szCs w:val="18"/>
              </w:rPr>
              <w:t>InSb</w:t>
            </w:r>
            <w:r>
              <w:rPr>
                <w:color w:val="000000"/>
                <w:spacing w:val="0"/>
                <w:w w:val="100"/>
                <w:position w:val="0"/>
                <w:sz w:val="18"/>
                <w:szCs w:val="18"/>
              </w:rPr>
              <w:t>光电红外传感器 及探测器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炜盛科技</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2020 2 </w:t>
            </w:r>
            <w:r>
              <w:rPr>
                <w:color w:val="000000"/>
                <w:spacing w:val="0"/>
                <w:w w:val="100"/>
                <w:position w:val="0"/>
                <w:sz w:val="18"/>
                <w:szCs w:val="18"/>
              </w:rPr>
              <w:t>1006089.x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一种</w:t>
            </w:r>
            <w:r>
              <w:rPr>
                <w:color w:val="000000"/>
                <w:spacing w:val="0"/>
                <w:w w:val="100"/>
                <w:position w:val="0"/>
                <w:sz w:val="18"/>
                <w:szCs w:val="18"/>
              </w:rPr>
              <w:t>InSb</w:t>
            </w:r>
            <w:r>
              <w:rPr>
                <w:color w:val="000000"/>
                <w:spacing w:val="0"/>
                <w:w w:val="100"/>
                <w:position w:val="0"/>
                <w:sz w:val="18"/>
                <w:szCs w:val="18"/>
              </w:rPr>
              <w:t>敏感元及无引线</w:t>
            </w:r>
            <w:r>
              <w:rPr>
                <w:color w:val="000000"/>
                <w:spacing w:val="0"/>
                <w:w w:val="100"/>
                <w:position w:val="0"/>
                <w:sz w:val="18"/>
                <w:szCs w:val="18"/>
              </w:rPr>
              <w:t>InSb</w:t>
            </w:r>
            <w:r>
              <w:rPr>
                <w:color w:val="000000"/>
                <w:spacing w:val="0"/>
                <w:w w:val="100"/>
                <w:position w:val="0"/>
                <w:sz w:val="18"/>
                <w:szCs w:val="18"/>
              </w:rPr>
              <w:t>光电红外 传感器及探测器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炜盛科技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2881168.1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一种贴片式封装</w:t>
            </w:r>
            <w:r>
              <w:rPr>
                <w:color w:val="000000"/>
                <w:spacing w:val="0"/>
                <w:w w:val="100"/>
                <w:position w:val="0"/>
                <w:sz w:val="18"/>
                <w:szCs w:val="18"/>
              </w:rPr>
              <w:t>MEMS</w:t>
            </w:r>
            <w:r>
              <w:rPr>
                <w:color w:val="000000"/>
                <w:spacing w:val="0"/>
                <w:w w:val="100"/>
                <w:position w:val="0"/>
                <w:sz w:val="18"/>
                <w:szCs w:val="18"/>
              </w:rPr>
              <w:t>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炜盛科技</w:t>
            </w:r>
          </w:p>
        </w:tc>
      </w:tr>
      <w:tr>
        <w:trPr>
          <w:trHeight w:val="65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3112001.5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自动标定控制柜及气体传感器自动标定 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炜盛科技</w:t>
            </w:r>
          </w:p>
        </w:tc>
      </w:tr>
    </w:tbl>
    <w:p>
      <w:pPr>
        <w:spacing w:lineRule="exact" w:line="1"/>
        <w:rPr>
          <w:sz w:val="2"/>
          <w:szCs w:val="2"/>
        </w:rPr>
      </w:pPr>
      <w:r>
        <w:br w:type="page"/>
      </w:r>
    </w:p>
    <w:tbl>
      <w:tblPr>
        <w:tblOverlap w:val="never"/>
        <w:jc w:val="center"/>
        <w:tblLayout w:type="fixed"/>
      </w:tblPr>
      <w:tblGrid>
        <w:gridCol w:w="437"/>
        <w:gridCol w:w="1891"/>
        <w:gridCol w:w="3178"/>
        <w:gridCol w:w="960"/>
        <w:gridCol w:w="1094"/>
        <w:gridCol w:w="1037"/>
        <w:gridCol w:w="105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2021 2 </w:t>
            </w:r>
            <w:r>
              <w:rPr>
                <w:color w:val="000000"/>
                <w:spacing w:val="0"/>
                <w:w w:val="100"/>
                <w:position w:val="0"/>
                <w:sz w:val="18"/>
                <w:szCs w:val="18"/>
              </w:rPr>
              <w:t>0495904.</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一种燃气流量传感器及燃气计量表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炜盛科技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2021 2 </w:t>
            </w:r>
            <w:r>
              <w:rPr>
                <w:color w:val="000000"/>
                <w:spacing w:val="0"/>
                <w:w w:val="100"/>
                <w:position w:val="0"/>
                <w:sz w:val="18"/>
                <w:szCs w:val="18"/>
              </w:rPr>
              <w:t>1173204.7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温度自补偿型红外光电导传感器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炜盛科技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2021 2 1308528.7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一种自动校准光功率的粉尘传感器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炜盛科技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2021 3 0386844.5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温湿度传感器</w:t>
            </w:r>
            <w:r>
              <w:rPr>
                <w:color w:val="000000"/>
                <w:spacing w:val="0"/>
                <w:w w:val="100"/>
                <w:position w:val="0"/>
                <w:sz w:val="18"/>
                <w:szCs w:val="18"/>
              </w:rPr>
              <w:t>（</w:t>
            </w:r>
            <w:r>
              <w:rPr>
                <w:color w:val="000000"/>
                <w:spacing w:val="0"/>
                <w:w w:val="100"/>
                <w:position w:val="0"/>
                <w:sz w:val="18"/>
                <w:szCs w:val="18"/>
              </w:rPr>
              <w:t>MEMS）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炜盛科技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2021 3 0387042.6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空气质量检测仪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炜盛科技</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2020 2 </w:t>
            </w:r>
            <w:r>
              <w:rPr>
                <w:color w:val="000000"/>
                <w:spacing w:val="0"/>
                <w:w w:val="100"/>
                <w:position w:val="0"/>
                <w:sz w:val="18"/>
                <w:szCs w:val="18"/>
              </w:rPr>
              <w:t>1004476.x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传感器装配壳体、热电堆敏感芯片及无引 线热电堆传感器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信阳炜盛</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2020 2 </w:t>
            </w:r>
            <w:r>
              <w:rPr>
                <w:color w:val="000000"/>
                <w:spacing w:val="0"/>
                <w:w w:val="100"/>
                <w:position w:val="0"/>
                <w:sz w:val="18"/>
                <w:szCs w:val="18"/>
              </w:rPr>
              <w:t>1421476.x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一种无引线热释电火焰传感器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信阳炜盛</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1347443.5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一种特殊气体标定装置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信阳炜盛</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1531417.8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毒气传感器及滤毒罐寿命探测器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信阳炜盛</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2603133.1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一种热式气体流量传感器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信阳炜盛</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2021 3 0225777.9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红外二氧化碳气体传感器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信阳炜盛</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2021 3 0226010.8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红外二氧化碳气体传感器（双通道）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信阳炜盛</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3 0678203.2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柔性压感器件（长条形</w:t>
            </w:r>
            <w:r>
              <w:rPr>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苏州能斯达</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3 0678202.8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柔性压感器件（长条形</w:t>
            </w:r>
            <w:r>
              <w:rPr>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苏州能斯达</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3212768.5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一种可视化的压感数字密码锁及加密系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苏州能斯达</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3245430.X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一种床上智能监护柔性感应带及智能监 护系统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苏州能斯达</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3328546.X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一种柔性滑动触控感应器件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苏州能斯达</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2018 1 1035123.3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家报产品综合性能智能测试生产线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2019 1 0563070.0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一种复合型感烟装置及其自动校准方法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0696603.0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一种快排酒精含量检测仪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1094818.1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适应多种安装方式的家用报警器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1194464.8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适用于水质多参数监测仪的远程质控系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1764310.8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激光危险气体遥测采集系统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1764280.0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新型手持激光危险气体遥测系统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2057762.9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一种集中式无线安全报警系统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3 0575846.4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酒精检测仪（岗前呼出气体）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2151800.7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传感器信号处理电路及毒气检测装置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2457691.1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一种一体式九参数微型水质自动监测柜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2457776.X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center"/>
              <w:rPr>
                <w:sz w:val="18"/>
                <w:szCs w:val="18"/>
              </w:rPr>
            </w:pPr>
            <w:r>
              <w:rPr>
                <w:color w:val="000000"/>
                <w:spacing w:val="0"/>
                <w:w w:val="100"/>
                <w:position w:val="0"/>
                <w:sz w:val="18"/>
                <w:szCs w:val="18"/>
              </w:rPr>
              <w:t>一种具备电弧点火功能的呼出气体酒精 检测装置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2450747.0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一种多功能呼出气体酒精含量检测仪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3 0669747.2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呼出气体酒精含量检测仪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2544123.5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低量程高精度浊度传感器自动清洗毛刷 装置及浊度传感器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3 0669744.9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快速排查酒精检测仪</w:t>
            </w:r>
            <w:r>
              <w:rPr>
                <w:color w:val="000000"/>
                <w:spacing w:val="0"/>
                <w:w w:val="100"/>
                <w:position w:val="0"/>
                <w:sz w:val="18"/>
                <w:szCs w:val="18"/>
              </w:rPr>
              <w:t>（AT7500）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2832184.1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自助式呼出气体酒精含量检测仪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 2020 2 2860453.5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紧凑型多次反射气体吸收池及紧凑型红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bl>
    <w:p>
      <w:pPr>
        <w:spacing w:lineRule="exact" w:line="1"/>
        <w:rPr>
          <w:sz w:val="2"/>
          <w:szCs w:val="2"/>
        </w:rPr>
      </w:pPr>
      <w:r>
        <w:br w:type="page"/>
      </w:r>
    </w:p>
    <w:tbl>
      <w:tblPr>
        <w:tblOverlap w:val="never"/>
        <w:jc w:val="center"/>
        <w:tblLayout w:type="fixed"/>
      </w:tblPr>
      <w:tblGrid>
        <w:gridCol w:w="437"/>
        <w:gridCol w:w="1891"/>
        <w:gridCol w:w="3178"/>
        <w:gridCol w:w="960"/>
        <w:gridCol w:w="1094"/>
        <w:gridCol w:w="1037"/>
        <w:gridCol w:w="1051"/>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外传感器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2020 2 </w:t>
            </w:r>
            <w:r>
              <w:rPr>
                <w:color w:val="000000"/>
                <w:spacing w:val="0"/>
                <w:w w:val="100"/>
                <w:position w:val="0"/>
                <w:sz w:val="18"/>
                <w:szCs w:val="18"/>
              </w:rPr>
              <w:t>2904676.</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一种适用于气体多参数监测仪的远程质 控系统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2020 2 </w:t>
            </w:r>
            <w:r>
              <w:rPr>
                <w:color w:val="000000"/>
                <w:spacing w:val="0"/>
                <w:w w:val="100"/>
                <w:position w:val="0"/>
                <w:sz w:val="18"/>
                <w:szCs w:val="18"/>
              </w:rPr>
              <w:t>2905791.6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新型</w:t>
            </w:r>
            <w:r>
              <w:rPr>
                <w:color w:val="000000"/>
                <w:spacing w:val="0"/>
                <w:w w:val="100"/>
                <w:position w:val="0"/>
                <w:sz w:val="18"/>
                <w:szCs w:val="18"/>
              </w:rPr>
              <w:t>PID</w:t>
            </w:r>
            <w:r>
              <w:rPr>
                <w:color w:val="000000"/>
                <w:spacing w:val="0"/>
                <w:w w:val="100"/>
                <w:position w:val="0"/>
                <w:sz w:val="18"/>
                <w:szCs w:val="18"/>
              </w:rPr>
              <w:t>探测器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2020 2 3064627.3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探测器显示装置及新型气体探测器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2020 2 3064591.9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探测器故障检测设备及泵吸式探测器气 路流量调整装置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2020 2 3112005.3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一种新型汽车酒精锁装置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2020 2 3207675.3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快排查呼出气体酒精含量检测仪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2020 2 3210609.1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一种基于手势识别消音的探测器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2020 2 3213626.0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一种多参数恶臭气体浓度在线监测系统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2020 2 3263589.4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一种用于隔爆腔体的新型观察窗组件和 隔爆腔体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2020 2 3276250.8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报警容错电路及气体探测器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2020 2 3263615.3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一种可监测波长的激光气体探测系统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2021 2 0044264.2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一种总线型设备地址自动分配装置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2021 3 0081618.6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家用可燃气体探测器</w:t>
            </w:r>
            <w:r>
              <w:rPr>
                <w:color w:val="000000"/>
                <w:spacing w:val="0"/>
                <w:w w:val="100"/>
                <w:position w:val="0"/>
                <w:sz w:val="18"/>
                <w:szCs w:val="18"/>
              </w:rPr>
              <w:t>（JT-KW）</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2021 3 0081620.3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便携式可燃气体探测器</w:t>
            </w:r>
            <w:r>
              <w:rPr>
                <w:color w:val="000000"/>
                <w:spacing w:val="0"/>
                <w:w w:val="100"/>
                <w:position w:val="0"/>
                <w:sz w:val="18"/>
                <w:szCs w:val="18"/>
              </w:rPr>
              <w:t>（BT-JL270）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2021 2 0757187.5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一种多气体检测和感烟复合测量装置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2021 3 0227775.3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手持激光气体遥测仪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2021 3 0362920.9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水质多参数在线检测仪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2021 3 0545659.6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独立式感烟火灾探测报警器</w:t>
            </w:r>
            <w:r>
              <w:rPr>
                <w:color w:val="000000"/>
                <w:spacing w:val="0"/>
                <w:w w:val="100"/>
                <w:position w:val="0"/>
                <w:sz w:val="18"/>
                <w:szCs w:val="18"/>
              </w:rPr>
              <w:t>（YB033）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2021 3 0545668.5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独立式感烟火灾探测报警器</w:t>
            </w:r>
            <w:r>
              <w:rPr>
                <w:color w:val="000000"/>
                <w:spacing w:val="0"/>
                <w:w w:val="100"/>
                <w:position w:val="0"/>
                <w:sz w:val="18"/>
                <w:szCs w:val="18"/>
              </w:rPr>
              <w:t>（YB032）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2021 3 0545652.4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酒精检测仪</w:t>
            </w:r>
            <w:r>
              <w:rPr>
                <w:color w:val="000000"/>
                <w:spacing w:val="0"/>
                <w:w w:val="100"/>
                <w:position w:val="0"/>
                <w:sz w:val="18"/>
                <w:szCs w:val="18"/>
              </w:rPr>
              <w:t>（AT9000）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2020 2 </w:t>
            </w:r>
            <w:r>
              <w:rPr>
                <w:color w:val="000000"/>
                <w:spacing w:val="0"/>
                <w:w w:val="100"/>
                <w:position w:val="0"/>
                <w:sz w:val="18"/>
                <w:szCs w:val="18"/>
              </w:rPr>
              <w:t>2789381.X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一种有限空间安全作业在线监控预警系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汉威智慧安 全</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2021 2 </w:t>
            </w:r>
            <w:r>
              <w:rPr>
                <w:color w:val="000000"/>
                <w:spacing w:val="0"/>
                <w:w w:val="100"/>
                <w:position w:val="0"/>
                <w:sz w:val="18"/>
                <w:szCs w:val="18"/>
              </w:rPr>
              <w:t>1388763.X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一种气体浓度智能检测装置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汉威智慧安 全</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2021 2 1093342.4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一种天然气泄露智能告警装置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汉威智慧消 防</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2021 2 1540431.9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一种消防用火灾探测报警装置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汉威智慧消 防</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2021 2 112873.2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便于安装的家用消防监控装置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汉威智慧消 防</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2021 2 0161407.8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一种空气检测传感器装置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上海英吉森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2021 2 0161417.1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一种室内气体检测传感器装置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上海英吉森</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2018 1 1389232.5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一种用于地下密闭空间的沼气天然气智 能判别系统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畅威物联网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2020 2 2832183.7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用于打印机的新型空气质量检测装置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畅威物联网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2020 2 3158342.6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一种智能家用燃气报警器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畅威物联网</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2021 2 0156392.6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用于窨井的新型液位传送器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畅威物联网</w:t>
            </w:r>
          </w:p>
        </w:tc>
      </w:tr>
    </w:tbl>
    <w:p>
      <w:pPr>
        <w:spacing w:lineRule="exact" w:line="1"/>
        <w:rPr>
          <w:sz w:val="2"/>
          <w:szCs w:val="2"/>
        </w:rPr>
      </w:pPr>
      <w:r>
        <w:br w:type="page"/>
      </w:r>
    </w:p>
    <w:tbl>
      <w:tblPr>
        <w:tblOverlap w:val="never"/>
        <w:jc w:val="center"/>
        <w:tblLayout w:type="fixed"/>
      </w:tblPr>
      <w:tblGrid>
        <w:gridCol w:w="437"/>
        <w:gridCol w:w="1891"/>
        <w:gridCol w:w="3178"/>
        <w:gridCol w:w="960"/>
        <w:gridCol w:w="1094"/>
        <w:gridCol w:w="1037"/>
        <w:gridCol w:w="105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2021 3 </w:t>
            </w:r>
            <w:r>
              <w:rPr>
                <w:color w:val="000000"/>
                <w:spacing w:val="0"/>
                <w:w w:val="100"/>
                <w:position w:val="0"/>
                <w:sz w:val="18"/>
                <w:szCs w:val="18"/>
              </w:rPr>
              <w:t xml:space="preserve">034446.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可燃气体探测器（家用</w:t>
            </w:r>
            <w:r>
              <w:rPr>
                <w:color w:val="000000"/>
                <w:spacing w:val="0"/>
                <w:w w:val="100"/>
                <w:position w:val="0"/>
                <w:sz w:val="18"/>
                <w:szCs w:val="18"/>
              </w:rPr>
              <w:t>JT-KBR2）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威果科技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2021 2 </w:t>
            </w:r>
            <w:r>
              <w:rPr>
                <w:color w:val="000000"/>
                <w:spacing w:val="0"/>
                <w:w w:val="100"/>
                <w:position w:val="0"/>
                <w:sz w:val="18"/>
                <w:szCs w:val="18"/>
              </w:rPr>
              <w:t xml:space="preserve">061561. </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一种医疗环境监测设备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威果科技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2021 2 </w:t>
            </w:r>
            <w:r>
              <w:rPr>
                <w:color w:val="000000"/>
                <w:spacing w:val="0"/>
                <w:w w:val="100"/>
                <w:position w:val="0"/>
                <w:sz w:val="18"/>
                <w:szCs w:val="18"/>
              </w:rPr>
              <w:t xml:space="preserve">061554.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家居智慧安防探测感应装置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威果科技</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2019 1 </w:t>
            </w:r>
            <w:r>
              <w:rPr>
                <w:color w:val="000000"/>
                <w:spacing w:val="0"/>
                <w:w w:val="100"/>
                <w:position w:val="0"/>
                <w:sz w:val="18"/>
                <w:szCs w:val="18"/>
              </w:rPr>
              <w:t xml:space="preserve">0290284. </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污水处理厂及其设备运维一体化现场安 全管控方法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广东龙泉</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2020 2 </w:t>
            </w:r>
            <w:r>
              <w:rPr>
                <w:color w:val="000000"/>
                <w:spacing w:val="0"/>
                <w:w w:val="100"/>
                <w:position w:val="0"/>
                <w:sz w:val="18"/>
                <w:szCs w:val="18"/>
              </w:rPr>
              <w:t>2881139.5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一种</w:t>
            </w:r>
            <w:r>
              <w:rPr>
                <w:color w:val="000000"/>
                <w:spacing w:val="0"/>
                <w:w w:val="100"/>
                <w:position w:val="0"/>
                <w:sz w:val="18"/>
                <w:szCs w:val="18"/>
              </w:rPr>
              <w:t>VOC s</w:t>
            </w:r>
            <w:r>
              <w:rPr>
                <w:color w:val="000000"/>
                <w:spacing w:val="0"/>
                <w:w w:val="100"/>
                <w:position w:val="0"/>
                <w:sz w:val="18"/>
                <w:szCs w:val="18"/>
              </w:rPr>
              <w:t>监测装置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实用新型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德析检测</w:t>
            </w:r>
          </w:p>
        </w:tc>
      </w:tr>
    </w:tbl>
    <w:p>
      <w:pPr>
        <w:widowControl w:val="0"/>
        <w:spacing w:after="119" w:line="1" w:lineRule="exact"/>
      </w:pPr>
    </w:p>
    <w:p>
      <w:pPr>
        <w:pStyle w:val="Style10"/>
        <w:keepNext w:val="0"/>
        <w:keepLines w:val="0"/>
        <w:widowControl w:val="0"/>
        <w:shd w:val="clear" w:color="auto" w:fill="auto"/>
        <w:bidi w:val="0"/>
        <w:spacing w:before="0" w:after="120" w:line="240" w:lineRule="auto"/>
        <w:ind w:left="0" w:right="0" w:firstLine="420"/>
        <w:jc w:val="left"/>
      </w:pPr>
      <w:bookmarkStart w:id="120" w:name="bookmark120"/>
      <w:r>
        <w:rPr>
          <w:b/>
          <w:bCs/>
          <w:color w:val="000000"/>
          <w:spacing w:val="0"/>
          <w:w w:val="100"/>
          <w:position w:val="0"/>
        </w:rPr>
        <w:t>2</w:t>
      </w:r>
      <w:bookmarkEnd w:id="120"/>
      <w:r>
        <w:rPr>
          <w:b/>
          <w:bCs/>
          <w:color w:val="000000"/>
          <w:spacing w:val="0"/>
          <w:w w:val="100"/>
          <w:position w:val="0"/>
        </w:rPr>
        <w:t>、报告期内，公司及子公司新增的部分软件著作权证书如下:</w:t>
      </w:r>
    </w:p>
    <w:tbl>
      <w:tblPr>
        <w:tblOverlap w:val="never"/>
        <w:jc w:val="center"/>
        <w:tblLayout w:type="fixed"/>
      </w:tblPr>
      <w:tblGrid>
        <w:gridCol w:w="432"/>
        <w:gridCol w:w="3413"/>
        <w:gridCol w:w="1421"/>
        <w:gridCol w:w="1070"/>
        <w:gridCol w:w="1094"/>
        <w:gridCol w:w="960"/>
        <w:gridCol w:w="1253"/>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著作权名称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著作权登记号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登记日期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权利范围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取得方式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著作权人</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汉威云台扫描式激光气体泄漏在线监测平 台［简称：云台扫描监测预警平台</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2021SR1647897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汉威智慧安全</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汉威企业受限空间全周期在线监测预警管 理系统［简称：受限空间作业监控系统</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2021SR1647953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汉威智慧安全</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汉威物联网安全风险监测预警管理云平台 ［简称：安全监测预警云平台</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2021SR1647896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汉威智慧安全</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汉威应急救援与指挥调度综合管理平台［简 称：园区应急指挥系统</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2021SR1648087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汉威智慧安全</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汉威智慧化工园区封闭化管理系统［简称： 园区封闭管控系统</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2021SR1648262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汉威智慧安全</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酒精测试仪数据管理系统【简称：</w:t>
            </w:r>
            <w:r>
              <w:rPr>
                <w:color w:val="000000"/>
                <w:spacing w:val="0"/>
                <w:w w:val="100"/>
                <w:position w:val="0"/>
                <w:sz w:val="18"/>
                <w:szCs w:val="18"/>
              </w:rPr>
              <w:t>AlcoExt</w:t>
            </w:r>
            <w:r>
              <w:rPr>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2021SR1770981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网格化水质单片机控制程序软件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2021SR1798863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汉威科技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智慧消防运维服务保障管理平台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2021SR0937575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汉威智慧消防</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智慧消防隐患防控管理系统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2021SR0936201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汉威智慧消防</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智慧消防可燃气体监控管轻应用平台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2021SR0936017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汉威智慧消防</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智慧消防水系统轻应用平台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2021SR0936232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汉威智慧消防</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智慧消防警情作战指挥平台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2021SR0936202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汉威智慧消防</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高标准农田机井巡查管理系统（移动端）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2021SR1614451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汉威智慧消防</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高标准农田机井管理平台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2021SR1615384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汉威智慧消防</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智慧水厂管理平台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2021SR0406767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鞍山易兴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污水泵站生产运行监控系统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2021SR0414505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鞍山易兴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LNG</w:t>
            </w:r>
            <w:r>
              <w:rPr>
                <w:color w:val="000000"/>
                <w:spacing w:val="0"/>
                <w:w w:val="100"/>
                <w:position w:val="0"/>
                <w:sz w:val="18"/>
                <w:szCs w:val="18"/>
              </w:rPr>
              <w:t>站分析小屋联动流量计计算机软件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2021SR0414506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鞍山易兴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管网设备运维管理系统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2021SR0415936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鞍山易兴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龙泉地下管网三维地理信息管理软件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2021SR1747201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广东龙泉</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 xml:space="preserve">龙泉排水管道视频检测评估及数据管理软 件 </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2021SR1761227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广东龙泉</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龙泉智慧水务</w:t>
            </w:r>
            <w:r>
              <w:rPr>
                <w:color w:val="000000"/>
                <w:spacing w:val="0"/>
                <w:w w:val="100"/>
                <w:position w:val="0"/>
                <w:sz w:val="18"/>
                <w:szCs w:val="18"/>
              </w:rPr>
              <w:t>DMA</w:t>
            </w:r>
            <w:r>
              <w:rPr>
                <w:color w:val="000000"/>
                <w:spacing w:val="0"/>
                <w:w w:val="100"/>
                <w:position w:val="0"/>
                <w:sz w:val="18"/>
                <w:szCs w:val="18"/>
              </w:rPr>
              <w:t>计量分区管理软件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2021SR1761228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广东龙泉</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龙泉智慧水务供排净一体化管理软件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2021SR1767278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广东龙泉</w:t>
            </w:r>
          </w:p>
        </w:tc>
      </w:tr>
      <w:tr>
        <w:trPr>
          <w:trHeight w:val="6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龙泉智慧水务农村供排水运营管理软件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2021SR1742122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广东龙泉</w:t>
            </w:r>
          </w:p>
        </w:tc>
      </w:tr>
    </w:tbl>
    <w:p>
      <w:pPr>
        <w:spacing w:lineRule="exact" w:line="1"/>
        <w:rPr>
          <w:sz w:val="2"/>
          <w:szCs w:val="2"/>
        </w:rPr>
      </w:pPr>
      <w:r>
        <w:br w:type="page"/>
      </w:r>
    </w:p>
    <w:tbl>
      <w:tblPr>
        <w:tblOverlap w:val="never"/>
        <w:jc w:val="center"/>
        <w:tblLayout w:type="fixed"/>
      </w:tblPr>
      <w:tblGrid>
        <w:gridCol w:w="432"/>
        <w:gridCol w:w="3413"/>
        <w:gridCol w:w="1421"/>
        <w:gridCol w:w="1070"/>
        <w:gridCol w:w="1094"/>
        <w:gridCol w:w="960"/>
        <w:gridCol w:w="1253"/>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龙泉智慧水务排水管网综合治理管理软件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2021SR1767353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广东龙泉</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龙泉智慧水务应急调度及指挥管理软件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2021SR1751608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8"/>
                <w:szCs w:val="18"/>
              </w:rPr>
            </w:pPr>
            <w:r>
              <w:rPr>
                <w:color w:val="000000"/>
                <w:spacing w:val="0"/>
                <w:w w:val="100"/>
                <w:position w:val="0"/>
                <w:sz w:val="18"/>
                <w:szCs w:val="18"/>
              </w:rPr>
              <w:t>广东龙泉</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龙泉安全生产监管平台软件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2021SR2060255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广东龙泉</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龙泉饮用水水源地水质监测管理软件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2021SR2060275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广东龙泉</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龙泉智慧流域管理软件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2021SR2063112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广东龙泉</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龙泉智慧农污管理软件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2021SR2060203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广东龙泉</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龙泉智慧水质监测管理软件 </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2021SR2060258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广东龙泉</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雪城“一站式“运维服务管控平台</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2021SR1071770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雪城软件</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雪城智慧环保平台</w:t>
            </w:r>
            <w:r>
              <w:rPr>
                <w:color w:val="000000"/>
                <w:spacing w:val="0"/>
                <w:w w:val="100"/>
                <w:position w:val="0"/>
                <w:sz w:val="18"/>
                <w:szCs w:val="18"/>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2021SR1319434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雪城软件</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重污染天气应急管控平台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2021SR1509214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雪城软件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雪城基于服务管理、数据管理的可视化大屏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通用展示平台</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2021SR1509215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雪城软件</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COD</w:t>
            </w:r>
            <w:r>
              <w:rPr>
                <w:color w:val="000000"/>
                <w:spacing w:val="0"/>
                <w:w w:val="100"/>
                <w:position w:val="0"/>
                <w:sz w:val="18"/>
                <w:szCs w:val="18"/>
              </w:rPr>
              <w:t>在线监测控制软件［简称：</w:t>
            </w:r>
            <w:r>
              <w:rPr>
                <w:color w:val="000000"/>
                <w:spacing w:val="0"/>
                <w:w w:val="100"/>
                <w:position w:val="0"/>
                <w:sz w:val="18"/>
                <w:szCs w:val="18"/>
              </w:rPr>
              <w:t>COD</w:t>
            </w:r>
            <w:r>
              <w:rPr>
                <w:color w:val="000000"/>
                <w:spacing w:val="0"/>
                <w:w w:val="100"/>
                <w:position w:val="0"/>
                <w:sz w:val="18"/>
                <w:szCs w:val="18"/>
              </w:rPr>
              <w:t>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2021SR2025425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沈阳汉威</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氨氮在线监测控制软件［简称：氨氮软 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2021SR2025424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沈阳汉威</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总氮在线监测控制软件［简称：总氮软 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2021SR2025423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沈阳汉威</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总磷在线监测控制软件［简称：总磷软 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2021SR2025410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沈阳汉威</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六价铭在线监测控制软件［简称：六价铭软 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2021SR2025408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沈阳汉威</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总铭在线监测控制软件［简称：总铭软 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2021SR2025411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沈阳汉威</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嘉园环保智慧运营平台系统［智慧环保运营 平台</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2021SR0226728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嘉园环保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疫情监控系统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2021SR0533360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威果科技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疫情监控平台（客户端）</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2021SR0533342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威果科技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医疗环境物联网管理服务平台</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2021SR0533341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威果科技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家居智慧消防物联网终端管理平台</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2021SR0556964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威果科技</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威果空气质量检测仪</w:t>
            </w:r>
            <w:r>
              <w:rPr>
                <w:color w:val="000000"/>
                <w:spacing w:val="0"/>
                <w:w w:val="100"/>
                <w:position w:val="0"/>
                <w:sz w:val="18"/>
                <w:szCs w:val="18"/>
              </w:rPr>
              <w:t>A2</w:t>
            </w:r>
            <w:r>
              <w:rPr>
                <w:color w:val="000000"/>
                <w:spacing w:val="0"/>
                <w:w w:val="100"/>
                <w:position w:val="0"/>
                <w:sz w:val="18"/>
                <w:szCs w:val="18"/>
              </w:rPr>
              <w:t>家居智能连接控制 系统</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2021SR1814956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威果科技</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威果空气质量检测仪</w:t>
            </w:r>
            <w:r>
              <w:rPr>
                <w:color w:val="000000"/>
                <w:spacing w:val="0"/>
                <w:w w:val="100"/>
                <w:position w:val="0"/>
                <w:sz w:val="18"/>
                <w:szCs w:val="18"/>
              </w:rPr>
              <w:t>A6</w:t>
            </w:r>
            <w:r>
              <w:rPr>
                <w:color w:val="000000"/>
                <w:spacing w:val="0"/>
                <w:w w:val="100"/>
                <w:position w:val="0"/>
                <w:sz w:val="18"/>
                <w:szCs w:val="18"/>
              </w:rPr>
              <w:t>家居智能连接服务 运维平台</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2021SR1815001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威果科技</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威果空气质量检测仪</w:t>
            </w:r>
            <w:r>
              <w:rPr>
                <w:color w:val="000000"/>
                <w:spacing w:val="0"/>
                <w:w w:val="100"/>
                <w:position w:val="0"/>
                <w:sz w:val="18"/>
                <w:szCs w:val="18"/>
              </w:rPr>
              <w:t>A8</w:t>
            </w:r>
            <w:r>
              <w:rPr>
                <w:color w:val="000000"/>
                <w:spacing w:val="0"/>
                <w:w w:val="100"/>
                <w:position w:val="0"/>
                <w:sz w:val="18"/>
                <w:szCs w:val="18"/>
              </w:rPr>
              <w:t>家居智能系统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2021SR1815000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全部权利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原始取得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威果科技</w:t>
            </w:r>
          </w:p>
        </w:tc>
      </w:tr>
    </w:tbl>
    <w:p>
      <w:pPr>
        <w:widowControl w:val="0"/>
        <w:spacing w:after="99" w:line="1" w:lineRule="exact"/>
      </w:pPr>
    </w:p>
    <w:p>
      <w:pPr>
        <w:pStyle w:val="Style10"/>
        <w:keepNext w:val="0"/>
        <w:keepLines w:val="0"/>
        <w:widowControl w:val="0"/>
        <w:shd w:val="clear" w:color="auto" w:fill="auto"/>
        <w:bidi w:val="0"/>
        <w:spacing w:before="0" w:after="0" w:line="240" w:lineRule="auto"/>
        <w:ind w:left="0" w:right="0" w:firstLine="440"/>
        <w:jc w:val="left"/>
      </w:pPr>
      <w:bookmarkStart w:id="121" w:name="bookmark121"/>
      <w:r>
        <w:rPr>
          <w:b/>
          <w:bCs/>
          <w:color w:val="000000"/>
          <w:spacing w:val="0"/>
          <w:w w:val="100"/>
          <w:position w:val="0"/>
        </w:rPr>
        <w:t>（</w:t>
      </w:r>
      <w:bookmarkEnd w:id="121"/>
      <w:r>
        <w:rPr>
          <w:b/>
          <w:bCs/>
          <w:color w:val="000000"/>
          <w:spacing w:val="0"/>
          <w:w w:val="100"/>
          <w:position w:val="0"/>
        </w:rPr>
        <w:t>三）品牌优势</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公司布局物联网行业多年，始终注重品牌发展战略，“汉威”商标被评为“中国驰名商标”，具有广泛 的社会知名度与影响力，并荣获“省长质量奖”，质量管理水平和自主创新能力在国内同行业处于领先地 位。作为行业知名企业，公司持续积极利用学术会议和社会组织资源，不断提升品牌传播效果，进一步提 </w:t>
      </w:r>
      <w:r>
        <w:rPr>
          <w:color w:val="000000"/>
          <w:spacing w:val="0"/>
          <w:w w:val="100"/>
          <w:position w:val="0"/>
        </w:rPr>
        <w:t>升行业影响力。同时，公司参加了大量国内外具有重大影响力的行业展会，宣传公司产品和品牌，提升品 牌知名度，市场开拓能力显著增强，实现了品牌创造市场、联合市场和巩固市场的功能，汉威品牌影响力 不断提升。随着国家对传感器产业重视程度不断提升</w:t>
      </w:r>
      <w:r>
        <w:rPr>
          <w:b/>
          <w:bCs/>
          <w:color w:val="000000"/>
          <w:spacing w:val="0"/>
          <w:w w:val="100"/>
          <w:position w:val="0"/>
        </w:rPr>
        <w:t>，</w:t>
      </w:r>
      <w:r>
        <w:rPr>
          <w:color w:val="000000"/>
          <w:spacing w:val="0"/>
          <w:w w:val="100"/>
          <w:position w:val="0"/>
        </w:rPr>
        <w:t>以及公司通过多年来在行业内的深耕细作，公司的传 感器产业价值链进一步提升。</w:t>
      </w:r>
    </w:p>
    <w:p>
      <w:pPr>
        <w:pStyle w:val="Style10"/>
        <w:keepNext w:val="0"/>
        <w:keepLines w:val="0"/>
        <w:widowControl w:val="0"/>
        <w:shd w:val="clear" w:color="auto" w:fill="auto"/>
        <w:bidi w:val="0"/>
        <w:spacing w:before="0" w:after="0" w:line="468" w:lineRule="exact"/>
        <w:ind w:left="0" w:right="0" w:firstLine="440"/>
        <w:jc w:val="both"/>
      </w:pPr>
      <w:bookmarkStart w:id="122" w:name="bookmark122"/>
      <w:r>
        <w:rPr>
          <w:b/>
          <w:bCs/>
          <w:color w:val="000000"/>
          <w:spacing w:val="0"/>
          <w:w w:val="100"/>
          <w:position w:val="0"/>
        </w:rPr>
        <w:t>（</w:t>
      </w:r>
      <w:bookmarkEnd w:id="122"/>
      <w:r>
        <w:rPr>
          <w:b/>
          <w:bCs/>
          <w:color w:val="000000"/>
          <w:spacing w:val="0"/>
          <w:w w:val="100"/>
          <w:position w:val="0"/>
        </w:rPr>
        <w:t>四）人才队伍优势</w:t>
      </w:r>
    </w:p>
    <w:p>
      <w:pPr>
        <w:pStyle w:val="Style10"/>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公司多年来全面实施“人才强企”战略，注重人才队伍建设，拥有一批具有多年业务技术经验、年富 力强的管理人员、工程师队伍、技术专家和业务专家，并充分发挥他们的管理经验、技术能力和聪明才智， 鼓励他们开展技术创新和管理实践，使公司在实现管理提升、技术进步和强化竞争力等方面得到长足进步。 同时，公司大力推进管理队伍年轻化，鼓励更多的年轻员工走向管理岗位，最终打造出一支素质过硬的管 理、技术、专业人才梯队，成为公司核心竞争力的必要保证。</w:t>
      </w:r>
    </w:p>
    <w:p>
      <w:pPr>
        <w:pStyle w:val="Style19"/>
        <w:keepNext/>
        <w:keepLines/>
        <w:widowControl w:val="0"/>
        <w:shd w:val="clear" w:color="auto" w:fill="auto"/>
        <w:bidi w:val="0"/>
        <w:spacing w:before="0" w:after="36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sz w:val="24"/>
          <w:szCs w:val="24"/>
        </w:rPr>
        <w:t>四</w:t>
      </w:r>
      <w:bookmarkEnd w:id="125"/>
      <w:r>
        <w:rPr>
          <w:color w:val="000000"/>
          <w:spacing w:val="0"/>
          <w:w w:val="100"/>
          <w:position w:val="0"/>
          <w:sz w:val="24"/>
          <w:szCs w:val="24"/>
        </w:rPr>
        <w:t>、主营业务分析</w:t>
      </w:r>
      <w:bookmarkEnd w:id="123"/>
      <w:bookmarkEnd w:id="124"/>
      <w:bookmarkEnd w:id="126"/>
    </w:p>
    <w:p>
      <w:pPr>
        <w:pStyle w:val="Style28"/>
        <w:keepNext/>
        <w:keepLines/>
        <w:widowControl w:val="0"/>
        <w:shd w:val="clear" w:color="auto" w:fill="auto"/>
        <w:tabs>
          <w:tab w:pos="368" w:val="left"/>
        </w:tabs>
        <w:bidi w:val="0"/>
        <w:spacing w:before="0" w:after="140" w:line="480" w:lineRule="auto"/>
        <w:ind w:left="0" w:right="0" w:firstLine="0"/>
        <w:jc w:val="left"/>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1</w:t>
      </w:r>
      <w:bookmarkEnd w:id="129"/>
      <w:r>
        <w:rPr>
          <w:color w:val="000000"/>
          <w:spacing w:val="0"/>
          <w:w w:val="100"/>
          <w:position w:val="0"/>
        </w:rPr>
        <w:t>、</w:t>
        <w:tab/>
        <w:t>概述</w:t>
      </w:r>
      <w:bookmarkEnd w:id="127"/>
      <w:bookmarkEnd w:id="128"/>
      <w:bookmarkEnd w:id="130"/>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参见第三节“管理层讨论与分析”中的“二、报告期内公司从事的主要业务”相关内容。</w:t>
      </w:r>
    </w:p>
    <w:p>
      <w:pPr>
        <w:pStyle w:val="Style28"/>
        <w:keepNext/>
        <w:keepLines/>
        <w:widowControl w:val="0"/>
        <w:shd w:val="clear" w:color="auto" w:fill="auto"/>
        <w:tabs>
          <w:tab w:pos="378" w:val="left"/>
        </w:tabs>
        <w:bidi w:val="0"/>
        <w:spacing w:before="0" w:after="0" w:line="480" w:lineRule="auto"/>
        <w:ind w:left="0" w:right="0" w:firstLine="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2</w:t>
      </w:r>
      <w:bookmarkEnd w:id="133"/>
      <w:r>
        <w:rPr>
          <w:color w:val="000000"/>
          <w:spacing w:val="0"/>
          <w:w w:val="100"/>
          <w:position w:val="0"/>
        </w:rPr>
        <w:t>、</w:t>
        <w:tab/>
        <w:t>收入与成本</w:t>
      </w:r>
      <w:bookmarkEnd w:id="131"/>
      <w:bookmarkEnd w:id="132"/>
      <w:bookmarkEnd w:id="134"/>
    </w:p>
    <w:p>
      <w:pPr>
        <w:pStyle w:val="Style201"/>
        <w:keepNext/>
        <w:keepLines/>
        <w:widowControl w:val="0"/>
        <w:shd w:val="clear" w:color="auto" w:fill="auto"/>
        <w:bidi w:val="0"/>
        <w:spacing w:before="0" w:after="360" w:line="468" w:lineRule="exact"/>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5"/>
      <w:bookmarkEnd w:id="136"/>
      <w:bookmarkEnd w:id="13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营业收入整体情况</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574"/>
        <w:gridCol w:w="1546"/>
        <w:gridCol w:w="1526"/>
        <w:gridCol w:w="1651"/>
        <w:gridCol w:w="108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2,316,212,044.89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1,941,168,910.89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19.32%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物联网行业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2,316,212,044.89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1,941,168,910.89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19.32%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276,927,015.00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321,005,483.74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智能仪表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560,696,082.63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366,322,767.26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物联网综合解决方案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683,880,928.02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582,428,823.15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公用事业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755,454,063.85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636,571,002.69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39,253,955.39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34,840,834.05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12.67%</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分行业应用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98"/>
        <w:gridCol w:w="1574"/>
        <w:gridCol w:w="1546"/>
        <w:gridCol w:w="1526"/>
        <w:gridCol w:w="1651"/>
        <w:gridCol w:w="108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276,927,015.00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321,005,483.74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智慧安全系统解决方案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389,971,424.73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268,198,747.47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智慧环保系统解决方案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410,717,595.23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403,461,429.65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智慧城市系统解决方案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443,887,990.69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277,091,413.29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公用事业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755,454,063.85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636,571,002.69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39,253,955.39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34,840,834.05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12.67%</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2,220,605,405.71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1,852,290,116.57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95,606,639.18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88,878,794.32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7.57%</w:t>
            </w:r>
          </w:p>
        </w:tc>
      </w:tr>
      <w:tr>
        <w:trPr>
          <w:trHeight w:val="408" w:hRule="exact"/>
        </w:trPr>
        <w:tc>
          <w:tcPr>
            <w:gridSpan w:val="6"/>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分销售模式</w:t>
            </w:r>
          </w:p>
        </w:tc>
      </w:tr>
    </w:tbl>
    <w:p>
      <w:pPr>
        <w:widowControl w:val="0"/>
        <w:spacing w:after="299" w:line="1" w:lineRule="exact"/>
      </w:pPr>
    </w:p>
    <w:p>
      <w:pPr>
        <w:pStyle w:val="Style201"/>
        <w:keepNext/>
        <w:keepLines/>
        <w:widowControl w:val="0"/>
        <w:numPr>
          <w:ilvl w:val="0"/>
          <w:numId w:val="7"/>
        </w:numPr>
        <w:shd w:val="clear" w:color="auto" w:fill="auto"/>
        <w:bidi w:val="0"/>
        <w:spacing w:before="0" w:line="240" w:lineRule="auto"/>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39"/>
      <w:bookmarkEnd w:id="140"/>
      <w:bookmarkEnd w:id="14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666"/>
        <w:gridCol w:w="1531"/>
        <w:gridCol w:w="974"/>
        <w:gridCol w:w="1349"/>
        <w:gridCol w:w="1382"/>
        <w:gridCol w:w="1224"/>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毛利率比上</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物联网行业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2,316,212,044.89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1,540,883,487.50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276,927,015.00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166,660,697.86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智能仪表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560,696,082.63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307,612,603.91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物联网综合解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683,880,928.02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480,765,704.13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公用事业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755,454,063.85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565,941,568.18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276,927,015.00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166,660,697.86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智慧安全系统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389,971,424.73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193,930,267.09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智慧环保系统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410,717,595.23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305,573,560.10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智慧城市系统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443,887,990.69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288,874,480.85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公用事业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755,454,063.85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565,941,568.18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2,220,605,405.71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1,489,146,402.24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0.46%</w:t>
            </w:r>
          </w:p>
        </w:tc>
      </w:tr>
    </w:tbl>
    <w:p>
      <w:pPr>
        <w:spacing w:lineRule="exact" w:line="1"/>
        <w:rPr>
          <w:sz w:val="2"/>
          <w:szCs w:val="2"/>
        </w:rPr>
      </w:pPr>
      <w:r>
        <w:br w:type="page"/>
      </w:r>
    </w:p>
    <w:p>
      <w:pPr>
        <w:pStyle w:val="Style24"/>
        <w:keepNext w:val="0"/>
        <w:keepLines w:val="0"/>
        <w:widowControl w:val="0"/>
        <w:pBdr>
          <w:top w:val="single" w:sz="0" w:space="1" w:color="D3D3D3"/>
          <w:left w:val="single" w:sz="0" w:space="0" w:color="D3D3D3"/>
          <w:bottom w:val="single" w:sz="0" w:space="7" w:color="D3D3D3"/>
          <w:right w:val="single" w:sz="0" w:space="0" w:color="D3D3D3"/>
        </w:pBdr>
        <w:shd w:val="clear" w:color="auto" w:fill="D3D3D3"/>
        <w:bidi w:val="0"/>
        <w:spacing w:before="0" w:after="10" w:line="240" w:lineRule="auto"/>
        <w:ind w:left="0" w:right="0" w:firstLine="0"/>
        <w:jc w:val="left"/>
      </w:pPr>
      <w:r>
        <w:rPr>
          <w:color w:val="000000"/>
          <w:spacing w:val="0"/>
          <w:w w:val="100"/>
          <w:position w:val="0"/>
        </w:rPr>
        <w:t>分销售模式</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680"/>
        <w:gridCol w:w="1603"/>
        <w:gridCol w:w="989"/>
        <w:gridCol w:w="1354"/>
        <w:gridCol w:w="1349"/>
        <w:gridCol w:w="1234"/>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毛利率比上</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物联网行业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1,941,168,910.89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1,291,528,680.16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2.06%</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321,005,483.74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165,293,377.15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智能仪表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366,322,767.26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197,236,004.26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-0.43%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物联网综合解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582,428,823.15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414,708,924.69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公用事业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636,571,002.69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494,842,871.64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321,005,483.74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165,293,377.15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智慧安全系统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268,198,747.47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138,148,069.80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智慧环保系统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403,461,429.65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292,115,942.44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智慧城市系统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277,091,413.29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181,680,916.70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公用事业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636,571,002.69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494,842,871.64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-0.85%</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1,852,290,116.57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1,250,629,892.13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分销售模式</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变更口径的理由</w:t>
      </w:r>
    </w:p>
    <w:p>
      <w:pPr>
        <w:pStyle w:val="Style1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报告期内，为了更好的体现公司业务板块与应用领域的契合度，便于投资者更好的理解公司的业务构 成及板块分类，并保持历年财务数据的可比性，公司将“分产品”下的原物联网系统解决方案中的公用事 业业务单独列示，与“传感器”、“智能仪表”、“物联网综合解决方案”并列；将“分行业应用”中的“智 慧公用系统解决方案”更名为“公用事业”单独列示。“公用事业”主要包含汉威公用、汉威智源等子公 司，与原“智慧公用系统解决方案”统计口径一致。</w:t>
      </w:r>
    </w:p>
    <w:p>
      <w:pPr>
        <w:pStyle w:val="Style201"/>
        <w:keepNext/>
        <w:keepLines/>
        <w:widowControl w:val="0"/>
        <w:numPr>
          <w:ilvl w:val="0"/>
          <w:numId w:val="7"/>
        </w:numPr>
        <w:shd w:val="clear" w:color="auto" w:fill="auto"/>
        <w:bidi w:val="0"/>
        <w:spacing w:before="0" w:line="467" w:lineRule="exact"/>
        <w:ind w:left="0" w:right="0" w:firstLine="0"/>
        <w:jc w:val="both"/>
      </w:pPr>
      <w:bookmarkStart w:id="143" w:name="bookmark143"/>
      <w:bookmarkStart w:id="144" w:name="bookmark144"/>
      <w:bookmarkStart w:id="145" w:name="bookmark145"/>
      <w:bookmarkStart w:id="146" w:name="bookmark146"/>
      <w:bookmarkEnd w:id="145"/>
      <w:r>
        <w:rPr>
          <w:color w:val="000000"/>
          <w:spacing w:val="0"/>
          <w:w w:val="100"/>
          <w:position w:val="0"/>
        </w:rPr>
        <w:t>公司实物销售收入是否大于劳务收入</w:t>
      </w:r>
      <w:bookmarkEnd w:id="143"/>
      <w:bookmarkEnd w:id="144"/>
      <w:bookmarkEnd w:id="146"/>
    </w:p>
    <w:p>
      <w:pPr>
        <w:pStyle w:val="Style24"/>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口是"否</w:t>
      </w:r>
      <w:r>
        <w:br w:type="page"/>
      </w:r>
    </w:p>
    <w:p>
      <w:pPr>
        <w:pStyle w:val="Style201"/>
        <w:keepNext/>
        <w:keepLines/>
        <w:widowControl w:val="0"/>
        <w:shd w:val="clear" w:color="auto" w:fill="auto"/>
        <w:tabs>
          <w:tab w:pos="493" w:val="left"/>
        </w:tabs>
        <w:bidi w:val="0"/>
        <w:spacing w:before="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47"/>
      <w:bookmarkEnd w:id="148"/>
      <w:bookmarkEnd w:id="150"/>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01"/>
        <w:keepNext/>
        <w:keepLines/>
        <w:widowControl w:val="0"/>
        <w:shd w:val="clear" w:color="auto" w:fill="auto"/>
        <w:tabs>
          <w:tab w:pos="493" w:val="left"/>
        </w:tabs>
        <w:bidi w:val="0"/>
        <w:spacing w:before="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51"/>
      <w:bookmarkEnd w:id="152"/>
      <w:bookmarkEnd w:id="154"/>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229"/>
        <w:gridCol w:w="974"/>
        <w:gridCol w:w="1546"/>
        <w:gridCol w:w="1488"/>
        <w:gridCol w:w="1603"/>
        <w:gridCol w:w="1622"/>
        <w:gridCol w:w="111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物联网行业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1,095,422,099.49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898,577,301.25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物联网行业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138,283,973.64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126,219,363.39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物联网行业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劳务成本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307,177,414.37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266,732,015.52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-0.71%</w:t>
            </w:r>
          </w:p>
        </w:tc>
      </w:tr>
    </w:tbl>
    <w:p>
      <w:pPr>
        <w:widowControl w:val="0"/>
        <w:spacing w:after="299" w:line="1" w:lineRule="exact"/>
      </w:pPr>
    </w:p>
    <w:p>
      <w:pPr>
        <w:pStyle w:val="Style201"/>
        <w:keepNext/>
        <w:keepLines/>
        <w:widowControl w:val="0"/>
        <w:shd w:val="clear" w:color="auto" w:fill="auto"/>
        <w:tabs>
          <w:tab w:pos="493" w:val="left"/>
        </w:tabs>
        <w:bidi w:val="0"/>
        <w:spacing w:before="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5"/>
      <w:bookmarkEnd w:id="156"/>
      <w:bookmarkEnd w:id="158"/>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”是□否</w:t>
      </w:r>
    </w:p>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报告期内合并范围新增</w:t>
      </w:r>
      <w:r>
        <w:rPr>
          <w:color w:val="000000"/>
          <w:spacing w:val="0"/>
          <w:w w:val="100"/>
          <w:position w:val="0"/>
        </w:rPr>
        <w:t>2</w:t>
      </w:r>
      <w:r>
        <w:rPr>
          <w:color w:val="000000"/>
          <w:spacing w:val="0"/>
          <w:w w:val="100"/>
          <w:position w:val="0"/>
        </w:rPr>
        <w:t>家，为深圳汉威和苏州柔智。</w:t>
      </w:r>
    </w:p>
    <w:p>
      <w:pPr>
        <w:pStyle w:val="Style201"/>
        <w:keepNext/>
        <w:keepLines/>
        <w:widowControl w:val="0"/>
        <w:shd w:val="clear" w:color="auto" w:fill="auto"/>
        <w:tabs>
          <w:tab w:pos="493" w:val="left"/>
        </w:tabs>
        <w:bidi w:val="0"/>
        <w:spacing w:before="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w:t>
      </w:r>
      <w:bookmarkEnd w:id="16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9"/>
      <w:bookmarkEnd w:id="160"/>
      <w:bookmarkEnd w:id="16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01"/>
        <w:keepNext/>
        <w:keepLines/>
        <w:widowControl w:val="0"/>
        <w:shd w:val="clear" w:color="auto" w:fill="auto"/>
        <w:tabs>
          <w:tab w:pos="493" w:val="left"/>
        </w:tabs>
        <w:bidi w:val="0"/>
        <w:spacing w:before="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w:t>
      </w:r>
      <w:bookmarkEnd w:id="16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3"/>
      <w:bookmarkEnd w:id="164"/>
      <w:bookmarkEnd w:id="166"/>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800"/>
        <w:gridCol w:w="478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152,989,646.12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公司前</w:t>
      </w:r>
      <w:r>
        <w:rPr>
          <w:rFonts w:ascii="Times New Roman" w:eastAsia="Times New Roman" w:hAnsi="Times New Roman" w:cs="Times New Roman"/>
          <w:b w:val="0"/>
          <w:bCs w:val="0"/>
          <w:color w:val="000000"/>
          <w:spacing w:val="0"/>
          <w:w w:val="100"/>
          <w:position w:val="0"/>
          <w:sz w:val="18"/>
          <w:szCs w:val="18"/>
        </w:rPr>
        <w:t>5</w:t>
      </w:r>
      <w:r>
        <w:rPr>
          <w:b w:val="0"/>
          <w:bCs w:val="0"/>
          <w:color w:val="000000"/>
          <w:spacing w:val="0"/>
          <w:w w:val="100"/>
          <w:position w:val="0"/>
          <w:sz w:val="18"/>
          <w:szCs w:val="18"/>
        </w:rPr>
        <w:t>大客户资料</w:t>
      </w:r>
    </w:p>
    <w:p>
      <w:pPr>
        <w:widowControl w:val="0"/>
        <w:spacing w:after="59" w:line="1" w:lineRule="exact"/>
      </w:pPr>
    </w:p>
    <w:tbl>
      <w:tblPr>
        <w:tblOverlap w:val="never"/>
        <w:jc w:val="center"/>
        <w:tblLayout w:type="fixed"/>
      </w:tblPr>
      <w:tblGrid>
        <w:gridCol w:w="806"/>
        <w:gridCol w:w="3302"/>
        <w:gridCol w:w="2323"/>
        <w:gridCol w:w="31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39,326,001.59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32,125,100.00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28,032,133.87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27,179,010.66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26,327,400.00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152,989,646.12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6.61%</w:t>
            </w:r>
          </w:p>
        </w:tc>
      </w:tr>
    </w:tbl>
    <w:p>
      <w:pPr>
        <w:pStyle w:val="Style2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主要客户其他情况说明 口适用”不适用</w:t>
      </w:r>
      <w:r>
        <w:br w:type="page"/>
      </w:r>
    </w:p>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公司主要供应商情况</w:t>
      </w:r>
    </w:p>
    <w:tbl>
      <w:tblPr>
        <w:tblOverlap w:val="never"/>
        <w:jc w:val="center"/>
        <w:tblLayout w:type="fixed"/>
      </w:tblPr>
      <w:tblGrid>
        <w:gridCol w:w="4896"/>
        <w:gridCol w:w="468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237,837,048.81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r>
    </w:tbl>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公司前</w:t>
      </w:r>
      <w:r>
        <w:rPr>
          <w:rFonts w:ascii="Times New Roman" w:eastAsia="Times New Roman" w:hAnsi="Times New Roman" w:cs="Times New Roman"/>
          <w:b w:val="0"/>
          <w:bCs w:val="0"/>
          <w:color w:val="000000"/>
          <w:spacing w:val="0"/>
          <w:w w:val="100"/>
          <w:position w:val="0"/>
          <w:sz w:val="18"/>
          <w:szCs w:val="18"/>
        </w:rPr>
        <w:t>5</w:t>
      </w:r>
      <w:r>
        <w:rPr>
          <w:b w:val="0"/>
          <w:bCs w:val="0"/>
          <w:color w:val="000000"/>
          <w:spacing w:val="0"/>
          <w:w w:val="100"/>
          <w:position w:val="0"/>
          <w:sz w:val="18"/>
          <w:szCs w:val="18"/>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114,405,247.49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61,241,973.50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4.42%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21,285,268.75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20,550,532.29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20,354,026.78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237,837,048.81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w:t>
            </w:r>
          </w:p>
        </w:tc>
      </w:tr>
    </w:tbl>
    <w:p>
      <w:pPr>
        <w:pStyle w:val="Style2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主要供应商其他情况说明 口适用”不适用</w:t>
      </w:r>
    </w:p>
    <w:p>
      <w:pPr>
        <w:pStyle w:val="Style28"/>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3</w:t>
      </w:r>
      <w:bookmarkEnd w:id="169"/>
      <w:r>
        <w:rPr>
          <w:color w:val="000000"/>
          <w:spacing w:val="0"/>
          <w:w w:val="100"/>
          <w:position w:val="0"/>
        </w:rPr>
        <w:t>、费用</w:t>
      </w:r>
      <w:bookmarkEnd w:id="167"/>
      <w:bookmarkEnd w:id="168"/>
      <w:bookmarkEnd w:id="170"/>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0"/>
        <w:gridCol w:w="1800"/>
        <w:gridCol w:w="1877"/>
        <w:gridCol w:w="207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148,889,529.95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130,457,052.73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176,171,198.78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167,734,002.20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28,435,671.75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40,575,411.97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158,052,519.31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128,509,464.12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22.99%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4</w:t>
      </w:r>
      <w:bookmarkEnd w:id="173"/>
      <w:r>
        <w:rPr>
          <w:color w:val="000000"/>
          <w:spacing w:val="0"/>
          <w:w w:val="100"/>
          <w:position w:val="0"/>
        </w:rPr>
        <w:t>、研发投入</w:t>
      </w:r>
      <w:bookmarkEnd w:id="171"/>
      <w:bookmarkEnd w:id="172"/>
      <w:bookmarkEnd w:id="174"/>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1685"/>
        <w:gridCol w:w="2894"/>
        <w:gridCol w:w="1186"/>
        <w:gridCol w:w="1382"/>
        <w:gridCol w:w="2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预计对公司未来发展的影响</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水质检测传感器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实现水质检测中</w:t>
            </w:r>
            <w:r>
              <w:rPr>
                <w:rFonts w:ascii="Times New Roman" w:eastAsia="Times New Roman" w:hAnsi="Times New Roman" w:cs="Times New Roman"/>
                <w:color w:val="000000"/>
                <w:spacing w:val="0"/>
                <w:w w:val="100"/>
                <w:position w:val="0"/>
                <w:sz w:val="18"/>
                <w:szCs w:val="18"/>
              </w:rPr>
              <w:t>pH</w:t>
            </w:r>
            <w:r>
              <w:rPr>
                <w:color w:val="000000"/>
                <w:spacing w:val="0"/>
                <w:w w:val="100"/>
                <w:position w:val="0"/>
                <w:sz w:val="18"/>
                <w:szCs w:val="18"/>
              </w:rPr>
              <w:t>传感器、余氯 传感器、氨氮传感器、</w:t>
            </w:r>
            <w:r>
              <w:rPr>
                <w:rFonts w:ascii="Times New Roman" w:eastAsia="Times New Roman" w:hAnsi="Times New Roman" w:cs="Times New Roman"/>
                <w:color w:val="000000"/>
                <w:spacing w:val="0"/>
                <w:w w:val="100"/>
                <w:position w:val="0"/>
                <w:sz w:val="18"/>
                <w:szCs w:val="18"/>
              </w:rPr>
              <w:t>ORP</w:t>
            </w:r>
            <w:r>
              <w:rPr>
                <w:color w:val="000000"/>
                <w:spacing w:val="0"/>
                <w:w w:val="100"/>
                <w:position w:val="0"/>
                <w:sz w:val="18"/>
                <w:szCs w:val="18"/>
              </w:rPr>
              <w:t>传感器 等常用检测指标传感器的自主化 制备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工艺和结构 优化中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月完 成性能测试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夯实公司核心竞争力，引领 行业的升级发展</w:t>
            </w:r>
          </w:p>
        </w:tc>
      </w:tr>
      <w:tr>
        <w:trPr>
          <w:trHeight w:val="19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激光甲烷遥测仪</w:t>
            </w:r>
            <w:r>
              <w:rPr>
                <w:rFonts w:ascii="Times New Roman" w:eastAsia="Times New Roman" w:hAnsi="Times New Roman" w:cs="Times New Roman"/>
                <w:color w:val="000000"/>
                <w:spacing w:val="0"/>
                <w:w w:val="100"/>
                <w:position w:val="0"/>
                <w:sz w:val="18"/>
                <w:szCs w:val="18"/>
              </w:rPr>
              <w:t>III</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随着激光甲烷遥测产品在石油和 燃气行业的推广和普及应用，越来 越多的遥测仪企业和产品涌现，在 竞争愈发激烈的市场竞争下，开发 近距离、低成本的遥测仪是未来遥 测仪市场的趋势所向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小批试产进 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月完 成小批试产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夯实公司核心竞争力，引领 行业的升级发展</w:t>
            </w:r>
          </w:p>
        </w:tc>
      </w:tr>
    </w:tbl>
    <w:p>
      <w:pPr>
        <w:spacing w:lineRule="exact" w:line="1"/>
        <w:rPr>
          <w:sz w:val="2"/>
          <w:szCs w:val="2"/>
        </w:rPr>
      </w:pPr>
      <w:r>
        <w:br w:type="page"/>
      </w:r>
    </w:p>
    <w:tbl>
      <w:tblPr>
        <w:tblOverlap w:val="never"/>
        <w:jc w:val="center"/>
        <w:tblLayout w:type="fixed"/>
      </w:tblPr>
      <w:tblGrid>
        <w:gridCol w:w="1685"/>
        <w:gridCol w:w="2894"/>
        <w:gridCol w:w="1186"/>
        <w:gridCol w:w="1382"/>
        <w:gridCol w:w="2434"/>
      </w:tblGrid>
      <w:tr>
        <w:trPr>
          <w:trHeight w:val="29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基于服务管理、数 据管理的可视化大 屏通用展示平台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基于可视化的大屏通用展示平台 的设计目标必须尽量达到人力的 节省和平台的通用，并且使平台处 理数据的速度提高，平台的整个设 计过程必须通过研发能力的提高、 人员工作效率的提高、平台的通用 性等等使平台开发成本和推广应 用成本最小化，实现保证平台质量 的前提下的资金投入最小化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项目收尾阶 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月完 成项目验收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夯实公司核心竞争力，引领 行业的升级发展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MEMS</w:t>
            </w:r>
            <w:r>
              <w:rPr>
                <w:color w:val="000000"/>
                <w:spacing w:val="0"/>
                <w:w w:val="100"/>
                <w:position w:val="0"/>
                <w:sz w:val="18"/>
                <w:szCs w:val="18"/>
              </w:rPr>
              <w:t>阵列传感器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突破单一半导体气体传感器应用 场景的限制，实现传感器在车载、 智能家居、家电等领域的智能化检 测需求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样品测试、</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技术资料完</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月完 成晶圆封装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夯实公司核心竞争力，引领 行业的升级发展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红外气体成像仪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通过红外成像气体探测方法实现 气体探测可视化，较传统检测更直 观，可进一步观察泄漏点动态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平台参数调 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月完 成系统参数和 技术确定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夯实公司核心竞争力，引领 行业的升级发展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中红外激光气体检 测平台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rPr>
                <w:sz w:val="18"/>
                <w:szCs w:val="18"/>
              </w:rPr>
            </w:pPr>
            <w:r>
              <w:rPr>
                <w:color w:val="000000"/>
                <w:spacing w:val="0"/>
                <w:w w:val="100"/>
                <w:position w:val="0"/>
                <w:sz w:val="18"/>
                <w:szCs w:val="18"/>
              </w:rPr>
              <w:t>相比近红外光谱，气体在中远红外 具有更丰富的、更强的吸收光谱， 采用该类技术可有效检测更多种 类气体，且具有更高的灵敏度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平台参数调 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月完 成电路设计方 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夯实公司核心竞争力，引领 行业的升级发展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物联网平台三期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依托汉威在智能传感、仪表终端的 领先制造能力，立足传感器、仪器 仪表制造垂直细分领域，聚焦智能 仪表终端价值挖掘，整合产业链上 下游生态资源，打通物联网感知、 传输、平台、应用完整链路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项目已完成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夯实公司核心竞争力，引领 行业的升级发展</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API</w:t>
            </w:r>
            <w:r>
              <w:rPr>
                <w:color w:val="000000"/>
                <w:spacing w:val="0"/>
                <w:w w:val="100"/>
                <w:position w:val="0"/>
                <w:sz w:val="18"/>
                <w:szCs w:val="18"/>
              </w:rPr>
              <w:t>网关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在系统开发过程中，</w:t>
            </w:r>
            <w:r>
              <w:rPr>
                <w:rFonts w:ascii="Times New Roman" w:eastAsia="Times New Roman" w:hAnsi="Times New Roman" w:cs="Times New Roman"/>
                <w:color w:val="000000"/>
                <w:spacing w:val="0"/>
                <w:w w:val="100"/>
                <w:position w:val="0"/>
                <w:sz w:val="18"/>
                <w:szCs w:val="18"/>
              </w:rPr>
              <w:t>API</w:t>
            </w:r>
            <w:r>
              <w:rPr>
                <w:color w:val="000000"/>
                <w:spacing w:val="0"/>
                <w:w w:val="100"/>
                <w:position w:val="0"/>
                <w:sz w:val="18"/>
                <w:szCs w:val="18"/>
              </w:rPr>
              <w:t>数量会越 来越多、越来越复杂；</w:t>
            </w:r>
            <w:r>
              <w:rPr>
                <w:rFonts w:ascii="Times New Roman" w:eastAsia="Times New Roman" w:hAnsi="Times New Roman" w:cs="Times New Roman"/>
                <w:color w:val="000000"/>
                <w:spacing w:val="0"/>
                <w:w w:val="100"/>
                <w:position w:val="0"/>
                <w:sz w:val="18"/>
                <w:szCs w:val="18"/>
              </w:rPr>
              <w:t>API</w:t>
            </w:r>
            <w:r>
              <w:rPr>
                <w:color w:val="000000"/>
                <w:spacing w:val="0"/>
                <w:w w:val="100"/>
                <w:position w:val="0"/>
                <w:sz w:val="18"/>
                <w:szCs w:val="18"/>
              </w:rPr>
              <w:t>的管理、 监控、以及修改、部署为运维带来 非常高的挑战；另外开发的不同阶 段所需的</w:t>
            </w:r>
            <w:r>
              <w:rPr>
                <w:rFonts w:ascii="Times New Roman" w:eastAsia="Times New Roman" w:hAnsi="Times New Roman" w:cs="Times New Roman"/>
                <w:color w:val="000000"/>
                <w:spacing w:val="0"/>
                <w:w w:val="100"/>
                <w:position w:val="0"/>
                <w:sz w:val="18"/>
                <w:szCs w:val="18"/>
              </w:rPr>
              <w:t>API</w:t>
            </w:r>
            <w:r>
              <w:rPr>
                <w:color w:val="000000"/>
                <w:spacing w:val="0"/>
                <w:w w:val="100"/>
                <w:position w:val="0"/>
                <w:sz w:val="18"/>
                <w:szCs w:val="18"/>
              </w:rPr>
              <w:t>的配置可能也会不 同，客户端在不同的环境下需要修 改相应的请求地址，增加了部署所 带来的问题。而</w:t>
            </w:r>
            <w:r>
              <w:rPr>
                <w:rFonts w:ascii="Times New Roman" w:eastAsia="Times New Roman" w:hAnsi="Times New Roman" w:cs="Times New Roman"/>
                <w:color w:val="000000"/>
                <w:spacing w:val="0"/>
                <w:w w:val="100"/>
                <w:position w:val="0"/>
                <w:sz w:val="18"/>
                <w:szCs w:val="18"/>
              </w:rPr>
              <w:t>API</w:t>
            </w:r>
            <w:r>
              <w:rPr>
                <w:color w:val="000000"/>
                <w:spacing w:val="0"/>
                <w:w w:val="100"/>
                <w:position w:val="0"/>
                <w:sz w:val="18"/>
                <w:szCs w:val="18"/>
              </w:rPr>
              <w:t>网关能够很好 的解决以上问题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项目已完成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夯实公司核心竞争力，引领 行业的升级发展</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城市垃圾中转站及 废水、废气成套工 艺、设备开发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联合中国环境科学院与中国城市 建设研究院展开合作，共同起草城 市中转站环境评价及运行标准，用 于指导中转站建设运行过程中的 环境污染治理问题。同时根据该标 准开发出适合的成套废水和废气 处理设备，抢先占领市场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设备机械设 计进行中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月完 成设备机械设 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夯实公司核心竞争力，引领 行业的升级发展</w:t>
            </w:r>
          </w:p>
        </w:tc>
      </w:tr>
    </w:tbl>
    <w:p>
      <w:pPr>
        <w:spacing w:lineRule="exact" w:line="1"/>
        <w:rPr>
          <w:sz w:val="2"/>
          <w:szCs w:val="2"/>
        </w:rPr>
      </w:pPr>
      <w:r>
        <w:br w:type="page"/>
      </w:r>
    </w:p>
    <w:tbl>
      <w:tblPr>
        <w:tblOverlap w:val="never"/>
        <w:jc w:val="center"/>
        <w:tblLayout w:type="fixed"/>
      </w:tblPr>
      <w:tblGrid>
        <w:gridCol w:w="1685"/>
        <w:gridCol w:w="2894"/>
        <w:gridCol w:w="1186"/>
        <w:gridCol w:w="1382"/>
        <w:gridCol w:w="2434"/>
      </w:tblGrid>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垃圾渗滤液短程硝 化反硝化高效脱氮 新技术推广应用与 成套智慧型设备开 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在公司目前短程硝化反硝化中试 研究成果的基础上，已进行工程试 点研究，并取得部分成效，本项目 拟继续结合智慧厂站管控技术，进 一步完善相关工艺，并在市场上进 行推广应用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验收准备中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月完 成项目验收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夯实公司核心竞争力，引领 行业的升级发展</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公司研发人员情况</w:t>
      </w:r>
    </w:p>
    <w:p>
      <w:pPr>
        <w:widowControl w:val="0"/>
        <w:spacing w:after="79" w:line="1" w:lineRule="exact"/>
      </w:pPr>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研发人员学历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sz w:val="18"/>
                <w:szCs w:val="18"/>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w:t>
            </w:r>
          </w:p>
        </w:tc>
      </w:tr>
    </w:tbl>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近三年公司研发投入金额及占营业收入的比例</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158,052,519.31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128,509,464.12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134,348,539.08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28"/>
        <w:keepNext/>
        <w:keepLines/>
        <w:widowControl w:val="0"/>
        <w:shd w:val="clear" w:color="auto" w:fill="auto"/>
        <w:bidi w:val="0"/>
        <w:spacing w:before="0" w:line="240" w:lineRule="auto"/>
        <w:ind w:left="0" w:right="0" w:firstLine="0"/>
        <w:jc w:val="both"/>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5</w:t>
      </w:r>
      <w:bookmarkEnd w:id="177"/>
      <w:r>
        <w:rPr>
          <w:color w:val="000000"/>
          <w:spacing w:val="0"/>
          <w:w w:val="100"/>
          <w:position w:val="0"/>
        </w:rPr>
        <w:t>、现金流</w:t>
      </w:r>
      <w:bookmarkEnd w:id="175"/>
      <w:bookmarkEnd w:id="176"/>
      <w:bookmarkEnd w:id="178"/>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2,310,889,248.63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2,332,471,121.65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2,096,563,271.14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1,746,349,452.39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20.05%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214,325,977.49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586,121,669.26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-63.43%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314,914,539.45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4,429,817.27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609,983,295.87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401,330,065.88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51.99%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-295,068,756.42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-396,900,248.61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1,299,403,695.24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716,978,265.00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81.23%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1,151,153,440.76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769,793,877.30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49.54%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148,250,254.48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-52,815,612.30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380.69%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66,276,155.02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134,114,007.03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-50.58%</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经营活动产生的现金流量净额减少</w:t>
      </w:r>
      <w:r>
        <w:rPr>
          <w:color w:val="000000"/>
          <w:spacing w:val="0"/>
          <w:w w:val="100"/>
          <w:position w:val="0"/>
        </w:rPr>
        <w:t xml:space="preserve">63. </w:t>
      </w:r>
      <w:r>
        <w:rPr>
          <w:color w:val="000000"/>
          <w:spacing w:val="0"/>
          <w:w w:val="100"/>
          <w:position w:val="0"/>
        </w:rPr>
        <w:t>43%,</w:t>
      </w:r>
      <w:r>
        <w:rPr>
          <w:color w:val="000000"/>
          <w:spacing w:val="0"/>
          <w:w w:val="100"/>
          <w:position w:val="0"/>
        </w:rPr>
        <w:t>主要系公司购买商品、接受劳务以及支付其他与经营活动相关的现金增加所致。</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筹资活动产生的现金流量净额增加</w:t>
      </w:r>
      <w:r>
        <w:rPr>
          <w:color w:val="000000"/>
          <w:spacing w:val="0"/>
          <w:w w:val="100"/>
          <w:position w:val="0"/>
        </w:rPr>
        <w:t xml:space="preserve">380. </w:t>
      </w:r>
      <w:r>
        <w:rPr>
          <w:color w:val="000000"/>
          <w:spacing w:val="0"/>
          <w:w w:val="100"/>
          <w:position w:val="0"/>
        </w:rPr>
        <w:t>69%，</w:t>
      </w:r>
      <w:r>
        <w:rPr>
          <w:color w:val="000000"/>
          <w:spacing w:val="0"/>
          <w:w w:val="100"/>
          <w:position w:val="0"/>
        </w:rPr>
        <w:t>主要系公司实施定向增发吸收投资收到的现金增加所致。</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报告期内，公司经营活动产生的现金流量净额与本年度净利润存在差异的主要原因各种资产减值、折旧、摊销增加所致。</w:t>
      </w:r>
    </w:p>
    <w:p>
      <w:pPr>
        <w:pStyle w:val="Style19"/>
        <w:keepNext/>
        <w:keepLines/>
        <w:widowControl w:val="0"/>
        <w:shd w:val="clear" w:color="auto" w:fill="auto"/>
        <w:bidi w:val="0"/>
        <w:spacing w:before="0" w:after="36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sz w:val="24"/>
          <w:szCs w:val="24"/>
        </w:rPr>
        <w:t>五</w:t>
      </w:r>
      <w:bookmarkEnd w:id="181"/>
      <w:r>
        <w:rPr>
          <w:color w:val="000000"/>
          <w:spacing w:val="0"/>
          <w:w w:val="100"/>
          <w:position w:val="0"/>
          <w:sz w:val="24"/>
          <w:szCs w:val="24"/>
        </w:rPr>
        <w:t>、非主营业务情况</w:t>
      </w:r>
      <w:bookmarkEnd w:id="179"/>
      <w:bookmarkEnd w:id="180"/>
      <w:bookmarkEnd w:id="182"/>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531"/>
        <w:gridCol w:w="1915"/>
        <w:gridCol w:w="1622"/>
        <w:gridCol w:w="2165"/>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5,795,638.31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主要系联营合营企业产 生的投资收益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公允价值变动损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644,293.63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3,403,829.00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主要系公司对外捐赠及 资产处置所致。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156,934,197.79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主要系与日常活动相关 的政府补助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-21,569,565.47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主要系坏账准备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spacing w:lineRule="exact" w:line="1"/>
        <w:rPr>
          <w:sz w:val="2"/>
          <w:szCs w:val="2"/>
        </w:rPr>
      </w:pPr>
      <w:r>
        <w:br w:type="page"/>
      </w:r>
    </w:p>
    <w:p>
      <w:pPr>
        <w:pStyle w:val="Style19"/>
        <w:keepNext/>
        <w:keepLines/>
        <w:widowControl w:val="0"/>
        <w:shd w:val="clear" w:color="auto" w:fill="auto"/>
        <w:bidi w:val="0"/>
        <w:spacing w:before="0" w:after="36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sz w:val="24"/>
          <w:szCs w:val="24"/>
        </w:rPr>
        <w:t>六</w:t>
      </w:r>
      <w:bookmarkEnd w:id="185"/>
      <w:r>
        <w:rPr>
          <w:color w:val="000000"/>
          <w:spacing w:val="0"/>
          <w:w w:val="100"/>
          <w:position w:val="0"/>
          <w:sz w:val="24"/>
          <w:szCs w:val="24"/>
        </w:rPr>
        <w:t>、资产及负债状况分析</w:t>
      </w:r>
      <w:bookmarkEnd w:id="183"/>
      <w:bookmarkEnd w:id="184"/>
      <w:bookmarkEnd w:id="186"/>
    </w:p>
    <w:p>
      <w:pPr>
        <w:pStyle w:val="Style28"/>
        <w:keepNext/>
        <w:keepLines/>
        <w:widowControl w:val="0"/>
        <w:shd w:val="clear" w:color="auto" w:fill="auto"/>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、资产构成重大变动情况</w:t>
      </w:r>
      <w:bookmarkEnd w:id="187"/>
      <w:bookmarkEnd w:id="188"/>
      <w:bookmarkEnd w:id="190"/>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483"/>
        <w:gridCol w:w="1320"/>
        <w:gridCol w:w="1502"/>
        <w:gridCol w:w="1363"/>
        <w:gridCol w:w="1214"/>
        <w:gridCol w:w="132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重大变动说明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1,415,425,871.76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1,347,225,775.69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843,617,752.70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568,776,964.50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112,055,127.69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133,545,861.61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345,179,285.21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227,541,938.19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287,389,070.68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307,113,496.91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134,458,794.48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126,999,283.79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1,308,212,792.13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1,025,479,184.61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358,761,266.68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488,074,250.73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14,727,182.72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4,730,856.41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118,294,326.63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335,457,195.78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230,734,642.59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311,239,887.87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526,845,478.25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676,869,959.14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10,552,982.70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3,404,471.05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、以公允价值计量的资产和负债</w:t>
      </w:r>
      <w:bookmarkEnd w:id="191"/>
      <w:bookmarkEnd w:id="192"/>
      <w:bookmarkEnd w:id="19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478"/>
        <w:gridCol w:w="1258"/>
        <w:gridCol w:w="989"/>
        <w:gridCol w:w="1157"/>
        <w:gridCol w:w="778"/>
        <w:gridCol w:w="725"/>
        <w:gridCol w:w="869"/>
        <w:gridCol w:w="960"/>
        <w:gridCol w:w="1368"/>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本期公允</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价值变动</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计入权益的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累计公允价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提的减</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本期</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购买</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本期出</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期末数</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交易性金融资 产（不含衍生金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35,072,088.67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15,224,608.60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9,572,254.00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其他权益工具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58,100,001.00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78,595,001.00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73,324,609.60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123,239,343.67</w:t>
            </w:r>
          </w:p>
        </w:tc>
      </w:tr>
    </w:tbl>
    <w:tbl>
      <w:tblPr>
        <w:tblOverlap w:val="never"/>
        <w:jc w:val="center"/>
        <w:tblLayout w:type="fixed"/>
      </w:tblPr>
      <w:tblGrid>
        <w:gridCol w:w="1478"/>
        <w:gridCol w:w="1258"/>
        <w:gridCol w:w="989"/>
        <w:gridCol w:w="1157"/>
        <w:gridCol w:w="778"/>
        <w:gridCol w:w="725"/>
        <w:gridCol w:w="869"/>
        <w:gridCol w:w="960"/>
        <w:gridCol w:w="136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73,324,609.60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123,239,343.67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28"/>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、截至报告期末的资产权利受限情况</w:t>
      </w:r>
      <w:bookmarkEnd w:id="195"/>
      <w:bookmarkEnd w:id="196"/>
      <w:bookmarkEnd w:id="198"/>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详见第十二节财务报告七、合并财务报表注释</w:t>
      </w:r>
      <w:r>
        <w:rPr>
          <w:color w:val="000000"/>
          <w:spacing w:val="0"/>
          <w:w w:val="100"/>
          <w:position w:val="0"/>
        </w:rPr>
        <w:t>59</w:t>
      </w:r>
      <w:r>
        <w:rPr>
          <w:color w:val="000000"/>
          <w:spacing w:val="0"/>
          <w:w w:val="100"/>
          <w:position w:val="0"/>
        </w:rPr>
        <w:t>、所有权或使用权受到限制的资产。</w:t>
      </w:r>
    </w:p>
    <w:p>
      <w:pPr>
        <w:pStyle w:val="Style19"/>
        <w:keepNext/>
        <w:keepLines/>
        <w:widowControl w:val="0"/>
        <w:shd w:val="clear" w:color="auto" w:fill="auto"/>
        <w:bidi w:val="0"/>
        <w:spacing w:before="0" w:after="30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sz w:val="24"/>
          <w:szCs w:val="24"/>
        </w:rPr>
        <w:t>七</w:t>
      </w:r>
      <w:bookmarkEnd w:id="201"/>
      <w:r>
        <w:rPr>
          <w:color w:val="000000"/>
          <w:spacing w:val="0"/>
          <w:w w:val="100"/>
          <w:position w:val="0"/>
          <w:sz w:val="24"/>
          <w:szCs w:val="24"/>
        </w:rPr>
        <w:t>、投资状况分析</w:t>
      </w:r>
      <w:bookmarkEnd w:id="199"/>
      <w:bookmarkEnd w:id="200"/>
      <w:bookmarkEnd w:id="202"/>
    </w:p>
    <w:p>
      <w:pPr>
        <w:pStyle w:val="Style28"/>
        <w:keepNext/>
        <w:keepLines/>
        <w:widowControl w:val="0"/>
        <w:shd w:val="clear" w:color="auto" w:fill="auto"/>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1</w:t>
      </w:r>
      <w:bookmarkEnd w:id="205"/>
      <w:r>
        <w:rPr>
          <w:color w:val="000000"/>
          <w:spacing w:val="0"/>
          <w:w w:val="100"/>
          <w:position w:val="0"/>
        </w:rPr>
        <w:t>、总体情况</w:t>
      </w:r>
      <w:bookmarkEnd w:id="203"/>
      <w:bookmarkEnd w:id="204"/>
      <w:bookmarkEnd w:id="206"/>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246,174,924.92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397,421,361.42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w:t>
            </w:r>
          </w:p>
        </w:tc>
      </w:tr>
    </w:tbl>
    <w:p>
      <w:pPr>
        <w:widowControl w:val="0"/>
        <w:spacing w:after="299" w:line="1" w:lineRule="exact"/>
      </w:pPr>
    </w:p>
    <w:p>
      <w:pPr>
        <w:pStyle w:val="Style28"/>
        <w:keepNext/>
        <w:keepLines/>
        <w:widowControl w:val="0"/>
        <w:shd w:val="clear" w:color="auto" w:fill="auto"/>
        <w:tabs>
          <w:tab w:pos="378" w:val="left"/>
        </w:tabs>
        <w:bidi w:val="0"/>
        <w:spacing w:before="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2</w:t>
      </w:r>
      <w:bookmarkEnd w:id="209"/>
      <w:r>
        <w:rPr>
          <w:color w:val="000000"/>
          <w:spacing w:val="0"/>
          <w:w w:val="100"/>
          <w:position w:val="0"/>
        </w:rPr>
        <w:t>、</w:t>
        <w:tab/>
        <w:t>报告期内获取的重大的股权投资情况</w:t>
      </w:r>
      <w:bookmarkEnd w:id="207"/>
      <w:bookmarkEnd w:id="208"/>
      <w:bookmarkEnd w:id="210"/>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tabs>
          <w:tab w:pos="378" w:val="left"/>
        </w:tabs>
        <w:bidi w:val="0"/>
        <w:spacing w:before="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3</w:t>
      </w:r>
      <w:bookmarkEnd w:id="213"/>
      <w:r>
        <w:rPr>
          <w:color w:val="000000"/>
          <w:spacing w:val="0"/>
          <w:w w:val="100"/>
          <w:position w:val="0"/>
        </w:rPr>
        <w:t>、</w:t>
        <w:tab/>
        <w:t>报告期内正在进行的重大的非股权投资情况</w:t>
      </w:r>
      <w:bookmarkEnd w:id="211"/>
      <w:bookmarkEnd w:id="212"/>
      <w:bookmarkEnd w:id="214"/>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tabs>
          <w:tab w:pos="378" w:val="left"/>
        </w:tabs>
        <w:bidi w:val="0"/>
        <w:spacing w:before="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4</w:t>
      </w:r>
      <w:bookmarkEnd w:id="217"/>
      <w:r>
        <w:rPr>
          <w:color w:val="000000"/>
          <w:spacing w:val="0"/>
          <w:w w:val="100"/>
          <w:position w:val="0"/>
        </w:rPr>
        <w:t>、</w:t>
        <w:tab/>
        <w:t>以公允价值计量的金融资产</w:t>
      </w:r>
      <w:bookmarkEnd w:id="215"/>
      <w:bookmarkEnd w:id="216"/>
      <w:bookmarkEnd w:id="218"/>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tabs>
          <w:tab w:pos="378" w:val="left"/>
        </w:tabs>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5</w:t>
      </w:r>
      <w:bookmarkEnd w:id="221"/>
      <w:r>
        <w:rPr>
          <w:color w:val="000000"/>
          <w:spacing w:val="0"/>
          <w:w w:val="100"/>
          <w:position w:val="0"/>
        </w:rPr>
        <w:t>、</w:t>
        <w:tab/>
        <w:t>募集资金使用情况</w:t>
      </w:r>
      <w:bookmarkEnd w:id="219"/>
      <w:bookmarkEnd w:id="220"/>
      <w:bookmarkEnd w:id="222"/>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”适用口不适用</w:t>
      </w:r>
    </w:p>
    <w:p>
      <w:pPr>
        <w:pStyle w:val="Style201"/>
        <w:keepNext/>
        <w:keepLines/>
        <w:widowControl w:val="0"/>
        <w:shd w:val="clear" w:color="auto" w:fill="auto"/>
        <w:bidi w:val="0"/>
        <w:spacing w:before="0" w:after="36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w:t>
      </w:r>
      <w:bookmarkEnd w:id="22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3"/>
      <w:bookmarkEnd w:id="224"/>
      <w:bookmarkEnd w:id="226"/>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单位：万元</w:t>
      </w:r>
    </w:p>
    <w:tbl>
      <w:tblPr>
        <w:tblOverlap w:val="never"/>
        <w:jc w:val="center"/>
        <w:tblLayout w:type="fixed"/>
      </w:tblPr>
      <w:tblGrid>
        <w:gridCol w:w="638"/>
        <w:gridCol w:w="629"/>
        <w:gridCol w:w="974"/>
        <w:gridCol w:w="1003"/>
        <w:gridCol w:w="974"/>
        <w:gridCol w:w="811"/>
        <w:gridCol w:w="782"/>
        <w:gridCol w:w="840"/>
        <w:gridCol w:w="989"/>
        <w:gridCol w:w="1061"/>
        <w:gridCol w:w="87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募集 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募集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140" w:right="0" w:firstLine="0"/>
              <w:jc w:val="left"/>
              <w:rPr>
                <w:sz w:val="18"/>
                <w:szCs w:val="18"/>
              </w:rPr>
            </w:pPr>
            <w:r>
              <w:rPr>
                <w:color w:val="000000"/>
                <w:spacing w:val="0"/>
                <w:w w:val="100"/>
                <w:position w:val="0"/>
                <w:sz w:val="18"/>
                <w:szCs w:val="18"/>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8"/>
                <w:szCs w:val="18"/>
              </w:rPr>
              <w:t>闲置两 年以上 募集资 金金额</w:t>
            </w:r>
          </w:p>
        </w:tc>
      </w:tr>
      <w:tr>
        <w:trPr>
          <w:trHeight w:val="672"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非公 开发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尚未使用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59,081.95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20,027.29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20,027.29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39,460.27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金存储于 相关银行 募集资金 专管账户</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39,460.27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募集资金总体使用情况说明</w:t>
            </w:r>
          </w:p>
        </w:tc>
      </w:tr>
      <w:tr>
        <w:trPr>
          <w:trHeight w:val="360" w:hRule="exact"/>
        </w:trPr>
        <w:tc>
          <w:tcPr>
            <w:gridSpan w:val="11"/>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根据中国证券监督管理委员会（以下简称“中国证监会”）于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日出具的《关于同意汉威科技集团股</w:t>
            </w:r>
          </w:p>
        </w:tc>
      </w:tr>
      <w:tr>
        <w:trPr>
          <w:trHeight w:val="312" w:hRule="exact"/>
        </w:trPr>
        <w:tc>
          <w:tcPr>
            <w:gridSpan w:val="11"/>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份有限公司向特定对象发行股票注册的批复》（证监许可〔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号）的决定，汉威科技集团股份有限公司（以下简</w:t>
            </w:r>
          </w:p>
        </w:tc>
      </w:tr>
      <w:tr>
        <w:trPr>
          <w:trHeight w:val="312" w:hRule="exact"/>
        </w:trPr>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称“公司”或</w:t>
            </w:r>
          </w:p>
        </w:tc>
        <w:tc>
          <w:tcPr>
            <w:gridSpan w:val="9"/>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“汉威科技”）于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月向银河资本资产管理有限公司等共计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名特定对象发行人民币普通股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p>
        </w:tc>
      </w:tr>
      <w:tr>
        <w:trPr>
          <w:trHeight w:val="312" w:hRule="exact"/>
        </w:trPr>
        <w:tc>
          <w:tcPr>
            <w:gridSpan w:val="5"/>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r>
              <w:rPr>
                <w:rFonts w:ascii="Times New Roman" w:eastAsia="Times New Roman" w:hAnsi="Times New Roman" w:cs="Times New Roman"/>
                <w:color w:val="000000"/>
                <w:spacing w:val="0"/>
                <w:w w:val="100"/>
                <w:position w:val="0"/>
                <w:sz w:val="18"/>
                <w:szCs w:val="18"/>
              </w:rPr>
              <w:t>31,364,349</w:t>
            </w:r>
            <w:r>
              <w:rPr>
                <w:color w:val="000000"/>
                <w:spacing w:val="0"/>
                <w:w w:val="100"/>
                <w:position w:val="0"/>
                <w:sz w:val="18"/>
                <w:szCs w:val="18"/>
              </w:rPr>
              <w:t>股，每股发行价格为人民币</w:t>
            </w:r>
            <w:r>
              <w:rPr>
                <w:rFonts w:ascii="Times New Roman" w:eastAsia="Times New Roman" w:hAnsi="Times New Roman" w:cs="Times New Roman"/>
                <w:color w:val="000000"/>
                <w:spacing w:val="0"/>
                <w:w w:val="100"/>
                <w:position w:val="0"/>
                <w:sz w:val="18"/>
                <w:szCs w:val="18"/>
              </w:rPr>
              <w:t>19.13</w:t>
            </w:r>
            <w:r>
              <w:rPr>
                <w:color w:val="000000"/>
                <w:spacing w:val="0"/>
                <w:w w:val="100"/>
                <w:position w:val="0"/>
                <w:sz w:val="18"/>
                <w:szCs w:val="18"/>
              </w:rPr>
              <w:t>元，</w:t>
            </w:r>
          </w:p>
        </w:tc>
        <w:tc>
          <w:tcPr>
            <w:gridSpan w:val="6"/>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募集资金总额为</w:t>
            </w:r>
            <w:r>
              <w:rPr>
                <w:rFonts w:ascii="Times New Roman" w:eastAsia="Times New Roman" w:hAnsi="Times New Roman" w:cs="Times New Roman"/>
                <w:color w:val="000000"/>
                <w:spacing w:val="0"/>
                <w:w w:val="100"/>
                <w:position w:val="0"/>
                <w:sz w:val="18"/>
                <w:szCs w:val="18"/>
              </w:rPr>
              <w:t>599,999,996.37</w:t>
            </w:r>
            <w:r>
              <w:rPr>
                <w:color w:val="000000"/>
                <w:spacing w:val="0"/>
                <w:w w:val="100"/>
                <w:position w:val="0"/>
                <w:sz w:val="18"/>
                <w:szCs w:val="18"/>
              </w:rPr>
              <w:t>元，扣除各项发行费用</w:t>
            </w:r>
            <w:r>
              <w:rPr>
                <w:rFonts w:ascii="Times New Roman" w:eastAsia="Times New Roman" w:hAnsi="Times New Roman" w:cs="Times New Roman"/>
                <w:color w:val="000000"/>
                <w:spacing w:val="0"/>
                <w:w w:val="100"/>
                <w:position w:val="0"/>
                <w:sz w:val="18"/>
                <w:szCs w:val="18"/>
              </w:rPr>
              <w:t>9,180,532.40</w:t>
            </w:r>
          </w:p>
        </w:tc>
      </w:tr>
      <w:tr>
        <w:trPr>
          <w:trHeight w:val="336" w:hRule="exact"/>
        </w:trPr>
        <w:tc>
          <w:tcPr>
            <w:gridSpan w:val="6"/>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元（不含增值税），募集资金净额为</w:t>
            </w:r>
            <w:r>
              <w:rPr>
                <w:rFonts w:ascii="Times New Roman" w:eastAsia="Times New Roman" w:hAnsi="Times New Roman" w:cs="Times New Roman"/>
                <w:color w:val="000000"/>
                <w:spacing w:val="0"/>
                <w:w w:val="100"/>
                <w:position w:val="0"/>
                <w:sz w:val="18"/>
                <w:szCs w:val="18"/>
              </w:rPr>
              <w:t>590,819,463.97</w:t>
            </w:r>
            <w:r>
              <w:rPr>
                <w:color w:val="000000"/>
                <w:spacing w:val="0"/>
                <w:w w:val="100"/>
                <w:position w:val="0"/>
                <w:sz w:val="18"/>
                <w:szCs w:val="18"/>
              </w:rPr>
              <w:t>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26" w:hRule="exact"/>
        </w:trPr>
        <w:tc>
          <w:tcPr>
            <w:gridSpan w:val="7"/>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截至报告期末，公司累计投入募投项目的募集资金</w:t>
            </w:r>
            <w:r>
              <w:rPr>
                <w:rFonts w:ascii="Times New Roman" w:eastAsia="Times New Roman" w:hAnsi="Times New Roman" w:cs="Times New Roman"/>
                <w:color w:val="000000"/>
                <w:spacing w:val="0"/>
                <w:w w:val="100"/>
                <w:position w:val="0"/>
                <w:sz w:val="18"/>
                <w:szCs w:val="18"/>
              </w:rPr>
              <w:t>200,272,901.11</w:t>
            </w:r>
            <w:r>
              <w:rPr>
                <w:color w:val="000000"/>
                <w:spacing w:val="0"/>
                <w:w w:val="100"/>
                <w:position w:val="0"/>
                <w:sz w:val="18"/>
                <w:szCs w:val="18"/>
              </w:rPr>
              <w:t>元</w:t>
            </w:r>
          </w:p>
        </w:tc>
        <w:tc>
          <w:tcPr>
            <w:gridSpan w:val="4"/>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，除此之外，公司将剩余的募集资金存入募集</w:t>
            </w:r>
          </w:p>
        </w:tc>
      </w:tr>
      <w:tr>
        <w:trPr>
          <w:trHeight w:val="360" w:hRule="exact"/>
        </w:trPr>
        <w:tc>
          <w:tcPr>
            <w:gridSpan w:val="2"/>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资金专户管理，</w:t>
            </w:r>
          </w:p>
        </w:tc>
        <w:tc>
          <w:tcPr>
            <w:gridSpan w:val="4"/>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公司将根据需要合理合法使用募集资金。</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01"/>
        <w:keepNext/>
        <w:keepLines/>
        <w:widowControl w:val="0"/>
        <w:shd w:val="clear" w:color="auto" w:fill="auto"/>
        <w:bidi w:val="0"/>
        <w:spacing w:before="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w:t>
      </w:r>
      <w:bookmarkEnd w:id="229"/>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27"/>
      <w:bookmarkEnd w:id="228"/>
      <w:bookmarkEnd w:id="230"/>
    </w:p>
    <w:p>
      <w:pPr>
        <w:pStyle w:val="Style24"/>
        <w:keepNext w:val="0"/>
        <w:keepLines w:val="0"/>
        <w:widowControl w:val="0"/>
        <w:shd w:val="clear" w:color="auto" w:fill="auto"/>
        <w:bidi w:val="0"/>
        <w:spacing w:before="0" w:after="4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单位：万元</w:t>
      </w:r>
    </w:p>
    <w:tbl>
      <w:tblPr>
        <w:tblOverlap w:val="never"/>
        <w:jc w:val="center"/>
        <w:tblLayout w:type="fixed"/>
      </w:tblPr>
      <w:tblGrid>
        <w:gridCol w:w="1133"/>
        <w:gridCol w:w="706"/>
        <w:gridCol w:w="792"/>
        <w:gridCol w:w="960"/>
        <w:gridCol w:w="734"/>
        <w:gridCol w:w="662"/>
        <w:gridCol w:w="782"/>
        <w:gridCol w:w="821"/>
        <w:gridCol w:w="634"/>
        <w:gridCol w:w="898"/>
        <w:gridCol w:w="763"/>
        <w:gridCol w:w="696"/>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承诺投资项</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目和超募资</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140"/>
              <w:jc w:val="both"/>
              <w:rPr>
                <w:sz w:val="18"/>
                <w:szCs w:val="18"/>
              </w:rPr>
            </w:pPr>
            <w:r>
              <w:rPr>
                <w:color w:val="000000"/>
                <w:spacing w:val="0"/>
                <w:w w:val="100"/>
                <w:position w:val="0"/>
                <w:sz w:val="18"/>
                <w:szCs w:val="18"/>
              </w:rPr>
              <w:t>是否 已变 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含 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98" w:lineRule="exact"/>
              <w:ind w:left="0" w:right="0" w:firstLine="0"/>
              <w:jc w:val="center"/>
              <w:rPr>
                <w:sz w:val="18"/>
                <w:szCs w:val="18"/>
              </w:rPr>
            </w:pPr>
            <w:r>
              <w:rPr>
                <w:color w:val="000000"/>
                <w:spacing w:val="0"/>
                <w:w w:val="100"/>
                <w:position w:val="0"/>
                <w:sz w:val="18"/>
                <w:szCs w:val="18"/>
              </w:rPr>
              <w:t>调整后投 资总额</w:t>
            </w:r>
          </w:p>
          <w:p>
            <w:pPr>
              <w:pStyle w:val="Style2"/>
              <w:keepNext w:val="0"/>
              <w:keepLines w:val="0"/>
              <w:widowControl w:val="0"/>
              <w:shd w:val="clear" w:color="auto" w:fill="auto"/>
              <w:bidi w:val="0"/>
              <w:spacing w:before="0" w:after="0" w:line="346"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20"/>
              <w:jc w:val="both"/>
              <w:rPr>
                <w:sz w:val="18"/>
                <w:szCs w:val="18"/>
              </w:rPr>
            </w:pPr>
            <w:r>
              <w:rPr>
                <w:color w:val="000000"/>
                <w:spacing w:val="0"/>
                <w:w w:val="100"/>
                <w:position w:val="0"/>
                <w:sz w:val="18"/>
                <w:szCs w:val="18"/>
              </w:rPr>
              <w:t>本报 告期 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 xml:space="preserve">截至 期末 累计 投入 金额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 xml:space="preserve">截至期 末投资 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8"/>
                <w:szCs w:val="18"/>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本报 告期 实现 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60"/>
              <w:jc w:val="left"/>
              <w:rPr>
                <w:sz w:val="18"/>
                <w:szCs w:val="18"/>
              </w:rPr>
            </w:pPr>
            <w:r>
              <w:rPr>
                <w:color w:val="000000"/>
                <w:spacing w:val="0"/>
                <w:w w:val="100"/>
                <w:position w:val="0"/>
                <w:sz w:val="18"/>
                <w:szCs w:val="18"/>
              </w:rPr>
              <w:t>截止报</w:t>
            </w:r>
          </w:p>
          <w:p>
            <w:pPr>
              <w:pStyle w:val="Style2"/>
              <w:keepNext w:val="0"/>
              <w:keepLines w:val="0"/>
              <w:widowControl w:val="0"/>
              <w:shd w:val="clear" w:color="auto" w:fill="auto"/>
              <w:bidi w:val="0"/>
              <w:spacing w:before="0" w:after="0" w:line="312" w:lineRule="exact"/>
              <w:ind w:left="0" w:right="0" w:firstLine="160"/>
              <w:jc w:val="left"/>
              <w:rPr>
                <w:sz w:val="18"/>
                <w:szCs w:val="18"/>
              </w:rPr>
            </w:pPr>
            <w:r>
              <w:rPr>
                <w:color w:val="000000"/>
                <w:spacing w:val="0"/>
                <w:w w:val="100"/>
                <w:position w:val="0"/>
                <w:sz w:val="18"/>
                <w:szCs w:val="18"/>
              </w:rPr>
              <w:t>告期末</w:t>
            </w:r>
          </w:p>
          <w:p>
            <w:pPr>
              <w:pStyle w:val="Style2"/>
              <w:keepNext w:val="0"/>
              <w:keepLines w:val="0"/>
              <w:widowControl w:val="0"/>
              <w:shd w:val="clear" w:color="auto" w:fill="auto"/>
              <w:bidi w:val="0"/>
              <w:spacing w:before="0" w:after="0" w:line="312" w:lineRule="exact"/>
              <w:ind w:left="0" w:right="0" w:firstLine="160"/>
              <w:jc w:val="left"/>
              <w:rPr>
                <w:sz w:val="18"/>
                <w:szCs w:val="18"/>
              </w:rPr>
            </w:pPr>
            <w:r>
              <w:rPr>
                <w:color w:val="000000"/>
                <w:spacing w:val="0"/>
                <w:w w:val="100"/>
                <w:position w:val="0"/>
                <w:sz w:val="18"/>
                <w:szCs w:val="18"/>
              </w:rPr>
              <w:t>累计实</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是否达</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到预计</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项目 可行 性是 否发 生重 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MEMS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传感器封测</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产线建设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14,065.81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 xml:space="preserve">.新建年产 </w:t>
            </w:r>
            <w:r>
              <w:rPr>
                <w:rFonts w:ascii="Times New Roman" w:eastAsia="Times New Roman" w:hAnsi="Times New Roman" w:cs="Times New Roman"/>
                <w:color w:val="000000"/>
                <w:spacing w:val="0"/>
                <w:w w:val="100"/>
                <w:position w:val="0"/>
                <w:sz w:val="18"/>
                <w:szCs w:val="18"/>
              </w:rPr>
              <w:t>150</w:t>
            </w:r>
            <w:r>
              <w:rPr>
                <w:color w:val="000000"/>
                <w:spacing w:val="0"/>
                <w:w w:val="100"/>
                <w:position w:val="0"/>
                <w:sz w:val="18"/>
                <w:szCs w:val="18"/>
              </w:rPr>
              <w:t>万只气 体传感器生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1,072.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1,072</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133"/>
        <w:gridCol w:w="706"/>
        <w:gridCol w:w="792"/>
        <w:gridCol w:w="960"/>
        <w:gridCol w:w="734"/>
        <w:gridCol w:w="662"/>
        <w:gridCol w:w="782"/>
        <w:gridCol w:w="821"/>
        <w:gridCol w:w="634"/>
        <w:gridCol w:w="898"/>
        <w:gridCol w:w="763"/>
        <w:gridCol w:w="69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产线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新建年 产</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万台 智能仪器仪 表生产线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529.4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物联网</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系统测试验</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证中心建设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4,702.95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补充流</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智能环 保设备及系 统生产线建 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承诺投资项</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100,88</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20,027</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20,02</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超募资金投</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100,88</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20,027</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20,02</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未达到计划 进度或预计 收益的情况 和原因（分 具体项目）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项目可行性 发生重大变 化的情况说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超募资金的 金额、用途 及使用进展 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936"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募集资金投 资项目实施 地点变更情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募集资金投</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适用</w:t>
            </w:r>
          </w:p>
        </w:tc>
      </w:tr>
    </w:tbl>
    <w:p>
      <w:pPr>
        <w:spacing w:lineRule="exact" w:line="1"/>
        <w:rPr>
          <w:sz w:val="2"/>
          <w:szCs w:val="2"/>
        </w:rPr>
      </w:pPr>
      <w:r>
        <w:br w:type="page"/>
      </w:r>
    </w:p>
    <w:tbl>
      <w:tblPr>
        <w:tblOverlap w:val="never"/>
        <w:jc w:val="center"/>
        <w:tblLayout w:type="fixed"/>
      </w:tblPr>
      <w:tblGrid>
        <w:gridCol w:w="1133"/>
        <w:gridCol w:w="8448"/>
      </w:tblGrid>
      <w:tr>
        <w:trPr>
          <w:trHeight w:val="408"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资项目实施</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方式调整情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报告期内发生</w:t>
            </w:r>
          </w:p>
        </w:tc>
      </w:tr>
      <w:tr>
        <w:trPr>
          <w:trHeight w:val="2275"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为满足募投项目的实际开展需要，保障募投项目顺利实施，促进公司相关项目的更快捷开展，提高项目建 设效率、后期运营效率，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日，公司召开第五届董事会第二十一次会议和第五届监事会第 十四次会议，审议通过了《关于部分募投项目增加实施主体的议案》，同意募投项目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MEMS</w:t>
            </w:r>
            <w:r>
              <w:rPr>
                <w:color w:val="000000"/>
                <w:spacing w:val="0"/>
                <w:w w:val="100"/>
                <w:position w:val="0"/>
                <w:sz w:val="18"/>
                <w:szCs w:val="18"/>
              </w:rPr>
              <w:t>传感器封测 产线建设”、“新建年产</w:t>
            </w:r>
            <w:r>
              <w:rPr>
                <w:rFonts w:ascii="Times New Roman" w:eastAsia="Times New Roman" w:hAnsi="Times New Roman" w:cs="Times New Roman"/>
                <w:color w:val="000000"/>
                <w:spacing w:val="0"/>
                <w:w w:val="100"/>
                <w:position w:val="0"/>
                <w:sz w:val="18"/>
                <w:szCs w:val="18"/>
              </w:rPr>
              <w:t>150</w:t>
            </w:r>
            <w:r>
              <w:rPr>
                <w:color w:val="000000"/>
                <w:spacing w:val="0"/>
                <w:w w:val="100"/>
                <w:position w:val="0"/>
                <w:sz w:val="18"/>
                <w:szCs w:val="18"/>
              </w:rPr>
              <w:t>万只气体传感器生产线”增加郑州炜盛电子科技有限公司（以下简称“炜盛科 技”）为实施主体，即上述项目的实施主体为公司及其全资子公司炜盛科技。本次部分募集资金投资项目 增加实施主体不属于变更募集资金使用用途，具体内容详见公司于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日在巨潮资讯网披露 的《关于部分募投项目增加实施主体暨使用募集资金向全资子公司增资的公告》（公告编号：</w:t>
            </w:r>
            <w:r>
              <w:rPr>
                <w:rFonts w:ascii="Times New Roman" w:eastAsia="Times New Roman" w:hAnsi="Times New Roman" w:cs="Times New Roman"/>
                <w:color w:val="000000"/>
                <w:spacing w:val="0"/>
                <w:w w:val="100"/>
                <w:position w:val="0"/>
                <w:sz w:val="18"/>
                <w:szCs w:val="18"/>
              </w:rPr>
              <w:t>2021-074</w:t>
            </w:r>
            <w:r>
              <w:rPr>
                <w:color w:val="000000"/>
                <w:spacing w:val="0"/>
                <w:w w:val="100"/>
                <w:position w:val="0"/>
                <w:sz w:val="18"/>
                <w:szCs w:val="18"/>
              </w:rPr>
              <w:t>）</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募集资金投 资项目先期 投入及置换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适用</w:t>
            </w:r>
          </w:p>
        </w:tc>
      </w:tr>
      <w:tr>
        <w:trPr>
          <w:trHeight w:val="227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日，公司召开第五届董事会第十七次会议和第五届监事会第十二次会议，审议通过了《关 于以募集资金置换预先投入募集资金投资项目自筹资金的议案》，同意公司以募集资金置换预先投入募集 资金投资项目的自筹资金</w:t>
            </w:r>
            <w:r>
              <w:rPr>
                <w:rFonts w:ascii="Times New Roman" w:eastAsia="Times New Roman" w:hAnsi="Times New Roman" w:cs="Times New Roman"/>
                <w:color w:val="000000"/>
                <w:spacing w:val="0"/>
                <w:w w:val="100"/>
                <w:position w:val="0"/>
                <w:sz w:val="18"/>
                <w:szCs w:val="18"/>
              </w:rPr>
              <w:t>13,692,356.21</w:t>
            </w:r>
            <w:r>
              <w:rPr>
                <w:color w:val="000000"/>
                <w:spacing w:val="0"/>
                <w:w w:val="100"/>
                <w:position w:val="0"/>
                <w:sz w:val="18"/>
                <w:szCs w:val="18"/>
              </w:rPr>
              <w:t>元以及已支付发行费用</w:t>
            </w:r>
            <w:r>
              <w:rPr>
                <w:rFonts w:ascii="Times New Roman" w:eastAsia="Times New Roman" w:hAnsi="Times New Roman" w:cs="Times New Roman"/>
                <w:color w:val="000000"/>
                <w:spacing w:val="0"/>
                <w:w w:val="100"/>
                <w:position w:val="0"/>
                <w:sz w:val="18"/>
                <w:szCs w:val="18"/>
              </w:rPr>
              <w:t>1,067,324.86</w:t>
            </w:r>
            <w:r>
              <w:rPr>
                <w:color w:val="000000"/>
                <w:spacing w:val="0"/>
                <w:w w:val="100"/>
                <w:position w:val="0"/>
                <w:sz w:val="18"/>
                <w:szCs w:val="18"/>
              </w:rPr>
              <w:t>元，共计</w:t>
            </w:r>
            <w:r>
              <w:rPr>
                <w:rFonts w:ascii="Times New Roman" w:eastAsia="Times New Roman" w:hAnsi="Times New Roman" w:cs="Times New Roman"/>
                <w:color w:val="000000"/>
                <w:spacing w:val="0"/>
                <w:w w:val="100"/>
                <w:position w:val="0"/>
                <w:sz w:val="18"/>
                <w:szCs w:val="18"/>
              </w:rPr>
              <w:t>14,759,681.07</w:t>
            </w:r>
            <w:r>
              <w:rPr>
                <w:color w:val="000000"/>
                <w:spacing w:val="0"/>
                <w:w w:val="100"/>
                <w:position w:val="0"/>
                <w:sz w:val="18"/>
                <w:szCs w:val="18"/>
              </w:rPr>
              <w:t>元。</w:t>
            </w:r>
          </w:p>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立信会计师事务所（特殊普通合伙）出具了《汉威科技集团股份有限公司以募集资金置换预先投入募集资 金投资项目及已支付发行费用的自筹资金的鉴证报告》（信会师报字（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ZB11401</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月，上述置换的资金已从募集资金专户划转至公司一般户。具体内容详见公司于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日在巨潮 资讯网披露的《关于以募集资金置换预先投入募集资金投资项目自筹资金的公告》（公告编号：</w:t>
            </w:r>
            <w:r>
              <w:rPr>
                <w:rFonts w:ascii="Times New Roman" w:eastAsia="Times New Roman" w:hAnsi="Times New Roman" w:cs="Times New Roman"/>
                <w:color w:val="000000"/>
                <w:spacing w:val="0"/>
                <w:w w:val="100"/>
                <w:position w:val="0"/>
                <w:sz w:val="18"/>
                <w:szCs w:val="18"/>
              </w:rPr>
              <w:t>2021-059</w:t>
            </w:r>
            <w:r>
              <w:rPr>
                <w:color w:val="000000"/>
                <w:spacing w:val="0"/>
                <w:w w:val="100"/>
                <w:position w:val="0"/>
                <w:sz w:val="18"/>
                <w:szCs w:val="18"/>
              </w:rPr>
              <w:t>）。</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用闲置募集 资金暂时补 充流动资金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93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项目实施出</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现募集资金</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结余的金额</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93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尚未使用的 募集资金用 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为提高资金使用效率，公司于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日召开第五届董事会第二十一次会议和第五届监事会第十 四次会议，审议通过了《关于使用部分闲置募集资金进行现金管理的议案》，同意在确保不影响募集资金 投资项目建设和公司正常生产经营的前提下，使用不超过</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sz w:val="18"/>
                <w:szCs w:val="18"/>
              </w:rPr>
              <w:t>万元（含本数）的闲置募集资金进行现 金管理。上述资金额度自董事会审议通过之日起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个月内可以滚动使用。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年度，公司暂未使用闲置 募集资金进行现金管理，公司向特定对象发行股票募集资金均存放于指定专用账户。</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both"/>
              <w:rPr>
                <w:sz w:val="18"/>
                <w:szCs w:val="18"/>
              </w:rPr>
            </w:pPr>
            <w:r>
              <w:rPr>
                <w:color w:val="000000"/>
                <w:spacing w:val="0"/>
                <w:w w:val="100"/>
                <w:position w:val="0"/>
                <w:sz w:val="18"/>
                <w:szCs w:val="18"/>
              </w:rPr>
              <w:t>募集资金使 用及披露中 存在的问题 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bl>
    <w:p>
      <w:pPr>
        <w:widowControl w:val="0"/>
        <w:spacing w:after="299" w:line="1" w:lineRule="exact"/>
      </w:pPr>
    </w:p>
    <w:p>
      <w:pPr>
        <w:pStyle w:val="Style201"/>
        <w:keepNext/>
        <w:keepLines/>
        <w:widowControl w:val="0"/>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1"/>
      <w:bookmarkEnd w:id="232"/>
      <w:bookmarkEnd w:id="23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公司报告期不存在募集资金变更项目情况。</w:t>
      </w:r>
    </w:p>
    <w:p>
      <w:pPr>
        <w:pStyle w:val="Style19"/>
        <w:keepNext/>
        <w:keepLines/>
        <w:widowControl w:val="0"/>
        <w:shd w:val="clear" w:color="auto" w:fill="auto"/>
        <w:tabs>
          <w:tab w:pos="512" w:val="left"/>
        </w:tabs>
        <w:bidi w:val="0"/>
        <w:spacing w:before="0" w:after="36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sz w:val="24"/>
          <w:szCs w:val="24"/>
        </w:rPr>
        <w:t>八</w:t>
      </w:r>
      <w:bookmarkEnd w:id="237"/>
      <w:r>
        <w:rPr>
          <w:color w:val="000000"/>
          <w:spacing w:val="0"/>
          <w:w w:val="100"/>
          <w:position w:val="0"/>
          <w:sz w:val="24"/>
          <w:szCs w:val="24"/>
        </w:rPr>
        <w:t>、</w:t>
        <w:tab/>
        <w:t>重大资产和股权出售</w:t>
      </w:r>
      <w:bookmarkEnd w:id="235"/>
      <w:bookmarkEnd w:id="236"/>
      <w:bookmarkEnd w:id="238"/>
    </w:p>
    <w:p>
      <w:pPr>
        <w:pStyle w:val="Style28"/>
        <w:keepNext/>
        <w:keepLines/>
        <w:widowControl w:val="0"/>
        <w:shd w:val="clear" w:color="auto" w:fill="auto"/>
        <w:tabs>
          <w:tab w:pos="404" w:val="left"/>
        </w:tabs>
        <w:bidi w:val="0"/>
        <w:spacing w:before="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1</w:t>
      </w:r>
      <w:bookmarkEnd w:id="241"/>
      <w:r>
        <w:rPr>
          <w:color w:val="000000"/>
          <w:spacing w:val="0"/>
          <w:w w:val="100"/>
          <w:position w:val="0"/>
        </w:rPr>
        <w:t>、</w:t>
        <w:tab/>
        <w:t>出售重大资产情况</w:t>
      </w:r>
      <w:bookmarkEnd w:id="239"/>
      <w:bookmarkEnd w:id="240"/>
      <w:bookmarkEnd w:id="24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tabs>
          <w:tab w:pos="404" w:val="left"/>
        </w:tabs>
        <w:bidi w:val="0"/>
        <w:spacing w:before="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2</w:t>
      </w:r>
      <w:bookmarkEnd w:id="245"/>
      <w:r>
        <w:rPr>
          <w:color w:val="000000"/>
          <w:spacing w:val="0"/>
          <w:w w:val="100"/>
          <w:position w:val="0"/>
        </w:rPr>
        <w:t>、</w:t>
        <w:tab/>
        <w:t>出售重大股权情况</w:t>
      </w:r>
      <w:bookmarkEnd w:id="243"/>
      <w:bookmarkEnd w:id="244"/>
      <w:bookmarkEnd w:id="246"/>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tabs>
          <w:tab w:pos="512" w:val="left"/>
        </w:tabs>
        <w:bidi w:val="0"/>
        <w:spacing w:before="0" w:after="36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sz w:val="24"/>
          <w:szCs w:val="24"/>
        </w:rPr>
        <w:t>九</w:t>
      </w:r>
      <w:bookmarkEnd w:id="249"/>
      <w:r>
        <w:rPr>
          <w:color w:val="000000"/>
          <w:spacing w:val="0"/>
          <w:w w:val="100"/>
          <w:position w:val="0"/>
          <w:sz w:val="24"/>
          <w:szCs w:val="24"/>
        </w:rPr>
        <w:t>、</w:t>
        <w:tab/>
        <w:t>主要控股参股公司分析</w:t>
      </w:r>
      <w:bookmarkEnd w:id="247"/>
      <w:bookmarkEnd w:id="248"/>
      <w:bookmarkEnd w:id="25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46"/>
        <w:gridCol w:w="974"/>
        <w:gridCol w:w="1382"/>
        <w:gridCol w:w="1042"/>
        <w:gridCol w:w="1046"/>
        <w:gridCol w:w="1046"/>
        <w:gridCol w:w="1046"/>
        <w:gridCol w:w="1042"/>
        <w:gridCol w:w="105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净利润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炜盛科技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518,471,54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425,656,95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270,826,97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54,896,034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51,492,507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汉威公用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城市供水设施</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的建设及运营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1,279,454,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519,608,68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306,024,83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71,381,519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60,864,242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城市供热设施</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的建设及运营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2,013,057,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714,028,24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486,411,74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142,840,49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121,102,94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深圳汉威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贡献净利润</w:t>
            </w:r>
            <w:r>
              <w:rPr>
                <w:rFonts w:ascii="Times New Roman" w:eastAsia="Times New Roman" w:hAnsi="Times New Roman" w:cs="Times New Roman"/>
                <w:color w:val="000000"/>
                <w:spacing w:val="0"/>
                <w:w w:val="100"/>
                <w:position w:val="0"/>
                <w:sz w:val="18"/>
                <w:szCs w:val="18"/>
              </w:rPr>
              <w:t>-623,392.94</w:t>
            </w:r>
            <w:r>
              <w:rPr>
                <w:color w:val="000000"/>
                <w:spacing w:val="0"/>
                <w:w w:val="100"/>
                <w:position w:val="0"/>
                <w:sz w:val="18"/>
                <w:szCs w:val="18"/>
              </w:rPr>
              <w:t>元</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苏州柔智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贡献净利润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8"/>
                <w:szCs w:val="18"/>
              </w:rPr>
              <w:t>元</w:t>
            </w:r>
          </w:p>
        </w:tc>
      </w:tr>
    </w:tbl>
    <w:p>
      <w:pPr>
        <w:widowControl w:val="0"/>
        <w:spacing w:after="79" w:line="1" w:lineRule="exact"/>
      </w:pP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主要控股参股公司情况说明</w:t>
      </w:r>
    </w:p>
    <w:p>
      <w:pPr>
        <w:pStyle w:val="Style10"/>
        <w:keepNext w:val="0"/>
        <w:keepLines w:val="0"/>
        <w:widowControl w:val="0"/>
        <w:shd w:val="clear" w:color="auto" w:fill="auto"/>
        <w:bidi w:val="0"/>
        <w:spacing w:before="0" w:after="220" w:line="240" w:lineRule="auto"/>
        <w:ind w:left="0" w:right="0" w:firstLine="440"/>
        <w:jc w:val="left"/>
      </w:pPr>
      <w:bookmarkStart w:id="251" w:name="bookmark251"/>
      <w:r>
        <w:rPr>
          <w:color w:val="000000"/>
          <w:spacing w:val="0"/>
          <w:w w:val="100"/>
          <w:position w:val="0"/>
        </w:rPr>
        <w:t>1</w:t>
      </w:r>
      <w:bookmarkEnd w:id="251"/>
      <w:r>
        <w:rPr>
          <w:color w:val="000000"/>
          <w:spacing w:val="0"/>
          <w:w w:val="100"/>
          <w:position w:val="0"/>
        </w:rPr>
        <w:t>、郑州炜盛电子科技有限公司</w:t>
      </w:r>
    </w:p>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炜盛科技为公司的全资子公司，注册资本16,000万元。法定代表人：刘瑞玲。公司住所：郑州高新技 </w:t>
      </w:r>
      <w:r>
        <w:rPr>
          <w:color w:val="000000"/>
          <w:spacing w:val="0"/>
          <w:w w:val="100"/>
          <w:position w:val="0"/>
        </w:rPr>
        <w:t>术开发区金梭路299号。主要经营范围：气敏元件、传感器、检测控制仪表、电子产品的开发、生产、销 售；提供技术转让、技术服务、技术咨询；进出口贸易。</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 xml:space="preserve">经审计，炜盛科技2021年度实现营业收入27, </w:t>
      </w:r>
      <w:r>
        <w:rPr>
          <w:color w:val="000000"/>
          <w:spacing w:val="0"/>
          <w:w w:val="100"/>
          <w:position w:val="0"/>
        </w:rPr>
        <w:t xml:space="preserve">082. </w:t>
      </w:r>
      <w:r>
        <w:rPr>
          <w:color w:val="000000"/>
          <w:spacing w:val="0"/>
          <w:w w:val="100"/>
          <w:position w:val="0"/>
        </w:rPr>
        <w:t xml:space="preserve">70万元，实现净利润5, </w:t>
      </w:r>
      <w:r>
        <w:rPr>
          <w:color w:val="000000"/>
          <w:spacing w:val="0"/>
          <w:w w:val="100"/>
          <w:position w:val="0"/>
        </w:rPr>
        <w:t xml:space="preserve">149. </w:t>
      </w:r>
      <w:r>
        <w:rPr>
          <w:color w:val="000000"/>
          <w:spacing w:val="0"/>
          <w:w w:val="100"/>
          <w:position w:val="0"/>
        </w:rPr>
        <w:t>25万元。</w:t>
      </w:r>
    </w:p>
    <w:p>
      <w:pPr>
        <w:pStyle w:val="Style10"/>
        <w:keepNext w:val="0"/>
        <w:keepLines w:val="0"/>
        <w:widowControl w:val="0"/>
        <w:shd w:val="clear" w:color="auto" w:fill="auto"/>
        <w:bidi w:val="0"/>
        <w:spacing w:before="0" w:after="0" w:line="468" w:lineRule="exact"/>
        <w:ind w:left="0" w:right="0" w:firstLine="440"/>
        <w:jc w:val="left"/>
      </w:pPr>
      <w:bookmarkStart w:id="252" w:name="bookmark252"/>
      <w:r>
        <w:rPr>
          <w:color w:val="000000"/>
          <w:spacing w:val="0"/>
          <w:w w:val="100"/>
          <w:position w:val="0"/>
        </w:rPr>
        <w:t>2</w:t>
      </w:r>
      <w:bookmarkEnd w:id="252"/>
      <w:r>
        <w:rPr>
          <w:color w:val="000000"/>
          <w:spacing w:val="0"/>
          <w:w w:val="100"/>
          <w:position w:val="0"/>
        </w:rPr>
        <w:t>、郑州汉威公用事业科技有限公司</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 xml:space="preserve">汉威公用为公司的控股子公司，注册资本10,000万元。法定代表人：杨强。公司住所：郑州市高新区 雪松路169号4号楼3层301室。公司持股比例为65%。主要经营范围：城市基础设施建设、工程设计、工程、 </w:t>
      </w:r>
      <w:r>
        <w:rPr>
          <w:color w:val="000000"/>
          <w:spacing w:val="0"/>
          <w:w w:val="100"/>
          <w:position w:val="0"/>
        </w:rPr>
        <w:t>施工、设备安装、维修服务；市政公用事业的建设、管理及相关软件开发、系统集成、运维服务；市政公 用设施的新建、改建、维护及运营管理。</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经审计，汉威公用2021年度实现营业收入30, </w:t>
      </w:r>
      <w:r>
        <w:rPr>
          <w:color w:val="000000"/>
          <w:spacing w:val="0"/>
          <w:w w:val="100"/>
          <w:position w:val="0"/>
        </w:rPr>
        <w:t xml:space="preserve">602. </w:t>
      </w:r>
      <w:r>
        <w:rPr>
          <w:color w:val="000000"/>
          <w:spacing w:val="0"/>
          <w:w w:val="100"/>
          <w:position w:val="0"/>
        </w:rPr>
        <w:t xml:space="preserve">48万元，实现净利润6, </w:t>
      </w:r>
      <w:r>
        <w:rPr>
          <w:color w:val="000000"/>
          <w:spacing w:val="0"/>
          <w:w w:val="100"/>
          <w:position w:val="0"/>
        </w:rPr>
        <w:t xml:space="preserve">086. </w:t>
      </w:r>
      <w:r>
        <w:rPr>
          <w:color w:val="000000"/>
          <w:spacing w:val="0"/>
          <w:w w:val="100"/>
          <w:position w:val="0"/>
        </w:rPr>
        <w:t>42万元。</w:t>
      </w:r>
    </w:p>
    <w:p>
      <w:pPr>
        <w:pStyle w:val="Style10"/>
        <w:keepNext w:val="0"/>
        <w:keepLines w:val="0"/>
        <w:widowControl w:val="0"/>
        <w:shd w:val="clear" w:color="auto" w:fill="auto"/>
        <w:bidi w:val="0"/>
        <w:spacing w:before="0" w:after="0" w:line="469" w:lineRule="exact"/>
        <w:ind w:left="0" w:right="0" w:firstLine="440"/>
        <w:jc w:val="both"/>
      </w:pPr>
      <w:bookmarkStart w:id="253" w:name="bookmark253"/>
      <w:r>
        <w:rPr>
          <w:color w:val="000000"/>
          <w:spacing w:val="0"/>
          <w:w w:val="100"/>
          <w:position w:val="0"/>
        </w:rPr>
        <w:t>3</w:t>
      </w:r>
      <w:bookmarkEnd w:id="253"/>
      <w:r>
        <w:rPr>
          <w:color w:val="000000"/>
          <w:spacing w:val="0"/>
          <w:w w:val="100"/>
          <w:position w:val="0"/>
        </w:rPr>
        <w:t>、郑州汉威智源科技有限公司</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汉威智源为公司的控股子公司，注册资本10,000万元。法定代表人：杨强。公司住所：郑州高新技术 产业开发区雪松路169号4号楼303室。公司持股比例为65%。主要经营范围：城市供热设施的建设及运营； 热力工程承包；市政工程承包；销售：热力器材、电气设备。</w:t>
      </w:r>
    </w:p>
    <w:p>
      <w:pPr>
        <w:pStyle w:val="Style10"/>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 xml:space="preserve">经审计，汉威智源2021年度实现营业收入48, </w:t>
      </w:r>
      <w:r>
        <w:rPr>
          <w:color w:val="000000"/>
          <w:spacing w:val="0"/>
          <w:w w:val="100"/>
          <w:position w:val="0"/>
        </w:rPr>
        <w:t xml:space="preserve">641. </w:t>
      </w:r>
      <w:r>
        <w:rPr>
          <w:color w:val="000000"/>
          <w:spacing w:val="0"/>
          <w:w w:val="100"/>
          <w:position w:val="0"/>
        </w:rPr>
        <w:t xml:space="preserve">17万元，实现净利润12, </w:t>
      </w:r>
      <w:r>
        <w:rPr>
          <w:color w:val="000000"/>
          <w:spacing w:val="0"/>
          <w:w w:val="100"/>
          <w:position w:val="0"/>
        </w:rPr>
        <w:t xml:space="preserve">110. </w:t>
      </w:r>
      <w:r>
        <w:rPr>
          <w:color w:val="000000"/>
          <w:spacing w:val="0"/>
          <w:w w:val="100"/>
          <w:position w:val="0"/>
        </w:rPr>
        <w:t>29万元。</w:t>
      </w:r>
    </w:p>
    <w:p>
      <w:pPr>
        <w:pStyle w:val="Style19"/>
        <w:keepNext/>
        <w:keepLines/>
        <w:widowControl w:val="0"/>
        <w:shd w:val="clear" w:color="auto" w:fill="auto"/>
        <w:bidi w:val="0"/>
        <w:spacing w:before="0" w:after="360" w:line="240" w:lineRule="auto"/>
        <w:ind w:left="0" w:right="0" w:firstLine="0"/>
        <w:jc w:val="left"/>
      </w:pPr>
      <w:bookmarkStart w:id="254" w:name="bookmark254"/>
      <w:bookmarkStart w:id="255" w:name="bookmark255"/>
      <w:bookmarkStart w:id="256" w:name="bookmark256"/>
      <w:r>
        <w:rPr>
          <w:color w:val="000000"/>
          <w:spacing w:val="0"/>
          <w:w w:val="100"/>
          <w:position w:val="0"/>
          <w:sz w:val="24"/>
          <w:szCs w:val="24"/>
        </w:rPr>
        <w:t>十、公司控制的结构化主体情况</w:t>
      </w:r>
      <w:bookmarkEnd w:id="254"/>
      <w:bookmarkEnd w:id="255"/>
      <w:bookmarkEnd w:id="256"/>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200" w:line="240" w:lineRule="auto"/>
        <w:ind w:left="0" w:right="0" w:firstLine="0"/>
        <w:jc w:val="left"/>
      </w:pPr>
      <w:bookmarkStart w:id="257" w:name="bookmark257"/>
      <w:bookmarkStart w:id="258" w:name="bookmark258"/>
      <w:bookmarkStart w:id="259" w:name="bookmark259"/>
      <w:r>
        <w:rPr>
          <w:color w:val="000000"/>
          <w:spacing w:val="0"/>
          <w:w w:val="100"/>
          <w:position w:val="0"/>
          <w:sz w:val="24"/>
          <w:szCs w:val="24"/>
        </w:rPr>
        <w:t>十一、公司未来发展的展望</w:t>
      </w:r>
      <w:bookmarkEnd w:id="257"/>
      <w:bookmarkEnd w:id="258"/>
      <w:bookmarkEnd w:id="259"/>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“十四五”发展规划和二</w:t>
      </w:r>
      <w:r>
        <w:rPr>
          <w:color w:val="000000"/>
          <w:spacing w:val="0"/>
          <w:w w:val="100"/>
          <w:position w:val="0"/>
        </w:rPr>
        <w:t>O</w:t>
      </w:r>
      <w:r>
        <w:rPr>
          <w:color w:val="000000"/>
          <w:spacing w:val="0"/>
          <w:w w:val="100"/>
          <w:position w:val="0"/>
        </w:rPr>
        <w:t>三五远景目标都将创新发展、强化国家战略科技力量、增强产业链、供应 链自主可控能力放到了非常重要的位置，并将数字经济作为中国社会经济发展的重要方向和竞争力来源。 国务院印发的我国首个数字经济五年计划</w:t>
      </w:r>
      <w:r>
        <w:rPr>
          <w:color w:val="000000"/>
          <w:spacing w:val="0"/>
          <w:w w:val="100"/>
          <w:position w:val="0"/>
        </w:rPr>
        <w:t>一一</w:t>
      </w:r>
      <w:r>
        <w:rPr>
          <w:color w:val="000000"/>
          <w:spacing w:val="0"/>
          <w:w w:val="100"/>
          <w:position w:val="0"/>
        </w:rPr>
        <w:t>《“十四五”数字经济发展规划》中指出，要增强传感器等 多项关键技术的创新能力，提高数字技术基础研发能力，加快推动数字产业化。展望2022年，新一轮科技 革命和产业变革深入发展，数字化转型已经成为大势所趋，受内外部多重因素影响，我国数字经济发展面 临的形势正在发生深刻变化，数字化场景不断丰富，应用空间不断打开，社会各界对传感器、物联网等数 字技术需求也愈发强劲。2022年，安全将成为“新基建”的基建，成为各行业可持续健康发展的刚需，传 感器、智能仪表等关键器件国产替代需求也将加快释放。上述社会经济发展大趋势和相关政策的落地，都 将为公司业务发展带来更大的市场机遇。</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2022年，公司将紧跟数字经济时代步伐，牢牢把握时代机遇和市场变化趋势，以“战略牵引、创新驱 动、平台支撑、协同发力”为中心策略，通过创新、融合，实现突破、致远，加快传感器、智能仪表等物 联网关键产业、关键技术、关键产品、关键领域的纵深突破，加快机遇变现、势能累积、成果转化和业绩 产出，实现格局、思想、作风、管理、业务、产品、能力的全面升级，加快开创高质量发展的新局面，实 现发展质量和速度的双提升。</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具体来说，公司将加强如下几个方面的工作：</w:t>
      </w:r>
    </w:p>
    <w:p>
      <w:pPr>
        <w:pStyle w:val="Style10"/>
        <w:keepNext w:val="0"/>
        <w:keepLines w:val="0"/>
        <w:widowControl w:val="0"/>
        <w:shd w:val="clear" w:color="auto" w:fill="auto"/>
        <w:bidi w:val="0"/>
        <w:spacing w:before="0" w:after="0" w:line="470" w:lineRule="exact"/>
        <w:ind w:left="0" w:right="0" w:firstLine="440"/>
        <w:jc w:val="both"/>
      </w:pPr>
      <w:bookmarkStart w:id="260" w:name="bookmark260"/>
      <w:r>
        <w:rPr>
          <w:b/>
          <w:bCs/>
          <w:color w:val="000000"/>
          <w:spacing w:val="0"/>
          <w:w w:val="100"/>
          <w:position w:val="0"/>
        </w:rPr>
        <w:t>（</w:t>
      </w:r>
      <w:bookmarkEnd w:id="260"/>
      <w:r>
        <w:rPr>
          <w:b/>
          <w:bCs/>
          <w:color w:val="000000"/>
          <w:spacing w:val="0"/>
          <w:w w:val="100"/>
          <w:position w:val="0"/>
        </w:rPr>
        <w:t>一）加快高质量产业生态圈建设，奠定引领行业发展的强大基础</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2022年，公司将继续围绕“以传感器为核心、涵盖智能仪器仪表、物联网行业应用、数据服务”的完 </w:t>
      </w:r>
      <w:r>
        <w:rPr>
          <w:color w:val="000000"/>
          <w:spacing w:val="0"/>
          <w:w w:val="100"/>
          <w:position w:val="0"/>
        </w:rPr>
        <w:t>整物联网产业链，以更宽阔的视野、更高的标准推进产业生态圈建设，充分发挥“传感器技术平台”、“仪 器仪表技术平台”和“物联网技术平台”三大平台技术融合、客户共享、市场促进的协同效应，发挥完备 产业生态的独特优势，以战略组合和资源调配加速落地传感器、智能仪表以及物联网解决方案三大产品线 在安全、环保、城市管理、居家智能健康等领域的应用，打造物联网生态圈持续竞争力，逐步实现由行业 排头兵到引领者的实质转变。</w:t>
      </w:r>
    </w:p>
    <w:p>
      <w:pPr>
        <w:pStyle w:val="Style10"/>
        <w:keepNext w:val="0"/>
        <w:keepLines w:val="0"/>
        <w:widowControl w:val="0"/>
        <w:shd w:val="clear" w:color="auto" w:fill="auto"/>
        <w:bidi w:val="0"/>
        <w:spacing w:before="0" w:after="0" w:line="470" w:lineRule="exact"/>
        <w:ind w:left="0" w:right="0" w:firstLine="420"/>
        <w:jc w:val="both"/>
      </w:pPr>
      <w:bookmarkStart w:id="261" w:name="bookmark261"/>
      <w:r>
        <w:rPr>
          <w:b/>
          <w:bCs/>
          <w:color w:val="000000"/>
          <w:spacing w:val="0"/>
          <w:w w:val="100"/>
          <w:position w:val="0"/>
        </w:rPr>
        <w:t>1</w:t>
      </w:r>
      <w:bookmarkEnd w:id="261"/>
      <w:r>
        <w:rPr>
          <w:b/>
          <w:bCs/>
          <w:color w:val="000000"/>
          <w:spacing w:val="0"/>
          <w:w w:val="100"/>
          <w:position w:val="0"/>
        </w:rPr>
        <w:t>、传感器方面</w:t>
      </w:r>
    </w:p>
    <w:p>
      <w:pPr>
        <w:pStyle w:val="Style10"/>
        <w:keepNext w:val="0"/>
        <w:keepLines w:val="0"/>
        <w:widowControl w:val="0"/>
        <w:shd w:val="clear" w:color="auto" w:fill="auto"/>
        <w:bidi w:val="0"/>
        <w:spacing w:before="0" w:after="0" w:line="470" w:lineRule="exact"/>
        <w:ind w:left="0" w:right="0" w:firstLine="420"/>
        <w:jc w:val="both"/>
      </w:pPr>
      <w:r>
        <w:rPr>
          <w:color w:val="000000"/>
          <w:spacing w:val="0"/>
          <w:w w:val="100"/>
          <w:position w:val="0"/>
        </w:rPr>
        <w:t>2022年，公司将继续围绕民生安防、环境检测、智能终端等领域，在市场和产品两方面深耕，进一步 丰富和拓展传感器应用场景，扩大应用规模。</w:t>
      </w:r>
    </w:p>
    <w:p>
      <w:pPr>
        <w:pStyle w:val="Style10"/>
        <w:keepNext w:val="0"/>
        <w:keepLines w:val="0"/>
        <w:widowControl w:val="0"/>
        <w:shd w:val="clear" w:color="auto" w:fill="auto"/>
        <w:bidi w:val="0"/>
        <w:spacing w:before="0" w:after="0" w:line="470" w:lineRule="exact"/>
        <w:ind w:left="0" w:right="0" w:firstLine="420"/>
        <w:jc w:val="both"/>
      </w:pPr>
      <w:r>
        <w:rPr>
          <w:color w:val="000000"/>
          <w:spacing w:val="0"/>
          <w:w w:val="100"/>
          <w:position w:val="0"/>
        </w:rPr>
        <w:t>2022年，公司将向消费端注入更多资源，加快汽车和家电市场开拓，打造更多明星产品与标杆性合作 案例，拓宽市场领域。充分发挥公司半导体燃气传感器的技术市场领先优势，做深做透家用及商用厨房燃 气检测市场，满足基于厨房安全检测预警的刚性需求，为民生安全保驾护航；进一步释放甲醛传感器、红 外二氧化碳传感器、粉尘传感器在环境检测领域的应用势能，打开更多的销量空间；进一步完善智能家居 解决方案，发挥公司传感器种类多、产品覆盖面广的特点，为全屋家电提供全套的智能化解决方案，促进 相关传感器的销售推广；同时把握好新能源汽车蓬勃发展的市场机遇，打造基于汽车舒适系统、生命遗留 检测、电池安全监测的全系列汽车传感器解决方案，加快汽车领域的市场进度。</w:t>
      </w:r>
    </w:p>
    <w:p>
      <w:pPr>
        <w:pStyle w:val="Style10"/>
        <w:keepNext w:val="0"/>
        <w:keepLines w:val="0"/>
        <w:widowControl w:val="0"/>
        <w:shd w:val="clear" w:color="auto" w:fill="auto"/>
        <w:bidi w:val="0"/>
        <w:spacing w:before="0" w:after="0" w:line="470" w:lineRule="exact"/>
        <w:ind w:left="0" w:right="0" w:firstLine="420"/>
        <w:jc w:val="both"/>
      </w:pPr>
      <w:r>
        <w:rPr>
          <w:color w:val="000000"/>
          <w:spacing w:val="0"/>
          <w:w w:val="100"/>
          <w:position w:val="0"/>
        </w:rPr>
        <w:t>2022年，公司将继续强化金属氧化物半导体、催化燃烧、电化学、红外光学气体传感器技术水平和市 场领先地位，加快水性电化学传感器和湿度传感器的市场拓展速度，为公司在关键领域的突破奠定基础； 统筹做好</w:t>
      </w:r>
      <w:r>
        <w:rPr>
          <w:color w:val="000000"/>
          <w:spacing w:val="0"/>
          <w:w w:val="100"/>
          <w:position w:val="0"/>
        </w:rPr>
        <w:t>“MEMS</w:t>
      </w:r>
      <w:r>
        <w:rPr>
          <w:color w:val="000000"/>
          <w:spacing w:val="0"/>
          <w:w w:val="100"/>
          <w:position w:val="0"/>
        </w:rPr>
        <w:t>传感器封测产线建设”、“新建年产150万只气体传感器生产线”两个募投项目的建设，提 高公司传感器产能和技术水平，进一步巩固产品竞争优势，扩大中高端产品市场份额，推动业绩更快提升。</w:t>
      </w:r>
    </w:p>
    <w:p>
      <w:pPr>
        <w:pStyle w:val="Style10"/>
        <w:keepNext w:val="0"/>
        <w:keepLines w:val="0"/>
        <w:widowControl w:val="0"/>
        <w:shd w:val="clear" w:color="auto" w:fill="auto"/>
        <w:bidi w:val="0"/>
        <w:spacing w:before="0" w:after="0" w:line="470" w:lineRule="exact"/>
        <w:ind w:left="0" w:right="0" w:firstLine="420"/>
        <w:jc w:val="both"/>
      </w:pPr>
      <w:r>
        <w:rPr>
          <w:color w:val="000000"/>
          <w:spacing w:val="0"/>
          <w:w w:val="100"/>
          <w:position w:val="0"/>
        </w:rPr>
        <w:t>2022年，苏州能斯达将努力抓住先发机会，与小米科技、九号科技、科大讯飞、雅迪科技等更多知名 企业展开良好合作，在物联网、智能穿戴、医疗健康、消费电子、智能汽车等领域提供更加完善的人机交 互解决方案，加快实现柔性传感器产量及规模的提升。2022年，苏州能斯达将与小米科技展开更加深入的 合作，积极拓展柔性微纳传感技术与消费电子</w:t>
      </w:r>
      <w:r>
        <w:rPr>
          <w:color w:val="000000"/>
          <w:spacing w:val="0"/>
          <w:w w:val="100"/>
          <w:position w:val="0"/>
        </w:rPr>
        <w:t>、AIOT</w:t>
      </w:r>
      <w:r>
        <w:rPr>
          <w:color w:val="000000"/>
          <w:spacing w:val="0"/>
          <w:w w:val="100"/>
          <w:position w:val="0"/>
        </w:rPr>
        <w:t>的应用融合，将柔性感知技术与小米科技的智能物联 网终端产品相结合，产生各种新的应用和技术迭代，加快推动柔性感知技术在智能终端的规模化应用落地。</w:t>
      </w:r>
    </w:p>
    <w:p>
      <w:pPr>
        <w:pStyle w:val="Style10"/>
        <w:keepNext w:val="0"/>
        <w:keepLines w:val="0"/>
        <w:widowControl w:val="0"/>
        <w:shd w:val="clear" w:color="auto" w:fill="auto"/>
        <w:bidi w:val="0"/>
        <w:spacing w:before="0" w:after="0" w:line="470" w:lineRule="exact"/>
        <w:ind w:left="0" w:right="0" w:firstLine="420"/>
        <w:jc w:val="both"/>
      </w:pPr>
      <w:r>
        <w:rPr>
          <w:color w:val="000000"/>
          <w:spacing w:val="0"/>
          <w:w w:val="100"/>
          <w:position w:val="0"/>
        </w:rPr>
        <w:t>2022年，公司将更加聚焦传感器产业发展，以数字经济时代的发展、客户需求为导向，继续加大水、 气、颗粒物、光、声等相关环境传感器的新技术研发储备，强化传感器核心竞争力，筑高行业壁垒，提升 产品质量和种类。同时，加快布局智能家居、智能穿戴、氢能源、燃料电池安全、驾驶舱空气质量管理、 医疗健康等战略新兴领域，抢抓市场机遇，打造业绩新增长点，夯实行业领先地位。</w:t>
      </w:r>
    </w:p>
    <w:p>
      <w:pPr>
        <w:pStyle w:val="Style10"/>
        <w:keepNext w:val="0"/>
        <w:keepLines w:val="0"/>
        <w:widowControl w:val="0"/>
        <w:shd w:val="clear" w:color="auto" w:fill="auto"/>
        <w:bidi w:val="0"/>
        <w:spacing w:before="0" w:after="0" w:line="470" w:lineRule="exact"/>
        <w:ind w:left="0" w:right="0" w:firstLine="380"/>
        <w:jc w:val="both"/>
      </w:pPr>
      <w:bookmarkStart w:id="262" w:name="bookmark262"/>
      <w:r>
        <w:rPr>
          <w:b/>
          <w:bCs/>
          <w:color w:val="000000"/>
          <w:spacing w:val="0"/>
          <w:w w:val="100"/>
          <w:position w:val="0"/>
        </w:rPr>
        <w:t>2</w:t>
      </w:r>
      <w:bookmarkEnd w:id="262"/>
      <w:r>
        <w:rPr>
          <w:b/>
          <w:bCs/>
          <w:color w:val="000000"/>
          <w:spacing w:val="0"/>
          <w:w w:val="100"/>
          <w:position w:val="0"/>
        </w:rPr>
        <w:t>、智能仪表方面</w:t>
      </w:r>
    </w:p>
    <w:p>
      <w:pPr>
        <w:pStyle w:val="Style1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 xml:space="preserve">2022年，公司将牢牢抓住安全仪表行业发展机遇，通过不同产品组合和灵活销售策略稳步提升智能仪 </w:t>
      </w:r>
      <w:r>
        <w:rPr>
          <w:color w:val="000000"/>
          <w:spacing w:val="0"/>
          <w:w w:val="100"/>
          <w:position w:val="0"/>
        </w:rPr>
        <w:t>表的市场占有率和行业影响力，强化行业龙头企业地位；加快推动智能仪表生产规范化、信息化、自动化 建设，进一步加快产能扩充，满足安全刚需化带来的更强劲的市场需求。</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2022年，智能仪表国产替代趋势将会进一步加速，公司将紧抓国产替代加速机遇，持续推进气体探测 器、燃气报警器、火焰探测器</w:t>
      </w:r>
      <w:r>
        <w:rPr>
          <w:color w:val="000000"/>
          <w:spacing w:val="0"/>
          <w:w w:val="100"/>
          <w:position w:val="0"/>
        </w:rPr>
        <w:t>、PID</w:t>
      </w:r>
      <w:r>
        <w:rPr>
          <w:color w:val="000000"/>
          <w:spacing w:val="0"/>
          <w:w w:val="100"/>
          <w:position w:val="0"/>
        </w:rPr>
        <w:t>技术探测器等产品迭代升级，重点围绕化工、钢铁、有色、石油、石 化、燃气等行业龙头客户，建立战略合作关系；在中石油、中石化、中海油以及半导体等高端工业特殊领 域进一步提升市场占有率，巩固品牌影响力，实现智能仪表业务规模再上新的台阶。</w:t>
      </w:r>
    </w:p>
    <w:p>
      <w:pPr>
        <w:pStyle w:val="Style10"/>
        <w:keepNext w:val="0"/>
        <w:keepLines w:val="0"/>
        <w:widowControl w:val="0"/>
        <w:shd w:val="clear" w:color="auto" w:fill="auto"/>
        <w:bidi w:val="0"/>
        <w:spacing w:before="0" w:after="0" w:line="470" w:lineRule="exact"/>
        <w:ind w:left="0" w:right="0" w:firstLine="440"/>
        <w:jc w:val="both"/>
      </w:pPr>
      <w:bookmarkStart w:id="263" w:name="bookmark263"/>
      <w:r>
        <w:rPr>
          <w:b/>
          <w:bCs/>
          <w:color w:val="000000"/>
          <w:spacing w:val="0"/>
          <w:w w:val="100"/>
          <w:position w:val="0"/>
        </w:rPr>
        <w:t>3</w:t>
      </w:r>
      <w:bookmarkEnd w:id="263"/>
      <w:r>
        <w:rPr>
          <w:b/>
          <w:bCs/>
          <w:color w:val="000000"/>
          <w:spacing w:val="0"/>
          <w:w w:val="100"/>
          <w:position w:val="0"/>
        </w:rPr>
        <w:t>、物联网综合解决方案和服务方面</w:t>
      </w:r>
    </w:p>
    <w:p>
      <w:pPr>
        <w:pStyle w:val="Style10"/>
        <w:keepNext w:val="0"/>
        <w:keepLines w:val="0"/>
        <w:widowControl w:val="0"/>
        <w:shd w:val="clear" w:color="auto" w:fill="auto"/>
        <w:tabs>
          <w:tab w:pos="868" w:val="left"/>
        </w:tabs>
        <w:bidi w:val="0"/>
        <w:spacing w:before="0" w:after="0" w:line="470" w:lineRule="exact"/>
        <w:ind w:left="0" w:right="0" w:firstLine="440"/>
        <w:jc w:val="both"/>
      </w:pPr>
      <w:bookmarkStart w:id="264" w:name="bookmark264"/>
      <w:r>
        <w:rPr>
          <w:b/>
          <w:bCs/>
          <w:color w:val="000000"/>
          <w:spacing w:val="0"/>
          <w:w w:val="100"/>
          <w:position w:val="0"/>
        </w:rPr>
        <w:t>（</w:t>
      </w:r>
      <w:bookmarkEnd w:id="264"/>
      <w:r>
        <w:rPr>
          <w:b/>
          <w:bCs/>
          <w:color w:val="000000"/>
          <w:spacing w:val="0"/>
          <w:w w:val="100"/>
          <w:position w:val="0"/>
        </w:rPr>
        <w:t>1）</w:t>
        <w:tab/>
        <w:t>智慧安全系统解决方案</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工业企业安全生产、化工园区安全、危化品储运、政府安全生产和应急救援相关领域数字化、智慧化 是公司传统优势业务。2022年，公司将持续夯实“物联网+大安全”战略，实现可持续良性内生增长，牢牢 把握政策机遇和市场趋势，强化物联网与垂直行业深度融合，加快差异化、场景化、物联化向智能化方向 的实质突破，拥抱机遇、势能累积，以“构建新增长”为价值目标，协助客户构建“数字化应用”战略， 围绕“新模式、新跑道、新产品、新业态”四大关键要素，打造全新的增长动力。</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同时，在既有战略的基础上，进一步深度梳理产业链，加快在新能源、环保、</w:t>
      </w:r>
      <w:r>
        <w:rPr>
          <w:color w:val="000000"/>
          <w:spacing w:val="0"/>
          <w:w w:val="100"/>
          <w:position w:val="0"/>
        </w:rPr>
        <w:t>LNG</w:t>
      </w:r>
      <w:r>
        <w:rPr>
          <w:color w:val="000000"/>
          <w:spacing w:val="0"/>
          <w:w w:val="100"/>
          <w:position w:val="0"/>
        </w:rPr>
        <w:t>等领域取得市场突 破，加快布局碳达峰、碳中和在智慧园区的管理与应用，在数字化运维检测服务方面增加更多的业绩增长 点。</w:t>
      </w:r>
    </w:p>
    <w:p>
      <w:pPr>
        <w:pStyle w:val="Style10"/>
        <w:keepNext w:val="0"/>
        <w:keepLines w:val="0"/>
        <w:widowControl w:val="0"/>
        <w:shd w:val="clear" w:color="auto" w:fill="auto"/>
        <w:tabs>
          <w:tab w:pos="873" w:val="left"/>
        </w:tabs>
        <w:bidi w:val="0"/>
        <w:spacing w:before="0" w:after="0" w:line="470" w:lineRule="exact"/>
        <w:ind w:left="0" w:right="0" w:firstLine="440"/>
        <w:jc w:val="both"/>
      </w:pPr>
      <w:bookmarkStart w:id="265" w:name="bookmark265"/>
      <w:r>
        <w:rPr>
          <w:b/>
          <w:bCs/>
          <w:color w:val="000000"/>
          <w:spacing w:val="0"/>
          <w:w w:val="100"/>
          <w:position w:val="0"/>
        </w:rPr>
        <w:t>（</w:t>
      </w:r>
      <w:bookmarkEnd w:id="265"/>
      <w:r>
        <w:rPr>
          <w:b/>
          <w:bCs/>
          <w:color w:val="000000"/>
          <w:spacing w:val="0"/>
          <w:w w:val="100"/>
          <w:position w:val="0"/>
        </w:rPr>
        <w:t>2）</w:t>
        <w:tab/>
        <w:t>智慧城市系统解决方案</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多年来，公司深耕燃气、供水、供暖、城市管理等行业客户，产品和服务已覆盖五大燃气集团和大部 分城市燃气集团、重点中心城市供水公司、热力公司，为行业客户的数字化、智慧化赋能，拥有众多标杆 客户和示范项目。2022年，公司将进一步整合资源要素，加强主动协同，实现板块内部客户、营销、技术、 产品破界融合，进一步提升智慧城市业务板块的整体合力，不断巩固公司智慧燃气、智慧水务、智慧热力 解决方案的行业领先地位；充分发挥技术引领优势，在</w:t>
      </w:r>
      <w:r>
        <w:rPr>
          <w:color w:val="000000"/>
          <w:spacing w:val="0"/>
          <w:w w:val="100"/>
          <w:position w:val="0"/>
        </w:rPr>
        <w:t>SAAS</w:t>
      </w:r>
      <w:r>
        <w:rPr>
          <w:color w:val="000000"/>
          <w:spacing w:val="0"/>
          <w:w w:val="100"/>
          <w:position w:val="0"/>
        </w:rPr>
        <w:t>产品化包装、运维数字化、数字挛生、云服务、 智慧农水等方面实现业务拓展，在百万连接级物联网平台、燃气监管平台、城市生命线、城市综合管网等 核心综合性业务方面取得进一步突破。</w:t>
      </w:r>
    </w:p>
    <w:p>
      <w:pPr>
        <w:pStyle w:val="Style1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2022年，公司将重点加快城市生命线等综合物联网项目方案的优化整合，内部协同分工，推动大中型 项目落地；加快祥云物联网升级和推广，强化千万级别连接容量与“三高”（高并发、高可用、高性能） 情景运维支持能力，积极探索祥云物联网平台运营模式，深耕祥云生态建设和城市级物联网项目建设，持 续提升物联网技术在城市生命线管理的数字化支撑作用，打造城市生命线应用示范，加速智慧城市业务向 纵深发展。</w:t>
      </w:r>
    </w:p>
    <w:p>
      <w:pPr>
        <w:pStyle w:val="Style10"/>
        <w:keepNext w:val="0"/>
        <w:keepLines w:val="0"/>
        <w:widowControl w:val="0"/>
        <w:shd w:val="clear" w:color="auto" w:fill="auto"/>
        <w:bidi w:val="0"/>
        <w:spacing w:before="0" w:after="100" w:line="240" w:lineRule="auto"/>
        <w:ind w:left="0" w:right="0" w:firstLine="440"/>
        <w:jc w:val="both"/>
      </w:pPr>
      <w:bookmarkStart w:id="266" w:name="bookmark266"/>
      <w:r>
        <w:rPr>
          <w:b/>
          <w:bCs/>
          <w:color w:val="000000"/>
          <w:spacing w:val="0"/>
          <w:w w:val="100"/>
          <w:position w:val="0"/>
        </w:rPr>
        <w:t>（</w:t>
      </w:r>
      <w:bookmarkEnd w:id="266"/>
      <w:r>
        <w:rPr>
          <w:b/>
          <w:bCs/>
          <w:color w:val="000000"/>
          <w:spacing w:val="0"/>
          <w:w w:val="100"/>
          <w:position w:val="0"/>
        </w:rPr>
        <w:t>3）智慧环保系统解决方案</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2022年，公司将依托数字化平台系统建设成果，加强产业协同，持续打造集监测、检测、集成、运维、 服务于一体的智慧环保生态圈，提升公司竞争优势，激发智慧环保板块新动能，积极把握“双碳”目标带 来的市场机遇。</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监测方面，2022年，公司子公司雪城软件将进一步发挥上下游产业链相对齐全的优势，持续强化软硬 一体化综合实力，实现规模和影响力的双提升。同时，还将加大力度在碳排放、温室气体监控、流域水生 态、农村水质监管等领域产品布局和推广，拓展更多的业务机会。</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治理方面，2022年，公司子公司嘉园环保将在垃圾渗滤液业务方面持续优化工艺、打造精品工程，同 时，实现</w:t>
      </w:r>
      <w:r>
        <w:rPr>
          <w:color w:val="000000"/>
          <w:spacing w:val="0"/>
          <w:w w:val="100"/>
          <w:position w:val="0"/>
        </w:rPr>
        <w:t>VOCs</w:t>
      </w:r>
      <w:r>
        <w:rPr>
          <w:color w:val="000000"/>
          <w:spacing w:val="0"/>
          <w:w w:val="100"/>
          <w:position w:val="0"/>
        </w:rPr>
        <w:t>治理项目在更多行业的规模复制推广，树立业务标杆，巩固行业地位；进一步提升信息化建 设能力，加速智慧环保平台的商业化推广应用。</w:t>
      </w:r>
    </w:p>
    <w:p>
      <w:pPr>
        <w:pStyle w:val="Style10"/>
        <w:keepNext w:val="0"/>
        <w:keepLines w:val="0"/>
        <w:widowControl w:val="0"/>
        <w:shd w:val="clear" w:color="auto" w:fill="auto"/>
        <w:tabs>
          <w:tab w:pos="753" w:val="left"/>
        </w:tabs>
        <w:bidi w:val="0"/>
        <w:spacing w:before="0" w:after="0" w:line="472" w:lineRule="exact"/>
        <w:ind w:left="0" w:right="0" w:firstLine="440"/>
        <w:jc w:val="both"/>
      </w:pPr>
      <w:bookmarkStart w:id="267" w:name="bookmark267"/>
      <w:r>
        <w:rPr>
          <w:b/>
          <w:bCs/>
          <w:color w:val="000000"/>
          <w:spacing w:val="0"/>
          <w:w w:val="100"/>
          <w:position w:val="0"/>
        </w:rPr>
        <w:t>4</w:t>
      </w:r>
      <w:bookmarkEnd w:id="267"/>
      <w:r>
        <w:rPr>
          <w:b/>
          <w:bCs/>
          <w:color w:val="000000"/>
          <w:spacing w:val="0"/>
          <w:w w:val="100"/>
          <w:position w:val="0"/>
        </w:rPr>
        <w:t>、</w:t>
        <w:tab/>
        <w:t>居家智能与健康</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2022年，公司将继续围绕安消一体化小微场所发展业务，完成应用平台的场景展现，形成可搭载定制 化场景的轻应用建设，布局能源消费板块建设，并启动更全面的智慧化建设项目。同时，巩固前期技术创 新和市场开拓成果，与各大运营商、集团客户开展更加广泛的业务合作，进一步加速全系列物联网烟雾探 测器、燃气报警器产品、家居健康类产品市场投放速度，发挥祥云物联网平台优势，瞄准消费级安全、健 康、智慧服务领域，加快搭建完善的家居安全健康生态圈。通过线下线上营销联动发力，增加客户粘性， 推动业绩增长。</w:t>
      </w:r>
    </w:p>
    <w:p>
      <w:pPr>
        <w:pStyle w:val="Style10"/>
        <w:keepNext w:val="0"/>
        <w:keepLines w:val="0"/>
        <w:widowControl w:val="0"/>
        <w:shd w:val="clear" w:color="auto" w:fill="auto"/>
        <w:tabs>
          <w:tab w:pos="753" w:val="left"/>
        </w:tabs>
        <w:bidi w:val="0"/>
        <w:spacing w:before="0" w:after="0" w:line="472" w:lineRule="exact"/>
        <w:ind w:left="0" w:right="0" w:firstLine="440"/>
        <w:jc w:val="both"/>
      </w:pPr>
      <w:bookmarkStart w:id="268" w:name="bookmark268"/>
      <w:r>
        <w:rPr>
          <w:b/>
          <w:bCs/>
          <w:color w:val="000000"/>
          <w:spacing w:val="0"/>
          <w:w w:val="100"/>
          <w:position w:val="0"/>
        </w:rPr>
        <w:t>5</w:t>
      </w:r>
      <w:bookmarkEnd w:id="268"/>
      <w:r>
        <w:rPr>
          <w:b/>
          <w:bCs/>
          <w:color w:val="000000"/>
          <w:spacing w:val="0"/>
          <w:w w:val="100"/>
          <w:position w:val="0"/>
        </w:rPr>
        <w:t>、</w:t>
        <w:tab/>
        <w:t>公用事业</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2022年，公司公用事业相关业务将继续坚持“保民生、创效益、打造智慧化标杆”三大工作主线，落 实好集团业绩“稳定器”职能，促进基础业务稳中有进的同时，为智慧化业务的长远发展打好基础，进一 步巩固公用事业运营管理和经营管理的数字化转型标杆，同时积极推进相关资产优化。</w:t>
      </w:r>
    </w:p>
    <w:p>
      <w:pPr>
        <w:pStyle w:val="Style10"/>
        <w:keepNext w:val="0"/>
        <w:keepLines w:val="0"/>
        <w:widowControl w:val="0"/>
        <w:shd w:val="clear" w:color="auto" w:fill="auto"/>
        <w:bidi w:val="0"/>
        <w:spacing w:before="0" w:after="0" w:line="472" w:lineRule="exact"/>
        <w:ind w:left="0" w:right="0" w:firstLine="440"/>
        <w:jc w:val="both"/>
      </w:pPr>
      <w:bookmarkStart w:id="269" w:name="bookmark269"/>
      <w:r>
        <w:rPr>
          <w:b/>
          <w:bCs/>
          <w:color w:val="000000"/>
          <w:spacing w:val="0"/>
          <w:w w:val="100"/>
          <w:position w:val="0"/>
        </w:rPr>
        <w:t>（</w:t>
      </w:r>
      <w:bookmarkEnd w:id="269"/>
      <w:r>
        <w:rPr>
          <w:b/>
          <w:bCs/>
          <w:color w:val="000000"/>
          <w:spacing w:val="0"/>
          <w:w w:val="100"/>
          <w:position w:val="0"/>
        </w:rPr>
        <w:t>二）坚持创新发展提升核心竞争力，优化创新生态模式实现发展新突破</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2022年，公司将以战略为牵引，持续加强核心技术研发、优化创新体系、创新应用场景、夯实创新平 台，打造内外资源融合的创新生态模式。</w:t>
      </w:r>
    </w:p>
    <w:p>
      <w:pPr>
        <w:pStyle w:val="Style10"/>
        <w:keepNext w:val="0"/>
        <w:keepLines w:val="0"/>
        <w:widowControl w:val="0"/>
        <w:numPr>
          <w:ilvl w:val="0"/>
          <w:numId w:val="9"/>
        </w:numPr>
        <w:shd w:val="clear" w:color="auto" w:fill="auto"/>
        <w:tabs>
          <w:tab w:pos="746" w:val="left"/>
        </w:tabs>
        <w:bidi w:val="0"/>
        <w:spacing w:before="0" w:after="0" w:line="472" w:lineRule="exact"/>
        <w:ind w:left="0" w:right="0" w:firstLine="440"/>
        <w:jc w:val="both"/>
      </w:pPr>
      <w:bookmarkStart w:id="270" w:name="bookmark270"/>
      <w:bookmarkEnd w:id="270"/>
      <w:r>
        <w:rPr>
          <w:color w:val="000000"/>
          <w:spacing w:val="0"/>
          <w:w w:val="100"/>
          <w:position w:val="0"/>
        </w:rPr>
        <w:t>2022年，公司将提高站位，加快对前沿技术进行研发和孵化，在完成自身技术、产业升级的同时， 培育出更多新业务和新产品，力争产出更多国内领先、国际领先技术，更多首创、首个，以及打破垄断、 填补空白的案例。</w:t>
      </w:r>
    </w:p>
    <w:p>
      <w:pPr>
        <w:pStyle w:val="Style10"/>
        <w:keepNext w:val="0"/>
        <w:keepLines w:val="0"/>
        <w:widowControl w:val="0"/>
        <w:shd w:val="clear" w:color="auto" w:fill="auto"/>
        <w:tabs>
          <w:tab w:pos="746" w:val="left"/>
        </w:tabs>
        <w:bidi w:val="0"/>
        <w:spacing w:before="0" w:after="0" w:line="472" w:lineRule="exact"/>
        <w:ind w:left="0" w:right="0" w:firstLine="440"/>
        <w:jc w:val="both"/>
      </w:pPr>
      <w:bookmarkStart w:id="271" w:name="bookmark271"/>
      <w:r>
        <w:rPr>
          <w:color w:val="000000"/>
          <w:spacing w:val="0"/>
          <w:w w:val="100"/>
          <w:position w:val="0"/>
        </w:rPr>
        <w:t>2</w:t>
      </w:r>
      <w:bookmarkEnd w:id="271"/>
      <w:r>
        <w:rPr>
          <w:color w:val="000000"/>
          <w:spacing w:val="0"/>
          <w:w w:val="100"/>
          <w:position w:val="0"/>
        </w:rPr>
        <w:t>、</w:t>
        <w:tab/>
        <w:t>2022年，公司将加强对市场应用场景的研究和预判，加快传感器、智能仪表、物联网解决方案多 应用场景的挖掘、规划、开发以及需求引导；继续深入探索</w:t>
      </w:r>
      <w:r>
        <w:rPr>
          <w:color w:val="000000"/>
          <w:spacing w:val="0"/>
          <w:w w:val="100"/>
          <w:position w:val="0"/>
        </w:rPr>
        <w:t>5G、</w:t>
      </w:r>
      <w:r>
        <w:rPr>
          <w:color w:val="000000"/>
          <w:spacing w:val="0"/>
          <w:w w:val="100"/>
          <w:position w:val="0"/>
        </w:rPr>
        <w:t xml:space="preserve">区块链、数字挛生等新技术以及双碳、新 能源等新应用场景与现有技术、业务的融合，输出更多竞争力强的新业务、新模式；加快数据质量管控、 智能分析、大数据平台等产品的研发，打造核心产品。更加积极探索数据价值服务和第三方技术服务（维 </w:t>
      </w:r>
      <w:r>
        <w:rPr>
          <w:color w:val="000000"/>
          <w:spacing w:val="0"/>
          <w:w w:val="100"/>
          <w:position w:val="0"/>
        </w:rPr>
        <w:t>保业务、车载巡检、检测服务等），推动更多项目落地。</w:t>
      </w:r>
    </w:p>
    <w:p>
      <w:pPr>
        <w:pStyle w:val="Style10"/>
        <w:keepNext w:val="0"/>
        <w:keepLines w:val="0"/>
        <w:widowControl w:val="0"/>
        <w:shd w:val="clear" w:color="auto" w:fill="auto"/>
        <w:tabs>
          <w:tab w:pos="739" w:val="left"/>
        </w:tabs>
        <w:bidi w:val="0"/>
        <w:spacing w:before="0" w:after="0" w:line="471" w:lineRule="exact"/>
        <w:ind w:left="0" w:right="0" w:firstLine="440"/>
        <w:jc w:val="both"/>
      </w:pPr>
      <w:bookmarkStart w:id="272" w:name="bookmark272"/>
      <w:r>
        <w:rPr>
          <w:color w:val="000000"/>
          <w:spacing w:val="0"/>
          <w:w w:val="100"/>
          <w:position w:val="0"/>
        </w:rPr>
        <w:t>3</w:t>
      </w:r>
      <w:bookmarkEnd w:id="272"/>
      <w:r>
        <w:rPr>
          <w:color w:val="000000"/>
          <w:spacing w:val="0"/>
          <w:w w:val="100"/>
          <w:position w:val="0"/>
        </w:rPr>
        <w:t>、</w:t>
        <w:tab/>
        <w:t>2022年，公司将加快落实打造“具有国际先进水平的研发创新平台”战略，充分发挥汉威研究院 在技术引领、标准引领、品质引领和品牌引领方面的重要平台作用，使公司研发成果在平台上聚集放大， 从量变形成质变；加快探索技术研究和产品研发的职能分离，使汉威研究院更专注于前沿、前瞻、高端性 基础技术研发和新应用场景的技术融合探索，优化汉威研究院的功能定位。</w:t>
      </w:r>
    </w:p>
    <w:p>
      <w:pPr>
        <w:pStyle w:val="Style10"/>
        <w:keepNext w:val="0"/>
        <w:keepLines w:val="0"/>
        <w:widowControl w:val="0"/>
        <w:shd w:val="clear" w:color="auto" w:fill="auto"/>
        <w:tabs>
          <w:tab w:pos="739" w:val="left"/>
        </w:tabs>
        <w:bidi w:val="0"/>
        <w:spacing w:before="0" w:after="0" w:line="471" w:lineRule="exact"/>
        <w:ind w:left="0" w:right="0" w:firstLine="440"/>
        <w:jc w:val="both"/>
      </w:pPr>
      <w:bookmarkStart w:id="273" w:name="bookmark273"/>
      <w:r>
        <w:rPr>
          <w:color w:val="000000"/>
          <w:spacing w:val="0"/>
          <w:w w:val="100"/>
          <w:position w:val="0"/>
        </w:rPr>
        <w:t>4</w:t>
      </w:r>
      <w:bookmarkEnd w:id="273"/>
      <w:r>
        <w:rPr>
          <w:color w:val="000000"/>
          <w:spacing w:val="0"/>
          <w:w w:val="100"/>
          <w:position w:val="0"/>
        </w:rPr>
        <w:t>、</w:t>
        <w:tab/>
        <w:t>2022年，公司将更加注重产学研合作。一方面，坚持自身技术突破的主力产品；另一方面，积极 融合外部创新生态圈，利用好外部创新资源，加大与高校、研究机构在原始创新方面的合作，缩短研发周 期，提高创新的可靠性和成功性。</w:t>
      </w:r>
    </w:p>
    <w:p>
      <w:pPr>
        <w:pStyle w:val="Style10"/>
        <w:keepNext w:val="0"/>
        <w:keepLines w:val="0"/>
        <w:widowControl w:val="0"/>
        <w:shd w:val="clear" w:color="auto" w:fill="auto"/>
        <w:tabs>
          <w:tab w:pos="978" w:val="left"/>
        </w:tabs>
        <w:bidi w:val="0"/>
        <w:spacing w:before="0" w:after="0" w:line="471" w:lineRule="exact"/>
        <w:ind w:left="0" w:right="0" w:firstLine="440"/>
        <w:jc w:val="both"/>
      </w:pPr>
      <w:bookmarkStart w:id="274" w:name="bookmark274"/>
      <w:r>
        <w:rPr>
          <w:b/>
          <w:bCs/>
          <w:color w:val="000000"/>
          <w:spacing w:val="0"/>
          <w:w w:val="100"/>
          <w:position w:val="0"/>
        </w:rPr>
        <w:t>（</w:t>
      </w:r>
      <w:bookmarkEnd w:id="274"/>
      <w:r>
        <w:rPr>
          <w:b/>
          <w:bCs/>
          <w:color w:val="000000"/>
          <w:spacing w:val="0"/>
          <w:w w:val="100"/>
          <w:position w:val="0"/>
        </w:rPr>
        <w:t>三）</w:t>
        <w:tab/>
        <w:t>加强品牌整合营销，加速释放市场潜能</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2022年，公司将开启线上品宣</w:t>
      </w:r>
      <w:r>
        <w:rPr>
          <w:color w:val="000000"/>
          <w:spacing w:val="0"/>
          <w:w w:val="100"/>
          <w:position w:val="0"/>
        </w:rPr>
        <w:t>2.0</w:t>
      </w:r>
      <w:r>
        <w:rPr>
          <w:color w:val="000000"/>
          <w:spacing w:val="0"/>
          <w:w w:val="100"/>
          <w:position w:val="0"/>
        </w:rPr>
        <w:t>时代，一方面，继续强化全员品宣工作，结合新媒体矩阵打造更加 精品化、多元化的内容形式，在持续提高品牌声量的同时，提升品牌美誉度；另一方面，注重品牌宣传精 准度，更好地围绕公司发展战略、主流业务品种、目标客户群体针对性开展品牌、业务宣传工作；同时加 强营销转化，建立落地流程和机制，实现线上商机变现，促进业绩增长。</w:t>
      </w:r>
    </w:p>
    <w:p>
      <w:pPr>
        <w:pStyle w:val="Style10"/>
        <w:keepNext w:val="0"/>
        <w:keepLines w:val="0"/>
        <w:widowControl w:val="0"/>
        <w:shd w:val="clear" w:color="auto" w:fill="auto"/>
        <w:tabs>
          <w:tab w:pos="978" w:val="left"/>
        </w:tabs>
        <w:bidi w:val="0"/>
        <w:spacing w:before="0" w:after="0" w:line="471" w:lineRule="exact"/>
        <w:ind w:left="0" w:right="0" w:firstLine="440"/>
        <w:jc w:val="both"/>
      </w:pPr>
      <w:bookmarkStart w:id="275" w:name="bookmark275"/>
      <w:r>
        <w:rPr>
          <w:b/>
          <w:bCs/>
          <w:color w:val="000000"/>
          <w:spacing w:val="0"/>
          <w:w w:val="100"/>
          <w:position w:val="0"/>
        </w:rPr>
        <w:t>（</w:t>
      </w:r>
      <w:bookmarkEnd w:id="275"/>
      <w:r>
        <w:rPr>
          <w:b/>
          <w:bCs/>
          <w:color w:val="000000"/>
          <w:spacing w:val="0"/>
          <w:w w:val="100"/>
          <w:position w:val="0"/>
        </w:rPr>
        <w:t>四）</w:t>
        <w:tab/>
        <w:t>以调整促升级，进一步提升集团化管控成效</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2022年，公司将更加聚焦发展质量和势能，深化改革，提质增效，进一步提升整体运营质量，提高管 理效能，激活组织内生动力。</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2022年，公司将加快财务委派制、干部交流轮岗、集中采购等长期机制的深化推进，夯实集团化管控 根基；加快集团信息平台建设，全面建立市场、产品、需求、竞争、行业、技术、专利信息收集机制；加 强全面协同，优化公司内部协同机制的顶层设计，在产品规划、方案策划、商务攻关、研发创新、数字化 建设、品牌推广、文化落地等方面形成更多精彩案例；继续完善集团层面在“人”、“财”、“物”方面的授 权体系，加强业务风险管控及业务效率的改善；以财务系统为切入点，加快集团化管控模式、应用的深化 与延伸，分板块、分阶段启动财务共享中心建设，实现财务管理模式由分散式到集中式转变，优化业务流 程、降低企业成本、提升管理效率，并为其他内控链条和模块的数字化探索提供参考。此外，公司还将在 稳定供应链、加强数字化建设、建立健全产品全生命周期管理体系等方面进一步提升科学有效的管控措施， 让集团化管控成效助力公司经营业绩持续提升。</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2022年，公司将继续秉承“信念坚定、士气高昂、步调一致、使命必达”的汉威精神，加强文化落地 及形势任务教育，营造雷厉风行的火热氛围，增强员工忧患意识和对标意识，争当推动汉威跨越发展的“第 一方阵”。</w:t>
      </w:r>
      <w:r>
        <w:br w:type="page"/>
      </w:r>
    </w:p>
    <w:p>
      <w:pPr>
        <w:pStyle w:val="Style19"/>
        <w:keepNext/>
        <w:keepLines/>
        <w:widowControl w:val="0"/>
        <w:shd w:val="clear" w:color="auto" w:fill="auto"/>
        <w:bidi w:val="0"/>
        <w:spacing w:before="0" w:after="380" w:line="240" w:lineRule="auto"/>
        <w:ind w:left="0" w:right="0" w:firstLine="0"/>
        <w:jc w:val="left"/>
      </w:pPr>
      <w:bookmarkStart w:id="276" w:name="bookmark276"/>
      <w:bookmarkStart w:id="277" w:name="bookmark277"/>
      <w:bookmarkStart w:id="278" w:name="bookmark278"/>
      <w:r>
        <w:rPr>
          <w:color w:val="000000"/>
          <w:spacing w:val="0"/>
          <w:w w:val="100"/>
          <w:position w:val="0"/>
          <w:sz w:val="24"/>
          <w:szCs w:val="24"/>
        </w:rPr>
        <w:t>十二、报告期内接待调研、沟通、采访等活动登记表</w:t>
      </w:r>
      <w:bookmarkEnd w:id="276"/>
      <w:bookmarkEnd w:id="277"/>
      <w:bookmarkEnd w:id="278"/>
    </w:p>
    <w:p>
      <w:pPr>
        <w:pStyle w:val="Style21"/>
        <w:keepNext w:val="0"/>
        <w:keepLines w:val="0"/>
        <w:widowControl w:val="0"/>
        <w:shd w:val="clear" w:color="auto" w:fill="auto"/>
        <w:bidi w:val="0"/>
        <w:spacing w:before="0" w:after="0" w:line="240" w:lineRule="auto"/>
        <w:ind w:left="5" w:right="0" w:firstLine="0"/>
        <w:jc w:val="left"/>
        <w:rPr>
          <w:sz w:val="18"/>
          <w:szCs w:val="18"/>
        </w:rPr>
      </w:pPr>
      <w:r>
        <w:rPr>
          <w:b w:val="0"/>
          <w:bCs w:val="0"/>
          <w:color w:val="000000"/>
          <w:spacing w:val="0"/>
          <w:w w:val="100"/>
          <w:position w:val="0"/>
          <w:sz w:val="18"/>
          <w:szCs w:val="18"/>
        </w:rPr>
        <w:t>J</w:t>
      </w:r>
      <w:r>
        <w:rPr>
          <w:b w:val="0"/>
          <w:bCs w:val="0"/>
          <w:color w:val="000000"/>
          <w:spacing w:val="0"/>
          <w:w w:val="100"/>
          <w:position w:val="0"/>
          <w:sz w:val="18"/>
          <w:szCs w:val="18"/>
        </w:rPr>
        <w:t>适用口不适用</w:t>
      </w:r>
    </w:p>
    <w:tbl>
      <w:tblPr>
        <w:tblOverlap w:val="never"/>
        <w:jc w:val="center"/>
        <w:tblLayout w:type="fixed"/>
      </w:tblPr>
      <w:tblGrid>
        <w:gridCol w:w="974"/>
        <w:gridCol w:w="960"/>
        <w:gridCol w:w="629"/>
        <w:gridCol w:w="782"/>
        <w:gridCol w:w="3403"/>
        <w:gridCol w:w="1651"/>
        <w:gridCol w:w="118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接待</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接待对</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谈论的主要内容 及提供的资料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调研的基本</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情况索引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电话会议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电话</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工银瑞信基金、红塔证券、上海海通证券、 深圳望正资管、金鹰基金、景顺长城基金、 民生加银、交银康联人寿保险有限公司、 太平资管、千合资本、蔷薇资本、阳光天 泓基金、群益投信、南京银行资金运营中 心、泽铭投资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日披露的调研 活动信息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公司会议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实地</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长信基金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日披露的调研活 动信息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全景网</w:t>
            </w:r>
          </w:p>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“投资者 关系互动 平台”</w:t>
            </w:r>
          </w:p>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w:t>
            </w:r>
            <w:r>
              <w:fldChar w:fldCharType="begin"/>
            </w:r>
            <w:r>
              <w:rPr/>
              <w:instrText> HYPERLINK "http://ir" </w:instrText>
            </w:r>
            <w:r>
              <w:fldChar w:fldCharType="separate"/>
            </w:r>
            <w:r>
              <w:rPr>
                <w:rFonts w:ascii="Times New Roman" w:eastAsia="Times New Roman" w:hAnsi="Times New Roman" w:cs="Times New Roman"/>
                <w:color w:val="000000"/>
                <w:spacing w:val="0"/>
                <w:w w:val="100"/>
                <w:position w:val="0"/>
                <w:sz w:val="18"/>
                <w:szCs w:val="18"/>
              </w:rPr>
              <w:t>http://ir</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p5w.net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参与公司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年度网上业绩说明会的投 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8"/>
                <w:szCs w:val="18"/>
              </w:rPr>
              <w:t>日披露的调研活 动信息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公司会议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实地</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华夏基金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日披露的调研活 动信息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公司会议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实地</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诺安基金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日披露的调研 活动信息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公司会议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实地</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北京嘉怡财富资管、北京融新源创资管、 山东海格资管等</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家投资机构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日披露的调研 活动信息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公司会议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实地</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信达证券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日披露的调研 活动信息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公司会议 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实地</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长信基金、北京熙诚金睿投资、颐和银丰 投资、深圳前海鸿富投资、正奇金融、安 元基金、共青城胜恒投资、新希望集团、 北京国经时代投资、北京东方睿石投资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日披露的调研 活动信息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974"/>
        <w:gridCol w:w="960"/>
        <w:gridCol w:w="629"/>
        <w:gridCol w:w="782"/>
        <w:gridCol w:w="3403"/>
        <w:gridCol w:w="1651"/>
        <w:gridCol w:w="1181"/>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公司会议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实地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华夏基金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日披露的调研活 动信息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公司会议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实地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北京中财龙马资本投资有限公司、长城财 富资产管理股份有限公司、川财证券、福 建盈方得投资管理有限公司、恒泰证券股 份有限公司、蔷薇资本有限公司、上海涌 津投资管理有限公司、粤开证券股份有限 公司、北京青创伯乐投资有限公司、中信 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日披露的调研 活动信息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电话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南方基金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日披露的调研 活动信息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电话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天风证券、诺安基金、诺德基金、兴业基 金、国泰基金、东兴基金、太平洋证券、 华创证券、信诚基金、天时开元基金、融 通基金、永安信邦资管、深圳广金投资、 陆宝资管、上海勤远资管、长隽资本、上 海卓尚资管、上海普行资管、卷柏科技、 江西济民可信集团、华泰保兴基金、北京 鑫翰资管、</w:t>
            </w:r>
            <w:r>
              <w:rPr>
                <w:rFonts w:ascii="Times New Roman" w:eastAsia="Times New Roman" w:hAnsi="Times New Roman" w:cs="Times New Roman"/>
                <w:color w:val="000000"/>
                <w:spacing w:val="0"/>
                <w:w w:val="100"/>
                <w:position w:val="0"/>
                <w:sz w:val="18"/>
                <w:szCs w:val="18"/>
              </w:rPr>
              <w:t>TTInternational</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PAG Investment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Dantai Capital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日披露的调研 活动信息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公司会议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实地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天风证券、华夏基金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日披露的调研 活动信息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公司会议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实地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天风证券、方正富邦基金、益民基金、深 圳广金投资有限公司、上海卓尚资产管理 有限公司、北京和信金创投资管理有限公 司、华安财保资产管理有限责任公司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日披露的调研 活动信息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r>
        <w:trPr>
          <w:trHeight w:val="31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电话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天风证券、太平洋证券、金鹰基金、浙江 宁聚投资、浙江臻远投资、益民基金、嘉 实基金、上海卓尚资管、深圳广金投资、 陆宝投资、华安财保资管、四川富邦金马 资管、上海标朴投资、天时开元基金、上 海长见投资、正心谷创新资本、上海涌津 投资、上海晓煜商务信息咨询、北京和信 金创投资、上海凯石投资基金、山东明湖 投资、湖南源乘投资、北京久久联创投资、 方正富邦基金、中欧基金、上海斯诺波投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日披露的调研 活动信息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974"/>
        <w:gridCol w:w="960"/>
        <w:gridCol w:w="629"/>
        <w:gridCol w:w="782"/>
        <w:gridCol w:w="3403"/>
        <w:gridCol w:w="1651"/>
        <w:gridCol w:w="118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left"/>
              <w:rPr>
                <w:sz w:val="18"/>
                <w:szCs w:val="18"/>
              </w:rPr>
            </w:pPr>
            <w:r>
              <w:rPr>
                <w:color w:val="000000"/>
                <w:spacing w:val="0"/>
                <w:w w:val="100"/>
                <w:position w:val="0"/>
                <w:sz w:val="18"/>
                <w:szCs w:val="18"/>
              </w:rPr>
              <w:t>资、深圳熙山资管、深圳市领骥资管、</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Dantai Capital Limited </w:t>
            </w:r>
            <w:r>
              <w:rPr>
                <w:color w:val="000000"/>
                <w:spacing w:val="0"/>
                <w:w w:val="100"/>
                <w:position w:val="0"/>
                <w:sz w:val="18"/>
                <w:szCs w:val="18"/>
              </w:rPr>
              <w:t xml:space="preserve">（淡泰资本）、 </w:t>
            </w:r>
            <w:r>
              <w:rPr>
                <w:rFonts w:ascii="Times New Roman" w:eastAsia="Times New Roman" w:hAnsi="Times New Roman" w:cs="Times New Roman"/>
                <w:color w:val="000000"/>
                <w:spacing w:val="0"/>
                <w:w w:val="100"/>
                <w:position w:val="0"/>
                <w:sz w:val="18"/>
                <w:szCs w:val="18"/>
              </w:rPr>
              <w:t>Point72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电话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天风证券、招商证券、太平洋证券、英大 证券、中泰证券、上海华宝证券、华融证 券、恒泰证券、诺安基金、光大保德信基 金、中欧基金、中银基金、中科沃土基金、 兴银基金、益民基金、金翼基金、华融基 金、富荣基金、建信基金、广东粤澳合作 发展基金、止于至善投资、浙江钱唐永利 资管、浙江旌安投资、英睿财富科技（深 圳）、上海卓尚资管、深圳广金投资、陆 宝投资、上海涌津投资、北京和信金创投 资、深圳熙山资管、深圳万杉资管、深圳 合心资管、深圳宏鼎财富管理、上海长见 投资、上海银叶投资、上海晓煜商务信息 咨询、上海五聚资管、上海彤源投资、上 海名禹资管、上海理凡投资、上海勇翰投 资、上海方御投资、上海大正投资、上海 呈瑞投资、上海标朴投资、山东明湖投资、 朴易资产、朋元资管、江西济民可信集团、 华能贵诚信托、华安财保资管、湖南源乘 投资、国福联合控股、广东竣弘投资、鼎 萨投资、成都柏然投资、才华资管、北京 永瑞财富投资、北京沣沛投资、北京鼎萨 投资、</w:t>
            </w:r>
            <w:r>
              <w:rPr>
                <w:rFonts w:ascii="Times New Roman" w:eastAsia="Times New Roman" w:hAnsi="Times New Roman" w:cs="Times New Roman"/>
                <w:color w:val="000000"/>
                <w:spacing w:val="0"/>
                <w:w w:val="100"/>
                <w:position w:val="0"/>
                <w:sz w:val="18"/>
                <w:szCs w:val="18"/>
              </w:rPr>
              <w:t>TX Capital</w:t>
            </w:r>
            <w:r>
              <w:rPr>
                <w:color w:val="000000"/>
                <w:spacing w:val="0"/>
                <w:w w:val="100"/>
                <w:position w:val="0"/>
                <w:sz w:val="18"/>
                <w:szCs w:val="18"/>
              </w:rPr>
              <w:t>,</w:t>
            </w:r>
            <w:r>
              <w:rPr>
                <w:color w:val="000000"/>
                <w:spacing w:val="0"/>
                <w:w w:val="100"/>
                <w:position w:val="0"/>
                <w:sz w:val="18"/>
                <w:szCs w:val="18"/>
              </w:rPr>
              <w:t>个人投资者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日披露的调研 活动信息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公司会议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实地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太平洋证券股份有限公司通信行业首席 分析师李宏涛、东方基金管理股份有限 公司研究员何舒阳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日披露的调研活 动信息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公司会议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实地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中信证券资产管理业务部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日披露的调研 活动信息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电话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诺安基金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日披露的调研 活动信息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公司会议 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实地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招商证券汽车行业分析师杨献宇、招商 证券研究发展中心新兴行业首席分析 师董瑞斌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日披露的调研 活动信息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974"/>
        <w:gridCol w:w="960"/>
        <w:gridCol w:w="629"/>
        <w:gridCol w:w="782"/>
        <w:gridCol w:w="3403"/>
        <w:gridCol w:w="1651"/>
        <w:gridCol w:w="1181"/>
      </w:tblGrid>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电话会议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电话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富国基金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日披露的调研 活动信息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详见巨潮资</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讯网</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sz w:val="18"/>
                <w:szCs w:val="18"/>
              </w:rPr>
              <w:t>)</w:t>
            </w:r>
          </w:p>
        </w:tc>
      </w:tr>
    </w:tbl>
    <w:p>
      <w:pPr>
        <w:sectPr>
          <w:footnotePr>
            <w:pos w:val="pageBottom"/>
            <w:numFmt w:val="decimal"/>
            <w:numRestart w:val="continuous"/>
          </w:footnotePr>
          <w:type w:val="continuous"/>
          <w:pgSz w:w="11900" w:h="16840"/>
          <w:pgMar w:top="1302" w:right="1046" w:bottom="1446" w:left="1061" w:header="0" w:footer="3" w:gutter="0"/>
          <w:cols w:space="720"/>
          <w:noEndnote/>
          <w:rtlGutter w:val="0"/>
          <w:docGrid w:linePitch="360"/>
        </w:sectPr>
      </w:pPr>
    </w:p>
    <w:p>
      <w:pPr>
        <w:pStyle w:val="Style8"/>
        <w:keepNext/>
        <w:keepLines/>
        <w:widowControl w:val="0"/>
        <w:shd w:val="clear" w:color="auto" w:fill="auto"/>
        <w:bidi w:val="0"/>
        <w:spacing w:after="540" w:line="240" w:lineRule="auto"/>
        <w:ind w:left="0" w:right="0" w:firstLine="0"/>
        <w:jc w:val="center"/>
      </w:pPr>
      <w:bookmarkStart w:id="279" w:name="bookmark279"/>
      <w:bookmarkStart w:id="280" w:name="bookmark280"/>
      <w:bookmarkStart w:id="281" w:name="bookmark281"/>
      <w:bookmarkStart w:id="282" w:name="bookmark282"/>
      <w:r>
        <w:rPr>
          <w:color w:val="000000"/>
          <w:spacing w:val="0"/>
          <w:w w:val="100"/>
          <w:position w:val="0"/>
        </w:rPr>
        <w:t>第四节公司治理</w:t>
      </w:r>
      <w:bookmarkEnd w:id="280"/>
      <w:bookmarkEnd w:id="281"/>
      <w:bookmarkEnd w:id="282"/>
      <w:bookmarkEnd w:id="279"/>
    </w:p>
    <w:p>
      <w:pPr>
        <w:pStyle w:val="Style19"/>
        <w:keepNext/>
        <w:keepLines/>
        <w:widowControl w:val="0"/>
        <w:shd w:val="clear" w:color="auto" w:fill="auto"/>
        <w:bidi w:val="0"/>
        <w:spacing w:before="0" w:after="200" w:line="240" w:lineRule="auto"/>
        <w:ind w:left="0" w:right="0" w:firstLine="0"/>
        <w:jc w:val="both"/>
      </w:pPr>
      <w:bookmarkStart w:id="283" w:name="bookmark283"/>
      <w:bookmarkStart w:id="284" w:name="bookmark284"/>
      <w:bookmarkStart w:id="285" w:name="bookmark285"/>
      <w:bookmarkStart w:id="286" w:name="bookmark286"/>
      <w:r>
        <w:rPr>
          <w:color w:val="000000"/>
          <w:spacing w:val="0"/>
          <w:w w:val="100"/>
          <w:position w:val="0"/>
          <w:sz w:val="24"/>
          <w:szCs w:val="24"/>
        </w:rPr>
        <w:t>一</w:t>
      </w:r>
      <w:bookmarkEnd w:id="285"/>
      <w:r>
        <w:rPr>
          <w:color w:val="000000"/>
          <w:spacing w:val="0"/>
          <w:w w:val="100"/>
          <w:position w:val="0"/>
          <w:sz w:val="24"/>
          <w:szCs w:val="24"/>
        </w:rPr>
        <w:t>、公司治理的基本状况</w:t>
      </w:r>
      <w:bookmarkEnd w:id="283"/>
      <w:bookmarkEnd w:id="284"/>
      <w:bookmarkEnd w:id="286"/>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报告期内，公司严格按照《公司法》、《证券法》、《上市公司治理准则》、《深圳证券交易所创业板股票 上市规则》、《深圳证券交易所上市公司自律监管指引第2号</w:t>
      </w:r>
      <w:r>
        <w:rPr>
          <w:color w:val="000000"/>
          <w:spacing w:val="0"/>
          <w:w w:val="100"/>
          <w:position w:val="0"/>
        </w:rPr>
        <w:t>一一</w:t>
      </w:r>
      <w:r>
        <w:rPr>
          <w:color w:val="000000"/>
          <w:spacing w:val="0"/>
          <w:w w:val="100"/>
          <w:position w:val="0"/>
        </w:rPr>
        <w:t>创业板上市公司规范运作》和其他有关法 律法规的要求，不断完善公司法人治理结构，建立健全公司内部管理和控制制度，努力做好信息披露工作 及投资者关系管理。截至报告期末，公司治理结构的实际情况符合中国证监会发布的有关上市公司治理的 规范性文件的要求。</w:t>
      </w:r>
    </w:p>
    <w:p>
      <w:pPr>
        <w:pStyle w:val="Style10"/>
        <w:keepNext w:val="0"/>
        <w:keepLines w:val="0"/>
        <w:widowControl w:val="0"/>
        <w:shd w:val="clear" w:color="auto" w:fill="auto"/>
        <w:tabs>
          <w:tab w:pos="1011" w:val="left"/>
        </w:tabs>
        <w:bidi w:val="0"/>
        <w:spacing w:before="0" w:after="0" w:line="471" w:lineRule="exact"/>
        <w:ind w:left="0" w:right="0" w:firstLine="440"/>
        <w:jc w:val="both"/>
      </w:pPr>
      <w:bookmarkStart w:id="287" w:name="bookmark287"/>
      <w:r>
        <w:rPr>
          <w:b/>
          <w:bCs/>
          <w:color w:val="000000"/>
          <w:spacing w:val="0"/>
          <w:w w:val="100"/>
          <w:position w:val="0"/>
        </w:rPr>
        <w:t>（</w:t>
      </w:r>
      <w:bookmarkEnd w:id="287"/>
      <w:r>
        <w:rPr>
          <w:b/>
          <w:bCs/>
          <w:color w:val="000000"/>
          <w:spacing w:val="0"/>
          <w:w w:val="100"/>
          <w:position w:val="0"/>
        </w:rPr>
        <w:t>一）</w:t>
        <w:tab/>
        <w:t>独立性</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公司严格按照《公司法》、《证券法》等有关法律、法规和《公司章程》的要求规范运作，在业务、资 产、人员、机构和财务等方面与公司股东相互独立，拥有独立完整的采购、生产、销售、研发系统，具备 面向市场自主经营的能力。</w:t>
      </w:r>
    </w:p>
    <w:p>
      <w:pPr>
        <w:pStyle w:val="Style10"/>
        <w:keepNext w:val="0"/>
        <w:keepLines w:val="0"/>
        <w:widowControl w:val="0"/>
        <w:shd w:val="clear" w:color="auto" w:fill="auto"/>
        <w:tabs>
          <w:tab w:pos="768" w:val="left"/>
        </w:tabs>
        <w:bidi w:val="0"/>
        <w:spacing w:before="0" w:after="0" w:line="471" w:lineRule="exact"/>
        <w:ind w:left="0" w:right="0" w:firstLine="440"/>
        <w:jc w:val="both"/>
      </w:pPr>
      <w:bookmarkStart w:id="288" w:name="bookmark288"/>
      <w:r>
        <w:rPr>
          <w:color w:val="000000"/>
          <w:spacing w:val="0"/>
          <w:w w:val="100"/>
          <w:position w:val="0"/>
        </w:rPr>
        <w:t>1</w:t>
      </w:r>
      <w:bookmarkEnd w:id="288"/>
      <w:r>
        <w:rPr>
          <w:color w:val="000000"/>
          <w:spacing w:val="0"/>
          <w:w w:val="100"/>
          <w:position w:val="0"/>
        </w:rPr>
        <w:t>、</w:t>
        <w:tab/>
        <w:t>公司的人员独立。公司的董事、监事均严格按照《公司法》、《公司章程》的有关规定产生，履行 了合法程序；公司高级管理人员核心技术人员等人员专职在公司工作，并在公司领取薪酬。公司已建立独 立的劳动、人事、社会保障体系及工资管理体系，与员工签订了劳动合同。</w:t>
      </w:r>
    </w:p>
    <w:p>
      <w:pPr>
        <w:pStyle w:val="Style10"/>
        <w:keepNext w:val="0"/>
        <w:keepLines w:val="0"/>
        <w:widowControl w:val="0"/>
        <w:shd w:val="clear" w:color="auto" w:fill="auto"/>
        <w:tabs>
          <w:tab w:pos="768" w:val="left"/>
        </w:tabs>
        <w:bidi w:val="0"/>
        <w:spacing w:before="0" w:after="0" w:line="471" w:lineRule="exact"/>
        <w:ind w:left="0" w:right="0" w:firstLine="440"/>
        <w:jc w:val="both"/>
      </w:pPr>
      <w:bookmarkStart w:id="289" w:name="bookmark289"/>
      <w:r>
        <w:rPr>
          <w:color w:val="000000"/>
          <w:spacing w:val="0"/>
          <w:w w:val="100"/>
          <w:position w:val="0"/>
        </w:rPr>
        <w:t>2</w:t>
      </w:r>
      <w:bookmarkEnd w:id="289"/>
      <w:r>
        <w:rPr>
          <w:color w:val="000000"/>
          <w:spacing w:val="0"/>
          <w:w w:val="100"/>
          <w:position w:val="0"/>
        </w:rPr>
        <w:t>、</w:t>
        <w:tab/>
        <w:t>公司的资产独立完整、权属清晰。公司具备与生产经营有关的生产系统、辅助生产系统和配套设 施，合法拥有与生产经营有关的土地、厂房、机器设备以及商标、专利、非专利技术的所有权和使用权， 资产具有完整性。</w:t>
      </w:r>
    </w:p>
    <w:p>
      <w:pPr>
        <w:pStyle w:val="Style10"/>
        <w:keepNext w:val="0"/>
        <w:keepLines w:val="0"/>
        <w:widowControl w:val="0"/>
        <w:shd w:val="clear" w:color="auto" w:fill="auto"/>
        <w:tabs>
          <w:tab w:pos="768" w:val="left"/>
        </w:tabs>
        <w:bidi w:val="0"/>
        <w:spacing w:before="0" w:after="0" w:line="471" w:lineRule="exact"/>
        <w:ind w:left="0" w:right="0" w:firstLine="440"/>
        <w:jc w:val="both"/>
      </w:pPr>
      <w:bookmarkStart w:id="290" w:name="bookmark290"/>
      <w:r>
        <w:rPr>
          <w:color w:val="000000"/>
          <w:spacing w:val="0"/>
          <w:w w:val="100"/>
          <w:position w:val="0"/>
        </w:rPr>
        <w:t>3</w:t>
      </w:r>
      <w:bookmarkEnd w:id="290"/>
      <w:r>
        <w:rPr>
          <w:color w:val="000000"/>
          <w:spacing w:val="0"/>
          <w:w w:val="100"/>
          <w:position w:val="0"/>
        </w:rPr>
        <w:t>、</w:t>
        <w:tab/>
        <w:t>公司财务独立。公司有独立的财务部门，配备了专职的财务会计人员，独立进行会计核算和财务 决策。公司开设有独立的银行帐号，并依法独立进行纳税申报和履行纳税义务。</w:t>
      </w:r>
    </w:p>
    <w:p>
      <w:pPr>
        <w:pStyle w:val="Style10"/>
        <w:keepNext w:val="0"/>
        <w:keepLines w:val="0"/>
        <w:widowControl w:val="0"/>
        <w:shd w:val="clear" w:color="auto" w:fill="auto"/>
        <w:tabs>
          <w:tab w:pos="763" w:val="left"/>
        </w:tabs>
        <w:bidi w:val="0"/>
        <w:spacing w:before="0" w:after="0" w:line="471" w:lineRule="exact"/>
        <w:ind w:left="0" w:right="0" w:firstLine="440"/>
        <w:jc w:val="both"/>
      </w:pPr>
      <w:bookmarkStart w:id="291" w:name="bookmark291"/>
      <w:r>
        <w:rPr>
          <w:color w:val="000000"/>
          <w:spacing w:val="0"/>
          <w:w w:val="100"/>
          <w:position w:val="0"/>
        </w:rPr>
        <w:t>4</w:t>
      </w:r>
      <w:bookmarkEnd w:id="291"/>
      <w:r>
        <w:rPr>
          <w:color w:val="000000"/>
          <w:spacing w:val="0"/>
          <w:w w:val="100"/>
          <w:position w:val="0"/>
        </w:rPr>
        <w:t>、</w:t>
        <w:tab/>
        <w:t>公司建立健全了独立的股东大会、董事会、监事会、经理的法人治理结构、组织结构，制定了完 善的岗位职责和管理制度，各部门按照规定的职责独立运作。</w:t>
      </w:r>
    </w:p>
    <w:p>
      <w:pPr>
        <w:pStyle w:val="Style10"/>
        <w:keepNext w:val="0"/>
        <w:keepLines w:val="0"/>
        <w:widowControl w:val="0"/>
        <w:shd w:val="clear" w:color="auto" w:fill="auto"/>
        <w:tabs>
          <w:tab w:pos="773" w:val="left"/>
        </w:tabs>
        <w:bidi w:val="0"/>
        <w:spacing w:before="0" w:after="0" w:line="471" w:lineRule="exact"/>
        <w:ind w:left="0" w:right="0" w:firstLine="440"/>
        <w:jc w:val="both"/>
      </w:pPr>
      <w:bookmarkStart w:id="292" w:name="bookmark292"/>
      <w:r>
        <w:rPr>
          <w:color w:val="000000"/>
          <w:spacing w:val="0"/>
          <w:w w:val="100"/>
          <w:position w:val="0"/>
        </w:rPr>
        <w:t>5</w:t>
      </w:r>
      <w:bookmarkEnd w:id="292"/>
      <w:r>
        <w:rPr>
          <w:color w:val="000000"/>
          <w:spacing w:val="0"/>
          <w:w w:val="100"/>
          <w:position w:val="0"/>
        </w:rPr>
        <w:t>、</w:t>
        <w:tab/>
        <w:t>公司业务独立。公司具备独立、完整的产供销系统，拥有独立的决策和执行机构，并拥有独立的 业务，具有面向市场的自主经营能力；公司股东及其控制的其他企业没有从事与公司相同或相近的业务。</w:t>
      </w:r>
    </w:p>
    <w:p>
      <w:pPr>
        <w:pStyle w:val="Style10"/>
        <w:keepNext w:val="0"/>
        <w:keepLines w:val="0"/>
        <w:widowControl w:val="0"/>
        <w:shd w:val="clear" w:color="auto" w:fill="auto"/>
        <w:tabs>
          <w:tab w:pos="1011" w:val="left"/>
        </w:tabs>
        <w:bidi w:val="0"/>
        <w:spacing w:before="0" w:after="0" w:line="471" w:lineRule="exact"/>
        <w:ind w:left="0" w:right="0" w:firstLine="440"/>
        <w:jc w:val="both"/>
      </w:pPr>
      <w:bookmarkStart w:id="293" w:name="bookmark293"/>
      <w:r>
        <w:rPr>
          <w:b/>
          <w:bCs/>
          <w:color w:val="000000"/>
          <w:spacing w:val="0"/>
          <w:w w:val="100"/>
          <w:position w:val="0"/>
        </w:rPr>
        <w:t>（</w:t>
      </w:r>
      <w:bookmarkEnd w:id="293"/>
      <w:r>
        <w:rPr>
          <w:b/>
          <w:bCs/>
          <w:color w:val="000000"/>
          <w:spacing w:val="0"/>
          <w:w w:val="100"/>
          <w:position w:val="0"/>
        </w:rPr>
        <w:t>二）</w:t>
        <w:tab/>
        <w:t>股东与股东大会</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公司严格按照《深圳证券交易所上市公司自律监管指引第2号</w:t>
      </w:r>
      <w:r>
        <w:rPr>
          <w:color w:val="000000"/>
          <w:spacing w:val="0"/>
          <w:w w:val="100"/>
          <w:position w:val="0"/>
        </w:rPr>
        <w:t>一一</w:t>
      </w:r>
      <w:r>
        <w:rPr>
          <w:color w:val="000000"/>
          <w:spacing w:val="0"/>
          <w:w w:val="100"/>
          <w:position w:val="0"/>
        </w:rPr>
        <w:t xml:space="preserve">创业板上市公司规范运作》、《上市 公司股东大会规则》等规定的要求召集、召开股东大会，平等对待所有股东，特别是保证中小股东享有平 等地位，并尽可能为股东参加股东大会提供便利。在《公司章程》、《股东大会议事规则》中明确规定了股 </w:t>
      </w:r>
      <w:r>
        <w:rPr>
          <w:color w:val="000000"/>
          <w:spacing w:val="0"/>
          <w:w w:val="100"/>
          <w:position w:val="0"/>
        </w:rPr>
        <w:t>东大会的召集、召开及表决程序、股东的参会资格和对董事会的授权原则等，董事会在报告期内做到认真 审议并安排股东大会的审议事项等。</w:t>
      </w:r>
    </w:p>
    <w:p>
      <w:pPr>
        <w:pStyle w:val="Style10"/>
        <w:keepNext w:val="0"/>
        <w:keepLines w:val="0"/>
        <w:widowControl w:val="0"/>
        <w:shd w:val="clear" w:color="auto" w:fill="auto"/>
        <w:tabs>
          <w:tab w:pos="1001" w:val="left"/>
        </w:tabs>
        <w:bidi w:val="0"/>
        <w:spacing w:before="0" w:after="0" w:line="472" w:lineRule="exact"/>
        <w:ind w:left="0" w:right="0" w:firstLine="440"/>
        <w:jc w:val="both"/>
      </w:pPr>
      <w:bookmarkStart w:id="294" w:name="bookmark294"/>
      <w:r>
        <w:rPr>
          <w:b/>
          <w:bCs/>
          <w:color w:val="000000"/>
          <w:spacing w:val="0"/>
          <w:w w:val="100"/>
          <w:position w:val="0"/>
        </w:rPr>
        <w:t>（</w:t>
      </w:r>
      <w:bookmarkEnd w:id="294"/>
      <w:r>
        <w:rPr>
          <w:b/>
          <w:bCs/>
          <w:color w:val="000000"/>
          <w:spacing w:val="0"/>
          <w:w w:val="100"/>
          <w:position w:val="0"/>
        </w:rPr>
        <w:t>三）</w:t>
        <w:tab/>
        <w:t>公司与控股股东</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公司控股股东严格按照《上市公司治理准则》、《深圳证券交易所上市公司自律监管指引第2号</w:t>
      </w:r>
      <w:r>
        <w:rPr>
          <w:color w:val="000000"/>
          <w:spacing w:val="0"/>
          <w:w w:val="100"/>
          <w:position w:val="0"/>
        </w:rPr>
        <w:t>一一</w:t>
      </w:r>
      <w:r>
        <w:rPr>
          <w:color w:val="000000"/>
          <w:spacing w:val="0"/>
          <w:w w:val="100"/>
          <w:position w:val="0"/>
        </w:rPr>
        <w:t>创 业板上市公司规范运作》、《公司章程》规范自己的行为，通过股东大会依法行使出资人的权利，没有采取 任何其他方式直接或间接地干预公司的决策及依法开展的生产经营活动，没有损害公司及其他股东的利 益；公司与控股股东在业务、人员、资产、机构和财务方面做到相互独立；公司的重大决策能按照规范的 程序由股东大会和董事会作出。控股股东与公司之间无非经营性关联交易，公司没有为控股股东及其下属 企业提供担保。</w:t>
      </w:r>
    </w:p>
    <w:p>
      <w:pPr>
        <w:pStyle w:val="Style10"/>
        <w:keepNext w:val="0"/>
        <w:keepLines w:val="0"/>
        <w:widowControl w:val="0"/>
        <w:shd w:val="clear" w:color="auto" w:fill="auto"/>
        <w:tabs>
          <w:tab w:pos="1001" w:val="left"/>
        </w:tabs>
        <w:bidi w:val="0"/>
        <w:spacing w:before="0" w:after="0" w:line="472" w:lineRule="exact"/>
        <w:ind w:left="0" w:right="0" w:firstLine="440"/>
        <w:jc w:val="both"/>
      </w:pPr>
      <w:bookmarkStart w:id="295" w:name="bookmark295"/>
      <w:r>
        <w:rPr>
          <w:b/>
          <w:bCs/>
          <w:color w:val="000000"/>
          <w:spacing w:val="0"/>
          <w:w w:val="100"/>
          <w:position w:val="0"/>
        </w:rPr>
        <w:t>（</w:t>
      </w:r>
      <w:bookmarkEnd w:id="295"/>
      <w:r>
        <w:rPr>
          <w:b/>
          <w:bCs/>
          <w:color w:val="000000"/>
          <w:spacing w:val="0"/>
          <w:w w:val="100"/>
          <w:position w:val="0"/>
        </w:rPr>
        <w:t>四）</w:t>
        <w:tab/>
        <w:t>董事与董事会</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公司在《公司章程》、《董事会议事规则》中规定规范、透明的董事选聘程序，并严格执行。公司董事 会设董事9名，其中独立董事3名，董事会的人数及人员构成符合法律、法规和《公司章程》的要求。各位 董事能够依据规定开展工作，勤勉尽责地履行职责和义务，同时积极参加相关培训。独立董事能够不受公 司主要股东、实际控制人以及其他与公司存在利害关系的单位或个人的影响，独立履行职责，对公司的重 大事项均能发表独立意见。</w:t>
      </w:r>
    </w:p>
    <w:p>
      <w:pPr>
        <w:pStyle w:val="Style10"/>
        <w:keepNext w:val="0"/>
        <w:keepLines w:val="0"/>
        <w:widowControl w:val="0"/>
        <w:shd w:val="clear" w:color="auto" w:fill="auto"/>
        <w:tabs>
          <w:tab w:pos="1001" w:val="left"/>
        </w:tabs>
        <w:bidi w:val="0"/>
        <w:spacing w:before="0" w:after="0" w:line="472" w:lineRule="exact"/>
        <w:ind w:left="0" w:right="0" w:firstLine="440"/>
        <w:jc w:val="both"/>
      </w:pPr>
      <w:bookmarkStart w:id="296" w:name="bookmark296"/>
      <w:r>
        <w:rPr>
          <w:b/>
          <w:bCs/>
          <w:color w:val="000000"/>
          <w:spacing w:val="0"/>
          <w:w w:val="100"/>
          <w:position w:val="0"/>
        </w:rPr>
        <w:t>（</w:t>
      </w:r>
      <w:bookmarkEnd w:id="296"/>
      <w:r>
        <w:rPr>
          <w:b/>
          <w:bCs/>
          <w:color w:val="000000"/>
          <w:spacing w:val="0"/>
          <w:w w:val="100"/>
          <w:position w:val="0"/>
        </w:rPr>
        <w:t>五）</w:t>
        <w:tab/>
        <w:t>监事与监事会</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公司监事会严格按照《公司法》、《公司章程》和《监事会议事规则》的有关规定，认真履行职责，对 公司财务状况、重大事项以及公司董事、经理和其他高级管理人员履行职责的合法合规性进行监督。公司 监事会设监事3名，其中职工监事1名，公司监事会的人数、成员构成及监事的任职资格符合相关法律、法 规的要求。监事会能够严格按照《监事会议事规则》的要求召集、召开监事会，表决程序符合法律、法规 的要求。</w:t>
      </w:r>
    </w:p>
    <w:p>
      <w:pPr>
        <w:pStyle w:val="Style10"/>
        <w:keepNext w:val="0"/>
        <w:keepLines w:val="0"/>
        <w:widowControl w:val="0"/>
        <w:shd w:val="clear" w:color="auto" w:fill="auto"/>
        <w:tabs>
          <w:tab w:pos="1001" w:val="left"/>
        </w:tabs>
        <w:bidi w:val="0"/>
        <w:spacing w:before="0" w:after="0" w:line="472" w:lineRule="exact"/>
        <w:ind w:left="0" w:right="0" w:firstLine="440"/>
        <w:jc w:val="both"/>
      </w:pPr>
      <w:bookmarkStart w:id="297" w:name="bookmark297"/>
      <w:r>
        <w:rPr>
          <w:b/>
          <w:bCs/>
          <w:color w:val="000000"/>
          <w:spacing w:val="0"/>
          <w:w w:val="100"/>
          <w:position w:val="0"/>
        </w:rPr>
        <w:t>（</w:t>
      </w:r>
      <w:bookmarkEnd w:id="297"/>
      <w:r>
        <w:rPr>
          <w:b/>
          <w:bCs/>
          <w:color w:val="000000"/>
          <w:spacing w:val="0"/>
          <w:w w:val="100"/>
          <w:position w:val="0"/>
        </w:rPr>
        <w:t>六）</w:t>
        <w:tab/>
        <w:t>绩效评价与激励约束机制</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公司已建立工作绩效评价体系，使员工的收入与工作绩效挂钩；高级管理人员的聘任能够做到公开、 透明，符合法律、法规的规定；公司建立了经理人员的薪酬与公司业绩和个人业绩相挂钩的激励机制。</w:t>
      </w:r>
    </w:p>
    <w:p>
      <w:pPr>
        <w:pStyle w:val="Style10"/>
        <w:keepNext w:val="0"/>
        <w:keepLines w:val="0"/>
        <w:widowControl w:val="0"/>
        <w:shd w:val="clear" w:color="auto" w:fill="auto"/>
        <w:tabs>
          <w:tab w:pos="1001" w:val="left"/>
        </w:tabs>
        <w:bidi w:val="0"/>
        <w:spacing w:before="0" w:after="0" w:line="472" w:lineRule="exact"/>
        <w:ind w:left="0" w:right="0" w:firstLine="440"/>
        <w:jc w:val="both"/>
      </w:pPr>
      <w:bookmarkStart w:id="298" w:name="bookmark298"/>
      <w:r>
        <w:rPr>
          <w:b/>
          <w:bCs/>
          <w:color w:val="000000"/>
          <w:spacing w:val="0"/>
          <w:w w:val="100"/>
          <w:position w:val="0"/>
        </w:rPr>
        <w:t>（</w:t>
      </w:r>
      <w:bookmarkEnd w:id="298"/>
      <w:r>
        <w:rPr>
          <w:b/>
          <w:bCs/>
          <w:color w:val="000000"/>
          <w:spacing w:val="0"/>
          <w:w w:val="100"/>
          <w:position w:val="0"/>
        </w:rPr>
        <w:t>七）</w:t>
        <w:tab/>
        <w:t>相关利益者</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公司能够充分尊重银行及其他债权人、员工、消费者、供应商、经销商等利益相关者的合法权利，与 利益相关者积极合作，共同推动公司持续、健康地发展。</w:t>
      </w:r>
    </w:p>
    <w:p>
      <w:pPr>
        <w:pStyle w:val="Style10"/>
        <w:keepNext w:val="0"/>
        <w:keepLines w:val="0"/>
        <w:widowControl w:val="0"/>
        <w:shd w:val="clear" w:color="auto" w:fill="auto"/>
        <w:tabs>
          <w:tab w:pos="1001" w:val="left"/>
        </w:tabs>
        <w:bidi w:val="0"/>
        <w:spacing w:before="0" w:after="0" w:line="472" w:lineRule="exact"/>
        <w:ind w:left="0" w:right="0" w:firstLine="440"/>
        <w:jc w:val="both"/>
      </w:pPr>
      <w:bookmarkStart w:id="299" w:name="bookmark299"/>
      <w:r>
        <w:rPr>
          <w:b/>
          <w:bCs/>
          <w:color w:val="000000"/>
          <w:spacing w:val="0"/>
          <w:w w:val="100"/>
          <w:position w:val="0"/>
        </w:rPr>
        <w:t>（</w:t>
      </w:r>
      <w:bookmarkEnd w:id="299"/>
      <w:r>
        <w:rPr>
          <w:b/>
          <w:bCs/>
          <w:color w:val="000000"/>
          <w:spacing w:val="0"/>
          <w:w w:val="100"/>
          <w:position w:val="0"/>
        </w:rPr>
        <w:t>八）</w:t>
        <w:tab/>
        <w:t>关于信息披露与透明度</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公司根据《深圳证券交易所上市公司自律监管指引第2号</w:t>
      </w:r>
      <w:r>
        <w:rPr>
          <w:color w:val="000000"/>
          <w:spacing w:val="0"/>
          <w:w w:val="100"/>
          <w:position w:val="0"/>
        </w:rPr>
        <w:t>一一</w:t>
      </w:r>
      <w:r>
        <w:rPr>
          <w:color w:val="000000"/>
          <w:spacing w:val="0"/>
          <w:w w:val="100"/>
          <w:position w:val="0"/>
        </w:rPr>
        <w:t xml:space="preserve">创业板上市公司规范运作》、《上市公司 信息披露管理办法》、《公司章程》以及公司《信息披露基本制度》等相关法规制度的规定，认真履行信息 </w:t>
      </w:r>
      <w:r>
        <w:rPr>
          <w:color w:val="000000"/>
          <w:spacing w:val="0"/>
          <w:w w:val="100"/>
          <w:position w:val="0"/>
        </w:rPr>
        <w:t>披露义务。公司指定董事会秘书负责信息披露工作，并负责投资者关系管理，确保公司所有股东能够以平 等的机会获得信息。公司指定《证券时报》、《上海证券报》和巨潮资讯网</w:t>
      </w:r>
      <w:r>
        <w:rPr>
          <w:color w:val="000000"/>
          <w:spacing w:val="0"/>
          <w:w w:val="100"/>
          <w:position w:val="0"/>
        </w:rPr>
        <w:t>（</w:t>
      </w:r>
      <w:r>
        <w:rPr>
          <w:color w:val="000000"/>
          <w:spacing w:val="0"/>
          <w:w w:val="100"/>
          <w:position w:val="0"/>
        </w:rPr>
        <w:t>http://www.cninfo.com.cn）</w:t>
      </w:r>
      <w:r>
        <w:rPr>
          <w:color w:val="000000"/>
          <w:spacing w:val="0"/>
          <w:w w:val="100"/>
          <w:position w:val="0"/>
        </w:rPr>
        <w:t xml:space="preserve"> </w:t>
      </w:r>
      <w:r>
        <w:rPr>
          <w:color w:val="000000"/>
          <w:spacing w:val="0"/>
          <w:w w:val="100"/>
          <w:position w:val="0"/>
        </w:rPr>
        <w:t>为公司信息披露的指定报纸和网站。</w:t>
      </w:r>
    </w:p>
    <w:p>
      <w:pPr>
        <w:pStyle w:val="Style10"/>
        <w:keepNext w:val="0"/>
        <w:keepLines w:val="0"/>
        <w:widowControl w:val="0"/>
        <w:shd w:val="clear" w:color="auto" w:fill="auto"/>
        <w:bidi w:val="0"/>
        <w:spacing w:before="0" w:after="0" w:line="471" w:lineRule="exact"/>
        <w:ind w:left="0" w:right="0" w:firstLine="440"/>
        <w:jc w:val="left"/>
      </w:pPr>
      <w:bookmarkStart w:id="300" w:name="bookmark300"/>
      <w:r>
        <w:rPr>
          <w:b/>
          <w:bCs/>
          <w:color w:val="000000"/>
          <w:spacing w:val="0"/>
          <w:w w:val="100"/>
          <w:position w:val="0"/>
        </w:rPr>
        <w:t>（</w:t>
      </w:r>
      <w:bookmarkEnd w:id="300"/>
      <w:r>
        <w:rPr>
          <w:b/>
          <w:bCs/>
          <w:color w:val="000000"/>
          <w:spacing w:val="0"/>
          <w:w w:val="100"/>
          <w:position w:val="0"/>
        </w:rPr>
        <w:t>九）投资者关系管理情况</w:t>
      </w:r>
    </w:p>
    <w:p>
      <w:pPr>
        <w:pStyle w:val="Style1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报告期内，公司严格执行《投资者关系管理制度》，认真做好投资者关系管理工作：</w:t>
      </w:r>
    </w:p>
    <w:p>
      <w:pPr>
        <w:pStyle w:val="Style10"/>
        <w:keepNext w:val="0"/>
        <w:keepLines w:val="0"/>
        <w:widowControl w:val="0"/>
        <w:shd w:val="clear" w:color="auto" w:fill="auto"/>
        <w:tabs>
          <w:tab w:pos="836" w:val="left"/>
        </w:tabs>
        <w:bidi w:val="0"/>
        <w:spacing w:before="0" w:after="0" w:line="471" w:lineRule="exact"/>
        <w:ind w:left="0" w:right="0" w:firstLine="440"/>
        <w:jc w:val="both"/>
      </w:pPr>
      <w:bookmarkStart w:id="301" w:name="bookmark301"/>
      <w:r>
        <w:rPr>
          <w:color w:val="000000"/>
          <w:spacing w:val="0"/>
          <w:w w:val="100"/>
          <w:position w:val="0"/>
        </w:rPr>
        <w:t>1</w:t>
      </w:r>
      <w:bookmarkEnd w:id="301"/>
      <w:r>
        <w:rPr>
          <w:color w:val="000000"/>
          <w:spacing w:val="0"/>
          <w:w w:val="100"/>
          <w:position w:val="0"/>
        </w:rPr>
        <w:t>、</w:t>
        <w:tab/>
        <w:t>日常工作</w:t>
      </w:r>
    </w:p>
    <w:p>
      <w:pPr>
        <w:pStyle w:val="Style10"/>
        <w:keepNext w:val="0"/>
        <w:keepLines w:val="0"/>
        <w:widowControl w:val="0"/>
        <w:shd w:val="clear" w:color="auto" w:fill="auto"/>
        <w:tabs>
          <w:tab w:pos="978" w:val="left"/>
        </w:tabs>
        <w:bidi w:val="0"/>
        <w:spacing w:before="0" w:after="0" w:line="471" w:lineRule="exact"/>
        <w:ind w:left="0" w:right="0" w:firstLine="440"/>
        <w:jc w:val="left"/>
      </w:pPr>
      <w:bookmarkStart w:id="302" w:name="bookmark302"/>
      <w:r>
        <w:rPr>
          <w:color w:val="000000"/>
          <w:spacing w:val="0"/>
          <w:w w:val="100"/>
          <w:position w:val="0"/>
        </w:rPr>
        <w:t>（</w:t>
      </w:r>
      <w:bookmarkEnd w:id="302"/>
      <w:r>
        <w:rPr>
          <w:color w:val="000000"/>
          <w:spacing w:val="0"/>
          <w:w w:val="100"/>
          <w:position w:val="0"/>
        </w:rPr>
        <w:t>1）</w:t>
        <w:tab/>
        <w:t>积极做好投资者关系管理工作档案的建立和保管，合理、妥善地安排个人投资者、机构投资者、 行业分析师等相关人员到公司进行调研，并切实做好相关信息的保密工作。</w:t>
      </w:r>
    </w:p>
    <w:p>
      <w:pPr>
        <w:pStyle w:val="Style10"/>
        <w:keepNext w:val="0"/>
        <w:keepLines w:val="0"/>
        <w:widowControl w:val="0"/>
        <w:shd w:val="clear" w:color="auto" w:fill="auto"/>
        <w:tabs>
          <w:tab w:pos="982" w:val="left"/>
        </w:tabs>
        <w:bidi w:val="0"/>
        <w:spacing w:before="0" w:after="0" w:line="471" w:lineRule="exact"/>
        <w:ind w:left="0" w:right="0" w:firstLine="440"/>
        <w:jc w:val="left"/>
      </w:pPr>
      <w:bookmarkStart w:id="303" w:name="bookmark303"/>
      <w:r>
        <w:rPr>
          <w:color w:val="000000"/>
          <w:spacing w:val="0"/>
          <w:w w:val="100"/>
          <w:position w:val="0"/>
        </w:rPr>
        <w:t>（</w:t>
      </w:r>
      <w:bookmarkEnd w:id="303"/>
      <w:r>
        <w:rPr>
          <w:color w:val="000000"/>
          <w:spacing w:val="0"/>
          <w:w w:val="100"/>
          <w:position w:val="0"/>
        </w:rPr>
        <w:t>2）</w:t>
        <w:tab/>
        <w:t>通过公司网站、投资者关系管理电话、电子信箱、互动平台等多种渠道与投资者加强沟通，解 答投资者的疑问。</w:t>
      </w:r>
    </w:p>
    <w:p>
      <w:pPr>
        <w:pStyle w:val="Style10"/>
        <w:keepNext w:val="0"/>
        <w:keepLines w:val="0"/>
        <w:widowControl w:val="0"/>
        <w:shd w:val="clear" w:color="auto" w:fill="auto"/>
        <w:tabs>
          <w:tab w:pos="836" w:val="left"/>
        </w:tabs>
        <w:bidi w:val="0"/>
        <w:spacing w:before="0" w:after="0" w:line="471" w:lineRule="exact"/>
        <w:ind w:left="0" w:right="0" w:firstLine="440"/>
        <w:jc w:val="left"/>
      </w:pPr>
      <w:bookmarkStart w:id="304" w:name="bookmark304"/>
      <w:r>
        <w:rPr>
          <w:color w:val="000000"/>
          <w:spacing w:val="0"/>
          <w:w w:val="100"/>
          <w:position w:val="0"/>
        </w:rPr>
        <w:t>2</w:t>
      </w:r>
      <w:bookmarkEnd w:id="304"/>
      <w:r>
        <w:rPr>
          <w:color w:val="000000"/>
          <w:spacing w:val="0"/>
          <w:w w:val="100"/>
          <w:position w:val="0"/>
        </w:rPr>
        <w:t>、</w:t>
        <w:tab/>
        <w:t>互动交流</w:t>
      </w:r>
    </w:p>
    <w:p>
      <w:pPr>
        <w:pStyle w:val="Style10"/>
        <w:keepNext w:val="0"/>
        <w:keepLines w:val="0"/>
        <w:widowControl w:val="0"/>
        <w:shd w:val="clear" w:color="auto" w:fill="auto"/>
        <w:tabs>
          <w:tab w:pos="978" w:val="left"/>
        </w:tabs>
        <w:bidi w:val="0"/>
        <w:spacing w:before="0" w:after="0" w:line="471" w:lineRule="exact"/>
        <w:ind w:left="0" w:right="0" w:firstLine="440"/>
        <w:jc w:val="left"/>
      </w:pPr>
      <w:bookmarkStart w:id="305" w:name="bookmark305"/>
      <w:r>
        <w:rPr>
          <w:color w:val="000000"/>
          <w:spacing w:val="0"/>
          <w:w w:val="100"/>
          <w:position w:val="0"/>
        </w:rPr>
        <w:t>（</w:t>
      </w:r>
      <w:bookmarkEnd w:id="305"/>
      <w:r>
        <w:rPr>
          <w:color w:val="000000"/>
          <w:spacing w:val="0"/>
          <w:w w:val="100"/>
          <w:position w:val="0"/>
        </w:rPr>
        <w:t>1）</w:t>
        <w:tab/>
        <w:t>报告期内，公司于2021年4月6日通过投资者互动平台</w:t>
      </w:r>
      <w:r>
        <w:rPr>
          <w:color w:val="000000"/>
          <w:spacing w:val="0"/>
          <w:w w:val="100"/>
          <w:position w:val="0"/>
        </w:rPr>
        <w:t>（</w:t>
      </w:r>
      <w:r>
        <w:rPr>
          <w:color w:val="000000"/>
          <w:spacing w:val="0"/>
          <w:w w:val="100"/>
          <w:position w:val="0"/>
        </w:rPr>
        <w:t>http://rs.p5w.net）</w:t>
      </w:r>
      <w:r>
        <w:rPr>
          <w:color w:val="000000"/>
          <w:spacing w:val="0"/>
          <w:w w:val="100"/>
          <w:position w:val="0"/>
        </w:rPr>
        <w:t>举行了2020年度网</w:t>
      </w:r>
      <w:r>
        <w:rPr>
          <w:color w:val="000000"/>
          <w:spacing w:val="0"/>
          <w:w w:val="100"/>
          <w:position w:val="0"/>
        </w:rPr>
        <w:t xml:space="preserve"> 上业绩说明会，公司董事长任红军先生、总经理李志刚先生、财务负责人刘瑞玲女士、独立董事李山先生、 董事会秘书肖锋先生参加了网上说明会，与广大投资者进行坦诚的沟通和交流。</w:t>
      </w:r>
    </w:p>
    <w:p>
      <w:pPr>
        <w:pStyle w:val="Style10"/>
        <w:keepNext w:val="0"/>
        <w:keepLines w:val="0"/>
        <w:widowControl w:val="0"/>
        <w:shd w:val="clear" w:color="auto" w:fill="auto"/>
        <w:tabs>
          <w:tab w:pos="982" w:val="left"/>
        </w:tabs>
        <w:bidi w:val="0"/>
        <w:spacing w:before="0" w:after="0" w:line="471" w:lineRule="exact"/>
        <w:ind w:left="0" w:right="0" w:firstLine="440"/>
        <w:jc w:val="left"/>
      </w:pPr>
      <w:bookmarkStart w:id="306" w:name="bookmark306"/>
      <w:r>
        <w:rPr>
          <w:color w:val="000000"/>
          <w:spacing w:val="0"/>
          <w:w w:val="100"/>
          <w:position w:val="0"/>
        </w:rPr>
        <w:t>（</w:t>
      </w:r>
      <w:bookmarkEnd w:id="306"/>
      <w:r>
        <w:rPr>
          <w:color w:val="000000"/>
          <w:spacing w:val="0"/>
          <w:w w:val="100"/>
          <w:position w:val="0"/>
        </w:rPr>
        <w:t>2）</w:t>
        <w:tab/>
      </w:r>
      <w:r>
        <w:rPr>
          <w:color w:val="000000"/>
          <w:spacing w:val="0"/>
          <w:w w:val="100"/>
          <w:position w:val="0"/>
        </w:rPr>
        <w:t>报告期内，公司通过投资者关系互动平台</w:t>
      </w:r>
      <w:r>
        <w:rPr>
          <w:color w:val="000000"/>
          <w:spacing w:val="0"/>
          <w:w w:val="100"/>
          <w:position w:val="0"/>
        </w:rPr>
        <w:t>（http://irm.cninfo.com.cn/），</w:t>
      </w:r>
      <w:r>
        <w:rPr>
          <w:color w:val="000000"/>
          <w:spacing w:val="0"/>
          <w:w w:val="100"/>
          <w:position w:val="0"/>
        </w:rPr>
        <w:t>就投资者关心的问</w:t>
      </w:r>
      <w:r>
        <w:rPr>
          <w:color w:val="000000"/>
          <w:spacing w:val="0"/>
          <w:w w:val="100"/>
          <w:position w:val="0"/>
        </w:rPr>
        <w:t xml:space="preserve"> 题进行了充分、深入、详细的分析、说明和答复，建立了投资者与公司之间规范、直接、快速的交流与沟 通渠道，提高了公司规范运作水平，更好的保护了投资者特别是中小投资者的合法权益。</w:t>
      </w:r>
    </w:p>
    <w:p>
      <w:pPr>
        <w:pStyle w:val="Style10"/>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（十）公司董事长、独立董事及其他董事履行职责情况</w:t>
      </w:r>
    </w:p>
    <w:p>
      <w:pPr>
        <w:pStyle w:val="Style10"/>
        <w:keepNext w:val="0"/>
        <w:keepLines w:val="0"/>
        <w:widowControl w:val="0"/>
        <w:shd w:val="clear" w:color="auto" w:fill="auto"/>
        <w:tabs>
          <w:tab w:pos="836" w:val="left"/>
        </w:tabs>
        <w:bidi w:val="0"/>
        <w:spacing w:before="0" w:after="0" w:line="471" w:lineRule="exact"/>
        <w:ind w:left="0" w:right="0" w:firstLine="440"/>
        <w:jc w:val="left"/>
      </w:pPr>
      <w:bookmarkStart w:id="307" w:name="bookmark307"/>
      <w:r>
        <w:rPr>
          <w:color w:val="000000"/>
          <w:spacing w:val="0"/>
          <w:w w:val="100"/>
          <w:position w:val="0"/>
        </w:rPr>
        <w:t>1</w:t>
      </w:r>
      <w:bookmarkEnd w:id="307"/>
      <w:r>
        <w:rPr>
          <w:color w:val="000000"/>
          <w:spacing w:val="0"/>
          <w:w w:val="100"/>
          <w:position w:val="0"/>
        </w:rPr>
        <w:t>、</w:t>
        <w:tab/>
        <w:t>报告期内，公司全体董事严格按照《公司法》、《证券法》、《深圳证券交易所上市公司自律监管指 引第2号</w:t>
      </w:r>
      <w:r>
        <w:rPr>
          <w:color w:val="000000"/>
          <w:spacing w:val="0"/>
          <w:w w:val="100"/>
          <w:position w:val="0"/>
        </w:rPr>
        <w:t>一一</w:t>
      </w:r>
      <w:r>
        <w:rPr>
          <w:color w:val="000000"/>
          <w:spacing w:val="0"/>
          <w:w w:val="100"/>
          <w:position w:val="0"/>
        </w:rPr>
        <w:t>创业板上市公司规范运作》等法律、法规及规章制度的规定和要求，履行董事职责，积极参 加相关培训，提高规范运作水平。董事在董事会会议投票表决重大事项或其他对公司有重大影响的事项时， 严格遵循公司董事会议事规则的有关审议规定，审慎决策，切实保护公司和股东特别是社会公众股股东的 利益。</w:t>
      </w:r>
    </w:p>
    <w:p>
      <w:pPr>
        <w:pStyle w:val="Style10"/>
        <w:keepNext w:val="0"/>
        <w:keepLines w:val="0"/>
        <w:widowControl w:val="0"/>
        <w:shd w:val="clear" w:color="auto" w:fill="auto"/>
        <w:tabs>
          <w:tab w:pos="836" w:val="left"/>
        </w:tabs>
        <w:bidi w:val="0"/>
        <w:spacing w:before="0" w:after="0" w:line="471" w:lineRule="exact"/>
        <w:ind w:left="0" w:right="0" w:firstLine="440"/>
        <w:jc w:val="left"/>
      </w:pPr>
      <w:bookmarkStart w:id="308" w:name="bookmark308"/>
      <w:r>
        <w:rPr>
          <w:color w:val="000000"/>
          <w:spacing w:val="0"/>
          <w:w w:val="100"/>
          <w:position w:val="0"/>
        </w:rPr>
        <w:t>2</w:t>
      </w:r>
      <w:bookmarkEnd w:id="308"/>
      <w:r>
        <w:rPr>
          <w:color w:val="000000"/>
          <w:spacing w:val="0"/>
          <w:w w:val="100"/>
          <w:position w:val="0"/>
        </w:rPr>
        <w:t>、</w:t>
        <w:tab/>
        <w:t>公司董事长在履行职责时，严格按照《公司法》、《证券法》、《深圳证券交易所上市公司自律监管 指引第2号</w:t>
      </w:r>
      <w:r>
        <w:rPr>
          <w:color w:val="000000"/>
          <w:spacing w:val="0"/>
          <w:w w:val="100"/>
          <w:position w:val="0"/>
        </w:rPr>
        <w:t>一一</w:t>
      </w:r>
      <w:r>
        <w:rPr>
          <w:color w:val="000000"/>
          <w:spacing w:val="0"/>
          <w:w w:val="100"/>
          <w:position w:val="0"/>
        </w:rPr>
        <w:t>创业板上市公司规范运作》和《公司章程》规定，行使董事长职权，履行职责。在召集、 主持董事会会议时，积极推动公司治理工作和内部控制建设、督促执行股东大会和董事会的各项决议，确 保董事会依法正常运作。</w:t>
      </w:r>
    </w:p>
    <w:p>
      <w:pPr>
        <w:pStyle w:val="Style10"/>
        <w:keepNext w:val="0"/>
        <w:keepLines w:val="0"/>
        <w:widowControl w:val="0"/>
        <w:shd w:val="clear" w:color="auto" w:fill="auto"/>
        <w:tabs>
          <w:tab w:pos="836" w:val="left"/>
        </w:tabs>
        <w:bidi w:val="0"/>
        <w:spacing w:before="0" w:after="60" w:line="471" w:lineRule="exact"/>
        <w:ind w:left="0" w:right="0" w:firstLine="440"/>
        <w:jc w:val="left"/>
      </w:pPr>
      <w:bookmarkStart w:id="309" w:name="bookmark309"/>
      <w:r>
        <w:rPr>
          <w:color w:val="000000"/>
          <w:spacing w:val="0"/>
          <w:w w:val="100"/>
          <w:position w:val="0"/>
        </w:rPr>
        <w:t>3</w:t>
      </w:r>
      <w:bookmarkEnd w:id="309"/>
      <w:r>
        <w:rPr>
          <w:color w:val="000000"/>
          <w:spacing w:val="0"/>
          <w:w w:val="100"/>
          <w:position w:val="0"/>
        </w:rPr>
        <w:t>、</w:t>
        <w:tab/>
        <w:t xml:space="preserve">公司独立董事认真履行职责，积极准时出席相关会议，认真审议各项议案，客观发表自己的看法 及观点，努力维护公司整体利益及中小股东的合法权益。同时积极深入公司现场调查，了解公司生产经营 状况和内部控制的建设及董事会及股东会决议的执行情况，为公司经营和发展提出合理意见和建议。独立 </w:t>
      </w:r>
      <w:r>
        <w:rPr>
          <w:color w:val="000000"/>
          <w:spacing w:val="0"/>
          <w:w w:val="100"/>
          <w:position w:val="0"/>
        </w:rPr>
        <w:t>董事对2021年度公司审议的各项事项没有提出异议。</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公司治理的实际状况与法律、行政法规和中国证监会发布的关于上市公司治理的规定是否存在重大差异 口是"否</w:t>
      </w:r>
    </w:p>
    <w:p>
      <w:pPr>
        <w:pStyle w:val="Style24"/>
        <w:keepNext w:val="0"/>
        <w:keepLines w:val="0"/>
        <w:widowControl w:val="0"/>
        <w:shd w:val="clear" w:color="auto" w:fill="auto"/>
        <w:bidi w:val="0"/>
        <w:spacing w:before="0" w:after="320" w:line="355"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19"/>
        <w:keepNext/>
        <w:keepLines/>
        <w:widowControl w:val="0"/>
        <w:shd w:val="clear" w:color="auto" w:fill="auto"/>
        <w:bidi w:val="0"/>
        <w:spacing w:before="0" w:after="200" w:line="312" w:lineRule="exact"/>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二</w:t>
      </w:r>
      <w:bookmarkEnd w:id="312"/>
      <w:r>
        <w:rPr>
          <w:color w:val="000000"/>
          <w:spacing w:val="0"/>
          <w:w w:val="100"/>
          <w:position w:val="0"/>
          <w:sz w:val="24"/>
          <w:szCs w:val="24"/>
        </w:rPr>
        <w:t>、公司相对于控股股东、实际控制人在保证公司资产、人员、财务、机构、业务等方面的 独立情况</w:t>
      </w:r>
      <w:bookmarkEnd w:id="310"/>
      <w:bookmarkEnd w:id="311"/>
      <w:bookmarkEnd w:id="313"/>
    </w:p>
    <w:p>
      <w:pPr>
        <w:pStyle w:val="Style10"/>
        <w:keepNext w:val="0"/>
        <w:keepLines w:val="0"/>
        <w:widowControl w:val="0"/>
        <w:shd w:val="clear" w:color="auto" w:fill="auto"/>
        <w:tabs>
          <w:tab w:pos="1009" w:val="left"/>
        </w:tabs>
        <w:bidi w:val="0"/>
        <w:spacing w:before="0" w:after="0" w:line="468" w:lineRule="exact"/>
        <w:ind w:left="0" w:right="0" w:firstLine="440"/>
        <w:jc w:val="both"/>
      </w:pPr>
      <w:bookmarkStart w:id="314" w:name="bookmark314"/>
      <w:r>
        <w:rPr>
          <w:b/>
          <w:bCs/>
          <w:color w:val="000000"/>
          <w:spacing w:val="0"/>
          <w:w w:val="100"/>
          <w:position w:val="0"/>
        </w:rPr>
        <w:t>（</w:t>
      </w:r>
      <w:bookmarkEnd w:id="314"/>
      <w:r>
        <w:rPr>
          <w:b/>
          <w:bCs/>
          <w:color w:val="000000"/>
          <w:spacing w:val="0"/>
          <w:w w:val="100"/>
          <w:position w:val="0"/>
        </w:rPr>
        <w:t>一）</w:t>
        <w:tab/>
        <w:t>业务独立</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公司从事传感器及物联网系统解决方案业务，拥有独立完整的研发、采购、生产和销售业务体系，具 有直接面向市场独立经营的能力，不存在其他需要依赖控股股东、实际控制人及其控制的其他企业进行经 营活动的情况。主要股东、实际控制人及其控制的其他企业均不从事同类业务。本公司与控股股东、实际 控制人不存在同业竞争。</w:t>
      </w:r>
    </w:p>
    <w:p>
      <w:pPr>
        <w:pStyle w:val="Style10"/>
        <w:keepNext w:val="0"/>
        <w:keepLines w:val="0"/>
        <w:widowControl w:val="0"/>
        <w:shd w:val="clear" w:color="auto" w:fill="auto"/>
        <w:tabs>
          <w:tab w:pos="1009" w:val="left"/>
        </w:tabs>
        <w:bidi w:val="0"/>
        <w:spacing w:before="0" w:after="0" w:line="468" w:lineRule="exact"/>
        <w:ind w:left="0" w:right="0" w:firstLine="440"/>
        <w:jc w:val="both"/>
      </w:pPr>
      <w:bookmarkStart w:id="315" w:name="bookmark315"/>
      <w:r>
        <w:rPr>
          <w:b/>
          <w:bCs/>
          <w:color w:val="000000"/>
          <w:spacing w:val="0"/>
          <w:w w:val="100"/>
          <w:position w:val="0"/>
        </w:rPr>
        <w:t>（</w:t>
      </w:r>
      <w:bookmarkEnd w:id="315"/>
      <w:r>
        <w:rPr>
          <w:b/>
          <w:bCs/>
          <w:color w:val="000000"/>
          <w:spacing w:val="0"/>
          <w:w w:val="100"/>
          <w:position w:val="0"/>
        </w:rPr>
        <w:t>二）</w:t>
        <w:tab/>
        <w:t>人员独立</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公司设有人力资源管理部门，公司的人事及工资管理与股东完全独立。公司董事、监事均严格按照《公 司法》和《公司章程》的有关规定选举产生，高级管理人员均由董事会聘任，不存在控股股东、实际控制 人及其他关联方干涉公司人事任免的情况，不存在有关法律、法规禁止的兼职情况。公司总经理、副总经 理、财务总监、董事会秘书等高级管理人员均专职在本公司工作并领取报酬，未在股东控制的其他关联企 业担任职务，不存在交叉任职的情况；本公司的财务人员亦未在实际控制人控制的其他企业中兼职。</w:t>
      </w:r>
    </w:p>
    <w:p>
      <w:pPr>
        <w:pStyle w:val="Style10"/>
        <w:keepNext w:val="0"/>
        <w:keepLines w:val="0"/>
        <w:widowControl w:val="0"/>
        <w:shd w:val="clear" w:color="auto" w:fill="auto"/>
        <w:tabs>
          <w:tab w:pos="1009" w:val="left"/>
        </w:tabs>
        <w:bidi w:val="0"/>
        <w:spacing w:before="0" w:after="0" w:line="468" w:lineRule="exact"/>
        <w:ind w:left="0" w:right="0" w:firstLine="440"/>
        <w:jc w:val="both"/>
      </w:pPr>
      <w:bookmarkStart w:id="316" w:name="bookmark316"/>
      <w:r>
        <w:rPr>
          <w:b/>
          <w:bCs/>
          <w:color w:val="000000"/>
          <w:spacing w:val="0"/>
          <w:w w:val="100"/>
          <w:position w:val="0"/>
        </w:rPr>
        <w:t>（</w:t>
      </w:r>
      <w:bookmarkEnd w:id="316"/>
      <w:r>
        <w:rPr>
          <w:b/>
          <w:bCs/>
          <w:color w:val="000000"/>
          <w:spacing w:val="0"/>
          <w:w w:val="100"/>
          <w:position w:val="0"/>
        </w:rPr>
        <w:t>三）</w:t>
        <w:tab/>
        <w:t>资产完整</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公司拥有开展生产经营所必备的独立完整的资产，合法拥有与生产经营相关的房产、设备、土地以及 商标、专利、非专利技术的所有权或使用权，相关资产不存在权属纠纷，公司资产、资金和其他资源不存 在被控股股东、实际控制人及其他关联方控制和占用的情形。</w:t>
      </w:r>
    </w:p>
    <w:p>
      <w:pPr>
        <w:pStyle w:val="Style10"/>
        <w:keepNext w:val="0"/>
        <w:keepLines w:val="0"/>
        <w:widowControl w:val="0"/>
        <w:shd w:val="clear" w:color="auto" w:fill="auto"/>
        <w:tabs>
          <w:tab w:pos="1009" w:val="left"/>
        </w:tabs>
        <w:bidi w:val="0"/>
        <w:spacing w:before="0" w:after="0" w:line="468" w:lineRule="exact"/>
        <w:ind w:left="0" w:right="0" w:firstLine="440"/>
        <w:jc w:val="both"/>
      </w:pPr>
      <w:bookmarkStart w:id="317" w:name="bookmark317"/>
      <w:r>
        <w:rPr>
          <w:b/>
          <w:bCs/>
          <w:color w:val="000000"/>
          <w:spacing w:val="0"/>
          <w:w w:val="100"/>
          <w:position w:val="0"/>
        </w:rPr>
        <w:t>（</w:t>
      </w:r>
      <w:bookmarkEnd w:id="317"/>
      <w:r>
        <w:rPr>
          <w:b/>
          <w:bCs/>
          <w:color w:val="000000"/>
          <w:spacing w:val="0"/>
          <w:w w:val="100"/>
          <w:position w:val="0"/>
        </w:rPr>
        <w:t>四）</w:t>
        <w:tab/>
        <w:t>机构独立</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公司根据《公司法》、《上市公司章程指引》等有关法律、法规和规范性文件的相关规定，按照法定程 序制订了《公司章程》，建立了股东大会、董事会、监事会的法人治理结构，并设置了相应的组织机构。 本公司具有独立的生产经营和办公机构，完全独立于控股股东及实际控制人，不存在混合经营、合署办公 的情况，控股股东及其他任何单位或个人均未干预本公司的机构设置和生产经营活动。</w:t>
      </w:r>
    </w:p>
    <w:p>
      <w:pPr>
        <w:pStyle w:val="Style10"/>
        <w:keepNext w:val="0"/>
        <w:keepLines w:val="0"/>
        <w:widowControl w:val="0"/>
        <w:shd w:val="clear" w:color="auto" w:fill="auto"/>
        <w:tabs>
          <w:tab w:pos="1009" w:val="left"/>
        </w:tabs>
        <w:bidi w:val="0"/>
        <w:spacing w:before="0" w:after="0" w:line="468" w:lineRule="exact"/>
        <w:ind w:left="0" w:right="0" w:firstLine="440"/>
        <w:jc w:val="both"/>
      </w:pPr>
      <w:bookmarkStart w:id="318" w:name="bookmark318"/>
      <w:r>
        <w:rPr>
          <w:b/>
          <w:bCs/>
          <w:color w:val="000000"/>
          <w:spacing w:val="0"/>
          <w:w w:val="100"/>
          <w:position w:val="0"/>
        </w:rPr>
        <w:t>（</w:t>
      </w:r>
      <w:bookmarkEnd w:id="318"/>
      <w:r>
        <w:rPr>
          <w:b/>
          <w:bCs/>
          <w:color w:val="000000"/>
          <w:spacing w:val="0"/>
          <w:w w:val="100"/>
          <w:position w:val="0"/>
        </w:rPr>
        <w:t>五）</w:t>
        <w:tab/>
        <w:t>财务独立</w:t>
      </w:r>
    </w:p>
    <w:p>
      <w:pPr>
        <w:pStyle w:val="Style1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 xml:space="preserve">公司设立独立的财务部门负责本公司的会计核算和财务管理工作。公司财务负责人及财务人员均专职 在本公司工作并领取薪酬，未在与本公司业务相同或相似、或存在其他利益冲突的企业任职。公司按照《会 计法》、《企业会计准则》等法律法规的要求，建立了符合自身特点的独立的会计核算体系和财务管理制度。 </w:t>
      </w:r>
      <w:r>
        <w:rPr>
          <w:color w:val="000000"/>
          <w:spacing w:val="0"/>
          <w:w w:val="100"/>
          <w:position w:val="0"/>
        </w:rPr>
        <w:t>公司开设独立的银行账户，且作为独立纳税人依法纳税。公司能够依据《公司章程》和相关财务制度独立 做出财务决策，不存在公司股东或其他关联方干预公司资金使用的情况；公司独立对外签订各项合同。</w:t>
      </w:r>
    </w:p>
    <w:p>
      <w:pPr>
        <w:pStyle w:val="Style19"/>
        <w:keepNext/>
        <w:keepLines/>
        <w:widowControl w:val="0"/>
        <w:shd w:val="clear" w:color="auto" w:fill="auto"/>
        <w:bidi w:val="0"/>
        <w:spacing w:before="0" w:after="34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三</w:t>
      </w:r>
      <w:bookmarkEnd w:id="321"/>
      <w:r>
        <w:rPr>
          <w:color w:val="000000"/>
          <w:spacing w:val="0"/>
          <w:w w:val="100"/>
          <w:position w:val="0"/>
          <w:sz w:val="24"/>
          <w:szCs w:val="24"/>
        </w:rPr>
        <w:t>、同业竞争情况</w:t>
      </w:r>
      <w:bookmarkEnd w:id="319"/>
      <w:bookmarkEnd w:id="320"/>
      <w:bookmarkEnd w:id="322"/>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34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四</w:t>
      </w:r>
      <w:bookmarkEnd w:id="325"/>
      <w:r>
        <w:rPr>
          <w:color w:val="000000"/>
          <w:spacing w:val="0"/>
          <w:w w:val="100"/>
          <w:position w:val="0"/>
          <w:sz w:val="24"/>
          <w:szCs w:val="24"/>
        </w:rPr>
        <w:t>、报告期内召开的年度股东大会和临时股东大会的有关情况</w:t>
      </w:r>
      <w:bookmarkEnd w:id="323"/>
      <w:bookmarkEnd w:id="324"/>
      <w:bookmarkEnd w:id="326"/>
    </w:p>
    <w:p>
      <w:pPr>
        <w:pStyle w:val="Style28"/>
        <w:keepNext/>
        <w:keepLines/>
        <w:widowControl w:val="0"/>
        <w:shd w:val="clear" w:color="auto" w:fill="auto"/>
        <w:bidi w:val="0"/>
        <w:spacing w:before="0" w:after="34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1</w:t>
      </w:r>
      <w:bookmarkEnd w:id="329"/>
      <w:r>
        <w:rPr>
          <w:color w:val="000000"/>
          <w:spacing w:val="0"/>
          <w:w w:val="100"/>
          <w:position w:val="0"/>
        </w:rPr>
        <w:t>、本报告期股东大会情况</w:t>
      </w:r>
      <w:bookmarkEnd w:id="327"/>
      <w:bookmarkEnd w:id="328"/>
      <w:bookmarkEnd w:id="330"/>
    </w:p>
    <w:tbl>
      <w:tblPr>
        <w:tblOverlap w:val="never"/>
        <w:jc w:val="center"/>
        <w:tblLayout w:type="fixed"/>
      </w:tblPr>
      <w:tblGrid>
        <w:gridCol w:w="1426"/>
        <w:gridCol w:w="1363"/>
        <w:gridCol w:w="1502"/>
        <w:gridCol w:w="1680"/>
        <w:gridCol w:w="1738"/>
        <w:gridCol w:w="18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sz w:val="18"/>
                <w:szCs w:val="18"/>
              </w:rPr>
              <w:t>公告编号</w:t>
            </w:r>
            <w:r>
              <w:rPr>
                <w:rFonts w:ascii="Times New Roman" w:eastAsia="Times New Roman" w:hAnsi="Times New Roman" w:cs="Times New Roman"/>
                <w:color w:val="000000"/>
                <w:spacing w:val="0"/>
                <w:w w:val="100"/>
                <w:position w:val="0"/>
                <w:sz w:val="18"/>
                <w:szCs w:val="18"/>
              </w:rPr>
              <w:t>2021-011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年年度股 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312" w:lineRule="exact"/>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公告编号</w:t>
            </w:r>
            <w:r>
              <w:rPr>
                <w:rFonts w:ascii="Times New Roman" w:eastAsia="Times New Roman" w:hAnsi="Times New Roman" w:cs="Times New Roman"/>
                <w:color w:val="000000"/>
                <w:spacing w:val="0"/>
                <w:w w:val="100"/>
                <w:position w:val="0"/>
                <w:sz w:val="18"/>
                <w:szCs w:val="18"/>
              </w:rPr>
              <w:t>2021-031</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年第二次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312" w:lineRule="exact"/>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公告编号</w:t>
            </w:r>
            <w:r>
              <w:rPr>
                <w:rFonts w:ascii="Times New Roman" w:eastAsia="Times New Roman" w:hAnsi="Times New Roman" w:cs="Times New Roman"/>
                <w:color w:val="000000"/>
                <w:spacing w:val="0"/>
                <w:w w:val="100"/>
                <w:position w:val="0"/>
                <w:sz w:val="18"/>
                <w:szCs w:val="18"/>
              </w:rPr>
              <w:t>2021-062</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317" w:lineRule="exact"/>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公告编号</w:t>
            </w:r>
            <w:r>
              <w:rPr>
                <w:rFonts w:ascii="Times New Roman" w:eastAsia="Times New Roman" w:hAnsi="Times New Roman" w:cs="Times New Roman"/>
                <w:color w:val="000000"/>
                <w:spacing w:val="0"/>
                <w:w w:val="100"/>
                <w:position w:val="0"/>
                <w:sz w:val="18"/>
                <w:szCs w:val="18"/>
              </w:rPr>
              <w:t>2021-091</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2</w:t>
      </w:r>
      <w:bookmarkEnd w:id="333"/>
      <w:r>
        <w:rPr>
          <w:color w:val="000000"/>
          <w:spacing w:val="0"/>
          <w:w w:val="100"/>
          <w:position w:val="0"/>
        </w:rPr>
        <w:t>、表决权恢复的优先股股东请求召开临时股东大会</w:t>
      </w:r>
      <w:bookmarkEnd w:id="331"/>
      <w:bookmarkEnd w:id="332"/>
      <w:bookmarkEnd w:id="334"/>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tabs>
          <w:tab w:pos="512" w:val="left"/>
        </w:tabs>
        <w:bidi w:val="0"/>
        <w:spacing w:before="0" w:after="34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sz w:val="24"/>
          <w:szCs w:val="24"/>
        </w:rPr>
        <w:t>五</w:t>
      </w:r>
      <w:bookmarkEnd w:id="337"/>
      <w:r>
        <w:rPr>
          <w:color w:val="000000"/>
          <w:spacing w:val="0"/>
          <w:w w:val="100"/>
          <w:position w:val="0"/>
          <w:sz w:val="24"/>
          <w:szCs w:val="24"/>
        </w:rPr>
        <w:t>、</w:t>
        <w:tab/>
        <w:t>公司具有表决权差异安排</w:t>
      </w:r>
      <w:bookmarkEnd w:id="335"/>
      <w:bookmarkEnd w:id="336"/>
      <w:bookmarkEnd w:id="338"/>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tabs>
          <w:tab w:pos="512" w:val="left"/>
        </w:tabs>
        <w:bidi w:val="0"/>
        <w:spacing w:before="0" w:after="34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sz w:val="24"/>
          <w:szCs w:val="24"/>
        </w:rPr>
        <w:t>六</w:t>
      </w:r>
      <w:bookmarkEnd w:id="341"/>
      <w:r>
        <w:rPr>
          <w:color w:val="000000"/>
          <w:spacing w:val="0"/>
          <w:w w:val="100"/>
          <w:position w:val="0"/>
          <w:sz w:val="24"/>
          <w:szCs w:val="24"/>
        </w:rPr>
        <w:t>、</w:t>
        <w:tab/>
        <w:t>红筹架构公司治理情况</w:t>
      </w:r>
      <w:bookmarkEnd w:id="339"/>
      <w:bookmarkEnd w:id="340"/>
      <w:bookmarkEnd w:id="342"/>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tabs>
          <w:tab w:pos="517" w:val="left"/>
        </w:tabs>
        <w:bidi w:val="0"/>
        <w:spacing w:before="0" w:after="34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sz w:val="24"/>
          <w:szCs w:val="24"/>
        </w:rPr>
        <w:t>七</w:t>
      </w:r>
      <w:bookmarkEnd w:id="345"/>
      <w:r>
        <w:rPr>
          <w:color w:val="000000"/>
          <w:spacing w:val="0"/>
          <w:w w:val="100"/>
          <w:position w:val="0"/>
          <w:sz w:val="24"/>
          <w:szCs w:val="24"/>
        </w:rPr>
        <w:t>、</w:t>
        <w:tab/>
        <w:t>董事、监事和高级管理人员情况</w:t>
      </w:r>
      <w:bookmarkEnd w:id="343"/>
      <w:bookmarkEnd w:id="344"/>
      <w:bookmarkEnd w:id="346"/>
    </w:p>
    <w:p>
      <w:pPr>
        <w:pStyle w:val="Style28"/>
        <w:keepNext/>
        <w:keepLines/>
        <w:widowControl w:val="0"/>
        <w:shd w:val="clear" w:color="auto" w:fill="auto"/>
        <w:bidi w:val="0"/>
        <w:spacing w:before="0" w:after="34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1</w:t>
      </w:r>
      <w:bookmarkEnd w:id="349"/>
      <w:r>
        <w:rPr>
          <w:color w:val="000000"/>
          <w:spacing w:val="0"/>
          <w:w w:val="100"/>
          <w:position w:val="0"/>
        </w:rPr>
        <w:t>、基本情况</w:t>
      </w:r>
      <w:bookmarkEnd w:id="347"/>
      <w:bookmarkEnd w:id="348"/>
      <w:bookmarkEnd w:id="350"/>
      <w:r>
        <w:br w:type="page"/>
      </w:r>
    </w:p>
    <w:tbl>
      <w:tblPr>
        <w:tblOverlap w:val="never"/>
        <w:jc w:val="center"/>
        <w:tblLayout w:type="fixed"/>
      </w:tblPr>
      <w:tblGrid>
        <w:gridCol w:w="830"/>
        <w:gridCol w:w="840"/>
        <w:gridCol w:w="614"/>
        <w:gridCol w:w="317"/>
        <w:gridCol w:w="451"/>
        <w:gridCol w:w="854"/>
        <w:gridCol w:w="826"/>
        <w:gridCol w:w="1066"/>
        <w:gridCol w:w="720"/>
        <w:gridCol w:w="749"/>
        <w:gridCol w:w="586"/>
        <w:gridCol w:w="1094"/>
        <w:gridCol w:w="629"/>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任职</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性 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任期起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任期终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期初持股</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本期 增持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本期 减持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增减</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变动</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期末持股</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数（股）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股份 增减 变动 的原 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52,879,243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52,879,243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董事、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64,200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刘瑞玲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董事、 副总经 理、财 务负责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2,345,860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2,345,860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高延明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董事、 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董事、 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1,784,668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1,784,668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杨昌再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29,700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张艳丽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监事会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1,395,000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17,800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肖锋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董事会 秘书、 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易欢欢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独立董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30"/>
        <w:gridCol w:w="840"/>
        <w:gridCol w:w="614"/>
        <w:gridCol w:w="317"/>
        <w:gridCol w:w="451"/>
        <w:gridCol w:w="854"/>
        <w:gridCol w:w="826"/>
        <w:gridCol w:w="1066"/>
        <w:gridCol w:w="720"/>
        <w:gridCol w:w="749"/>
        <w:gridCol w:w="586"/>
        <w:gridCol w:w="1094"/>
        <w:gridCol w:w="629"/>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独立董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王立章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独立董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张潇君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董事、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58,405,771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58,531,471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w:t>
      </w:r>
    </w:p>
    <w:tbl>
      <w:tblPr>
        <w:tblOverlap w:val="never"/>
        <w:jc w:val="center"/>
        <w:tblLayout w:type="fixed"/>
      </w:tblPr>
      <w:tblGrid>
        <w:gridCol w:w="1742"/>
        <w:gridCol w:w="2117"/>
        <w:gridCol w:w="1934"/>
        <w:gridCol w:w="2189"/>
        <w:gridCol w:w="1603"/>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原因</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张潇君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color w:val="000000"/>
                <w:spacing w:val="0"/>
                <w:w w:val="100"/>
                <w:position w:val="0"/>
                <w:sz w:val="18"/>
                <w:szCs w:val="18"/>
              </w:rPr>
              <w:t>年</w:t>
            </w:r>
            <w:r>
              <w:rPr>
                <w:color w:val="000000"/>
                <w:spacing w:val="0"/>
                <w:w w:val="100"/>
                <w:position w:val="0"/>
                <w:sz w:val="18"/>
                <w:szCs w:val="18"/>
              </w:rPr>
              <w:t>01</w:t>
            </w:r>
            <w:r>
              <w:rPr>
                <w:color w:val="000000"/>
                <w:spacing w:val="0"/>
                <w:w w:val="100"/>
                <w:position w:val="0"/>
                <w:sz w:val="18"/>
                <w:szCs w:val="18"/>
              </w:rPr>
              <w:t>月</w:t>
            </w:r>
            <w:r>
              <w:rPr>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个人原因</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color w:val="000000"/>
                <w:spacing w:val="0"/>
                <w:w w:val="100"/>
                <w:position w:val="0"/>
                <w:sz w:val="18"/>
                <w:szCs w:val="18"/>
              </w:rPr>
              <w:t>年</w:t>
            </w:r>
            <w:r>
              <w:rPr>
                <w:color w:val="000000"/>
                <w:spacing w:val="0"/>
                <w:w w:val="100"/>
                <w:position w:val="0"/>
                <w:sz w:val="18"/>
                <w:szCs w:val="18"/>
              </w:rPr>
              <w:t>01</w:t>
            </w:r>
            <w:r>
              <w:rPr>
                <w:color w:val="000000"/>
                <w:spacing w:val="0"/>
                <w:w w:val="100"/>
                <w:position w:val="0"/>
                <w:sz w:val="18"/>
                <w:szCs w:val="18"/>
              </w:rPr>
              <w:t>月</w:t>
            </w:r>
            <w:r>
              <w:rPr>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个人原因</w:t>
            </w:r>
          </w:p>
        </w:tc>
      </w:tr>
    </w:tbl>
    <w:p>
      <w:pPr>
        <w:widowControl w:val="0"/>
        <w:spacing w:after="3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1334"/>
        <w:gridCol w:w="1330"/>
        <w:gridCol w:w="1334"/>
        <w:gridCol w:w="2962"/>
        <w:gridCol w:w="262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张潇君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补选</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武勇超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补选</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2</w:t>
      </w:r>
      <w:bookmarkEnd w:id="353"/>
      <w:r>
        <w:rPr>
          <w:color w:val="000000"/>
          <w:spacing w:val="0"/>
          <w:w w:val="100"/>
          <w:position w:val="0"/>
        </w:rPr>
        <w:t>、任职情况</w:t>
      </w:r>
      <w:bookmarkEnd w:id="351"/>
      <w:bookmarkEnd w:id="352"/>
      <w:bookmarkEnd w:id="354"/>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10"/>
        <w:keepNext w:val="0"/>
        <w:keepLines w:val="0"/>
        <w:widowControl w:val="0"/>
        <w:shd w:val="clear" w:color="auto" w:fill="auto"/>
        <w:bidi w:val="0"/>
        <w:spacing w:before="0" w:after="0" w:line="469" w:lineRule="exact"/>
        <w:ind w:left="0" w:right="0" w:firstLine="440"/>
        <w:jc w:val="both"/>
      </w:pPr>
      <w:bookmarkStart w:id="355" w:name="bookmark355"/>
      <w:r>
        <w:rPr>
          <w:b/>
          <w:bCs/>
          <w:color w:val="000000"/>
          <w:spacing w:val="0"/>
          <w:w w:val="100"/>
          <w:position w:val="0"/>
        </w:rPr>
        <w:t>1</w:t>
      </w:r>
      <w:bookmarkEnd w:id="355"/>
      <w:r>
        <w:rPr>
          <w:b/>
          <w:bCs/>
          <w:color w:val="000000"/>
          <w:spacing w:val="0"/>
          <w:w w:val="100"/>
          <w:position w:val="0"/>
        </w:rPr>
        <w:t>、第五届董事会成员</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任红军，男，1967年出生，中国国籍，</w:t>
      </w:r>
      <w:r>
        <w:rPr>
          <w:color w:val="000000"/>
          <w:spacing w:val="0"/>
          <w:w w:val="100"/>
          <w:position w:val="0"/>
        </w:rPr>
        <w:t>EMBA,</w:t>
      </w:r>
      <w:r>
        <w:rPr>
          <w:color w:val="000000"/>
          <w:spacing w:val="0"/>
          <w:w w:val="100"/>
          <w:position w:val="0"/>
        </w:rPr>
        <w:t>高级工程师，历任郑州晶体管厂技术员、工程师，郑州 汽车客运总公司下属科达电子厂高级工程师、副厂长，自1998年创立公司前身河南汉威电子有限公司以来 一直在汉威科技任职。现为公司第五届董事会董事长。</w:t>
      </w:r>
    </w:p>
    <w:p>
      <w:pPr>
        <w:pStyle w:val="Style10"/>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李志刚，男，1978年出生，中国国籍，</w:t>
      </w:r>
      <w:r>
        <w:rPr>
          <w:color w:val="000000"/>
          <w:spacing w:val="0"/>
          <w:w w:val="100"/>
          <w:position w:val="0"/>
        </w:rPr>
        <w:t>EMBA，</w:t>
      </w:r>
      <w:r>
        <w:rPr>
          <w:color w:val="000000"/>
          <w:spacing w:val="0"/>
          <w:w w:val="100"/>
          <w:position w:val="0"/>
        </w:rPr>
        <w:t>仪器仪表行业高级工程师。2005年3月起任职于汉威科 技。历任公司开发部经理、研究院院长、鞍山易兴董事长、公司技术总监等职务。2021年1月19日当选为 公司总经理，2021年2月4日当选为公司第五届董事会董事。</w:t>
      </w:r>
    </w:p>
    <w:p>
      <w:pPr>
        <w:pStyle w:val="Style1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刘瑞玲，女，1972年出生，中国国籍，</w:t>
      </w:r>
      <w:r>
        <w:rPr>
          <w:color w:val="000000"/>
          <w:spacing w:val="0"/>
          <w:w w:val="100"/>
          <w:position w:val="0"/>
        </w:rPr>
        <w:t>EMBA,</w:t>
      </w:r>
      <w:r>
        <w:rPr>
          <w:color w:val="000000"/>
          <w:spacing w:val="0"/>
          <w:w w:val="100"/>
          <w:position w:val="0"/>
        </w:rPr>
        <w:t>曾任职于郑州晶体管厂核算处、郑州汽车客运总公司下 属科达电子厂会计科，1998年9月起就职于汉威科技。现任公司第五届董事会董事、副总经理、财务负责 人。</w:t>
      </w:r>
    </w:p>
    <w:p>
      <w:pPr>
        <w:pStyle w:val="Style1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尚中锋，男，1972年出生，中国国籍，大学本科学历，曾任职于郑州市油泵油嘴厂，2000年起就职于 公司前身河南汉威电子有限公司。现任公司第五届董事会董事、副总经理。</w:t>
      </w:r>
    </w:p>
    <w:p>
      <w:pPr>
        <w:pStyle w:val="Style1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高延明，男，1981年出生，中国国籍，大学本科学历，仪器仪表行业高级工程师。历任公司市政燃气 事业部总经理、郑州畅威物联网科技有限公司总经理等职务，现任公司第五届董事会董事、副总经理，同 时任职嘉园环保有限公司董事长及法定代表人。</w:t>
      </w:r>
    </w:p>
    <w:p>
      <w:pPr>
        <w:pStyle w:val="Style1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杨昌再，男，1976年出生，中国国籍，大学本科学历，仪器仪表行业高级工程师。2005年3月起就职 于公司前身河南汉威电子有限公司，现任公司第五届董事会董事、河南汉威智慧安全科技有限公司总经理。</w:t>
      </w:r>
    </w:p>
    <w:p>
      <w:pPr>
        <w:pStyle w:val="Style1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李山，男，1953年出生，中国国籍，香港理工大学硕士研究生学历，曾任宝钛集团总会计师，财务总 监，现任陕西中庆会计师事务所主任会计师。现任公司第五届董事会独立董事。</w:t>
      </w:r>
    </w:p>
    <w:p>
      <w:pPr>
        <w:pStyle w:val="Style1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易欢欢，男，1982年生，中国国籍，硕士研究生学历，毕业于北京大学通信与信息系统专业。曾先后 任职甲骨文（中国）战略咨询部高级经理，国金证券研究部执行总经理、计算机与互联网行业首席分析师， 申万宏源证券董事总经理、研究所副所长。现任北京千人互融信息技术有限公司</w:t>
      </w:r>
      <w:r>
        <w:rPr>
          <w:color w:val="000000"/>
          <w:spacing w:val="0"/>
          <w:w w:val="100"/>
          <w:position w:val="0"/>
          <w:sz w:val="18"/>
          <w:szCs w:val="18"/>
        </w:rPr>
        <w:t>、</w:t>
      </w:r>
      <w:r>
        <w:rPr>
          <w:color w:val="000000"/>
          <w:spacing w:val="0"/>
          <w:w w:val="100"/>
          <w:position w:val="0"/>
        </w:rPr>
        <w:t>深圳亚联发展科技股份 有限公司等公司董事。现任公司第五届董事会独立董事。</w:t>
      </w:r>
    </w:p>
    <w:p>
      <w:pPr>
        <w:pStyle w:val="Style1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王立章，男，1966年出生，中国国籍，清华大学硕士研究生学历，北京大学光华管理学院</w:t>
      </w:r>
      <w:r>
        <w:rPr>
          <w:color w:val="000000"/>
          <w:spacing w:val="0"/>
          <w:w w:val="100"/>
          <w:position w:val="0"/>
        </w:rPr>
        <w:t>MBA,</w:t>
      </w:r>
      <w:r>
        <w:rPr>
          <w:color w:val="000000"/>
          <w:spacing w:val="0"/>
          <w:w w:val="100"/>
          <w:position w:val="0"/>
        </w:rPr>
        <w:t>曾任北 京正丰易环保技术研究中心副主任，现任北京易二零环境股份有限公司高级合伙人，</w:t>
      </w:r>
      <w:r>
        <w:rPr>
          <w:color w:val="000000"/>
          <w:spacing w:val="0"/>
          <w:w w:val="100"/>
          <w:position w:val="0"/>
        </w:rPr>
        <w:t>E20</w:t>
      </w:r>
      <w:r>
        <w:rPr>
          <w:color w:val="000000"/>
          <w:spacing w:val="0"/>
          <w:w w:val="100"/>
          <w:position w:val="0"/>
        </w:rPr>
        <w:t>环境商学院院长， 研究院执行院长等职。现任公司第五届董事会独立董事。</w:t>
      </w:r>
    </w:p>
    <w:p>
      <w:pPr>
        <w:pStyle w:val="Style10"/>
        <w:keepNext w:val="0"/>
        <w:keepLines w:val="0"/>
        <w:widowControl w:val="0"/>
        <w:shd w:val="clear" w:color="auto" w:fill="auto"/>
        <w:tabs>
          <w:tab w:pos="807" w:val="left"/>
        </w:tabs>
        <w:bidi w:val="0"/>
        <w:spacing w:before="0" w:after="0" w:line="473" w:lineRule="exact"/>
        <w:ind w:left="0" w:right="0" w:firstLine="440"/>
        <w:jc w:val="both"/>
      </w:pPr>
      <w:bookmarkStart w:id="356" w:name="bookmark356"/>
      <w:r>
        <w:rPr>
          <w:b/>
          <w:bCs/>
          <w:color w:val="000000"/>
          <w:spacing w:val="0"/>
          <w:w w:val="100"/>
          <w:position w:val="0"/>
        </w:rPr>
        <w:t>2</w:t>
      </w:r>
      <w:bookmarkEnd w:id="356"/>
      <w:r>
        <w:rPr>
          <w:b/>
          <w:bCs/>
          <w:color w:val="000000"/>
          <w:spacing w:val="0"/>
          <w:w w:val="100"/>
          <w:position w:val="0"/>
        </w:rPr>
        <w:t>、</w:t>
        <w:tab/>
        <w:t>第五届监事会成员</w:t>
      </w:r>
    </w:p>
    <w:p>
      <w:pPr>
        <w:pStyle w:val="Style1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张艳丽，女，1972年出生，中国国籍，大学专科学历。曾任职于郑州晶体管厂、郑州汽车客运总公司 下属科达电子厂，1998年9月起就职于公司前身河南汉威电子有限公司。现任公司第五届监事会主席。</w:t>
      </w:r>
    </w:p>
    <w:p>
      <w:pPr>
        <w:pStyle w:val="Style1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周震，男，1983年出生，中国国籍，大学本科学历，经济师、审计师、国际注册内部审计师。现任公 司第五届监事会监事，同时任职苏州能斯达电子科技有限公司董事、总经理。</w:t>
      </w:r>
    </w:p>
    <w:p>
      <w:pPr>
        <w:pStyle w:val="Style1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武勇超，男，1981年出生，中国国籍，大学本科学历，中共党员，会计师，税务师，郑州市第十五届 人大代表，担任公司监察审计部部长。2021年1月18日当选为公司第五届监事会职工监事。</w:t>
      </w:r>
    </w:p>
    <w:p>
      <w:pPr>
        <w:pStyle w:val="Style10"/>
        <w:keepNext w:val="0"/>
        <w:keepLines w:val="0"/>
        <w:widowControl w:val="0"/>
        <w:shd w:val="clear" w:color="auto" w:fill="auto"/>
        <w:tabs>
          <w:tab w:pos="807" w:val="left"/>
        </w:tabs>
        <w:bidi w:val="0"/>
        <w:spacing w:before="0" w:after="0" w:line="473" w:lineRule="exact"/>
        <w:ind w:left="0" w:right="0" w:firstLine="440"/>
        <w:jc w:val="both"/>
      </w:pPr>
      <w:bookmarkStart w:id="357" w:name="bookmark357"/>
      <w:r>
        <w:rPr>
          <w:color w:val="000000"/>
          <w:spacing w:val="0"/>
          <w:w w:val="100"/>
          <w:position w:val="0"/>
        </w:rPr>
        <w:t>3</w:t>
      </w:r>
      <w:bookmarkEnd w:id="357"/>
      <w:r>
        <w:rPr>
          <w:color w:val="000000"/>
          <w:spacing w:val="0"/>
          <w:w w:val="100"/>
          <w:position w:val="0"/>
        </w:rPr>
        <w:t>、</w:t>
        <w:tab/>
        <w:t>高级管理人员</w:t>
      </w:r>
    </w:p>
    <w:p>
      <w:pPr>
        <w:pStyle w:val="Style1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李志刚，现任公司总经理，简历详见本节之“董事会成员”介绍。</w:t>
      </w:r>
    </w:p>
    <w:p>
      <w:pPr>
        <w:pStyle w:val="Style1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刘瑞玲，现任公司副总经理、财务负责人，简历详见本节之“董事会成员”介绍。</w:t>
      </w:r>
    </w:p>
    <w:p>
      <w:pPr>
        <w:pStyle w:val="Style1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尚中锋，现任公司副总经理，简历详见本节之“董事会成员”介绍。</w:t>
      </w:r>
      <w:r>
        <w:br w:type="page"/>
      </w:r>
    </w:p>
    <w:p>
      <w:pPr>
        <w:pStyle w:val="Style10"/>
        <w:keepNext w:val="0"/>
        <w:keepLines w:val="0"/>
        <w:widowControl w:val="0"/>
        <w:shd w:val="clear" w:color="auto" w:fill="auto"/>
        <w:bidi w:val="0"/>
        <w:spacing w:before="0" w:after="0" w:line="473" w:lineRule="exact"/>
        <w:ind w:left="0" w:right="0" w:firstLine="440"/>
        <w:jc w:val="left"/>
      </w:pPr>
      <w:r>
        <w:rPr>
          <w:color w:val="000000"/>
          <w:spacing w:val="0"/>
          <w:w w:val="100"/>
          <w:position w:val="0"/>
        </w:rPr>
        <w:t>高延明，现任公司副总经理，简历详见本节之“董事会成员”介绍。</w:t>
      </w:r>
    </w:p>
    <w:p>
      <w:pPr>
        <w:pStyle w:val="Style10"/>
        <w:keepNext w:val="0"/>
        <w:keepLines w:val="0"/>
        <w:widowControl w:val="0"/>
        <w:shd w:val="clear" w:color="auto" w:fill="auto"/>
        <w:bidi w:val="0"/>
        <w:spacing w:before="0" w:after="200" w:line="473" w:lineRule="exact"/>
        <w:ind w:left="0" w:right="0" w:firstLine="440"/>
        <w:jc w:val="left"/>
      </w:pPr>
      <w:r>
        <w:rPr>
          <w:color w:val="000000"/>
          <w:spacing w:val="0"/>
          <w:w w:val="100"/>
          <w:position w:val="0"/>
        </w:rPr>
        <w:t>肖锋，男，1982年出生，中国国籍，大学本科学历，毕业于郑州大学法学院，现任公司副总经理、第 五届董事会秘书。肖锋先生于2009年11月取得深圳交易所颁发的《董事会秘书资格证书》，任职资格符合 《深圳交易所创业板股票上市规则》、《公司章程》的有关规定。</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tbl>
      <w:tblPr>
        <w:tblOverlap w:val="never"/>
        <w:jc w:val="center"/>
        <w:tblLayout w:type="fixed"/>
      </w:tblPr>
      <w:tblGrid>
        <w:gridCol w:w="989"/>
        <w:gridCol w:w="2630"/>
        <w:gridCol w:w="1210"/>
        <w:gridCol w:w="1666"/>
        <w:gridCol w:w="1742"/>
        <w:gridCol w:w="1339"/>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在其他单位是 否领取报酬津 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中国仪器仪表学会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常务理事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中国环境科学学会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常务理事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中国仪器仪表行业协会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中国传感器与物联网产业联盟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中国联通物联网产业联盟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智能传感器创新联盟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刘瑞玲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炜盛科技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法定代表人、</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刘瑞玲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广东龙泉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刘瑞玲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沈阳金建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刘瑞玲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鞍山易兴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刘瑞玲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上海中威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刘瑞玲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深圳汉威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肖锋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嘉园环保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肖锋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汉威智源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肖锋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广东龙泉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肖锋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汉威公用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肖锋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沈阳金建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肖锋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上海英吉森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肖锋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鞍山易兴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张艳丽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上海英吉森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张艳丽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嘉园环保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张艳丽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汉威公用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张艳丽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汉威智源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监事会主席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989"/>
        <w:gridCol w:w="2630"/>
        <w:gridCol w:w="1210"/>
        <w:gridCol w:w="1666"/>
        <w:gridCol w:w="1742"/>
        <w:gridCol w:w="133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张艳丽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张艳丽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雪城软件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中国城市燃气协会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鞍山易兴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沈阳汉威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吉地艾斯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法定代表人、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威研融创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汉威智能仪表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法定代表人、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畅威物联网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法定代表人、 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上海英吉森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广东龙泉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沈阳金建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郑州众智科技股份有限公司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中国仪器仪表学会分析仪器分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中国仪器仪表行业协会分析仪 器分会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中盾云安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威研融创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法定代表人、</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执行董事、总</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汉威智慧消防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法定代表人、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雪城软件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鞍山易兴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法定代表人、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法定代表人、</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执行董事、总</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威果科技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汉威智慧安全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德析检测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989"/>
        <w:gridCol w:w="2630"/>
        <w:gridCol w:w="1210"/>
        <w:gridCol w:w="1666"/>
        <w:gridCol w:w="1742"/>
        <w:gridCol w:w="1339"/>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苏州能斯达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法定代表人、</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中敏传感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高延明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嘉园环保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法定代表人、</w:t>
            </w:r>
          </w:p>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高延明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广东龙泉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杨昌再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汉威智慧安全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法定代表人、 执行董事、总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杨昌再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上海英吉森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法定代表人、</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杨昌再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沈阳汉威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杨昌再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法定代表人、</w:t>
            </w:r>
          </w:p>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汉威智慧消防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汉威智能仪表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上海英吉森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嘉园环保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易欢欢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北京千人互融信息技术有限公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易欢欢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深圳亚联发展科技股份有限公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易欢欢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徐州淮海数据交换服务有限公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陕西中庆会计师事务所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主任会计师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王立章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北京易二零环境股份有限公司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王立章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北京正丰易科环保科技研究中 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在其他单</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位任职情</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公司现任及报告期内离任董事、监事和高级管理人员近三年证券监管机构处罚的情况 口适用</w:t>
      </w:r>
      <w:r>
        <w:rPr>
          <w:color w:val="000000"/>
          <w:spacing w:val="0"/>
          <w:w w:val="100"/>
          <w:position w:val="0"/>
        </w:rPr>
        <w:t>J</w:t>
      </w:r>
      <w:r>
        <w:rPr>
          <w:color w:val="000000"/>
          <w:spacing w:val="0"/>
          <w:w w:val="100"/>
          <w:position w:val="0"/>
        </w:rPr>
        <w:t>不适用</w:t>
      </w:r>
    </w:p>
    <w:p>
      <w:pPr>
        <w:pStyle w:val="Style28"/>
        <w:keepNext/>
        <w:keepLines/>
        <w:widowControl w:val="0"/>
        <w:shd w:val="clear" w:color="auto" w:fill="auto"/>
        <w:bidi w:val="0"/>
        <w:spacing w:before="0" w:after="380" w:line="467" w:lineRule="exact"/>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3</w:t>
      </w:r>
      <w:bookmarkEnd w:id="360"/>
      <w:r>
        <w:rPr>
          <w:color w:val="000000"/>
          <w:spacing w:val="0"/>
          <w:w w:val="100"/>
          <w:position w:val="0"/>
        </w:rPr>
        <w:t>、董事、监事、高级管理人员报酬情况</w:t>
      </w:r>
      <w:bookmarkEnd w:id="358"/>
      <w:bookmarkEnd w:id="359"/>
      <w:bookmarkEnd w:id="361"/>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10"/>
        <w:keepNext w:val="0"/>
        <w:keepLines w:val="0"/>
        <w:widowControl w:val="0"/>
        <w:shd w:val="clear" w:color="auto" w:fill="auto"/>
        <w:tabs>
          <w:tab w:pos="798" w:val="left"/>
        </w:tabs>
        <w:bidi w:val="0"/>
        <w:spacing w:before="0" w:after="0" w:line="467" w:lineRule="exact"/>
        <w:ind w:left="0" w:right="0" w:firstLine="440"/>
        <w:jc w:val="left"/>
      </w:pPr>
      <w:bookmarkStart w:id="362" w:name="bookmark362"/>
      <w:r>
        <w:rPr>
          <w:color w:val="000000"/>
          <w:spacing w:val="0"/>
          <w:w w:val="100"/>
          <w:position w:val="0"/>
        </w:rPr>
        <w:t>1</w:t>
      </w:r>
      <w:bookmarkEnd w:id="362"/>
      <w:r>
        <w:rPr>
          <w:color w:val="000000"/>
          <w:spacing w:val="0"/>
          <w:w w:val="100"/>
          <w:position w:val="0"/>
        </w:rPr>
        <w:t>、</w:t>
        <w:tab/>
        <w:t>第五届董事会第十二次会议审议通过了关于2021年度公司董事和高级管理人员薪酬的议案。</w:t>
      </w:r>
    </w:p>
    <w:p>
      <w:pPr>
        <w:pStyle w:val="Style10"/>
        <w:keepNext w:val="0"/>
        <w:keepLines w:val="0"/>
        <w:widowControl w:val="0"/>
        <w:shd w:val="clear" w:color="auto" w:fill="auto"/>
        <w:tabs>
          <w:tab w:pos="813" w:val="left"/>
        </w:tabs>
        <w:bidi w:val="0"/>
        <w:spacing w:before="0" w:after="0" w:line="467" w:lineRule="exact"/>
        <w:ind w:left="0" w:right="0" w:firstLine="440"/>
        <w:jc w:val="left"/>
      </w:pPr>
      <w:bookmarkStart w:id="363" w:name="bookmark363"/>
      <w:r>
        <w:rPr>
          <w:color w:val="000000"/>
          <w:spacing w:val="0"/>
          <w:w w:val="100"/>
          <w:position w:val="0"/>
        </w:rPr>
        <w:t>2</w:t>
      </w:r>
      <w:bookmarkEnd w:id="363"/>
      <w:r>
        <w:rPr>
          <w:color w:val="000000"/>
          <w:spacing w:val="0"/>
          <w:w w:val="100"/>
          <w:position w:val="0"/>
        </w:rPr>
        <w:t>、</w:t>
        <w:tab/>
        <w:t>第五届监事会第八次会议审议通过了关于2021年度公司监事薪酬的议案。</w:t>
      </w:r>
    </w:p>
    <w:p>
      <w:pPr>
        <w:pStyle w:val="Style10"/>
        <w:keepNext w:val="0"/>
        <w:keepLines w:val="0"/>
        <w:widowControl w:val="0"/>
        <w:shd w:val="clear" w:color="auto" w:fill="auto"/>
        <w:tabs>
          <w:tab w:pos="813" w:val="left"/>
        </w:tabs>
        <w:bidi w:val="0"/>
        <w:spacing w:before="0" w:after="0" w:line="467" w:lineRule="exact"/>
        <w:ind w:left="0" w:right="0" w:firstLine="440"/>
        <w:jc w:val="left"/>
      </w:pPr>
      <w:bookmarkStart w:id="364" w:name="bookmark364"/>
      <w:r>
        <w:rPr>
          <w:color w:val="000000"/>
          <w:spacing w:val="0"/>
          <w:w w:val="100"/>
          <w:position w:val="0"/>
        </w:rPr>
        <w:t>3</w:t>
      </w:r>
      <w:bookmarkEnd w:id="364"/>
      <w:r>
        <w:rPr>
          <w:color w:val="000000"/>
          <w:spacing w:val="0"/>
          <w:w w:val="100"/>
          <w:position w:val="0"/>
        </w:rPr>
        <w:t>、</w:t>
        <w:tab/>
        <w:t>2020年年度股东大会审议通过了关于2021年公司董事、监事薪酬的议案。</w:t>
      </w:r>
    </w:p>
    <w:p>
      <w:pPr>
        <w:pStyle w:val="Style1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董事、监事、高级管理人员报酬的确定依据：</w:t>
      </w:r>
    </w:p>
    <w:p>
      <w:pPr>
        <w:pStyle w:val="Style10"/>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除董事长、独立董事外，公司不向董事、监事支付薪酬；兼任公司高级管理人员或公司其他岗位职务 的公司董事、监事，按其所任岗位职务的薪酬制度领取报酬。依据2021年年度规划，公司高级管理人员岗 位薪酬由基本薪酬和绩效薪酬组成。其中，绩效薪酬以公司年度目标绩效奖金为基础，与公司年度经营绩 效相挂钩，年终由人力资源部根据当年考核结果统算兑付。</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单位：万元</w:t>
      </w:r>
    </w:p>
    <w:tbl>
      <w:tblPr>
        <w:tblOverlap w:val="never"/>
        <w:jc w:val="center"/>
        <w:tblLayout w:type="fixed"/>
      </w:tblPr>
      <w:tblGrid>
        <w:gridCol w:w="1070"/>
        <w:gridCol w:w="2626"/>
        <w:gridCol w:w="931"/>
        <w:gridCol w:w="1109"/>
        <w:gridCol w:w="1109"/>
        <w:gridCol w:w="1363"/>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从公司获得的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是否在公司关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刘瑞玲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董事、副总经理、财务负责人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高延明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杨昌再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王立章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易欢欢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张艳丽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肖锋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张潇君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19"/>
        <w:keepNext/>
        <w:keepLines/>
        <w:widowControl w:val="0"/>
        <w:shd w:val="clear" w:color="auto" w:fill="auto"/>
        <w:bidi w:val="0"/>
        <w:spacing w:before="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sz w:val="24"/>
          <w:szCs w:val="24"/>
        </w:rPr>
        <w:t>八</w:t>
      </w:r>
      <w:bookmarkEnd w:id="367"/>
      <w:r>
        <w:rPr>
          <w:color w:val="000000"/>
          <w:spacing w:val="0"/>
          <w:w w:val="100"/>
          <w:position w:val="0"/>
          <w:sz w:val="24"/>
          <w:szCs w:val="24"/>
        </w:rPr>
        <w:t>、报告期内董事履行职责的情况</w:t>
      </w:r>
      <w:bookmarkEnd w:id="365"/>
      <w:bookmarkEnd w:id="366"/>
      <w:bookmarkEnd w:id="368"/>
    </w:p>
    <w:p>
      <w:pPr>
        <w:pStyle w:val="Style28"/>
        <w:keepNext/>
        <w:keepLines/>
        <w:widowControl w:val="0"/>
        <w:shd w:val="clear" w:color="auto" w:fill="auto"/>
        <w:bidi w:val="0"/>
        <w:spacing w:before="0" w:after="32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、本报告期董事会情况</w:t>
      </w:r>
      <w:bookmarkEnd w:id="369"/>
      <w:bookmarkEnd w:id="370"/>
      <w:bookmarkEnd w:id="372"/>
    </w:p>
    <w:tbl>
      <w:tblPr>
        <w:tblOverlap w:val="never"/>
        <w:jc w:val="center"/>
        <w:tblLayout w:type="fixed"/>
      </w:tblPr>
      <w:tblGrid>
        <w:gridCol w:w="2669"/>
        <w:gridCol w:w="1694"/>
        <w:gridCol w:w="1651"/>
        <w:gridCol w:w="35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会议决议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第五届董事会第十一次会议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公告编号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2021-003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第五届董事会第十二次会议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公告编号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第五届董事会第十三次会议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年第一季度报告</w:t>
            </w:r>
            <w:r>
              <w:rPr>
                <w:color w:val="000000"/>
                <w:spacing w:val="0"/>
                <w:w w:val="100"/>
                <w:position w:val="0"/>
                <w:sz w:val="18"/>
                <w:szCs w:val="18"/>
              </w:rPr>
              <w:t>〉</w:t>
            </w:r>
            <w:r>
              <w:rPr>
                <w:color w:val="000000"/>
                <w:spacing w:val="0"/>
                <w:w w:val="100"/>
                <w:position w:val="0"/>
                <w:sz w:val="18"/>
                <w:szCs w:val="18"/>
              </w:rPr>
              <w:t>的 议案》</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第五届董事会第十四次会议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公告编号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第五届董事会第十五次会议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公告编号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2021-045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第五届董事会第十六次会议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公告编号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2021-049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第五届董事会第十七次会议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公告编号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2021-056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第五届董事会第十八次会议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公告编号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第五届董事会第十九次会议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公告编号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第五届董事会第二十次会议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公告编号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第五届董事会第二十一次会议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公告编号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2021-072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第五届董事会第二十二次会议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年第三季度报告</w:t>
            </w:r>
            <w:r>
              <w:rPr>
                <w:color w:val="000000"/>
                <w:spacing w:val="0"/>
                <w:w w:val="100"/>
                <w:position w:val="0"/>
                <w:sz w:val="18"/>
                <w:szCs w:val="18"/>
              </w:rPr>
              <w:t>〉</w:t>
            </w:r>
            <w:r>
              <w:rPr>
                <w:color w:val="000000"/>
                <w:spacing w:val="0"/>
                <w:w w:val="100"/>
                <w:position w:val="0"/>
                <w:sz w:val="18"/>
                <w:szCs w:val="18"/>
              </w:rPr>
              <w:t>的 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第五届董事会第二十三次会议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公告编号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2021-080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第五届董事会第二十四次会议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公告编号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2021-083</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2</w:t>
      </w:r>
      <w:bookmarkEnd w:id="375"/>
      <w:r>
        <w:rPr>
          <w:color w:val="000000"/>
          <w:spacing w:val="0"/>
          <w:w w:val="100"/>
          <w:position w:val="0"/>
        </w:rPr>
        <w:t>、董事出席董事会及股东大会的情况</w:t>
      </w:r>
      <w:bookmarkEnd w:id="373"/>
      <w:bookmarkEnd w:id="374"/>
      <w:bookmarkEnd w:id="376"/>
      <w:r>
        <w:br w:type="page"/>
      </w:r>
    </w:p>
    <w:tbl>
      <w:tblPr>
        <w:tblOverlap w:val="never"/>
        <w:jc w:val="center"/>
        <w:tblLayout w:type="fixed"/>
      </w:tblPr>
      <w:tblGrid>
        <w:gridCol w:w="979"/>
        <w:gridCol w:w="1339"/>
        <w:gridCol w:w="1301"/>
        <w:gridCol w:w="1306"/>
        <w:gridCol w:w="1162"/>
        <w:gridCol w:w="1032"/>
        <w:gridCol w:w="1296"/>
        <w:gridCol w:w="116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本报告期应参</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rPr>
                <w:sz w:val="18"/>
                <w:szCs w:val="18"/>
              </w:rPr>
            </w:pPr>
            <w:r>
              <w:rPr>
                <w:color w:val="000000"/>
                <w:spacing w:val="0"/>
                <w:w w:val="100"/>
                <w:position w:val="0"/>
                <w:sz w:val="18"/>
                <w:szCs w:val="18"/>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是否连续两次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未亲自参加董</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color w:val="000000"/>
                <w:spacing w:val="0"/>
                <w:w w:val="100"/>
                <w:position w:val="0"/>
                <w:sz w:val="18"/>
                <w:szCs w:val="18"/>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出席股东大 会次数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刘瑞玲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高延明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杨昌再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易欢欢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王立章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连续两次未亲自出席董事会的说明：无</w:t>
      </w:r>
    </w:p>
    <w:p>
      <w:pPr>
        <w:widowControl w:val="0"/>
        <w:spacing w:after="339" w:line="1" w:lineRule="exact"/>
      </w:pPr>
    </w:p>
    <w:p>
      <w:pPr>
        <w:pStyle w:val="Style28"/>
        <w:keepNext/>
        <w:keepLines/>
        <w:widowControl w:val="0"/>
        <w:shd w:val="clear" w:color="auto" w:fill="auto"/>
        <w:tabs>
          <w:tab w:pos="378" w:val="left"/>
        </w:tabs>
        <w:bidi w:val="0"/>
        <w:spacing w:before="0" w:after="22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3</w:t>
      </w:r>
      <w:bookmarkEnd w:id="379"/>
      <w:r>
        <w:rPr>
          <w:color w:val="000000"/>
          <w:spacing w:val="0"/>
          <w:w w:val="100"/>
          <w:position w:val="0"/>
        </w:rPr>
        <w:t>、</w:t>
        <w:tab/>
        <w:t>董事对公司有关事项提出异议的情况</w:t>
      </w:r>
      <w:bookmarkEnd w:id="377"/>
      <w:bookmarkEnd w:id="378"/>
      <w:bookmarkEnd w:id="380"/>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董事对公司有关事项是否提出异议</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口是"否</w:t>
      </w:r>
    </w:p>
    <w:p>
      <w:pPr>
        <w:pStyle w:val="Style24"/>
        <w:keepNext w:val="0"/>
        <w:keepLines w:val="0"/>
        <w:widowControl w:val="0"/>
        <w:shd w:val="clear" w:color="auto" w:fill="auto"/>
        <w:bidi w:val="0"/>
        <w:spacing w:before="0" w:after="340" w:line="355" w:lineRule="exact"/>
        <w:ind w:left="0" w:right="0" w:firstLine="0"/>
        <w:jc w:val="left"/>
      </w:pPr>
      <w:r>
        <w:rPr>
          <w:color w:val="000000"/>
          <w:spacing w:val="0"/>
          <w:w w:val="100"/>
          <w:position w:val="0"/>
        </w:rPr>
        <w:t>报告期内董事对公司有关事项未提出异议。</w:t>
      </w:r>
    </w:p>
    <w:p>
      <w:pPr>
        <w:pStyle w:val="Style28"/>
        <w:keepNext/>
        <w:keepLines/>
        <w:widowControl w:val="0"/>
        <w:shd w:val="clear" w:color="auto" w:fill="auto"/>
        <w:tabs>
          <w:tab w:pos="378" w:val="left"/>
        </w:tabs>
        <w:bidi w:val="0"/>
        <w:spacing w:before="0" w:after="22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4</w:t>
      </w:r>
      <w:bookmarkEnd w:id="383"/>
      <w:r>
        <w:rPr>
          <w:color w:val="000000"/>
          <w:spacing w:val="0"/>
          <w:w w:val="100"/>
          <w:position w:val="0"/>
        </w:rPr>
        <w:t>、</w:t>
        <w:tab/>
        <w:t>董事履行职责的其他说明</w:t>
      </w:r>
      <w:bookmarkEnd w:id="381"/>
      <w:bookmarkEnd w:id="382"/>
      <w:bookmarkEnd w:id="384"/>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董事对公司有关建议是否被采纳</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”是□否</w:t>
      </w:r>
    </w:p>
    <w:p>
      <w:pPr>
        <w:pStyle w:val="Style24"/>
        <w:keepNext w:val="0"/>
        <w:keepLines w:val="0"/>
        <w:widowControl w:val="0"/>
        <w:shd w:val="clear" w:color="auto" w:fill="auto"/>
        <w:bidi w:val="0"/>
        <w:spacing w:before="0" w:after="340" w:line="355" w:lineRule="exact"/>
        <w:ind w:left="0" w:right="0" w:firstLine="0"/>
        <w:jc w:val="left"/>
      </w:pPr>
      <w:r>
        <w:rPr>
          <w:color w:val="000000"/>
          <w:spacing w:val="0"/>
          <w:w w:val="100"/>
          <w:position w:val="0"/>
        </w:rPr>
        <w:t>董事对公司有关建议被采纳或未被采纳的说明 董事对公司报告期内所审议事项均无异议。</w:t>
      </w:r>
    </w:p>
    <w:p>
      <w:pPr>
        <w:pStyle w:val="Style19"/>
        <w:keepNext/>
        <w:keepLines/>
        <w:widowControl w:val="0"/>
        <w:shd w:val="clear" w:color="auto" w:fill="auto"/>
        <w:bidi w:val="0"/>
        <w:spacing w:before="0" w:after="34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sz w:val="24"/>
          <w:szCs w:val="24"/>
        </w:rPr>
        <w:t>九</w:t>
      </w:r>
      <w:bookmarkEnd w:id="387"/>
      <w:r>
        <w:rPr>
          <w:color w:val="000000"/>
          <w:spacing w:val="0"/>
          <w:w w:val="100"/>
          <w:position w:val="0"/>
          <w:sz w:val="24"/>
          <w:szCs w:val="24"/>
        </w:rPr>
        <w:t>、董事会下设专门委员会在报告期内的情况</w:t>
      </w:r>
      <w:bookmarkEnd w:id="385"/>
      <w:bookmarkEnd w:id="386"/>
      <w:bookmarkEnd w:id="388"/>
    </w:p>
    <w:tbl>
      <w:tblPr>
        <w:tblOverlap w:val="never"/>
        <w:jc w:val="center"/>
        <w:tblLayout w:type="fixed"/>
      </w:tblPr>
      <w:tblGrid>
        <w:gridCol w:w="802"/>
        <w:gridCol w:w="898"/>
        <w:gridCol w:w="634"/>
        <w:gridCol w:w="1080"/>
        <w:gridCol w:w="2246"/>
        <w:gridCol w:w="2074"/>
        <w:gridCol w:w="806"/>
        <w:gridCol w:w="104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委员会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成员情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召开</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会议</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提出的重要意见和建议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其他履</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行职责</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异议事项 具体情况 （如有）</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审计委</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李山、易 欢欢、尚 中锋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审议《关于聘任会计师事 务所的议案》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同意《关于聘任会计师 事务所的议案》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33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审议《关于〈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 报告〉及其摘要的议案》、 《关于续聘会计师事务所 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同意《关于〈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 度报告〉及其摘要的议 案》、《关于续聘会计师 事务所的议案》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spacing w:lineRule="exact" w:line="1"/>
        <w:rPr>
          <w:sz w:val="2"/>
          <w:szCs w:val="2"/>
        </w:rPr>
      </w:pPr>
      <w:r>
        <w:br w:type="page"/>
      </w:r>
    </w:p>
    <w:tbl>
      <w:tblPr>
        <w:tblOverlap w:val="never"/>
        <w:jc w:val="center"/>
        <w:tblLayout w:type="fixed"/>
      </w:tblPr>
      <w:tblGrid>
        <w:gridCol w:w="802"/>
        <w:gridCol w:w="898"/>
        <w:gridCol w:w="634"/>
        <w:gridCol w:w="1080"/>
        <w:gridCol w:w="2246"/>
        <w:gridCol w:w="2074"/>
        <w:gridCol w:w="806"/>
        <w:gridCol w:w="1042"/>
      </w:tblGrid>
      <w:tr>
        <w:trPr>
          <w:trHeight w:val="72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审议《关于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 季度报告</w:t>
            </w:r>
            <w:r>
              <w:rPr>
                <w:color w:val="000000"/>
                <w:spacing w:val="0"/>
                <w:w w:val="100"/>
                <w:position w:val="0"/>
                <w:sz w:val="18"/>
                <w:szCs w:val="18"/>
              </w:rPr>
              <w:t>〉</w:t>
            </w:r>
            <w:r>
              <w:rPr>
                <w:color w:val="000000"/>
                <w:spacing w:val="0"/>
                <w:w w:val="100"/>
                <w:position w:val="0"/>
                <w:sz w:val="18"/>
                <w:szCs w:val="18"/>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同意《关于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年第 一季度报告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65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审议《关于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年半年 度报告</w:t>
            </w:r>
            <w:r>
              <w:rPr>
                <w:color w:val="000000"/>
                <w:spacing w:val="0"/>
                <w:w w:val="100"/>
                <w:position w:val="0"/>
                <w:sz w:val="18"/>
                <w:szCs w:val="18"/>
              </w:rPr>
              <w:t>〉</w:t>
            </w:r>
            <w:r>
              <w:rPr>
                <w:color w:val="000000"/>
                <w:spacing w:val="0"/>
                <w:w w:val="100"/>
                <w:position w:val="0"/>
                <w:sz w:val="18"/>
                <w:szCs w:val="18"/>
              </w:rPr>
              <w:t>及其摘要的议 案》、《关于执行新租赁准 则并变更相关会计政策的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同意《关于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年半 年度报告</w:t>
            </w:r>
            <w:r>
              <w:rPr>
                <w:color w:val="000000"/>
                <w:spacing w:val="0"/>
                <w:w w:val="100"/>
                <w:position w:val="0"/>
                <w:sz w:val="18"/>
                <w:szCs w:val="18"/>
              </w:rPr>
              <w:t>〉</w:t>
            </w:r>
            <w:r>
              <w:rPr>
                <w:color w:val="000000"/>
                <w:spacing w:val="0"/>
                <w:w w:val="100"/>
                <w:position w:val="0"/>
                <w:sz w:val="18"/>
                <w:szCs w:val="18"/>
              </w:rPr>
              <w:t>及其摘要的 议案》、《关于执行新租 赁准则并变更相关会计 政策的议案》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1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审议《关于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 季度报告</w:t>
            </w:r>
            <w:r>
              <w:rPr>
                <w:color w:val="000000"/>
                <w:spacing w:val="0"/>
                <w:w w:val="100"/>
                <w:position w:val="0"/>
                <w:sz w:val="18"/>
                <w:szCs w:val="18"/>
              </w:rPr>
              <w:t>〉</w:t>
            </w:r>
            <w:r>
              <w:rPr>
                <w:color w:val="000000"/>
                <w:spacing w:val="0"/>
                <w:w w:val="100"/>
                <w:position w:val="0"/>
                <w:sz w:val="18"/>
                <w:szCs w:val="18"/>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同意《关于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年第 三季度报告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6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薪酬与 考核委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易欢欢、 李山、刘 瑞玲</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审议《关于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年度公司 董事薪酬政策的议案》、</w:t>
            </w:r>
          </w:p>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年度公司高级 管理人员薪酬政策的议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同意《关于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年度公 司董事薪酬政策的议 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年度公 司高级管理人员薪酬政 策的议案》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22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8"/>
                <w:szCs w:val="18"/>
              </w:rPr>
            </w:pPr>
            <w:r>
              <w:rPr>
                <w:color w:val="000000"/>
                <w:spacing w:val="0"/>
                <w:w w:val="100"/>
                <w:position w:val="0"/>
                <w:sz w:val="18"/>
                <w:szCs w:val="18"/>
              </w:rPr>
              <w:t>审议《关于公司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 限制性股票激励计划（草 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及其摘要的议案》、</w:t>
            </w:r>
          </w:p>
          <w:p>
            <w:pPr>
              <w:pStyle w:val="Style2"/>
              <w:keepNext w:val="0"/>
              <w:keepLines w:val="0"/>
              <w:widowControl w:val="0"/>
              <w:shd w:val="clear" w:color="auto" w:fill="auto"/>
              <w:bidi w:val="0"/>
              <w:spacing w:before="0" w:after="0" w:line="316" w:lineRule="exact"/>
              <w:ind w:left="0" w:right="0" w:firstLine="0"/>
              <w:jc w:val="both"/>
              <w:rPr>
                <w:sz w:val="18"/>
                <w:szCs w:val="18"/>
              </w:rPr>
            </w:pPr>
            <w:r>
              <w:rPr>
                <w:color w:val="000000"/>
                <w:spacing w:val="0"/>
                <w:w w:val="100"/>
                <w:position w:val="0"/>
                <w:sz w:val="18"/>
                <w:szCs w:val="18"/>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年限制 性股票励计划实施考核管 理办法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同意《关于公司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年限制性股票激励计划</w:t>
            </w:r>
          </w:p>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（草案）</w:t>
            </w:r>
            <w:r>
              <w:rPr>
                <w:color w:val="000000"/>
                <w:spacing w:val="0"/>
                <w:w w:val="100"/>
                <w:position w:val="0"/>
                <w:sz w:val="18"/>
                <w:szCs w:val="18"/>
              </w:rPr>
              <w:t>〉</w:t>
            </w:r>
            <w:r>
              <w:rPr>
                <w:color w:val="000000"/>
                <w:spacing w:val="0"/>
                <w:w w:val="100"/>
                <w:position w:val="0"/>
                <w:sz w:val="18"/>
                <w:szCs w:val="18"/>
              </w:rPr>
              <w:t>及其摘要的议 案》、《关于公司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年限制性股票励计划实 施考核管理办法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提名委</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王立章、 易欢欢、 李志刚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审议《关于提名第五届董 事会非独立董事的议案》、</w:t>
            </w:r>
          </w:p>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《关于提名总经理的议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同意《关于提名第五届 董事会非独立董事的议 案》、《关于提名总经理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0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战略委</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任红军、 李志刚、 刘瑞玲</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审议《关于以自有资金增 资天津市迅尔仪表科技有 限公司的议案》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同意《关于以自有资金 增资天津市迅尔仪表科 技有限公司的议案》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2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审议《关于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年度战略 发展规划的议案》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同意《关于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年度战 略发展规划的议案》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339" w:line="1" w:lineRule="exact"/>
      </w:pPr>
    </w:p>
    <w:p>
      <w:pPr>
        <w:pStyle w:val="Style19"/>
        <w:keepNext/>
        <w:keepLines/>
        <w:widowControl w:val="0"/>
        <w:shd w:val="clear" w:color="auto" w:fill="auto"/>
        <w:bidi w:val="0"/>
        <w:spacing w:before="0" w:after="22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十、监事会工作情况</w:t>
      </w:r>
      <w:bookmarkEnd w:id="389"/>
      <w:bookmarkEnd w:id="390"/>
      <w:bookmarkEnd w:id="391"/>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监事会在报告期内的监督活动中发现公司是否存在风险 口是"否</w:t>
      </w:r>
    </w:p>
    <w:p>
      <w:pPr>
        <w:pStyle w:val="Style24"/>
        <w:keepNext w:val="0"/>
        <w:keepLines w:val="0"/>
        <w:widowControl w:val="0"/>
        <w:shd w:val="clear" w:color="auto" w:fill="auto"/>
        <w:bidi w:val="0"/>
        <w:spacing w:before="0" w:after="340" w:line="355" w:lineRule="exact"/>
        <w:ind w:left="0" w:right="0" w:firstLine="0"/>
        <w:jc w:val="left"/>
      </w:pPr>
      <w:r>
        <w:rPr>
          <w:color w:val="000000"/>
          <w:spacing w:val="0"/>
          <w:w w:val="100"/>
          <w:position w:val="0"/>
        </w:rPr>
        <w:t>监事会对报告期内的监督事项无异议。</w:t>
      </w:r>
    </w:p>
    <w:p>
      <w:pPr>
        <w:pStyle w:val="Style19"/>
        <w:keepNext/>
        <w:keepLines/>
        <w:widowControl w:val="0"/>
        <w:shd w:val="clear" w:color="auto" w:fill="auto"/>
        <w:bidi w:val="0"/>
        <w:spacing w:before="0" w:after="340" w:line="240" w:lineRule="auto"/>
        <w:ind w:left="0" w:right="0" w:firstLine="0"/>
        <w:jc w:val="left"/>
      </w:pPr>
      <w:bookmarkStart w:id="392" w:name="bookmark392"/>
      <w:bookmarkStart w:id="393" w:name="bookmark393"/>
      <w:bookmarkStart w:id="394" w:name="bookmark394"/>
      <w:r>
        <w:rPr>
          <w:color w:val="000000"/>
          <w:spacing w:val="0"/>
          <w:w w:val="100"/>
          <w:position w:val="0"/>
          <w:sz w:val="24"/>
          <w:szCs w:val="24"/>
        </w:rPr>
        <w:t>十一、公司员工情况</w:t>
      </w:r>
      <w:bookmarkEnd w:id="392"/>
      <w:bookmarkEnd w:id="393"/>
      <w:bookmarkEnd w:id="394"/>
    </w:p>
    <w:p>
      <w:pPr>
        <w:pStyle w:val="Style28"/>
        <w:keepNext/>
        <w:keepLines/>
        <w:widowControl w:val="0"/>
        <w:shd w:val="clear" w:color="auto" w:fill="auto"/>
        <w:bidi w:val="0"/>
        <w:spacing w:before="0" w:after="34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、员工数量、专业构成及教育程度</w:t>
      </w:r>
      <w:bookmarkEnd w:id="395"/>
      <w:bookmarkEnd w:id="396"/>
      <w:bookmarkEnd w:id="398"/>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1,953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842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2,610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硕士以上学历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1,136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大专学历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827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大专以下学历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2,610</w:t>
            </w:r>
          </w:p>
        </w:tc>
      </w:tr>
    </w:tbl>
    <w:p>
      <w:pPr>
        <w:pStyle w:val="Style21"/>
        <w:keepNext w:val="0"/>
        <w:keepLines w:val="0"/>
        <w:widowControl w:val="0"/>
        <w:shd w:val="clear" w:color="auto" w:fill="auto"/>
        <w:bidi w:val="0"/>
        <w:spacing w:before="0" w:after="0" w:line="240" w:lineRule="auto"/>
        <w:ind w:left="0" w:right="0" w:firstLine="0"/>
        <w:jc w:val="left"/>
      </w:pPr>
      <w:bookmarkStart w:id="399" w:name="bookmark399"/>
      <w:r>
        <w:rPr>
          <w:rFonts w:ascii="Times New Roman" w:eastAsia="Times New Roman" w:hAnsi="Times New Roman" w:cs="Times New Roman"/>
          <w:color w:val="000000"/>
          <w:spacing w:val="0"/>
          <w:w w:val="100"/>
          <w:position w:val="0"/>
        </w:rPr>
        <w:t>2</w:t>
      </w:r>
      <w:r>
        <w:rPr>
          <w:color w:val="000000"/>
          <w:spacing w:val="0"/>
          <w:w w:val="100"/>
          <w:position w:val="0"/>
        </w:rPr>
        <w:t>、薪酬政策</w:t>
      </w:r>
      <w:bookmarkEnd w:id="399"/>
    </w:p>
    <w:p>
      <w:pPr>
        <w:widowControl w:val="0"/>
        <w:spacing w:after="159" w:line="1" w:lineRule="exact"/>
      </w:pPr>
    </w:p>
    <w:p>
      <w:pPr>
        <w:pStyle w:val="Style10"/>
        <w:keepNext w:val="0"/>
        <w:keepLines w:val="0"/>
        <w:widowControl w:val="0"/>
        <w:shd w:val="clear" w:color="auto" w:fill="auto"/>
        <w:tabs>
          <w:tab w:pos="1011" w:val="left"/>
        </w:tabs>
        <w:bidi w:val="0"/>
        <w:spacing w:before="0" w:after="0" w:line="469" w:lineRule="exact"/>
        <w:ind w:left="0" w:right="0" w:firstLine="440"/>
        <w:jc w:val="both"/>
      </w:pPr>
      <w:bookmarkStart w:id="400" w:name="bookmark400"/>
      <w:r>
        <w:rPr>
          <w:color w:val="000000"/>
          <w:spacing w:val="0"/>
          <w:w w:val="100"/>
          <w:position w:val="0"/>
        </w:rPr>
        <w:t>（</w:t>
      </w:r>
      <w:bookmarkEnd w:id="400"/>
      <w:r>
        <w:rPr>
          <w:color w:val="000000"/>
          <w:spacing w:val="0"/>
          <w:w w:val="100"/>
          <w:position w:val="0"/>
        </w:rPr>
        <w:t>1）</w:t>
        <w:tab/>
        <w:t>公司追求薪酬系统的简明化和科学化，同时在设计及实施的过程中始终遵从于以下原则：公平 公正原则、激励性原则、竞争性原则、市场化原则；</w:t>
      </w:r>
    </w:p>
    <w:p>
      <w:pPr>
        <w:pStyle w:val="Style10"/>
        <w:keepNext w:val="0"/>
        <w:keepLines w:val="0"/>
        <w:widowControl w:val="0"/>
        <w:shd w:val="clear" w:color="auto" w:fill="auto"/>
        <w:tabs>
          <w:tab w:pos="1021" w:val="left"/>
        </w:tabs>
        <w:bidi w:val="0"/>
        <w:spacing w:before="0" w:after="420" w:line="469" w:lineRule="exact"/>
        <w:ind w:left="0" w:right="0" w:firstLine="440"/>
        <w:jc w:val="both"/>
      </w:pPr>
      <w:bookmarkStart w:id="401" w:name="bookmark401"/>
      <w:r>
        <w:rPr>
          <w:color w:val="000000"/>
          <w:spacing w:val="0"/>
          <w:w w:val="100"/>
          <w:position w:val="0"/>
        </w:rPr>
        <w:t>（</w:t>
      </w:r>
      <w:bookmarkEnd w:id="401"/>
      <w:r>
        <w:rPr>
          <w:color w:val="000000"/>
          <w:spacing w:val="0"/>
          <w:w w:val="100"/>
          <w:position w:val="0"/>
        </w:rPr>
        <w:t>2）</w:t>
        <w:tab/>
        <w:t>公司持续推进市场化工资决定机制和内部激励约束机制，坚持通过提高公司业绩、劳动生产率 以获取薪酬总额增长的原则。通过推动工资总额与工效挂钩、新增效益工资的机制，探索工资总额管控与 激励的新形势，理顺各类人员收入分配关系。</w:t>
      </w:r>
    </w:p>
    <w:p>
      <w:pPr>
        <w:pStyle w:val="Style28"/>
        <w:keepNext/>
        <w:keepLines/>
        <w:widowControl w:val="0"/>
        <w:shd w:val="clear" w:color="auto" w:fill="auto"/>
        <w:bidi w:val="0"/>
        <w:spacing w:before="0" w:after="0" w:line="48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3</w:t>
      </w:r>
      <w:bookmarkEnd w:id="404"/>
      <w:r>
        <w:rPr>
          <w:color w:val="000000"/>
          <w:spacing w:val="0"/>
          <w:w w:val="100"/>
          <w:position w:val="0"/>
        </w:rPr>
        <w:t>、培训计划</w:t>
      </w:r>
      <w:bookmarkEnd w:id="402"/>
      <w:bookmarkEnd w:id="403"/>
      <w:bookmarkEnd w:id="405"/>
    </w:p>
    <w:p>
      <w:pPr>
        <w:pStyle w:val="Style10"/>
        <w:keepNext w:val="0"/>
        <w:keepLines w:val="0"/>
        <w:widowControl w:val="0"/>
        <w:shd w:val="clear" w:color="auto" w:fill="auto"/>
        <w:tabs>
          <w:tab w:pos="1002" w:val="left"/>
        </w:tabs>
        <w:bidi w:val="0"/>
        <w:spacing w:before="0" w:after="0" w:line="470" w:lineRule="exact"/>
        <w:ind w:left="0" w:right="0" w:firstLine="440"/>
        <w:jc w:val="both"/>
      </w:pPr>
      <w:bookmarkStart w:id="406" w:name="bookmark406"/>
      <w:r>
        <w:rPr>
          <w:color w:val="000000"/>
          <w:spacing w:val="0"/>
          <w:w w:val="100"/>
          <w:position w:val="0"/>
        </w:rPr>
        <w:t>（</w:t>
      </w:r>
      <w:bookmarkEnd w:id="406"/>
      <w:r>
        <w:rPr>
          <w:color w:val="000000"/>
          <w:spacing w:val="0"/>
          <w:w w:val="100"/>
          <w:position w:val="0"/>
        </w:rPr>
        <w:t>1）</w:t>
        <w:tab/>
        <w:t>报告期内，公司开展了五次集团新员工入职培训与考核以及集团人力系统专业培训，有效提升 了全集团人力资源一线人员的综合能力与素质。</w:t>
      </w:r>
    </w:p>
    <w:p>
      <w:pPr>
        <w:pStyle w:val="Style10"/>
        <w:keepNext w:val="0"/>
        <w:keepLines w:val="0"/>
        <w:widowControl w:val="0"/>
        <w:shd w:val="clear" w:color="auto" w:fill="auto"/>
        <w:tabs>
          <w:tab w:pos="488" w:val="left"/>
        </w:tabs>
        <w:bidi w:val="0"/>
        <w:spacing w:before="0" w:after="0" w:line="470" w:lineRule="exact"/>
        <w:ind w:left="0" w:right="0" w:firstLine="440"/>
        <w:jc w:val="both"/>
      </w:pPr>
      <w:bookmarkStart w:id="407" w:name="bookmark407"/>
      <w:r>
        <w:rPr>
          <w:color w:val="000000"/>
          <w:spacing w:val="0"/>
          <w:w w:val="100"/>
          <w:position w:val="0"/>
        </w:rPr>
        <w:t>（</w:t>
      </w:r>
      <w:bookmarkEnd w:id="407"/>
      <w:r>
        <w:rPr>
          <w:color w:val="000000"/>
          <w:spacing w:val="0"/>
          <w:w w:val="100"/>
          <w:position w:val="0"/>
        </w:rPr>
        <w:t>2）</w:t>
        <w:tab/>
        <w:t xml:space="preserve">报告期内，公司还开展了各单位的培训需求调研及中高管调研，公司继续深入推进2021年度“步 </w:t>
      </w:r>
      <w:r>
        <w:rPr>
          <w:color w:val="000000"/>
          <w:spacing w:val="0"/>
          <w:w w:val="100"/>
          <w:position w:val="0"/>
        </w:rPr>
        <w:t>步高”三级（高管、中层、骨干）培训计划，围绕公司核心能力建设组织营销、产品管理等各类专业培训 2, 000余人次，同时选送一批集团优秀的管理人员到华中科技大学、中央财经大学等进行学习与交流。</w:t>
      </w:r>
    </w:p>
    <w:p>
      <w:pPr>
        <w:pStyle w:val="Style10"/>
        <w:keepNext w:val="0"/>
        <w:keepLines w:val="0"/>
        <w:widowControl w:val="0"/>
        <w:shd w:val="clear" w:color="auto" w:fill="auto"/>
        <w:bidi w:val="0"/>
        <w:spacing w:before="0" w:after="420" w:line="485" w:lineRule="exact"/>
        <w:ind w:left="0" w:right="0" w:firstLine="440"/>
        <w:jc w:val="both"/>
      </w:pPr>
      <w:bookmarkStart w:id="408" w:name="bookmark408"/>
      <w:r>
        <w:rPr>
          <w:color w:val="000000"/>
          <w:spacing w:val="0"/>
          <w:w w:val="100"/>
          <w:position w:val="0"/>
        </w:rPr>
        <w:t>（</w:t>
      </w:r>
      <w:bookmarkEnd w:id="408"/>
      <w:r>
        <w:rPr>
          <w:color w:val="000000"/>
          <w:spacing w:val="0"/>
          <w:w w:val="100"/>
          <w:position w:val="0"/>
        </w:rPr>
        <w:t>3）报告期内，公司致力于推动学习型组织的建设，共完成62名内部讲师认证以及线上学习平台汉 威大讲堂的上线，丰富员工学习渠道，并逐步完善课程资源。</w:t>
      </w:r>
    </w:p>
    <w:p>
      <w:pPr>
        <w:pStyle w:val="Style28"/>
        <w:keepNext/>
        <w:keepLines/>
        <w:widowControl w:val="0"/>
        <w:shd w:val="clear" w:color="auto" w:fill="auto"/>
        <w:bidi w:val="0"/>
        <w:spacing w:before="0" w:after="140" w:line="480" w:lineRule="auto"/>
        <w:ind w:left="0" w:right="0" w:firstLine="0"/>
        <w:jc w:val="both"/>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4</w:t>
      </w:r>
      <w:bookmarkEnd w:id="411"/>
      <w:r>
        <w:rPr>
          <w:color w:val="000000"/>
          <w:spacing w:val="0"/>
          <w:w w:val="100"/>
          <w:position w:val="0"/>
        </w:rPr>
        <w:t>、劳务外包情况</w:t>
      </w:r>
      <w:bookmarkEnd w:id="409"/>
      <w:bookmarkEnd w:id="410"/>
      <w:bookmarkEnd w:id="412"/>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19"/>
        <w:keepNext/>
        <w:keepLines/>
        <w:widowControl w:val="0"/>
        <w:shd w:val="clear" w:color="auto" w:fill="auto"/>
        <w:bidi w:val="0"/>
        <w:spacing w:before="0" w:after="360" w:line="240" w:lineRule="auto"/>
        <w:ind w:left="0" w:right="0" w:firstLine="0"/>
        <w:jc w:val="both"/>
      </w:pPr>
      <w:bookmarkStart w:id="413" w:name="bookmark413"/>
      <w:bookmarkStart w:id="414" w:name="bookmark414"/>
      <w:bookmarkStart w:id="415" w:name="bookmark415"/>
      <w:r>
        <w:rPr>
          <w:color w:val="000000"/>
          <w:spacing w:val="0"/>
          <w:w w:val="100"/>
          <w:position w:val="0"/>
          <w:sz w:val="24"/>
          <w:szCs w:val="24"/>
        </w:rPr>
        <w:t>十二、公司利润分配及资本公积金转增股本情况</w:t>
      </w:r>
      <w:bookmarkEnd w:id="413"/>
      <w:bookmarkEnd w:id="414"/>
      <w:bookmarkEnd w:id="415"/>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报告期内利润分配政策，特别是现金分红政策的制定、执行或调整情况</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报告期内，公司严格按照相关利润分配政策和审议程序实施利润分配方案，分红标准和分红比例明确、 清晰，相关的决策程序和机制完备；相关议案经由公司董事会、监事会审议后提交股东大会审议，公司独 立董事发表了独立意见；并在分配方案审议通过后的2个月内进行了权益分派，保证了全体股东的利益。</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2021年3月16日，公司第五届董事会第十二次会议审议通过了2020年度利润分配预案，以2020年12月 31日总股本293,022,806股为基数，向全体股东每10股派发现金红利</w:t>
      </w:r>
      <w:r>
        <w:rPr>
          <w:color w:val="000000"/>
          <w:spacing w:val="0"/>
          <w:w w:val="100"/>
          <w:position w:val="0"/>
        </w:rPr>
        <w:t>0.6</w:t>
      </w:r>
      <w:r>
        <w:rPr>
          <w:color w:val="000000"/>
          <w:spacing w:val="0"/>
          <w:w w:val="100"/>
          <w:position w:val="0"/>
        </w:rPr>
        <w:t xml:space="preserve">0元（含税），合计派发现金 17,581, </w:t>
      </w:r>
      <w:r>
        <w:rPr>
          <w:color w:val="000000"/>
          <w:spacing w:val="0"/>
          <w:w w:val="100"/>
          <w:position w:val="0"/>
        </w:rPr>
        <w:t xml:space="preserve">368. </w:t>
      </w:r>
      <w:r>
        <w:rPr>
          <w:color w:val="000000"/>
          <w:spacing w:val="0"/>
          <w:w w:val="100"/>
          <w:position w:val="0"/>
        </w:rPr>
        <w:t>36元，剩余未分配利润结转以后年度，并于2021年4月7日召开的2020年年度股东大会审议通 过。</w:t>
      </w:r>
    </w:p>
    <w:p>
      <w:pPr>
        <w:pStyle w:val="Style10"/>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2021年5月13日，公司在巨潮资讯网刊登了《2020年年度权益分派实施公告》，股权登记日为2021年5 月20日，除权除息日为2021年5月21日。截至报告期末，2020年年度权益分派已经实施完成。</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pStyle w:val="Style21"/>
        <w:keepNext w:val="0"/>
        <w:keepLines w:val="0"/>
        <w:widowControl w:val="0"/>
        <w:shd w:val="clear" w:color="auto" w:fill="auto"/>
        <w:bidi w:val="0"/>
        <w:spacing w:before="0" w:after="140" w:line="240" w:lineRule="auto"/>
        <w:ind w:left="0" w:right="0" w:firstLine="0"/>
        <w:jc w:val="left"/>
        <w:rPr>
          <w:sz w:val="18"/>
          <w:szCs w:val="18"/>
        </w:rPr>
      </w:pPr>
      <w:r>
        <w:rPr>
          <w:b w:val="0"/>
          <w:bCs w:val="0"/>
          <w:color w:val="000000"/>
          <w:spacing w:val="0"/>
          <w:w w:val="100"/>
          <w:position w:val="0"/>
          <w:sz w:val="18"/>
          <w:szCs w:val="18"/>
        </w:rPr>
        <w:t>公司报告期利润分配预案及资本公积金转增股本预案与公司章程和分红管理办法等的相关规定一致</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b w:val="0"/>
          <w:bCs w:val="0"/>
          <w:color w:val="000000"/>
          <w:spacing w:val="0"/>
          <w:w w:val="100"/>
          <w:position w:val="0"/>
          <w:sz w:val="18"/>
          <w:szCs w:val="18"/>
        </w:rPr>
        <w:t>”是□否口不适用</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b w:val="0"/>
          <w:bCs w:val="0"/>
          <w:color w:val="000000"/>
          <w:spacing w:val="0"/>
          <w:w w:val="100"/>
          <w:position w:val="0"/>
          <w:sz w:val="18"/>
          <w:szCs w:val="18"/>
        </w:rPr>
        <w:t>公司报告期利润分配预案及资本公积金转增股本预案符合公司章程等的相关规定。</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b w:val="0"/>
          <w:bCs w:val="0"/>
          <w:color w:val="000000"/>
          <w:spacing w:val="0"/>
          <w:w w:val="100"/>
          <w:position w:val="0"/>
          <w:sz w:val="18"/>
          <w:szCs w:val="18"/>
        </w:rPr>
        <w:t>本年度利润分配及资本公积金转增股本情况</w:t>
      </w:r>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324,397,155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25,950,972.40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25,950,972.40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576,794,810.80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现金分红总额（含其他方式）占利润分配总 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本次现金分红情况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公司发展阶段不易区分但有重大资金支出安排的，进行利润分配时，现金分红在本次利润分配中所占比例最低应达到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利润分配或资本公积金转增预案的详细情况说明</w:t>
            </w:r>
          </w:p>
        </w:tc>
      </w:tr>
      <w:tr>
        <w:trPr>
          <w:trHeight w:val="720"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日总股本</w:t>
            </w:r>
            <w:r>
              <w:rPr>
                <w:rFonts w:ascii="Times New Roman" w:eastAsia="Times New Roman" w:hAnsi="Times New Roman" w:cs="Times New Roman"/>
                <w:color w:val="000000"/>
                <w:spacing w:val="0"/>
                <w:w w:val="100"/>
                <w:position w:val="0"/>
                <w:sz w:val="18"/>
                <w:szCs w:val="18"/>
              </w:rPr>
              <w:t>324,397,155</w:t>
            </w:r>
            <w:r>
              <w:rPr>
                <w:color w:val="000000"/>
                <w:spacing w:val="0"/>
                <w:w w:val="100"/>
                <w:position w:val="0"/>
                <w:sz w:val="18"/>
                <w:szCs w:val="18"/>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股派发现金红利</w:t>
            </w:r>
            <w:r>
              <w:rPr>
                <w:rFonts w:ascii="Times New Roman" w:eastAsia="Times New Roman" w:hAnsi="Times New Roman" w:cs="Times New Roman"/>
                <w:color w:val="000000"/>
                <w:spacing w:val="0"/>
                <w:w w:val="100"/>
                <w:position w:val="0"/>
                <w:sz w:val="18"/>
                <w:szCs w:val="18"/>
              </w:rPr>
              <w:t>0.80</w:t>
            </w:r>
            <w:r>
              <w:rPr>
                <w:color w:val="000000"/>
                <w:spacing w:val="0"/>
                <w:w w:val="100"/>
                <w:position w:val="0"/>
                <w:sz w:val="18"/>
                <w:szCs w:val="18"/>
              </w:rPr>
              <w:t>元（含税），合计派发现 金</w:t>
            </w:r>
            <w:r>
              <w:rPr>
                <w:rFonts w:ascii="Times New Roman" w:eastAsia="Times New Roman" w:hAnsi="Times New Roman" w:cs="Times New Roman"/>
                <w:color w:val="000000"/>
                <w:spacing w:val="0"/>
                <w:w w:val="100"/>
                <w:position w:val="0"/>
                <w:sz w:val="18"/>
                <w:szCs w:val="18"/>
              </w:rPr>
              <w:t>25,950,972.40</w:t>
            </w:r>
            <w:r>
              <w:rPr>
                <w:color w:val="000000"/>
                <w:spacing w:val="0"/>
                <w:w w:val="100"/>
                <w:position w:val="0"/>
                <w:sz w:val="18"/>
                <w:szCs w:val="18"/>
              </w:rPr>
              <w:t>元。此方案尚需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年年度股东大会审议通过。</w:t>
            </w:r>
          </w:p>
        </w:tc>
      </w:tr>
    </w:tbl>
    <w:p>
      <w:pPr>
        <w:pStyle w:val="Style2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公司报告期内盈利且母公司可供股东分配利润为正但未提出现金红利分配预案 口适用”不适用</w:t>
      </w:r>
    </w:p>
    <w:p>
      <w:pPr>
        <w:pStyle w:val="Style19"/>
        <w:keepNext/>
        <w:keepLines/>
        <w:widowControl w:val="0"/>
        <w:shd w:val="clear" w:color="auto" w:fill="auto"/>
        <w:bidi w:val="0"/>
        <w:spacing w:before="0" w:after="360" w:line="240" w:lineRule="auto"/>
        <w:ind w:left="0" w:right="0" w:firstLine="0"/>
        <w:jc w:val="left"/>
      </w:pPr>
      <w:bookmarkStart w:id="416" w:name="bookmark416"/>
      <w:bookmarkStart w:id="417" w:name="bookmark417"/>
      <w:bookmarkStart w:id="418" w:name="bookmark418"/>
      <w:r>
        <w:rPr>
          <w:color w:val="000000"/>
          <w:spacing w:val="0"/>
          <w:w w:val="100"/>
          <w:position w:val="0"/>
          <w:sz w:val="24"/>
          <w:szCs w:val="24"/>
        </w:rPr>
        <w:t>十三、公司股权激励计划、员工持股计划或其他员工激励措施的实施情况</w:t>
      </w:r>
      <w:bookmarkEnd w:id="416"/>
      <w:bookmarkEnd w:id="417"/>
      <w:bookmarkEnd w:id="418"/>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”适用口不适用</w:t>
      </w:r>
    </w:p>
    <w:p>
      <w:pPr>
        <w:pStyle w:val="Style28"/>
        <w:keepNext/>
        <w:keepLines/>
        <w:widowControl w:val="0"/>
        <w:shd w:val="clear" w:color="auto" w:fill="auto"/>
        <w:bidi w:val="0"/>
        <w:spacing w:before="0" w:after="0" w:line="494"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、股权激励</w:t>
      </w:r>
      <w:bookmarkEnd w:id="419"/>
      <w:bookmarkEnd w:id="420"/>
      <w:bookmarkEnd w:id="422"/>
    </w:p>
    <w:p>
      <w:pPr>
        <w:pStyle w:val="Style10"/>
        <w:keepNext w:val="0"/>
        <w:keepLines w:val="0"/>
        <w:widowControl w:val="0"/>
        <w:shd w:val="clear" w:color="auto" w:fill="auto"/>
        <w:tabs>
          <w:tab w:pos="997" w:val="left"/>
        </w:tabs>
        <w:bidi w:val="0"/>
        <w:spacing w:before="0" w:after="0" w:line="474" w:lineRule="exact"/>
        <w:ind w:left="0" w:right="0" w:firstLine="440"/>
        <w:jc w:val="both"/>
      </w:pPr>
      <w:bookmarkStart w:id="423" w:name="bookmark423"/>
      <w:r>
        <w:rPr>
          <w:color w:val="000000"/>
          <w:spacing w:val="0"/>
          <w:w w:val="100"/>
          <w:position w:val="0"/>
        </w:rPr>
        <w:t>（</w:t>
      </w:r>
      <w:bookmarkEnd w:id="423"/>
      <w:r>
        <w:rPr>
          <w:color w:val="000000"/>
          <w:spacing w:val="0"/>
          <w:w w:val="100"/>
          <w:position w:val="0"/>
        </w:rPr>
        <w:t>1）</w:t>
        <w:tab/>
        <w:t>2021年8月31日，公司召开第五届董事会第十六次会议和第五届监事会第十一次会议，审议通过 了《关于公司＜2021年限制性股票激励计划（草案）＞及其摘要的议案》《关于公司＜2021年限制性股票激励 计划实施考核管理办法〉的议案》等议案，公司独立董事对本激励计划的相关事项发表了独立意见，公司 监事会对本激励计划的相关事项进行核实并出具了意见。</w:t>
      </w:r>
    </w:p>
    <w:p>
      <w:pPr>
        <w:pStyle w:val="Style10"/>
        <w:keepNext w:val="0"/>
        <w:keepLines w:val="0"/>
        <w:widowControl w:val="0"/>
        <w:shd w:val="clear" w:color="auto" w:fill="auto"/>
        <w:tabs>
          <w:tab w:pos="993" w:val="left"/>
        </w:tabs>
        <w:bidi w:val="0"/>
        <w:spacing w:before="0" w:after="0" w:line="473" w:lineRule="exact"/>
        <w:ind w:left="0" w:right="0" w:firstLine="440"/>
        <w:jc w:val="both"/>
      </w:pPr>
      <w:bookmarkStart w:id="424" w:name="bookmark424"/>
      <w:r>
        <w:rPr>
          <w:color w:val="000000"/>
          <w:spacing w:val="0"/>
          <w:w w:val="100"/>
          <w:position w:val="0"/>
        </w:rPr>
        <w:t>（</w:t>
      </w:r>
      <w:bookmarkEnd w:id="424"/>
      <w:r>
        <w:rPr>
          <w:color w:val="000000"/>
          <w:spacing w:val="0"/>
          <w:w w:val="100"/>
          <w:position w:val="0"/>
        </w:rPr>
        <w:t>2）</w:t>
        <w:tab/>
        <w:t>2021年9月1日至2021年9月10日，公司对本激励计划拟激励对象的姓名和职务在公司内部进行了 公示。在公示期内，公司监事会未收到任何对本次拟激励对象名单的异议。2021年9月13日，公司在巨潮 资讯网披露了《监事会关于公司2021年限制性股票激励计划首次授予激励对象名单公示情况及核查意见的 说明》。</w:t>
      </w:r>
    </w:p>
    <w:p>
      <w:pPr>
        <w:pStyle w:val="Style10"/>
        <w:keepNext w:val="0"/>
        <w:keepLines w:val="0"/>
        <w:widowControl w:val="0"/>
        <w:shd w:val="clear" w:color="auto" w:fill="auto"/>
        <w:tabs>
          <w:tab w:pos="1002" w:val="left"/>
        </w:tabs>
        <w:bidi w:val="0"/>
        <w:spacing w:before="0" w:after="0" w:line="473" w:lineRule="exact"/>
        <w:ind w:left="0" w:right="0" w:firstLine="440"/>
        <w:jc w:val="both"/>
      </w:pPr>
      <w:bookmarkStart w:id="425" w:name="bookmark425"/>
      <w:r>
        <w:rPr>
          <w:color w:val="000000"/>
          <w:spacing w:val="0"/>
          <w:w w:val="100"/>
          <w:position w:val="0"/>
        </w:rPr>
        <w:t>（</w:t>
      </w:r>
      <w:bookmarkEnd w:id="425"/>
      <w:r>
        <w:rPr>
          <w:color w:val="000000"/>
          <w:spacing w:val="0"/>
          <w:w w:val="100"/>
          <w:position w:val="0"/>
        </w:rPr>
        <w:t>3）</w:t>
        <w:tab/>
        <w:t xml:space="preserve">2021年9月16日，公司召开2021年第二次临时股东大会，审议并通过了《关于公司＜2021年限制 性股票激励计划（草案）〉及其摘要的议案》《关于公司＜2021年限制性股票激励计划实施考核管理办法〉的 </w:t>
      </w:r>
      <w:r>
        <w:rPr>
          <w:color w:val="000000"/>
          <w:spacing w:val="0"/>
          <w:w w:val="100"/>
          <w:position w:val="0"/>
        </w:rPr>
        <w:t>议案》和《关于提请股东大会授权董事会办理2021年限制性股票激励计划相关事宜的议案》，公司实施2021 年限制性股票激励计划获得批准，董事会被授权确定授予日、在激励对象符合条件时向激励对象授予限制 性股票，并办理授予所必需的全部事宜。同日公司于巨潮资讯网上披露了《关于2021年限制性股票激励计 划内幕信息知情人买卖公司股票情况的自查报告》。</w:t>
      </w:r>
    </w:p>
    <w:p>
      <w:pPr>
        <w:pStyle w:val="Style10"/>
        <w:keepNext w:val="0"/>
        <w:keepLines w:val="0"/>
        <w:widowControl w:val="0"/>
        <w:shd w:val="clear" w:color="auto" w:fill="auto"/>
        <w:bidi w:val="0"/>
        <w:spacing w:before="0" w:after="200" w:line="474" w:lineRule="exact"/>
        <w:ind w:left="0" w:right="0" w:firstLine="440"/>
        <w:jc w:val="both"/>
      </w:pPr>
      <w:bookmarkStart w:id="426" w:name="bookmark426"/>
      <w:r>
        <w:rPr>
          <w:color w:val="000000"/>
          <w:spacing w:val="0"/>
          <w:w w:val="100"/>
          <w:position w:val="0"/>
        </w:rPr>
        <w:t>（</w:t>
      </w:r>
      <w:bookmarkEnd w:id="426"/>
      <w:r>
        <w:rPr>
          <w:color w:val="000000"/>
          <w:spacing w:val="0"/>
          <w:w w:val="100"/>
          <w:position w:val="0"/>
        </w:rPr>
        <w:t>4）根据公司2021年第二次临时股东大会授权，公司于2021年9月17日召开第五届董事会第十九次会 议和第五届监事会第十三次会议，审议通过了《关于向激励对象首次授予限制性股票的议案》，确定以2021 年9月17日为授予日，以</w:t>
      </w:r>
      <w:r>
        <w:rPr>
          <w:color w:val="000000"/>
          <w:spacing w:val="0"/>
          <w:w w:val="100"/>
          <w:position w:val="0"/>
        </w:rPr>
        <w:t>11.95</w:t>
      </w:r>
      <w:r>
        <w:rPr>
          <w:color w:val="000000"/>
          <w:spacing w:val="0"/>
          <w:w w:val="100"/>
          <w:position w:val="0"/>
        </w:rPr>
        <w:t>元/股的授予价格向符合授予条件的102名激励对象首次授予</w:t>
      </w:r>
      <w:r>
        <w:rPr>
          <w:color w:val="000000"/>
          <w:spacing w:val="0"/>
          <w:w w:val="100"/>
          <w:position w:val="0"/>
        </w:rPr>
        <w:t xml:space="preserve">530. </w:t>
      </w:r>
      <w:r>
        <w:rPr>
          <w:color w:val="000000"/>
          <w:spacing w:val="0"/>
          <w:w w:val="100"/>
          <w:position w:val="0"/>
        </w:rPr>
        <w:t>00万股限制 性股票。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董事、高级管理人员获得的股权激励情况</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62"/>
        <w:gridCol w:w="854"/>
        <w:gridCol w:w="658"/>
        <w:gridCol w:w="629"/>
        <w:gridCol w:w="624"/>
        <w:gridCol w:w="610"/>
        <w:gridCol w:w="754"/>
        <w:gridCol w:w="581"/>
        <w:gridCol w:w="629"/>
        <w:gridCol w:w="643"/>
        <w:gridCol w:w="811"/>
        <w:gridCol w:w="614"/>
        <w:gridCol w:w="586"/>
        <w:gridCol w:w="922"/>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both"/>
              <w:rPr>
                <w:sz w:val="18"/>
                <w:szCs w:val="18"/>
              </w:rPr>
            </w:pPr>
            <w:r>
              <w:rPr>
                <w:color w:val="000000"/>
                <w:spacing w:val="0"/>
                <w:w w:val="100"/>
                <w:position w:val="0"/>
                <w:sz w:val="18"/>
                <w:szCs w:val="18"/>
              </w:rPr>
              <w:t>年初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报告 期新 授予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报告 期内 可行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报告 期内 已行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期末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报告</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期末</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市价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期初 持有 限制 性股 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报告期 新授予 限制性 股票数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限制 性股 票的 授予 价格</w:t>
            </w:r>
          </w:p>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 xml:space="preserve">（元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本期 已解 锁股 份数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期末持 有限制 性股票 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李志 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董事、总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刘瑞 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董事、副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尚中</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董事、副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高延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董事、副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杨昌</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肖锋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副总经 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160,000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高级管理人员的考评机制及激励情况</w:t>
      </w:r>
    </w:p>
    <w:p>
      <w:pPr>
        <w:widowControl w:val="0"/>
        <w:spacing w:after="199" w:line="1" w:lineRule="exact"/>
      </w:pPr>
    </w:p>
    <w:p>
      <w:pPr>
        <w:pStyle w:val="Style10"/>
        <w:keepNext w:val="0"/>
        <w:keepLines w:val="0"/>
        <w:widowControl w:val="0"/>
        <w:shd w:val="clear" w:color="auto" w:fill="auto"/>
        <w:bidi w:val="0"/>
        <w:spacing w:before="0" w:after="200" w:line="240" w:lineRule="auto"/>
        <w:ind w:left="0" w:right="0" w:firstLine="440"/>
        <w:jc w:val="both"/>
      </w:pPr>
      <w:bookmarkStart w:id="427" w:name="bookmark427"/>
      <w:r>
        <w:rPr>
          <w:b/>
          <w:bCs/>
          <w:color w:val="000000"/>
          <w:spacing w:val="0"/>
          <w:w w:val="100"/>
          <w:position w:val="0"/>
        </w:rPr>
        <w:t>（</w:t>
      </w:r>
      <w:bookmarkEnd w:id="427"/>
      <w:r>
        <w:rPr>
          <w:b/>
          <w:bCs/>
          <w:color w:val="000000"/>
          <w:spacing w:val="0"/>
          <w:w w:val="100"/>
          <w:position w:val="0"/>
        </w:rPr>
        <w:t>1）公司层面业绩考核要求</w:t>
      </w:r>
    </w:p>
    <w:p>
      <w:pPr>
        <w:pStyle w:val="Style10"/>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本激励计划在2021年</w:t>
      </w:r>
      <w:r>
        <w:rPr>
          <w:color w:val="000000"/>
          <w:spacing w:val="0"/>
          <w:w w:val="100"/>
          <w:position w:val="0"/>
        </w:rPr>
        <w:t>-2023</w:t>
      </w:r>
      <w:r>
        <w:rPr>
          <w:color w:val="000000"/>
          <w:spacing w:val="0"/>
          <w:w w:val="100"/>
          <w:position w:val="0"/>
        </w:rPr>
        <w:t>年会计年度中，分年度对公司的业绩指标进行考核，以2020年净利润为基</w:t>
        <w:br w:type="page"/>
      </w:r>
      <w:r>
        <w:rPr>
          <w:color w:val="000000"/>
          <w:spacing w:val="0"/>
          <w:w w:val="100"/>
          <w:position w:val="0"/>
        </w:rPr>
        <w:t>数，对各考核年度的净利润增长率</w:t>
      </w:r>
      <w:r>
        <w:rPr>
          <w:color w:val="000000"/>
          <w:spacing w:val="0"/>
          <w:w w:val="100"/>
          <w:position w:val="0"/>
        </w:rPr>
        <w:t>（A）</w:t>
      </w:r>
      <w:r>
        <w:rPr>
          <w:color w:val="000000"/>
          <w:spacing w:val="0"/>
          <w:w w:val="100"/>
          <w:position w:val="0"/>
        </w:rPr>
        <w:t>进行考核，根据上述指标的每年对应的完成情况核算公司层面归 属比例（X），首次授予的限制性股票的业绩考核及公司层面归属比例安排如下：</w:t>
      </w:r>
    </w:p>
    <w:tbl>
      <w:tblPr>
        <w:tblOverlap w:val="never"/>
        <w:jc w:val="center"/>
        <w:tblLayout w:type="fixed"/>
      </w:tblPr>
      <w:tblGrid>
        <w:gridCol w:w="1728"/>
        <w:gridCol w:w="682"/>
        <w:gridCol w:w="1277"/>
        <w:gridCol w:w="994"/>
        <w:gridCol w:w="1296"/>
        <w:gridCol w:w="2539"/>
      </w:tblGrid>
      <w:tr>
        <w:trPr>
          <w:trHeight w:val="350" w:hRule="exact"/>
        </w:trPr>
        <w:tc>
          <w:tcPr>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归属安排</w:t>
            </w:r>
          </w:p>
        </w:tc>
        <w:tc>
          <w:tcPr>
            <w:gridSpan w:val="2"/>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对应考核年度</w:t>
            </w:r>
          </w:p>
        </w:tc>
        <w:tc>
          <w:tcPr>
            <w:gridSpan w:val="3"/>
            <w:tcBorders>
              <w:top w:val="single" w:sz="4"/>
              <w:left w:val="single" w:sz="4"/>
              <w:right w:val="single" w:sz="4"/>
            </w:tcBorders>
            <w:shd w:val="clear" w:color="auto" w:fill="C0C0C0"/>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年度净利润相对于</w:t>
            </w:r>
            <w:r>
              <w:rPr>
                <w:b/>
                <w:bCs/>
                <w:color w:val="000000"/>
                <w:spacing w:val="0"/>
                <w:w w:val="100"/>
                <w:position w:val="0"/>
                <w:sz w:val="22"/>
                <w:szCs w:val="22"/>
              </w:rPr>
              <w:t>2020</w:t>
            </w:r>
            <w:r>
              <w:rPr>
                <w:rFonts w:ascii="SimHei" w:eastAsia="SimHei" w:hAnsi="SimHei" w:cs="SimHei"/>
                <w:color w:val="000000"/>
                <w:spacing w:val="0"/>
                <w:w w:val="100"/>
                <w:position w:val="0"/>
                <w:sz w:val="22"/>
                <w:szCs w:val="22"/>
              </w:rPr>
              <w:t>年增长率</w:t>
            </w:r>
            <w:r>
              <w:rPr>
                <w:b/>
                <w:bCs/>
                <w:color w:val="000000"/>
                <w:spacing w:val="0"/>
                <w:w w:val="100"/>
                <w:position w:val="0"/>
                <w:sz w:val="22"/>
                <w:szCs w:val="22"/>
              </w:rPr>
              <w:t>（A）</w:t>
            </w:r>
          </w:p>
        </w:tc>
      </w:tr>
      <w:tr>
        <w:trPr>
          <w:trHeight w:val="350" w:hRule="exact"/>
        </w:trPr>
        <w:tc>
          <w:tcPr>
            <w:vMerge/>
            <w:tcBorders>
              <w:left w:val="single" w:sz="4"/>
            </w:tcBorders>
            <w:shd w:val="clear" w:color="auto" w:fill="C0C0C0"/>
            <w:vAlign w:val="center"/>
          </w:tcPr>
          <w:p>
            <w:pPr/>
          </w:p>
        </w:tc>
        <w:tc>
          <w:tcPr>
            <w:gridSpan w:val="2"/>
            <w:vMerge/>
            <w:tcBorders>
              <w:left w:val="single" w:sz="4"/>
            </w:tcBorders>
            <w:shd w:val="clear" w:color="auto" w:fill="C0C0C0"/>
            <w:vAlign w:val="center"/>
          </w:tcPr>
          <w:p>
            <w:pPr/>
          </w:p>
        </w:tc>
        <w:tc>
          <w:tcPr>
            <w:gridSpan w:val="2"/>
            <w:tcBorders>
              <w:top w:val="single" w:sz="4"/>
              <w:left w:val="single" w:sz="4"/>
            </w:tcBorders>
            <w:shd w:val="clear" w:color="auto" w:fill="C0C0C0"/>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目标值</w:t>
            </w:r>
            <w:r>
              <w:rPr>
                <w:b/>
                <w:bCs/>
                <w:color w:val="000000"/>
                <w:spacing w:val="0"/>
                <w:w w:val="100"/>
                <w:position w:val="0"/>
                <w:sz w:val="22"/>
                <w:szCs w:val="22"/>
              </w:rPr>
              <w:t>（Am）</w:t>
            </w:r>
          </w:p>
        </w:tc>
        <w:tc>
          <w:tcPr>
            <w:tcBorders>
              <w:top w:val="single" w:sz="4"/>
              <w:left w:val="single" w:sz="4"/>
              <w:right w:val="single" w:sz="4"/>
            </w:tcBorders>
            <w:shd w:val="clear" w:color="auto" w:fill="C0C0C0"/>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触发值</w:t>
            </w:r>
            <w:r>
              <w:rPr>
                <w:b/>
                <w:bCs/>
                <w:color w:val="000000"/>
                <w:spacing w:val="0"/>
                <w:w w:val="100"/>
                <w:position w:val="0"/>
                <w:sz w:val="22"/>
                <w:szCs w:val="22"/>
              </w:rPr>
              <w:t>（An）</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第一个归属期</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2021 </w:t>
            </w:r>
            <w:r>
              <w:rPr>
                <w:color w:val="000000"/>
                <w:spacing w:val="0"/>
                <w:w w:val="100"/>
                <w:position w:val="0"/>
                <w:sz w:val="22"/>
                <w:szCs w:val="22"/>
              </w:rPr>
              <w:t>年</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15%</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第二个归属期</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2022</w:t>
            </w:r>
            <w:r>
              <w:rPr>
                <w:color w:val="000000"/>
                <w:spacing w:val="0"/>
                <w:w w:val="100"/>
                <w:position w:val="0"/>
                <w:sz w:val="22"/>
                <w:szCs w:val="22"/>
              </w:rPr>
              <w:t>年</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32%</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第三个归属期</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2023</w:t>
            </w:r>
            <w:r>
              <w:rPr>
                <w:color w:val="000000"/>
                <w:spacing w:val="0"/>
                <w:w w:val="100"/>
                <w:position w:val="0"/>
                <w:sz w:val="22"/>
                <w:szCs w:val="22"/>
              </w:rPr>
              <w:t>年</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52%</w:t>
            </w:r>
          </w:p>
        </w:tc>
      </w:tr>
      <w:tr>
        <w:trPr>
          <w:trHeight w:val="350" w:hRule="exact"/>
        </w:trPr>
        <w:tc>
          <w:tcPr>
            <w:gridSpan w:val="2"/>
            <w:tcBorders>
              <w:top w:val="single" w:sz="4"/>
              <w:left w:val="single" w:sz="4"/>
            </w:tcBorders>
            <w:shd w:val="clear" w:color="auto" w:fill="C0C0C0"/>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考核指标</w:t>
            </w:r>
          </w:p>
        </w:tc>
        <w:tc>
          <w:tcPr>
            <w:gridSpan w:val="2"/>
            <w:tcBorders>
              <w:top w:val="single" w:sz="4"/>
              <w:left w:val="single" w:sz="4"/>
            </w:tcBorders>
            <w:shd w:val="clear" w:color="auto" w:fill="C0C0C0"/>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业绩完成度</w:t>
            </w:r>
          </w:p>
        </w:tc>
        <w:tc>
          <w:tcPr>
            <w:gridSpan w:val="2"/>
            <w:tcBorders>
              <w:top w:val="single" w:sz="4"/>
              <w:left w:val="single" w:sz="4"/>
              <w:right w:val="single" w:sz="4"/>
            </w:tcBorders>
            <w:shd w:val="clear" w:color="auto" w:fill="C0C0C0"/>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公司层面归属比例</w:t>
            </w:r>
            <w:r>
              <w:rPr>
                <w:b/>
                <w:bCs/>
                <w:color w:val="000000"/>
                <w:spacing w:val="0"/>
                <w:w w:val="100"/>
                <w:position w:val="0"/>
                <w:sz w:val="22"/>
                <w:szCs w:val="22"/>
              </w:rPr>
              <w:t>（X）</w:t>
            </w:r>
          </w:p>
        </w:tc>
      </w:tr>
      <w:tr>
        <w:trPr>
          <w:trHeight w:val="346" w:hRule="exact"/>
        </w:trPr>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年度净利润相对于</w:t>
            </w:r>
            <w:r>
              <w:rPr>
                <w:color w:val="000000"/>
                <w:spacing w:val="0"/>
                <w:w w:val="100"/>
                <w:position w:val="0"/>
                <w:sz w:val="22"/>
                <w:szCs w:val="22"/>
              </w:rPr>
              <w:t xml:space="preserve">2020 </w:t>
            </w:r>
            <w:r>
              <w:rPr>
                <w:color w:val="000000"/>
                <w:spacing w:val="0"/>
                <w:w w:val="100"/>
                <w:position w:val="0"/>
                <w:sz w:val="22"/>
                <w:szCs w:val="22"/>
              </w:rPr>
              <w:t>年增长率</w:t>
            </w:r>
            <w:r>
              <w:rPr>
                <w:color w:val="000000"/>
                <w:spacing w:val="0"/>
                <w:w w:val="100"/>
                <w:position w:val="0"/>
                <w:sz w:val="22"/>
                <w:szCs w:val="22"/>
              </w:rPr>
              <w:t>（A）</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AWAm</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X=100%</w:t>
            </w:r>
          </w:p>
        </w:tc>
      </w:tr>
      <w:tr>
        <w:trPr>
          <w:trHeight w:val="346" w:hRule="exact"/>
        </w:trPr>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AnWAVAm</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X=60%+ (A-An) </w:t>
            </w:r>
            <w:r>
              <w:rPr>
                <w:color w:val="000000"/>
                <w:spacing w:val="0"/>
                <w:w w:val="100"/>
                <w:position w:val="0"/>
                <w:sz w:val="22"/>
                <w:szCs w:val="22"/>
              </w:rPr>
              <w:t>/</w:t>
            </w:r>
            <w:r>
              <w:rPr>
                <w:color w:val="000000"/>
                <w:spacing w:val="0"/>
                <w:w w:val="100"/>
                <w:position w:val="0"/>
                <w:sz w:val="22"/>
                <w:szCs w:val="22"/>
              </w:rPr>
              <w:t>(Am-An)</w:t>
            </w:r>
            <w:r>
              <w:rPr>
                <w:color w:val="000000"/>
                <w:spacing w:val="0"/>
                <w:w w:val="100"/>
                <w:position w:val="0"/>
                <w:sz w:val="22"/>
                <w:szCs w:val="22"/>
              </w:rPr>
              <w:t>*40%</w:t>
            </w:r>
          </w:p>
        </w:tc>
      </w:tr>
      <w:tr>
        <w:trPr>
          <w:trHeight w:val="360" w:hRule="exact"/>
        </w:trPr>
        <w:tc>
          <w:tcPr>
            <w:gridSpan w:val="2"/>
            <w:vMerge/>
            <w:tcBorders>
              <w:left w:val="single" w:sz="4"/>
              <w:bottom w:val="single" w:sz="4"/>
            </w:tcBorders>
            <w:shd w:val="clear" w:color="auto" w:fill="FFFFFF"/>
            <w:vAlign w:val="center"/>
          </w:tcPr>
          <w:p>
            <w:pP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AVAn</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X=0</w:t>
            </w:r>
          </w:p>
        </w:tc>
      </w:tr>
    </w:tbl>
    <w:p>
      <w:pPr>
        <w:pStyle w:val="Style21"/>
        <w:keepNext w:val="0"/>
        <w:keepLines w:val="0"/>
        <w:widowControl w:val="0"/>
        <w:shd w:val="clear" w:color="auto" w:fill="auto"/>
        <w:bidi w:val="0"/>
        <w:spacing w:before="0" w:after="0" w:line="480" w:lineRule="exact"/>
        <w:ind w:left="0" w:right="0" w:firstLine="0"/>
        <w:jc w:val="left"/>
        <w:rPr>
          <w:sz w:val="18"/>
          <w:szCs w:val="18"/>
        </w:rPr>
      </w:pPr>
      <w:r>
        <w:rPr>
          <w:b w:val="0"/>
          <w:bCs w:val="0"/>
          <w:color w:val="000000"/>
          <w:spacing w:val="0"/>
          <w:w w:val="100"/>
          <w:position w:val="0"/>
          <w:sz w:val="18"/>
          <w:szCs w:val="18"/>
        </w:rPr>
        <w:t>注：</w:t>
      </w:r>
      <w:r>
        <w:rPr>
          <w:b w:val="0"/>
          <w:bCs w:val="0"/>
          <w:color w:val="000000"/>
          <w:spacing w:val="0"/>
          <w:w w:val="100"/>
          <w:position w:val="0"/>
          <w:sz w:val="18"/>
          <w:szCs w:val="18"/>
        </w:rPr>
        <w:t>1</w:t>
      </w:r>
      <w:r>
        <w:rPr>
          <w:b w:val="0"/>
          <w:bCs w:val="0"/>
          <w:color w:val="000000"/>
          <w:spacing w:val="0"/>
          <w:w w:val="100"/>
          <w:position w:val="0"/>
          <w:sz w:val="18"/>
          <w:szCs w:val="18"/>
        </w:rPr>
        <w:t>、上述净利润考核指标均指经审计的归属于上市公司股东的净利润，并以剔除股权激励计划股份支付费用影响的 数值作为计算依据，下同；</w:t>
      </w:r>
    </w:p>
    <w:p>
      <w:pPr>
        <w:pStyle w:val="Style24"/>
        <w:keepNext w:val="0"/>
        <w:keepLines w:val="0"/>
        <w:widowControl w:val="0"/>
        <w:shd w:val="clear" w:color="auto" w:fill="auto"/>
        <w:bidi w:val="0"/>
        <w:spacing w:before="0" w:after="0" w:line="480" w:lineRule="exact"/>
        <w:ind w:left="0" w:right="0" w:firstLine="360"/>
        <w:jc w:val="both"/>
      </w:pPr>
      <w:r>
        <w:rPr>
          <w:color w:val="000000"/>
          <w:spacing w:val="0"/>
          <w:w w:val="100"/>
          <w:position w:val="0"/>
        </w:rPr>
        <w:t>2</w:t>
      </w:r>
      <w:r>
        <w:rPr>
          <w:color w:val="000000"/>
          <w:spacing w:val="0"/>
          <w:w w:val="100"/>
          <w:position w:val="0"/>
        </w:rPr>
        <w:t>、计算公司层面归属比例</w:t>
      </w:r>
      <w:r>
        <w:rPr>
          <w:color w:val="000000"/>
          <w:spacing w:val="0"/>
          <w:w w:val="100"/>
          <w:position w:val="0"/>
        </w:rPr>
        <w:t>（X）</w:t>
      </w:r>
      <w:r>
        <w:rPr>
          <w:color w:val="000000"/>
          <w:spacing w:val="0"/>
          <w:w w:val="100"/>
          <w:position w:val="0"/>
        </w:rPr>
        <w:t>不保留小数点，采用四舍五入后的计算结果，下同。</w:t>
      </w:r>
    </w:p>
    <w:p>
      <w:pPr>
        <w:pStyle w:val="Style10"/>
        <w:keepNext w:val="0"/>
        <w:keepLines w:val="0"/>
        <w:widowControl w:val="0"/>
        <w:shd w:val="clear" w:color="auto" w:fill="auto"/>
        <w:bidi w:val="0"/>
        <w:spacing w:before="0" w:after="120" w:line="463" w:lineRule="exact"/>
        <w:ind w:left="0" w:right="0" w:firstLine="420"/>
        <w:jc w:val="both"/>
      </w:pPr>
      <w:r>
        <w:rPr>
          <w:color w:val="000000"/>
          <w:spacing w:val="0"/>
          <w:w w:val="100"/>
          <w:position w:val="0"/>
        </w:rPr>
        <w:t>若预留部分限制性股票于2021年度授予，则预留授予的限制性股票的业绩考核目标及公司层面归属比 例与首次授予的业绩考核目标及公司层面归属比例一致。若预留部分限制性股票于2022年度授予，则预留 授予的限制性股票的业绩考核目标及公司层面归属比例安排如下：</w:t>
      </w:r>
    </w:p>
    <w:tbl>
      <w:tblPr>
        <w:tblOverlap w:val="never"/>
        <w:jc w:val="center"/>
        <w:tblLayout w:type="fixed"/>
      </w:tblPr>
      <w:tblGrid>
        <w:gridCol w:w="1728"/>
        <w:gridCol w:w="696"/>
        <w:gridCol w:w="1027"/>
        <w:gridCol w:w="1277"/>
        <w:gridCol w:w="1248"/>
        <w:gridCol w:w="2544"/>
      </w:tblGrid>
      <w:tr>
        <w:trPr>
          <w:trHeight w:val="350" w:hRule="exact"/>
        </w:trPr>
        <w:tc>
          <w:tcPr>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归属安排</w:t>
            </w:r>
          </w:p>
        </w:tc>
        <w:tc>
          <w:tcPr>
            <w:gridSpan w:val="2"/>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对应考核年度</w:t>
            </w:r>
          </w:p>
        </w:tc>
        <w:tc>
          <w:tcPr>
            <w:gridSpan w:val="3"/>
            <w:tcBorders>
              <w:top w:val="single" w:sz="4"/>
              <w:left w:val="single" w:sz="4"/>
              <w:right w:val="single" w:sz="4"/>
            </w:tcBorders>
            <w:shd w:val="clear" w:color="auto" w:fill="C0C0C0"/>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年度净利润相对于</w:t>
            </w:r>
            <w:r>
              <w:rPr>
                <w:b/>
                <w:bCs/>
                <w:color w:val="000000"/>
                <w:spacing w:val="0"/>
                <w:w w:val="100"/>
                <w:position w:val="0"/>
                <w:sz w:val="22"/>
                <w:szCs w:val="22"/>
              </w:rPr>
              <w:t>2020</w:t>
            </w:r>
            <w:r>
              <w:rPr>
                <w:rFonts w:ascii="SimHei" w:eastAsia="SimHei" w:hAnsi="SimHei" w:cs="SimHei"/>
                <w:color w:val="000000"/>
                <w:spacing w:val="0"/>
                <w:w w:val="100"/>
                <w:position w:val="0"/>
                <w:sz w:val="22"/>
                <w:szCs w:val="22"/>
              </w:rPr>
              <w:t>年增长率</w:t>
            </w:r>
            <w:r>
              <w:rPr>
                <w:b/>
                <w:bCs/>
                <w:color w:val="000000"/>
                <w:spacing w:val="0"/>
                <w:w w:val="100"/>
                <w:position w:val="0"/>
                <w:sz w:val="22"/>
                <w:szCs w:val="22"/>
              </w:rPr>
              <w:t>（A）</w:t>
            </w:r>
          </w:p>
        </w:tc>
      </w:tr>
      <w:tr>
        <w:trPr>
          <w:trHeight w:val="346" w:hRule="exact"/>
        </w:trPr>
        <w:tc>
          <w:tcPr>
            <w:vMerge/>
            <w:tcBorders>
              <w:left w:val="single" w:sz="4"/>
            </w:tcBorders>
            <w:shd w:val="clear" w:color="auto" w:fill="C0C0C0"/>
            <w:vAlign w:val="center"/>
          </w:tcPr>
          <w:p>
            <w:pPr/>
          </w:p>
        </w:tc>
        <w:tc>
          <w:tcPr>
            <w:gridSpan w:val="2"/>
            <w:vMerge/>
            <w:tcBorders>
              <w:left w:val="single" w:sz="4"/>
            </w:tcBorders>
            <w:shd w:val="clear" w:color="auto" w:fill="C0C0C0"/>
            <w:vAlign w:val="center"/>
          </w:tcPr>
          <w:p>
            <w:pPr/>
          </w:p>
        </w:tc>
        <w:tc>
          <w:tcPr>
            <w:gridSpan w:val="2"/>
            <w:tcBorders>
              <w:top w:val="single" w:sz="4"/>
              <w:left w:val="single" w:sz="4"/>
            </w:tcBorders>
            <w:shd w:val="clear" w:color="auto" w:fill="C0C0C0"/>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目标值</w:t>
            </w:r>
            <w:r>
              <w:rPr>
                <w:b/>
                <w:bCs/>
                <w:color w:val="000000"/>
                <w:spacing w:val="0"/>
                <w:w w:val="100"/>
                <w:position w:val="0"/>
                <w:sz w:val="22"/>
                <w:szCs w:val="22"/>
              </w:rPr>
              <w:t>（Am）</w:t>
            </w:r>
          </w:p>
        </w:tc>
        <w:tc>
          <w:tcPr>
            <w:tcBorders>
              <w:top w:val="single" w:sz="4"/>
              <w:left w:val="single" w:sz="4"/>
              <w:right w:val="single" w:sz="4"/>
            </w:tcBorders>
            <w:shd w:val="clear" w:color="auto" w:fill="C0C0C0"/>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触发值</w:t>
            </w:r>
            <w:r>
              <w:rPr>
                <w:b/>
                <w:bCs/>
                <w:color w:val="000000"/>
                <w:spacing w:val="0"/>
                <w:w w:val="100"/>
                <w:position w:val="0"/>
                <w:sz w:val="22"/>
                <w:szCs w:val="22"/>
              </w:rPr>
              <w:t>（An）</w:t>
            </w:r>
          </w:p>
        </w:tc>
      </w:tr>
      <w:tr>
        <w:trPr>
          <w:trHeight w:val="6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预留授予 第一个归属期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2022</w:t>
            </w:r>
            <w:r>
              <w:rPr>
                <w:color w:val="000000"/>
                <w:spacing w:val="0"/>
                <w:w w:val="100"/>
                <w:position w:val="0"/>
                <w:sz w:val="22"/>
                <w:szCs w:val="22"/>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32%</w:t>
            </w:r>
          </w:p>
        </w:tc>
      </w:tr>
      <w:tr>
        <w:trPr>
          <w:trHeight w:val="6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预留授予 第二个归属期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2023</w:t>
            </w:r>
            <w:r>
              <w:rPr>
                <w:color w:val="000000"/>
                <w:spacing w:val="0"/>
                <w:w w:val="100"/>
                <w:position w:val="0"/>
                <w:sz w:val="22"/>
                <w:szCs w:val="22"/>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52%</w:t>
            </w:r>
          </w:p>
        </w:tc>
      </w:tr>
      <w:tr>
        <w:trPr>
          <w:trHeight w:val="346" w:hRule="exact"/>
        </w:trPr>
        <w:tc>
          <w:tcPr>
            <w:gridSpan w:val="2"/>
            <w:tcBorders>
              <w:top w:val="single" w:sz="4"/>
              <w:left w:val="single" w:sz="4"/>
            </w:tcBorders>
            <w:shd w:val="clear" w:color="auto" w:fill="C0C0C0"/>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考核指标</w:t>
            </w:r>
          </w:p>
        </w:tc>
        <w:tc>
          <w:tcPr>
            <w:gridSpan w:val="2"/>
            <w:tcBorders>
              <w:top w:val="single" w:sz="4"/>
              <w:left w:val="single" w:sz="4"/>
            </w:tcBorders>
            <w:shd w:val="clear" w:color="auto" w:fill="C0C0C0"/>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业绩完成度</w:t>
            </w:r>
          </w:p>
        </w:tc>
        <w:tc>
          <w:tcPr>
            <w:gridSpan w:val="2"/>
            <w:tcBorders>
              <w:top w:val="single" w:sz="4"/>
              <w:left w:val="single" w:sz="4"/>
              <w:right w:val="single" w:sz="4"/>
            </w:tcBorders>
            <w:shd w:val="clear" w:color="auto" w:fill="C0C0C0"/>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公司层面归属比例</w:t>
            </w:r>
            <w:r>
              <w:rPr>
                <w:b/>
                <w:bCs/>
                <w:color w:val="000000"/>
                <w:spacing w:val="0"/>
                <w:w w:val="100"/>
                <w:position w:val="0"/>
                <w:sz w:val="22"/>
                <w:szCs w:val="22"/>
              </w:rPr>
              <w:t>（X）</w:t>
            </w:r>
          </w:p>
        </w:tc>
      </w:tr>
      <w:tr>
        <w:trPr>
          <w:trHeight w:val="350" w:hRule="exact"/>
        </w:trPr>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年度净利润相对于</w:t>
            </w:r>
            <w:r>
              <w:rPr>
                <w:color w:val="000000"/>
                <w:spacing w:val="0"/>
                <w:w w:val="100"/>
                <w:position w:val="0"/>
                <w:sz w:val="22"/>
                <w:szCs w:val="22"/>
              </w:rPr>
              <w:t xml:space="preserve">2020 </w:t>
            </w:r>
            <w:r>
              <w:rPr>
                <w:color w:val="000000"/>
                <w:spacing w:val="0"/>
                <w:w w:val="100"/>
                <w:position w:val="0"/>
                <w:sz w:val="22"/>
                <w:szCs w:val="22"/>
              </w:rPr>
              <w:t>年增长率</w:t>
            </w:r>
            <w:r>
              <w:rPr>
                <w:color w:val="000000"/>
                <w:spacing w:val="0"/>
                <w:w w:val="100"/>
                <w:position w:val="0"/>
                <w:sz w:val="22"/>
                <w:szCs w:val="22"/>
              </w:rPr>
              <w:t>（A）</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AWAm</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X=100%</w:t>
            </w:r>
          </w:p>
        </w:tc>
      </w:tr>
      <w:tr>
        <w:trPr>
          <w:trHeight w:val="346" w:hRule="exact"/>
        </w:trPr>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AnWAVAm</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X=60%+ (A-An) </w:t>
            </w:r>
            <w:r>
              <w:rPr>
                <w:color w:val="000000"/>
                <w:spacing w:val="0"/>
                <w:w w:val="100"/>
                <w:position w:val="0"/>
                <w:sz w:val="22"/>
                <w:szCs w:val="22"/>
              </w:rPr>
              <w:t>/</w:t>
            </w:r>
            <w:r>
              <w:rPr>
                <w:color w:val="000000"/>
                <w:spacing w:val="0"/>
                <w:w w:val="100"/>
                <w:position w:val="0"/>
                <w:sz w:val="22"/>
                <w:szCs w:val="22"/>
              </w:rPr>
              <w:t>(Am-An)</w:t>
            </w:r>
            <w:r>
              <w:rPr>
                <w:color w:val="000000"/>
                <w:spacing w:val="0"/>
                <w:w w:val="100"/>
                <w:position w:val="0"/>
                <w:sz w:val="22"/>
                <w:szCs w:val="22"/>
              </w:rPr>
              <w:t>*40%</w:t>
            </w:r>
          </w:p>
        </w:tc>
      </w:tr>
      <w:tr>
        <w:trPr>
          <w:trHeight w:val="355" w:hRule="exact"/>
        </w:trPr>
        <w:tc>
          <w:tcPr>
            <w:gridSpan w:val="2"/>
            <w:vMerge/>
            <w:tcBorders>
              <w:left w:val="single" w:sz="4"/>
              <w:bottom w:val="single" w:sz="4"/>
            </w:tcBorders>
            <w:shd w:val="clear" w:color="auto" w:fill="FFFFFF"/>
            <w:vAlign w:val="center"/>
          </w:tcPr>
          <w:p>
            <w:pP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AVAn</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X=0</w:t>
            </w:r>
          </w:p>
        </w:tc>
      </w:tr>
    </w:tbl>
    <w:p>
      <w:pPr>
        <w:pStyle w:val="Style10"/>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归属期内，公司为满足归属条件的激励对象办理股票归属登记事宜。若公司净利润未达到上述业绩考 核触发值，所有激励对象考核当年计划归属的限制性股票全部取消归属，并作废失效。</w:t>
      </w:r>
    </w:p>
    <w:p>
      <w:pPr>
        <w:pStyle w:val="Style10"/>
        <w:keepNext w:val="0"/>
        <w:keepLines w:val="0"/>
        <w:widowControl w:val="0"/>
        <w:shd w:val="clear" w:color="auto" w:fill="auto"/>
        <w:bidi w:val="0"/>
        <w:spacing w:before="0" w:after="0" w:line="469" w:lineRule="exact"/>
        <w:ind w:left="0" w:right="0" w:firstLine="360"/>
        <w:jc w:val="both"/>
      </w:pPr>
      <w:bookmarkStart w:id="428" w:name="bookmark428"/>
      <w:r>
        <w:rPr>
          <w:b/>
          <w:bCs/>
          <w:color w:val="000000"/>
          <w:spacing w:val="0"/>
          <w:w w:val="100"/>
          <w:position w:val="0"/>
        </w:rPr>
        <w:t>（</w:t>
      </w:r>
      <w:bookmarkEnd w:id="428"/>
      <w:r>
        <w:rPr>
          <w:b/>
          <w:bCs/>
          <w:color w:val="000000"/>
          <w:spacing w:val="0"/>
          <w:w w:val="100"/>
          <w:position w:val="0"/>
        </w:rPr>
        <w:t>2）个人层面绩效考核要求</w:t>
      </w:r>
    </w:p>
    <w:p>
      <w:pPr>
        <w:pStyle w:val="Style10"/>
        <w:keepNext w:val="0"/>
        <w:keepLines w:val="0"/>
        <w:widowControl w:val="0"/>
        <w:shd w:val="clear" w:color="auto" w:fill="auto"/>
        <w:bidi w:val="0"/>
        <w:spacing w:before="0" w:after="0" w:line="469" w:lineRule="exact"/>
        <w:ind w:left="0" w:right="0" w:firstLine="420"/>
        <w:jc w:val="both"/>
      </w:pPr>
      <w:r>
        <w:rPr>
          <w:color w:val="000000"/>
          <w:spacing w:val="0"/>
          <w:w w:val="100"/>
          <w:position w:val="0"/>
        </w:rPr>
        <w:t>薪酬与考核委员会将对激励对象每个考核年度的综合考评进行打分，并依照激励对象的业绩完成率确 定其归属比例，个人当年实际归属额度=标准系数X个人当年计划归属额度。</w:t>
      </w:r>
    </w:p>
    <w:p>
      <w:pPr>
        <w:pStyle w:val="Style10"/>
        <w:keepNext w:val="0"/>
        <w:keepLines w:val="0"/>
        <w:widowControl w:val="0"/>
        <w:shd w:val="clear" w:color="auto" w:fill="auto"/>
        <w:bidi w:val="0"/>
        <w:spacing w:before="0" w:after="60" w:line="469" w:lineRule="exact"/>
        <w:ind w:left="0" w:right="0" w:firstLine="420"/>
        <w:jc w:val="both"/>
      </w:pPr>
      <w:r>
        <w:rPr>
          <w:color w:val="000000"/>
          <w:spacing w:val="0"/>
          <w:w w:val="100"/>
          <w:position w:val="0"/>
        </w:rPr>
        <w:t>原则上绩效评价结果划分为</w:t>
      </w:r>
      <w:r>
        <w:rPr>
          <w:color w:val="000000"/>
          <w:spacing w:val="0"/>
          <w:w w:val="100"/>
          <w:position w:val="0"/>
        </w:rPr>
        <w:t>（A）、（B）、（C）、（D）</w:t>
      </w:r>
      <w:r>
        <w:rPr>
          <w:color w:val="000000"/>
          <w:spacing w:val="0"/>
          <w:w w:val="100"/>
          <w:position w:val="0"/>
        </w:rPr>
        <w:t>四个档次，考核评价表适用于考核对象。届时根据 下表确定激励对象的实际归属额度：</w:t>
      </w:r>
    </w:p>
    <w:tbl>
      <w:tblPr>
        <w:tblOverlap w:val="never"/>
        <w:jc w:val="center"/>
        <w:tblLayout w:type="fixed"/>
      </w:tblPr>
      <w:tblGrid>
        <w:gridCol w:w="2069"/>
        <w:gridCol w:w="1536"/>
        <w:gridCol w:w="1536"/>
        <w:gridCol w:w="1536"/>
        <w:gridCol w:w="1546"/>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考核结果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A</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B</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C</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D</w:t>
            </w:r>
          </w:p>
        </w:tc>
      </w:tr>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标准系数</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r>
    </w:tbl>
    <w:p>
      <w:pPr>
        <w:pStyle w:val="Style10"/>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激励对象当期计划归属的限制性股票因考核原因不能归属或不能完全归属的，对应的限制性股票作废 失效，不能递延至以后年度归属。</w:t>
      </w:r>
    </w:p>
    <w:p>
      <w:pPr>
        <w:pStyle w:val="Style28"/>
        <w:keepNext/>
        <w:keepLines/>
        <w:widowControl w:val="0"/>
        <w:shd w:val="clear" w:color="auto" w:fill="auto"/>
        <w:tabs>
          <w:tab w:pos="378" w:val="left"/>
        </w:tabs>
        <w:bidi w:val="0"/>
        <w:spacing w:before="0" w:after="140" w:line="492"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2</w:t>
      </w:r>
      <w:bookmarkEnd w:id="431"/>
      <w:r>
        <w:rPr>
          <w:color w:val="000000"/>
          <w:spacing w:val="0"/>
          <w:w w:val="100"/>
          <w:position w:val="0"/>
        </w:rPr>
        <w:t>、</w:t>
        <w:tab/>
        <w:t>员工持股计划的实施情况</w:t>
      </w:r>
      <w:bookmarkEnd w:id="429"/>
      <w:bookmarkEnd w:id="430"/>
      <w:bookmarkEnd w:id="432"/>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tabs>
          <w:tab w:pos="378" w:val="left"/>
        </w:tabs>
        <w:bidi w:val="0"/>
        <w:spacing w:before="0" w:after="140" w:line="492"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3</w:t>
      </w:r>
      <w:bookmarkEnd w:id="435"/>
      <w:r>
        <w:rPr>
          <w:color w:val="000000"/>
          <w:spacing w:val="0"/>
          <w:w w:val="100"/>
          <w:position w:val="0"/>
        </w:rPr>
        <w:t>、</w:t>
        <w:tab/>
        <w:t>其他员工激励措施</w:t>
      </w:r>
      <w:bookmarkEnd w:id="433"/>
      <w:bookmarkEnd w:id="434"/>
      <w:bookmarkEnd w:id="436"/>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line="240" w:lineRule="auto"/>
        <w:ind w:left="0" w:right="0" w:firstLine="0"/>
        <w:jc w:val="left"/>
      </w:pPr>
      <w:bookmarkStart w:id="437" w:name="bookmark437"/>
      <w:bookmarkStart w:id="438" w:name="bookmark438"/>
      <w:bookmarkStart w:id="439" w:name="bookmark439"/>
      <w:r>
        <w:rPr>
          <w:color w:val="000000"/>
          <w:spacing w:val="0"/>
          <w:w w:val="100"/>
          <w:position w:val="0"/>
          <w:sz w:val="24"/>
          <w:szCs w:val="24"/>
        </w:rPr>
        <w:t>十四、报告期内的内部控制制度建设及实施情况</w:t>
      </w:r>
      <w:bookmarkEnd w:id="437"/>
      <w:bookmarkEnd w:id="438"/>
      <w:bookmarkEnd w:id="439"/>
    </w:p>
    <w:p>
      <w:pPr>
        <w:pStyle w:val="Style28"/>
        <w:keepNext/>
        <w:keepLines/>
        <w:widowControl w:val="0"/>
        <w:shd w:val="clear" w:color="auto" w:fill="auto"/>
        <w:tabs>
          <w:tab w:pos="368" w:val="left"/>
        </w:tabs>
        <w:bidi w:val="0"/>
        <w:spacing w:before="0" w:after="0" w:line="492"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w:t>
        <w:tab/>
        <w:t>内部控制建设及实施情况</w:t>
      </w:r>
      <w:bookmarkEnd w:id="440"/>
      <w:bookmarkEnd w:id="441"/>
      <w:bookmarkEnd w:id="443"/>
    </w:p>
    <w:p>
      <w:pPr>
        <w:pStyle w:val="Style10"/>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公司已建立一套较为完整且持续有效运行的内控体系，从公司层面到各业务流程层面均建立了必要的 内控措施，为公司经营管理的合法合规、资产安全、财务报告及相关信息的真实完整提供合理保障，并由 审计委员会、内部审计部门共同组成公司的风险内控管理组织体系，对公司的内部控制管理进行监督与评 价。公司通过内部控制体系的运行、分析与评价，有效防范了经营管理中的风险，促进了内部控制目标的 实现。</w:t>
      </w:r>
    </w:p>
    <w:p>
      <w:pPr>
        <w:pStyle w:val="Style28"/>
        <w:keepNext/>
        <w:keepLines/>
        <w:widowControl w:val="0"/>
        <w:shd w:val="clear" w:color="auto" w:fill="auto"/>
        <w:tabs>
          <w:tab w:pos="378" w:val="left"/>
        </w:tabs>
        <w:bidi w:val="0"/>
        <w:spacing w:before="0" w:after="140" w:line="492"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2</w:t>
      </w:r>
      <w:bookmarkEnd w:id="446"/>
      <w:r>
        <w:rPr>
          <w:color w:val="000000"/>
          <w:spacing w:val="0"/>
          <w:w w:val="100"/>
          <w:position w:val="0"/>
        </w:rPr>
        <w:t>、</w:t>
        <w:tab/>
        <w:t>报告期内发现的内部控制重大缺陷的具体情况</w:t>
      </w:r>
      <w:bookmarkEnd w:id="444"/>
      <w:bookmarkEnd w:id="445"/>
      <w:bookmarkEnd w:id="447"/>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19"/>
        <w:keepNext/>
        <w:keepLines/>
        <w:widowControl w:val="0"/>
        <w:shd w:val="clear" w:color="auto" w:fill="auto"/>
        <w:bidi w:val="0"/>
        <w:spacing w:before="0" w:line="240" w:lineRule="auto"/>
        <w:ind w:left="0" w:right="0" w:firstLine="0"/>
        <w:jc w:val="left"/>
      </w:pPr>
      <w:bookmarkStart w:id="448" w:name="bookmark448"/>
      <w:bookmarkStart w:id="449" w:name="bookmark449"/>
      <w:bookmarkStart w:id="450" w:name="bookmark450"/>
      <w:r>
        <w:rPr>
          <w:color w:val="000000"/>
          <w:spacing w:val="0"/>
          <w:w w:val="100"/>
          <w:position w:val="0"/>
          <w:sz w:val="24"/>
          <w:szCs w:val="24"/>
        </w:rPr>
        <w:t>十五、公司报告期内对子公司的管理控制情况</w:t>
      </w:r>
      <w:bookmarkEnd w:id="448"/>
      <w:bookmarkEnd w:id="449"/>
      <w:bookmarkEnd w:id="450"/>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整合中遇到的 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已采取的解决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后续解决计划</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451" w:name="bookmark451"/>
      <w:bookmarkStart w:id="452" w:name="bookmark452"/>
      <w:bookmarkStart w:id="453" w:name="bookmark453"/>
      <w:r>
        <w:rPr>
          <w:color w:val="000000"/>
          <w:spacing w:val="0"/>
          <w:w w:val="100"/>
          <w:position w:val="0"/>
          <w:sz w:val="24"/>
          <w:szCs w:val="24"/>
        </w:rPr>
        <w:t>十六、内部控制自我评价报告或内部控制审计报告</w:t>
      </w:r>
      <w:bookmarkEnd w:id="451"/>
      <w:bookmarkEnd w:id="452"/>
      <w:bookmarkEnd w:id="453"/>
    </w:p>
    <w:p>
      <w:pPr>
        <w:pStyle w:val="Style28"/>
        <w:keepNext/>
        <w:keepLines/>
        <w:widowControl w:val="0"/>
        <w:shd w:val="clear" w:color="auto" w:fill="auto"/>
        <w:bidi w:val="0"/>
        <w:spacing w:before="0" w:after="32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、内控自我评价报告</w:t>
      </w:r>
      <w:bookmarkEnd w:id="454"/>
      <w:bookmarkEnd w:id="455"/>
      <w:bookmarkEnd w:id="457"/>
    </w:p>
    <w:tbl>
      <w:tblPr>
        <w:tblOverlap w:val="never"/>
        <w:jc w:val="center"/>
        <w:tblLayout w:type="fixed"/>
      </w:tblPr>
      <w:tblGrid>
        <w:gridCol w:w="3202"/>
        <w:gridCol w:w="63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日披露《</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年度内部控制自 我评价报告》</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纳入评价范围单位营业收入占公司合 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97.79%</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非财务报告</w:t>
            </w:r>
          </w:p>
        </w:tc>
      </w:tr>
      <w:tr>
        <w:trPr>
          <w:trHeight w:val="489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413" w:val="left"/>
              </w:tabs>
              <w:bidi w:val="0"/>
              <w:spacing w:before="0" w:after="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发现缺陷是否具备合理可能性导致 内部控制不能及时防止、发现并纠正财 务报表错报；</w:t>
            </w:r>
          </w:p>
          <w:p>
            <w:pPr>
              <w:pStyle w:val="Style2"/>
              <w:keepNext w:val="0"/>
              <w:keepLines w:val="0"/>
              <w:widowControl w:val="0"/>
              <w:shd w:val="clear" w:color="auto" w:fill="auto"/>
              <w:tabs>
                <w:tab w:pos="408" w:val="left"/>
              </w:tabs>
              <w:bidi w:val="0"/>
              <w:spacing w:before="0" w:after="0" w:line="32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发现缺陷单独或连同其他缺陷可能 导致的潜在错报金额的大小。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56" w:val="left"/>
              </w:tabs>
              <w:bidi w:val="0"/>
              <w:spacing w:before="0" w:after="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企业财务报表已经或者很可能 被注册会计师出具否定意见或者无 法表示意见；</w:t>
            </w:r>
          </w:p>
          <w:p>
            <w:pPr>
              <w:pStyle w:val="Style2"/>
              <w:keepNext w:val="0"/>
              <w:keepLines w:val="0"/>
              <w:widowControl w:val="0"/>
              <w:shd w:val="clear" w:color="auto" w:fill="auto"/>
              <w:tabs>
                <w:tab w:pos="456" w:val="left"/>
              </w:tabs>
              <w:bidi w:val="0"/>
              <w:spacing w:before="0" w:after="0" w:line="326"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企业审计委员会和内部审计机 构未能有效发挥监督职能；</w:t>
            </w:r>
          </w:p>
          <w:p>
            <w:pPr>
              <w:pStyle w:val="Style2"/>
              <w:keepNext w:val="0"/>
              <w:keepLines w:val="0"/>
              <w:widowControl w:val="0"/>
              <w:shd w:val="clear" w:color="auto" w:fill="auto"/>
              <w:tabs>
                <w:tab w:pos="456" w:val="left"/>
              </w:tabs>
              <w:bidi w:val="0"/>
              <w:spacing w:before="0" w:after="0" w:line="31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企业董事、监事和高级管理人 员已经或者涉嫌舞弊，或者企业员工 存在串谋舞弊情形并给企业造成重 要损失和不利影响；</w:t>
            </w:r>
          </w:p>
          <w:p>
            <w:pPr>
              <w:pStyle w:val="Style2"/>
              <w:keepNext w:val="0"/>
              <w:keepLines w:val="0"/>
              <w:widowControl w:val="0"/>
              <w:shd w:val="clear" w:color="auto" w:fill="auto"/>
              <w:tabs>
                <w:tab w:pos="456" w:val="left"/>
              </w:tabs>
              <w:bidi w:val="0"/>
              <w:spacing w:before="0" w:after="0" w:line="315"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企业在财务会计、资产管理、 资本运营、信息披露、产品质量、安 全生产、环境保护等方面发生重大违 法违规事件和责任事故，给企业造成 重要损失和不利影响，或者遭受重大 行政监管处罚。</w:t>
            </w:r>
          </w:p>
        </w:tc>
      </w:tr>
      <w:tr>
        <w:trPr>
          <w:trHeight w:val="50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）利润总额潜在错报</w:t>
            </w:r>
            <w:r>
              <w:rPr>
                <w:color w:val="000000"/>
                <w:spacing w:val="0"/>
                <w:w w:val="100"/>
                <w:position w:val="0"/>
                <w:sz w:val="18"/>
                <w:szCs w:val="18"/>
              </w:rPr>
              <w:t>N</w:t>
            </w:r>
            <w:r>
              <w:rPr>
                <w:color w:val="000000"/>
                <w:spacing w:val="0"/>
                <w:w w:val="100"/>
                <w:position w:val="0"/>
                <w:sz w:val="18"/>
                <w:szCs w:val="18"/>
              </w:rPr>
              <w:t>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以及资产总额、经营收入潜在错报、所 有者权益潜在错报分别</w:t>
            </w:r>
            <w:r>
              <w:rPr>
                <w:color w:val="000000"/>
                <w:spacing w:val="0"/>
                <w:w w:val="100"/>
                <w:position w:val="0"/>
                <w:sz w:val="18"/>
                <w:szCs w:val="18"/>
              </w:rPr>
              <w:t>N</w:t>
            </w:r>
            <w:r>
              <w:rPr>
                <w:color w:val="000000"/>
                <w:spacing w:val="0"/>
                <w:w w:val="100"/>
                <w:position w:val="0"/>
                <w:sz w:val="18"/>
                <w:szCs w:val="18"/>
              </w:rPr>
              <w:t>资产总额、经 营收入、所有者权益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应当被认定为重 大缺陷影响；（</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）利润总额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w:t>
            </w:r>
            <w:r>
              <w:rPr>
                <w:color w:val="000000"/>
                <w:spacing w:val="0"/>
                <w:w w:val="100"/>
                <w:position w:val="0"/>
                <w:sz w:val="18"/>
                <w:szCs w:val="18"/>
              </w:rPr>
              <w:t>利润总 额潜在错报〈利润总额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xml:space="preserve">、资产总额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W</w:t>
            </w:r>
            <w:r>
              <w:rPr>
                <w:color w:val="000000"/>
                <w:spacing w:val="0"/>
                <w:w w:val="100"/>
                <w:position w:val="0"/>
                <w:sz w:val="18"/>
                <w:szCs w:val="18"/>
              </w:rPr>
              <w:t xml:space="preserve">资产总额潜在错报〈资产总额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、经营收入</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W</w:t>
            </w:r>
            <w:r>
              <w:rPr>
                <w:color w:val="000000"/>
                <w:spacing w:val="0"/>
                <w:w w:val="100"/>
                <w:position w:val="0"/>
                <w:sz w:val="18"/>
                <w:szCs w:val="18"/>
              </w:rPr>
              <w:t>经营收入潜在错报 〈经营收入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、所有者权益</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W</w:t>
            </w:r>
            <w:r>
              <w:rPr>
                <w:color w:val="000000"/>
                <w:spacing w:val="0"/>
                <w:w w:val="100"/>
                <w:position w:val="0"/>
                <w:sz w:val="18"/>
                <w:szCs w:val="18"/>
              </w:rPr>
              <w:t>所 有者权益潜在错报〈所有者权益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应 当被认定为重要缺陷影响；（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）利润总 额潜在错报〈利润总额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、资产总额潜 在错报〈资产总额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、经营收入潜在 错报〈经营收入</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、所有者权益潜在 错报〈所有者权益</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应当被认定为一 般缺陷影响。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）给公司带来直接损失金额</w:t>
            </w:r>
            <w:r>
              <w:rPr>
                <w:color w:val="000000"/>
                <w:spacing w:val="0"/>
                <w:w w:val="100"/>
                <w:position w:val="0"/>
                <w:sz w:val="18"/>
                <w:szCs w:val="18"/>
              </w:rPr>
              <w:t>N</w:t>
            </w:r>
            <w:r>
              <w:rPr>
                <w:color w:val="000000"/>
                <w:spacing w:val="0"/>
                <w:w w:val="100"/>
                <w:position w:val="0"/>
                <w:sz w:val="18"/>
                <w:szCs w:val="18"/>
              </w:rPr>
              <w:t>资 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应当认定为重大缺陷；（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W</w:t>
            </w:r>
            <w:r>
              <w:rPr>
                <w:color w:val="000000"/>
                <w:spacing w:val="0"/>
                <w:w w:val="100"/>
                <w:position w:val="0"/>
                <w:sz w:val="18"/>
                <w:szCs w:val="18"/>
              </w:rPr>
              <w:t>损失金额〈资产总 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应当认定为重要缺陷；（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）损 失金额〈资产总额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应当认定为 一般缺陷。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、内部控制审计报告或鉴证报告</w:t>
      </w:r>
      <w:bookmarkEnd w:id="458"/>
      <w:bookmarkEnd w:id="459"/>
      <w:bookmarkEnd w:id="461"/>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内部控制鉴证报告</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我们认为，汉威科技于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日按照《企业内部控制基本规范》的相关规定在所有重大方面保持了有效的财 务报告内部控制。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内部控制鉴证报告全文披露日 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内部控制鉴证报告全文披露索 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www.cninfo.com.cn,2022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日披露《内部控制鉴证报告》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标准无保留意见</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会计师事务所是否出具非标准意见的内部控制鉴证报告</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”是□否</w:t>
      </w:r>
    </w:p>
    <w:p>
      <w:pPr>
        <w:pStyle w:val="Style19"/>
        <w:keepNext/>
        <w:keepLines/>
        <w:widowControl w:val="0"/>
        <w:shd w:val="clear" w:color="auto" w:fill="auto"/>
        <w:bidi w:val="0"/>
        <w:spacing w:before="0" w:after="360" w:line="240" w:lineRule="auto"/>
        <w:ind w:left="0" w:right="0" w:firstLine="0"/>
        <w:jc w:val="left"/>
      </w:pPr>
      <w:bookmarkStart w:id="462" w:name="bookmark462"/>
      <w:bookmarkStart w:id="463" w:name="bookmark463"/>
      <w:bookmarkStart w:id="464" w:name="bookmark464"/>
      <w:r>
        <w:rPr>
          <w:color w:val="000000"/>
          <w:spacing w:val="0"/>
          <w:w w:val="100"/>
          <w:position w:val="0"/>
          <w:sz w:val="24"/>
          <w:szCs w:val="24"/>
        </w:rPr>
        <w:t>十七、上市公司治理专项行动自查问题整改情况</w:t>
      </w:r>
      <w:bookmarkEnd w:id="462"/>
      <w:bookmarkEnd w:id="463"/>
      <w:bookmarkEnd w:id="464"/>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r>
        <w:br w:type="page"/>
      </w:r>
    </w:p>
    <w:p>
      <w:pPr>
        <w:pStyle w:val="Style8"/>
        <w:keepNext/>
        <w:keepLines/>
        <w:widowControl w:val="0"/>
        <w:shd w:val="clear" w:color="auto" w:fill="auto"/>
        <w:bidi w:val="0"/>
        <w:spacing w:before="0" w:line="240" w:lineRule="auto"/>
        <w:ind w:left="0" w:right="0" w:firstLine="0"/>
        <w:jc w:val="center"/>
      </w:pPr>
      <w:bookmarkStart w:id="465" w:name="bookmark465"/>
      <w:bookmarkStart w:id="466" w:name="bookmark466"/>
      <w:bookmarkStart w:id="467" w:name="bookmark467"/>
      <w:bookmarkStart w:id="468" w:name="bookmark468"/>
      <w:r>
        <w:rPr>
          <w:color w:val="000000"/>
          <w:spacing w:val="0"/>
          <w:w w:val="100"/>
          <w:position w:val="0"/>
        </w:rPr>
        <w:t>第五节环境和社会责任</w:t>
      </w:r>
      <w:bookmarkEnd w:id="466"/>
      <w:bookmarkEnd w:id="467"/>
      <w:bookmarkEnd w:id="468"/>
      <w:bookmarkEnd w:id="465"/>
    </w:p>
    <w:p>
      <w:pPr>
        <w:pStyle w:val="Style19"/>
        <w:keepNext/>
        <w:keepLines/>
        <w:widowControl w:val="0"/>
        <w:shd w:val="clear" w:color="auto" w:fill="auto"/>
        <w:bidi w:val="0"/>
        <w:spacing w:before="0" w:after="360" w:line="240" w:lineRule="auto"/>
        <w:ind w:left="0" w:right="0" w:firstLine="240"/>
        <w:jc w:val="left"/>
      </w:pPr>
      <w:bookmarkStart w:id="469" w:name="bookmark469"/>
      <w:bookmarkStart w:id="470" w:name="bookmark470"/>
      <w:bookmarkStart w:id="471" w:name="bookmark471"/>
      <w:r>
        <w:rPr>
          <w:color w:val="000000"/>
          <w:spacing w:val="0"/>
          <w:w w:val="100"/>
          <w:position w:val="0"/>
          <w:sz w:val="24"/>
          <w:szCs w:val="24"/>
        </w:rPr>
        <w:t>、重大环保问题</w:t>
      </w:r>
      <w:bookmarkEnd w:id="469"/>
      <w:bookmarkEnd w:id="470"/>
      <w:bookmarkEnd w:id="47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w:t>
      </w:r>
    </w:p>
    <w:tbl>
      <w:tblPr>
        <w:tblOverlap w:val="never"/>
        <w:jc w:val="center"/>
        <w:tblLayout w:type="fixed"/>
      </w:tblPr>
      <w:tblGrid>
        <w:gridCol w:w="1056"/>
        <w:gridCol w:w="1109"/>
        <w:gridCol w:w="715"/>
        <w:gridCol w:w="802"/>
        <w:gridCol w:w="960"/>
        <w:gridCol w:w="734"/>
        <w:gridCol w:w="1397"/>
        <w:gridCol w:w="974"/>
        <w:gridCol w:w="1080"/>
        <w:gridCol w:w="75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公司或子</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主要污染</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物及特征</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污染物的</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color w:val="000000"/>
                <w:spacing w:val="0"/>
                <w:w w:val="100"/>
                <w:position w:val="0"/>
                <w:sz w:val="18"/>
                <w:szCs w:val="18"/>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排放</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排放口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排放口分 布情况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排放</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浓度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执行的污染物 排放标准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排放总量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核定的排 放总量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180" w:right="0" w:firstLine="0"/>
              <w:jc w:val="left"/>
              <w:rPr>
                <w:sz w:val="18"/>
                <w:szCs w:val="18"/>
              </w:rPr>
            </w:pPr>
            <w:r>
              <w:rPr>
                <w:color w:val="000000"/>
                <w:spacing w:val="0"/>
                <w:w w:val="100"/>
                <w:position w:val="0"/>
                <w:sz w:val="18"/>
                <w:szCs w:val="18"/>
              </w:rPr>
              <w:t>超标 排放 情况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嘉园（东 山）水处理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连续</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东山双东 污水处理 厂总排口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11.644 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GB18918-2002</w:t>
            </w:r>
          </w:p>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《城镇污水处 理厂污染物排 放标准》一级</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87439kg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547500kg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嘉园（东 山）水处理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连续</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东山双东 污水处理 厂总排口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 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GB18918-2002</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《城镇污水处 理厂污染物排 放标准》一级</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7832kg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109500kg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嘉园（东 山）水处理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连续</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东山双东 污水处理 厂总排口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5.366 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GB18918-2002</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《城镇污水处 理厂污染物排 放标准》一级</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40294kg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109500kg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嘉园（东 山）水处理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氨氮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连续</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东山双东 污水处理 厂总排口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2.197 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GB18918-2002</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《城镇污水处 理厂污染物排 放标准》一级</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16495kg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54750kg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嘉园（东 山）水处理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连续</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东山双东 污水处理 厂总排口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10.451 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GB18918-2002</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《城镇污水处 理厂污染物排 放标准》一级</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78478kg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1642500kg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嘉园（东 山）水处理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连续</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东山双东 污水处理 厂总排口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0.174 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GB18918-2002</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《城镇污水处 理厂污染物排 放标准》一级</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1305kg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5475kg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16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福安嘉园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直接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排放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福安市嘉 园污水处 理总排口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19.571 mg/L</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GB16889-2008 -1996</w:t>
            </w:r>
            <w:r>
              <w:rPr>
                <w:color w:val="000000"/>
                <w:spacing w:val="0"/>
                <w:w w:val="100"/>
                <w:position w:val="0"/>
                <w:sz w:val="18"/>
                <w:szCs w:val="18"/>
              </w:rPr>
              <w:t xml:space="preserve">《生活垃 圾填埋场污染 物控制标准》表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1610.171 kg</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1610.171kg</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bl>
    <w:p>
      <w:pPr>
        <w:spacing w:lineRule="exact" w:line="1"/>
        <w:rPr>
          <w:sz w:val="2"/>
          <w:szCs w:val="2"/>
        </w:rPr>
      </w:pPr>
      <w:r>
        <w:br w:type="page"/>
      </w:r>
    </w:p>
    <w:tbl>
      <w:tblPr>
        <w:tblOverlap w:val="never"/>
        <w:jc w:val="center"/>
        <w:tblLayout w:type="fixed"/>
      </w:tblPr>
      <w:tblGrid>
        <w:gridCol w:w="1056"/>
        <w:gridCol w:w="1109"/>
        <w:gridCol w:w="715"/>
        <w:gridCol w:w="802"/>
        <w:gridCol w:w="960"/>
        <w:gridCol w:w="734"/>
        <w:gridCol w:w="1397"/>
        <w:gridCol w:w="974"/>
        <w:gridCol w:w="1080"/>
        <w:gridCol w:w="754"/>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福安嘉园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氨氮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直接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福安市嘉 园污水处 理总排口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0.405 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GB16889-2008 -1996</w:t>
            </w:r>
            <w:r>
              <w:rPr>
                <w:color w:val="000000"/>
                <w:spacing w:val="0"/>
                <w:w w:val="100"/>
                <w:position w:val="0"/>
                <w:sz w:val="18"/>
                <w:szCs w:val="18"/>
              </w:rPr>
              <w:t xml:space="preserve">《生活垃 圾填埋场污染 物控制标准》表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32.675kg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32.675kg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福安嘉园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直接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福安市嘉 园污水处 理总排口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0.125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GB16889-2008 -1996</w:t>
            </w:r>
            <w:r>
              <w:rPr>
                <w:color w:val="000000"/>
                <w:spacing w:val="0"/>
                <w:w w:val="100"/>
                <w:position w:val="0"/>
                <w:sz w:val="18"/>
                <w:szCs w:val="18"/>
              </w:rPr>
              <w:t xml:space="preserve">《生活垃 圾填埋场污染 物控制标准》表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12.110kg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12.110kg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合肥嘉园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连续</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合肥嘉园 污水处理 总排口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16.25 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生活垃圾填埋</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污染控制标准</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GB16889-20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）中表二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6089kg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42400kg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合肥嘉园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氨氮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连续</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合肥嘉园 污水处理 总排口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3.70m 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生活垃圾填埋</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污染控制标准</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GB16889-20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）中表二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1613kg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147800kg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合肥嘉园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连续</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合肥嘉园 污水处理 总排口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24.62 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生活垃圾填埋</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污染控制标准</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GB16889-20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）中表二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9213kg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236500kg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合肥嘉园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连续</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排放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合肥嘉园 污水处理 总排口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0.68m g/L</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生活垃圾填埋</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污染控制标准</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GB16889-20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）中表二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262g</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1770kg</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防治污染设施的建设和运行情况</w:t>
      </w:r>
    </w:p>
    <w:p>
      <w:pPr>
        <w:pStyle w:val="Style10"/>
        <w:keepNext w:val="0"/>
        <w:keepLines w:val="0"/>
        <w:widowControl w:val="0"/>
        <w:shd w:val="clear" w:color="auto" w:fill="auto"/>
        <w:tabs>
          <w:tab w:pos="746" w:val="left"/>
        </w:tabs>
        <w:bidi w:val="0"/>
        <w:spacing w:before="0" w:after="0" w:line="469" w:lineRule="exact"/>
        <w:ind w:left="0" w:right="0" w:firstLine="440"/>
        <w:jc w:val="both"/>
      </w:pPr>
      <w:bookmarkStart w:id="472" w:name="bookmark472"/>
      <w:r>
        <w:rPr>
          <w:color w:val="000000"/>
          <w:spacing w:val="0"/>
          <w:w w:val="100"/>
          <w:position w:val="0"/>
        </w:rPr>
        <w:t>1</w:t>
      </w:r>
      <w:bookmarkEnd w:id="472"/>
      <w:r>
        <w:rPr>
          <w:color w:val="000000"/>
          <w:spacing w:val="0"/>
          <w:w w:val="100"/>
          <w:position w:val="0"/>
        </w:rPr>
        <w:t>、</w:t>
        <w:tab/>
        <w:t>嘉园（东山）水处理有限公司东山双东污水处理厂主要采用卡鲁塞尔改良型氧化沟工艺，现有3条 设计日处理量1万吨的生产线，总处理规模达到3万吨/日。主要生产设施有：西埔泵站、沉砂池、粗格栅 及提升泵井、分配井、细格栅及旋流除砂池（2座）、水解酸化池及厌氧池（1座）、氧化沟（3座）、二沉池</w:t>
      </w:r>
    </w:p>
    <w:p>
      <w:pPr>
        <w:pStyle w:val="Style10"/>
        <w:keepNext w:val="0"/>
        <w:keepLines w:val="0"/>
        <w:widowControl w:val="0"/>
        <w:shd w:val="clear" w:color="auto" w:fill="auto"/>
        <w:bidi w:val="0"/>
        <w:spacing w:before="0" w:after="0" w:line="469" w:lineRule="exact"/>
        <w:ind w:left="0" w:right="0" w:firstLine="0"/>
        <w:jc w:val="both"/>
      </w:pPr>
      <w:r>
        <w:rPr>
          <w:color w:val="000000"/>
          <w:spacing w:val="0"/>
          <w:w w:val="100"/>
          <w:position w:val="0"/>
        </w:rPr>
        <w:t>（3座）、二次提升泵房（1座）、高密度澄清池（1座）、纤维转盘滤池（1座）、接触消毒池（1座）、污泥池 （2座）、污泥浓缩池（2座）、污泥脱水车间以及巴氏计量槽。其中一期2008年09月投建，于2009年06月建 成投产，设计日处理量1万吨；二期2010年08月投建，于2011年03月建成投产，设计日处理量1万吨；三期 2014年08月投建，于2015年05月建成投产，设计日处理量1万吨。2018年11月一级</w:t>
      </w:r>
      <w:r>
        <w:rPr>
          <w:color w:val="000000"/>
          <w:spacing w:val="0"/>
          <w:w w:val="100"/>
          <w:position w:val="0"/>
        </w:rPr>
        <w:t>A</w:t>
      </w:r>
      <w:r>
        <w:rPr>
          <w:color w:val="000000"/>
          <w:spacing w:val="0"/>
          <w:w w:val="100"/>
          <w:position w:val="0"/>
        </w:rPr>
        <w:t>提标改造工程投入正式 使用。东山双东污水处理厂投入运营以来，各生产设施稳定正常运行，2022年度因受超标进水冲击造成出 水35天超标排放。</w:t>
      </w:r>
    </w:p>
    <w:p>
      <w:pPr>
        <w:pStyle w:val="Style10"/>
        <w:keepNext w:val="0"/>
        <w:keepLines w:val="0"/>
        <w:widowControl w:val="0"/>
        <w:shd w:val="clear" w:color="auto" w:fill="auto"/>
        <w:tabs>
          <w:tab w:pos="318" w:val="left"/>
        </w:tabs>
        <w:bidi w:val="0"/>
        <w:spacing w:before="0" w:after="0" w:line="469" w:lineRule="exact"/>
        <w:ind w:left="0" w:right="0" w:firstLine="440"/>
        <w:jc w:val="both"/>
      </w:pPr>
      <w:bookmarkStart w:id="473" w:name="bookmark473"/>
      <w:r>
        <w:rPr>
          <w:color w:val="000000"/>
          <w:spacing w:val="0"/>
          <w:w w:val="100"/>
          <w:position w:val="0"/>
        </w:rPr>
        <w:t>2</w:t>
      </w:r>
      <w:bookmarkEnd w:id="473"/>
      <w:r>
        <w:rPr>
          <w:color w:val="000000"/>
          <w:spacing w:val="0"/>
          <w:w w:val="100"/>
          <w:position w:val="0"/>
        </w:rPr>
        <w:t>、</w:t>
        <w:tab/>
        <w:t>福安垃圾填埋场渗滤液处理主要采用：水质均衡池</w:t>
      </w:r>
      <w:r>
        <w:rPr>
          <w:color w:val="000000"/>
          <w:spacing w:val="0"/>
          <w:w w:val="100"/>
          <w:position w:val="0"/>
        </w:rPr>
        <w:t>+MBR（</w:t>
      </w:r>
      <w:r>
        <w:rPr>
          <w:color w:val="000000"/>
          <w:spacing w:val="0"/>
          <w:w w:val="100"/>
          <w:position w:val="0"/>
        </w:rPr>
        <w:t>两级</w:t>
      </w:r>
      <w:r>
        <w:rPr>
          <w:color w:val="000000"/>
          <w:spacing w:val="0"/>
          <w:w w:val="100"/>
          <w:position w:val="0"/>
        </w:rPr>
        <w:t>A/O）+NF/RO。</w:t>
      </w:r>
      <w:r>
        <w:rPr>
          <w:color w:val="000000"/>
          <w:spacing w:val="0"/>
          <w:w w:val="100"/>
          <w:position w:val="0"/>
        </w:rPr>
        <w:t xml:space="preserve">一期工程于2015年4月 </w:t>
      </w:r>
      <w:r>
        <w:rPr>
          <w:color w:val="000000"/>
          <w:spacing w:val="0"/>
          <w:w w:val="100"/>
          <w:position w:val="0"/>
        </w:rPr>
        <w:t>开工，工艺设计处理能力进水250吨/天;扩容项目于2017年1月开始施工,两次建设总处理进水量670吨/天， 出水量500吨/天。污泥处理工艺:剩余污泥+污泥浓缩+离心脱水+填埋场填埋。福安垃圾填埋场渗滤液处理 站投入运营以来,各生产设施稳定正常运行，出水达标排放。</w:t>
      </w:r>
    </w:p>
    <w:p>
      <w:pPr>
        <w:pStyle w:val="Style10"/>
        <w:keepNext w:val="0"/>
        <w:keepLines w:val="0"/>
        <w:widowControl w:val="0"/>
        <w:shd w:val="clear" w:color="auto" w:fill="auto"/>
        <w:bidi w:val="0"/>
        <w:spacing w:before="0" w:after="220" w:line="470" w:lineRule="exact"/>
        <w:ind w:left="0" w:right="0" w:firstLine="440"/>
        <w:jc w:val="both"/>
      </w:pPr>
      <w:bookmarkStart w:id="474" w:name="bookmark474"/>
      <w:r>
        <w:rPr>
          <w:color w:val="000000"/>
          <w:spacing w:val="0"/>
          <w:w w:val="100"/>
          <w:position w:val="0"/>
        </w:rPr>
        <w:t>3</w:t>
      </w:r>
      <w:bookmarkEnd w:id="474"/>
      <w:r>
        <w:rPr>
          <w:color w:val="000000"/>
          <w:spacing w:val="0"/>
          <w:w w:val="100"/>
          <w:position w:val="0"/>
        </w:rPr>
        <w:t>、合肥嘉园公司龙泉山垃圾渗滤液处理项目位于安徽省合肥市肥东县桥头集镇龙泉山，厂区占地面 积</w:t>
      </w:r>
      <w:r>
        <w:rPr>
          <w:color w:val="000000"/>
          <w:spacing w:val="0"/>
          <w:w w:val="100"/>
          <w:position w:val="0"/>
        </w:rPr>
        <w:t>29.36</w:t>
      </w:r>
      <w:r>
        <w:rPr>
          <w:color w:val="000000"/>
          <w:spacing w:val="0"/>
          <w:w w:val="100"/>
          <w:position w:val="0"/>
        </w:rPr>
        <w:t>亩，总投资</w:t>
      </w:r>
      <w:r>
        <w:rPr>
          <w:color w:val="000000"/>
          <w:spacing w:val="0"/>
          <w:w w:val="100"/>
          <w:position w:val="0"/>
        </w:rPr>
        <w:t>1.2</w:t>
      </w:r>
      <w:r>
        <w:rPr>
          <w:color w:val="000000"/>
          <w:spacing w:val="0"/>
          <w:w w:val="100"/>
          <w:position w:val="0"/>
        </w:rPr>
        <w:t>亿。渗滤液处理规模设计为1400吨/天，年处理量为</w:t>
      </w:r>
      <w:r>
        <w:rPr>
          <w:color w:val="000000"/>
          <w:spacing w:val="0"/>
          <w:w w:val="100"/>
          <w:position w:val="0"/>
        </w:rPr>
        <w:t>51.1</w:t>
      </w:r>
      <w:r>
        <w:rPr>
          <w:color w:val="000000"/>
          <w:spacing w:val="0"/>
          <w:w w:val="100"/>
          <w:position w:val="0"/>
        </w:rPr>
        <w:t>万吨左右，出水水质达到 《生活垃圾填埋场污染控制标准》</w:t>
      </w:r>
      <w:r>
        <w:rPr>
          <w:color w:val="000000"/>
          <w:spacing w:val="0"/>
          <w:w w:val="100"/>
          <w:position w:val="0"/>
        </w:rPr>
        <w:t>（GB16889-2008</w:t>
      </w:r>
      <w:r>
        <w:rPr>
          <w:color w:val="000000"/>
          <w:spacing w:val="0"/>
          <w:w w:val="100"/>
          <w:position w:val="0"/>
        </w:rPr>
        <w:t>）中的表2标准及《再生水水质标准》</w:t>
      </w:r>
      <w:r>
        <w:rPr>
          <w:color w:val="000000"/>
          <w:spacing w:val="0"/>
          <w:w w:val="100"/>
          <w:position w:val="0"/>
        </w:rPr>
        <w:t xml:space="preserve">（SL </w:t>
      </w:r>
      <w:r>
        <w:rPr>
          <w:color w:val="000000"/>
          <w:spacing w:val="0"/>
          <w:w w:val="100"/>
          <w:position w:val="0"/>
        </w:rPr>
        <w:t>368-2006）。渗 滤液主要处理工艺:调节池+配水槽+水解酸化池</w:t>
      </w:r>
      <w:r>
        <w:rPr>
          <w:color w:val="000000"/>
          <w:spacing w:val="0"/>
          <w:w w:val="100"/>
          <w:position w:val="0"/>
        </w:rPr>
        <w:t>+A/O2+A/O+</w:t>
      </w:r>
      <w:r>
        <w:rPr>
          <w:color w:val="000000"/>
          <w:spacing w:val="0"/>
          <w:w w:val="100"/>
          <w:position w:val="0"/>
        </w:rPr>
        <w:t>超滤+纳滤+反渗透系统，经厂区污水外排口排 出排至联熹污水处理厂进行深度处理。2021年全年计划运营365天，实际运营365天，无一例超标。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建设项目环境影响评价及其他环境保护行政许可情况</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东山嘉园</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2013年12月18日，东山双东污水处理厂及配套污水收集管网工程通过环评审批,编号：东环审【2013】 68号；</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2015年1月28日，东山双东污水处理厂第三期工程通过环评审批，编号：东环审【2015】05号；</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2017年12月6日，东山双东污水处理厂提标改造工程通过环评审批，编号：东环审【2017】15号。</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排污许可证编号：</w:t>
      </w:r>
      <w:r>
        <w:rPr>
          <w:color w:val="000000"/>
          <w:spacing w:val="0"/>
          <w:w w:val="100"/>
          <w:position w:val="0"/>
        </w:rPr>
        <w:t>913506266808706746001Q，</w:t>
      </w:r>
      <w:r>
        <w:rPr>
          <w:color w:val="000000"/>
          <w:spacing w:val="0"/>
          <w:w w:val="100"/>
          <w:position w:val="0"/>
        </w:rPr>
        <w:t>有效期限2019年6月28日至2022年6月27日。</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福建嘉园</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建设项目环境保护竣工验收监测报告</w:t>
      </w:r>
      <w:r>
        <w:rPr>
          <w:color w:val="000000"/>
          <w:spacing w:val="0"/>
          <w:w w:val="100"/>
          <w:position w:val="0"/>
        </w:rPr>
        <w:t>----</w:t>
      </w:r>
      <w:r>
        <w:rPr>
          <w:color w:val="000000"/>
          <w:spacing w:val="0"/>
          <w:w w:val="100"/>
          <w:position w:val="0"/>
        </w:rPr>
        <w:t>安环监站验字（2017）第012号；</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排污许可证编号：</w:t>
      </w:r>
      <w:r>
        <w:rPr>
          <w:color w:val="000000"/>
          <w:spacing w:val="0"/>
          <w:w w:val="100"/>
          <w:position w:val="0"/>
        </w:rPr>
        <w:t>350981-2017-000052，</w:t>
      </w:r>
      <w:r>
        <w:rPr>
          <w:color w:val="000000"/>
          <w:spacing w:val="0"/>
          <w:w w:val="100"/>
          <w:position w:val="0"/>
        </w:rPr>
        <w:t>有效期限2019年6月28日至2022年6月27日。</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合肥嘉园</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2012年3月27日合肥嘉园关于《合肥市龙泉山生活垃圾处理厂渗滤液处理工程环境影响报告表》通过 环保局审批：环建审【2012】 1010号；</w:t>
      </w:r>
    </w:p>
    <w:p>
      <w:pPr>
        <w:pStyle w:val="Style1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2019年12月3日，获批安徽省主要污染物新排污许可证，证书编号：</w:t>
      </w:r>
      <w:r>
        <w:rPr>
          <w:color w:val="000000"/>
          <w:spacing w:val="0"/>
          <w:w w:val="100"/>
          <w:position w:val="0"/>
        </w:rPr>
        <w:t>913401225872035860001U，</w:t>
      </w:r>
      <w:r>
        <w:rPr>
          <w:color w:val="000000"/>
          <w:spacing w:val="0"/>
          <w:w w:val="100"/>
          <w:position w:val="0"/>
        </w:rPr>
        <w:t>证书 有效期限3年。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突发环境事件应急预案</w:t>
      </w:r>
    </w:p>
    <w:p>
      <w:pPr>
        <w:pStyle w:val="Style10"/>
        <w:keepNext w:val="0"/>
        <w:keepLines w:val="0"/>
        <w:widowControl w:val="0"/>
        <w:shd w:val="clear" w:color="auto" w:fill="auto"/>
        <w:tabs>
          <w:tab w:pos="798" w:val="left"/>
        </w:tabs>
        <w:bidi w:val="0"/>
        <w:spacing w:before="0" w:after="0" w:line="470" w:lineRule="exact"/>
        <w:ind w:left="0" w:right="0" w:firstLine="440"/>
        <w:jc w:val="both"/>
      </w:pPr>
      <w:bookmarkStart w:id="475" w:name="bookmark475"/>
      <w:r>
        <w:rPr>
          <w:color w:val="000000"/>
          <w:spacing w:val="0"/>
          <w:w w:val="100"/>
          <w:position w:val="0"/>
        </w:rPr>
        <w:t>1</w:t>
      </w:r>
      <w:bookmarkEnd w:id="475"/>
      <w:r>
        <w:rPr>
          <w:color w:val="000000"/>
          <w:spacing w:val="0"/>
          <w:w w:val="100"/>
          <w:position w:val="0"/>
        </w:rPr>
        <w:t>、</w:t>
        <w:tab/>
        <w:t>东山嘉园</w:t>
      </w:r>
    </w:p>
    <w:p>
      <w:pPr>
        <w:pStyle w:val="Style10"/>
        <w:keepNext w:val="0"/>
        <w:keepLines w:val="0"/>
        <w:widowControl w:val="0"/>
        <w:shd w:val="clear" w:color="auto" w:fill="auto"/>
        <w:bidi w:val="0"/>
        <w:spacing w:before="0" w:after="0" w:line="461" w:lineRule="exact"/>
        <w:ind w:left="0" w:right="0" w:firstLine="440"/>
        <w:jc w:val="left"/>
      </w:pPr>
      <w:r>
        <w:rPr>
          <w:color w:val="000000"/>
          <w:spacing w:val="0"/>
          <w:w w:val="100"/>
          <w:position w:val="0"/>
        </w:rPr>
        <w:t>《嘉园（东山）水处理有限公司东山双东污水处理厂突发环境事件应急预案》；版本号：</w:t>
      </w:r>
      <w:r>
        <w:rPr>
          <w:color w:val="000000"/>
          <w:spacing w:val="0"/>
          <w:w w:val="100"/>
          <w:position w:val="0"/>
        </w:rPr>
        <w:t xml:space="preserve">JYDS-2019-003； </w:t>
      </w:r>
      <w:r>
        <w:rPr>
          <w:color w:val="000000"/>
          <w:spacing w:val="0"/>
          <w:w w:val="100"/>
          <w:position w:val="0"/>
        </w:rPr>
        <w:t>备案号：</w:t>
      </w:r>
      <w:r>
        <w:rPr>
          <w:color w:val="000000"/>
          <w:spacing w:val="0"/>
          <w:w w:val="100"/>
          <w:position w:val="0"/>
        </w:rPr>
        <w:t>350626-2019-006-L。</w:t>
      </w:r>
    </w:p>
    <w:p>
      <w:pPr>
        <w:pStyle w:val="Style10"/>
        <w:keepNext w:val="0"/>
        <w:keepLines w:val="0"/>
        <w:widowControl w:val="0"/>
        <w:shd w:val="clear" w:color="auto" w:fill="auto"/>
        <w:tabs>
          <w:tab w:pos="818" w:val="left"/>
        </w:tabs>
        <w:bidi w:val="0"/>
        <w:spacing w:before="0" w:after="60" w:line="470" w:lineRule="exact"/>
        <w:ind w:left="0" w:right="0" w:firstLine="440"/>
        <w:jc w:val="both"/>
      </w:pPr>
      <w:bookmarkStart w:id="476" w:name="bookmark476"/>
      <w:r>
        <w:rPr>
          <w:color w:val="000000"/>
          <w:spacing w:val="0"/>
          <w:w w:val="100"/>
          <w:position w:val="0"/>
        </w:rPr>
        <w:t>2</w:t>
      </w:r>
      <w:bookmarkEnd w:id="476"/>
      <w:r>
        <w:rPr>
          <w:color w:val="000000"/>
          <w:spacing w:val="0"/>
          <w:w w:val="100"/>
          <w:position w:val="0"/>
        </w:rPr>
        <w:t>、</w:t>
        <w:tab/>
        <w:t>福安嘉园</w:t>
      </w:r>
    </w:p>
    <w:p>
      <w:pPr>
        <w:pStyle w:val="Style10"/>
        <w:keepNext w:val="0"/>
        <w:keepLines w:val="0"/>
        <w:widowControl w:val="0"/>
        <w:shd w:val="clear" w:color="auto" w:fill="auto"/>
        <w:bidi w:val="0"/>
        <w:spacing w:before="0" w:after="40" w:line="451" w:lineRule="exact"/>
        <w:ind w:left="0" w:right="0" w:firstLine="440"/>
        <w:jc w:val="both"/>
      </w:pPr>
      <w:r>
        <w:rPr>
          <w:color w:val="000000"/>
          <w:spacing w:val="0"/>
          <w:w w:val="100"/>
          <w:position w:val="0"/>
        </w:rPr>
        <w:t xml:space="preserve">《福安市城区生活垃圾卫生填埋场渗滤液处理站突发环境事件应急预案》；版本号： </w:t>
      </w:r>
      <w:r>
        <w:rPr>
          <w:color w:val="000000"/>
          <w:spacing w:val="0"/>
          <w:w w:val="100"/>
          <w:position w:val="0"/>
        </w:rPr>
        <w:t xml:space="preserve">FAJYHBYA--2020 </w:t>
      </w:r>
      <w:r>
        <w:rPr>
          <w:color w:val="000000"/>
          <w:spacing w:val="0"/>
          <w:w w:val="100"/>
          <w:position w:val="0"/>
        </w:rPr>
        <w:t>（总第三版）；备案编号：</w:t>
      </w:r>
      <w:r>
        <w:rPr>
          <w:color w:val="000000"/>
          <w:spacing w:val="0"/>
          <w:w w:val="100"/>
          <w:position w:val="0"/>
        </w:rPr>
        <w:t>350981-2020-026-L。</w:t>
      </w:r>
    </w:p>
    <w:p>
      <w:pPr>
        <w:pStyle w:val="Style10"/>
        <w:keepNext w:val="0"/>
        <w:keepLines w:val="0"/>
        <w:widowControl w:val="0"/>
        <w:shd w:val="clear" w:color="auto" w:fill="auto"/>
        <w:bidi w:val="0"/>
        <w:spacing w:before="0" w:after="60" w:line="467" w:lineRule="exact"/>
        <w:ind w:left="0" w:right="0" w:firstLine="440"/>
        <w:jc w:val="both"/>
      </w:pPr>
      <w:bookmarkStart w:id="477" w:name="bookmark477"/>
      <w:r>
        <w:rPr>
          <w:color w:val="000000"/>
          <w:spacing w:val="0"/>
          <w:w w:val="100"/>
          <w:position w:val="0"/>
        </w:rPr>
        <w:t>3</w:t>
      </w:r>
      <w:bookmarkEnd w:id="477"/>
      <w:r>
        <w:rPr>
          <w:color w:val="000000"/>
          <w:spacing w:val="0"/>
          <w:w w:val="100"/>
          <w:position w:val="0"/>
        </w:rPr>
        <w:t>、合肥嘉园</w:t>
      </w:r>
    </w:p>
    <w:p>
      <w:pPr>
        <w:pStyle w:val="Style10"/>
        <w:keepNext w:val="0"/>
        <w:keepLines w:val="0"/>
        <w:widowControl w:val="0"/>
        <w:shd w:val="clear" w:color="auto" w:fill="auto"/>
        <w:bidi w:val="0"/>
        <w:spacing w:before="0" w:after="0" w:line="446" w:lineRule="exact"/>
        <w:ind w:left="0" w:right="0" w:firstLine="440"/>
        <w:jc w:val="both"/>
        <w:rPr>
          <w:sz w:val="18"/>
          <w:szCs w:val="18"/>
        </w:rPr>
      </w:pPr>
      <w:r>
        <w:rPr>
          <w:color w:val="000000"/>
          <w:spacing w:val="0"/>
          <w:w w:val="100"/>
          <w:position w:val="0"/>
          <w:sz w:val="20"/>
          <w:szCs w:val="20"/>
        </w:rPr>
        <w:t>《合肥嘉园水处理投资有限公司突发环境事件应急预案》。版本号：</w:t>
      </w:r>
      <w:r>
        <w:rPr>
          <w:color w:val="000000"/>
          <w:spacing w:val="0"/>
          <w:w w:val="100"/>
          <w:position w:val="0"/>
          <w:sz w:val="20"/>
          <w:szCs w:val="20"/>
        </w:rPr>
        <w:t>HFJY-2020,</w:t>
      </w:r>
      <w:r>
        <w:rPr>
          <w:color w:val="000000"/>
          <w:spacing w:val="0"/>
          <w:w w:val="100"/>
          <w:position w:val="0"/>
          <w:sz w:val="20"/>
          <w:szCs w:val="20"/>
        </w:rPr>
        <w:t xml:space="preserve">备案编号： </w:t>
      </w:r>
      <w:r>
        <w:rPr>
          <w:color w:val="000000"/>
          <w:spacing w:val="0"/>
          <w:w w:val="100"/>
          <w:position w:val="0"/>
          <w:sz w:val="20"/>
          <w:szCs w:val="20"/>
        </w:rPr>
        <w:t xml:space="preserve">340122-2020-36-M。 </w:t>
      </w:r>
      <w:r>
        <w:rPr>
          <w:color w:val="000000"/>
          <w:spacing w:val="0"/>
          <w:w w:val="100"/>
          <w:position w:val="0"/>
          <w:sz w:val="18"/>
          <w:szCs w:val="18"/>
        </w:rPr>
        <w:t>环境自行监测方案</w:t>
      </w:r>
    </w:p>
    <w:p>
      <w:pPr>
        <w:pStyle w:val="Style10"/>
        <w:keepNext w:val="0"/>
        <w:keepLines w:val="0"/>
        <w:widowControl w:val="0"/>
        <w:shd w:val="clear" w:color="auto" w:fill="auto"/>
        <w:tabs>
          <w:tab w:pos="798" w:val="left"/>
        </w:tabs>
        <w:bidi w:val="0"/>
        <w:spacing w:before="0" w:after="0" w:line="467" w:lineRule="exact"/>
        <w:ind w:left="0" w:right="0" w:firstLine="440"/>
        <w:jc w:val="both"/>
      </w:pPr>
      <w:bookmarkStart w:id="478" w:name="bookmark478"/>
      <w:r>
        <w:rPr>
          <w:color w:val="000000"/>
          <w:spacing w:val="0"/>
          <w:w w:val="100"/>
          <w:position w:val="0"/>
        </w:rPr>
        <w:t>1</w:t>
      </w:r>
      <w:bookmarkEnd w:id="478"/>
      <w:r>
        <w:rPr>
          <w:color w:val="000000"/>
          <w:spacing w:val="0"/>
          <w:w w:val="100"/>
          <w:position w:val="0"/>
        </w:rPr>
        <w:t>、</w:t>
        <w:tab/>
        <w:t>东山嘉园</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《嘉园（东山）水处理有限公司自行监测方案》，版本号：0206162843，备案号：35062620200001。</w:t>
      </w:r>
    </w:p>
    <w:p>
      <w:pPr>
        <w:pStyle w:val="Style10"/>
        <w:keepNext w:val="0"/>
        <w:keepLines w:val="0"/>
        <w:widowControl w:val="0"/>
        <w:shd w:val="clear" w:color="auto" w:fill="auto"/>
        <w:tabs>
          <w:tab w:pos="812" w:val="left"/>
        </w:tabs>
        <w:bidi w:val="0"/>
        <w:spacing w:before="0" w:after="0" w:line="467" w:lineRule="exact"/>
        <w:ind w:left="0" w:right="0" w:firstLine="440"/>
        <w:jc w:val="both"/>
      </w:pPr>
      <w:bookmarkStart w:id="479" w:name="bookmark479"/>
      <w:r>
        <w:rPr>
          <w:color w:val="000000"/>
          <w:spacing w:val="0"/>
          <w:w w:val="100"/>
          <w:position w:val="0"/>
        </w:rPr>
        <w:t>2</w:t>
      </w:r>
      <w:bookmarkEnd w:id="479"/>
      <w:r>
        <w:rPr>
          <w:color w:val="000000"/>
          <w:spacing w:val="0"/>
          <w:w w:val="100"/>
          <w:position w:val="0"/>
        </w:rPr>
        <w:t>、</w:t>
        <w:tab/>
        <w:t>福安嘉园</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委托第三方有资质的公司检测。</w:t>
      </w:r>
    </w:p>
    <w:p>
      <w:pPr>
        <w:pStyle w:val="Style10"/>
        <w:keepNext w:val="0"/>
        <w:keepLines w:val="0"/>
        <w:widowControl w:val="0"/>
        <w:shd w:val="clear" w:color="auto" w:fill="auto"/>
        <w:tabs>
          <w:tab w:pos="812" w:val="left"/>
        </w:tabs>
        <w:bidi w:val="0"/>
        <w:spacing w:before="0" w:after="0" w:line="467" w:lineRule="exact"/>
        <w:ind w:left="0" w:right="0" w:firstLine="440"/>
        <w:jc w:val="both"/>
      </w:pPr>
      <w:bookmarkStart w:id="480" w:name="bookmark480"/>
      <w:r>
        <w:rPr>
          <w:color w:val="000000"/>
          <w:spacing w:val="0"/>
          <w:w w:val="100"/>
          <w:position w:val="0"/>
        </w:rPr>
        <w:t>3</w:t>
      </w:r>
      <w:bookmarkEnd w:id="480"/>
      <w:r>
        <w:rPr>
          <w:color w:val="000000"/>
          <w:spacing w:val="0"/>
          <w:w w:val="100"/>
          <w:position w:val="0"/>
        </w:rPr>
        <w:t>、</w:t>
        <w:tab/>
        <w:t>合肥嘉园</w:t>
      </w:r>
    </w:p>
    <w:p>
      <w:pPr>
        <w:pStyle w:val="Style10"/>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为履行企业自行监测的职责，我公司采取了污染物（废水、噪声）自行监测手段及开展方式。自行监 测手段为自动、手工或自动+手工；开展方式为委托第三方有资质的公司检测。其中：废水部分，</w:t>
      </w:r>
      <w:r>
        <w:rPr>
          <w:color w:val="000000"/>
          <w:spacing w:val="0"/>
          <w:w w:val="100"/>
          <w:position w:val="0"/>
        </w:rPr>
        <w:t>CODcr、 NH3-N</w:t>
      </w:r>
      <w:r>
        <w:rPr>
          <w:color w:val="000000"/>
          <w:spacing w:val="0"/>
          <w:w w:val="100"/>
          <w:position w:val="0"/>
        </w:rPr>
        <w:t>总氮和总磷项目是自动监测，</w:t>
      </w:r>
      <w:r>
        <w:rPr>
          <w:color w:val="000000"/>
          <w:spacing w:val="0"/>
          <w:w w:val="100"/>
          <w:position w:val="0"/>
        </w:rPr>
        <w:t>PH、</w:t>
      </w:r>
      <w:r>
        <w:rPr>
          <w:color w:val="000000"/>
          <w:spacing w:val="0"/>
          <w:w w:val="100"/>
          <w:position w:val="0"/>
        </w:rPr>
        <w:t>五日生化需氧量、悬浮物、粪大肠杆菌、色度、总氮、总磷、汞、 总铭、镉、六价铭、砷、铅</w:t>
      </w:r>
      <w:r>
        <w:rPr>
          <w:color w:val="000000"/>
          <w:spacing w:val="0"/>
          <w:w w:val="100"/>
          <w:position w:val="0"/>
        </w:rPr>
        <w:t>、PH</w:t>
      </w:r>
      <w:r>
        <w:rPr>
          <w:color w:val="000000"/>
          <w:spacing w:val="0"/>
          <w:w w:val="100"/>
          <w:position w:val="0"/>
        </w:rPr>
        <w:t>值等14个委托监测，监测频率为1次/月；噪声部分，己委托监测，厂区按 东、南、西、北四个方位每季度监测1次。废气部分，己委托有资质的公司检测，厂区按上风口、下风口 及2个废气排放口每半年监测一次，废气检测指标包括臭气浓度、氨气、硫化氢。公司外排水口已安装有 在线检测设施、监测指标有</w:t>
      </w:r>
      <w:r>
        <w:rPr>
          <w:color w:val="000000"/>
          <w:spacing w:val="0"/>
          <w:w w:val="100"/>
          <w:position w:val="0"/>
        </w:rPr>
        <w:t>CODcr、NH3-N</w:t>
      </w:r>
      <w:r>
        <w:rPr>
          <w:color w:val="000000"/>
          <w:spacing w:val="0"/>
          <w:w w:val="100"/>
          <w:position w:val="0"/>
        </w:rPr>
        <w:t>、总氮和总磷，监测频率为2小时一次；同时公司有化验检测所 需的化验室，并配备有二名化验人员，均持有安徽省相关部分培训颁发的化验员资格证书，能正常开展常 规指标的检测工作。制定并编写了《2021年合肥嘉园水处理投资有限公司龙泉山垃圾渗滤液处理厂污染源 自行监测方案》。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报告期内因环境问题受到行政处罚的情况</w:t>
      </w:r>
    </w:p>
    <w:tbl>
      <w:tblPr>
        <w:tblOverlap w:val="never"/>
        <w:jc w:val="center"/>
        <w:tblLayout w:type="fixed"/>
      </w:tblPr>
      <w:tblGrid>
        <w:gridCol w:w="1603"/>
        <w:gridCol w:w="1594"/>
        <w:gridCol w:w="1594"/>
        <w:gridCol w:w="1594"/>
        <w:gridCol w:w="1594"/>
        <w:gridCol w:w="15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公司或子公司名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其他应当公开的环境信息</w:t>
      </w:r>
    </w:p>
    <w:p>
      <w:pPr>
        <w:pStyle w:val="Style10"/>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合肥嘉园</w:t>
      </w:r>
    </w:p>
    <w:p>
      <w:pPr>
        <w:pStyle w:val="Style10"/>
        <w:keepNext w:val="0"/>
        <w:keepLines w:val="0"/>
        <w:widowControl w:val="0"/>
        <w:shd w:val="clear" w:color="auto" w:fill="auto"/>
        <w:tabs>
          <w:tab w:pos="798" w:val="left"/>
        </w:tabs>
        <w:bidi w:val="0"/>
        <w:spacing w:before="0" w:after="0" w:line="480" w:lineRule="exact"/>
        <w:ind w:left="0" w:right="0" w:firstLine="440"/>
        <w:jc w:val="both"/>
      </w:pPr>
      <w:bookmarkStart w:id="481" w:name="bookmark481"/>
      <w:r>
        <w:rPr>
          <w:color w:val="000000"/>
          <w:spacing w:val="0"/>
          <w:w w:val="100"/>
          <w:position w:val="0"/>
        </w:rPr>
        <w:t>1</w:t>
      </w:r>
      <w:bookmarkEnd w:id="481"/>
      <w:r>
        <w:rPr>
          <w:color w:val="000000"/>
          <w:spacing w:val="0"/>
          <w:w w:val="100"/>
          <w:position w:val="0"/>
        </w:rPr>
        <w:t>、</w:t>
        <w:tab/>
        <w:t>废水各监测断面、各监测项目2021年全年监测均持续达标，共监测8560项次，达标8560次。</w:t>
      </w:r>
    </w:p>
    <w:p>
      <w:pPr>
        <w:pStyle w:val="Style10"/>
        <w:keepNext w:val="0"/>
        <w:keepLines w:val="0"/>
        <w:widowControl w:val="0"/>
        <w:shd w:val="clear" w:color="auto" w:fill="auto"/>
        <w:tabs>
          <w:tab w:pos="812" w:val="left"/>
        </w:tabs>
        <w:bidi w:val="0"/>
        <w:spacing w:before="0" w:after="0" w:line="480" w:lineRule="exact"/>
        <w:ind w:left="0" w:right="0" w:firstLine="440"/>
        <w:jc w:val="both"/>
      </w:pPr>
      <w:bookmarkStart w:id="482" w:name="bookmark482"/>
      <w:r>
        <w:rPr>
          <w:color w:val="000000"/>
          <w:spacing w:val="0"/>
          <w:w w:val="100"/>
          <w:position w:val="0"/>
        </w:rPr>
        <w:t>2</w:t>
      </w:r>
      <w:bookmarkEnd w:id="482"/>
      <w:r>
        <w:rPr>
          <w:color w:val="000000"/>
          <w:spacing w:val="0"/>
          <w:w w:val="100"/>
          <w:position w:val="0"/>
        </w:rPr>
        <w:t>、</w:t>
        <w:tab/>
        <w:t>噪声各监测点2021年全年监测4次，即每季度一次监测，共达标4次。</w:t>
      </w:r>
    </w:p>
    <w:p>
      <w:pPr>
        <w:pStyle w:val="Style10"/>
        <w:keepNext w:val="0"/>
        <w:keepLines w:val="0"/>
        <w:widowControl w:val="0"/>
        <w:shd w:val="clear" w:color="auto" w:fill="auto"/>
        <w:tabs>
          <w:tab w:pos="812" w:val="left"/>
        </w:tabs>
        <w:bidi w:val="0"/>
        <w:spacing w:before="0" w:after="0" w:line="480" w:lineRule="exact"/>
        <w:ind w:left="0" w:right="0" w:firstLine="440"/>
        <w:jc w:val="both"/>
      </w:pPr>
      <w:bookmarkStart w:id="483" w:name="bookmark483"/>
      <w:r>
        <w:rPr>
          <w:color w:val="000000"/>
          <w:spacing w:val="0"/>
          <w:w w:val="100"/>
          <w:position w:val="0"/>
        </w:rPr>
        <w:t>3</w:t>
      </w:r>
      <w:bookmarkEnd w:id="483"/>
      <w:r>
        <w:rPr>
          <w:color w:val="000000"/>
          <w:spacing w:val="0"/>
          <w:w w:val="100"/>
          <w:position w:val="0"/>
        </w:rPr>
        <w:t>、</w:t>
        <w:tab/>
        <w:t>废气各监测点2021年全年监测2次，共达标2次。</w:t>
      </w:r>
    </w:p>
    <w:p>
      <w:pPr>
        <w:pStyle w:val="Style10"/>
        <w:keepNext w:val="0"/>
        <w:keepLines w:val="0"/>
        <w:widowControl w:val="0"/>
        <w:shd w:val="clear" w:color="auto" w:fill="auto"/>
        <w:tabs>
          <w:tab w:pos="795" w:val="left"/>
        </w:tabs>
        <w:bidi w:val="0"/>
        <w:spacing w:before="0" w:after="0" w:line="480" w:lineRule="exact"/>
        <w:ind w:left="0" w:right="0" w:firstLine="440"/>
        <w:jc w:val="both"/>
      </w:pPr>
      <w:bookmarkStart w:id="484" w:name="bookmark484"/>
      <w:r>
        <w:rPr>
          <w:color w:val="000000"/>
          <w:spacing w:val="0"/>
          <w:w w:val="100"/>
          <w:position w:val="0"/>
        </w:rPr>
        <w:t>4</w:t>
      </w:r>
      <w:bookmarkEnd w:id="484"/>
      <w:r>
        <w:rPr>
          <w:color w:val="000000"/>
          <w:spacing w:val="0"/>
          <w:w w:val="100"/>
          <w:position w:val="0"/>
        </w:rPr>
        <w:t>、</w:t>
        <w:tab/>
        <w:t>龙泉山垃圾渗滤液处理厂固体废物主要为生化系统产生的剩余污泥，该部分剩余污泥均经过污泥 脱水系统后，将脱水后的干污泥经车辆运送到龙泉山垃圾库区填埋。</w:t>
      </w:r>
    </w:p>
    <w:p>
      <w:pPr>
        <w:pStyle w:val="Style10"/>
        <w:keepNext w:val="0"/>
        <w:keepLines w:val="0"/>
        <w:widowControl w:val="0"/>
        <w:shd w:val="clear" w:color="auto" w:fill="auto"/>
        <w:tabs>
          <w:tab w:pos="817" w:val="left"/>
        </w:tabs>
        <w:bidi w:val="0"/>
        <w:spacing w:before="0" w:after="40" w:line="480" w:lineRule="exact"/>
        <w:ind w:left="0" w:right="0" w:firstLine="440"/>
        <w:jc w:val="both"/>
      </w:pPr>
      <w:bookmarkStart w:id="485" w:name="bookmark485"/>
      <w:r>
        <w:rPr>
          <w:color w:val="000000"/>
          <w:spacing w:val="0"/>
          <w:w w:val="100"/>
          <w:position w:val="0"/>
        </w:rPr>
        <w:t>5</w:t>
      </w:r>
      <w:bookmarkEnd w:id="485"/>
      <w:r>
        <w:rPr>
          <w:color w:val="000000"/>
          <w:spacing w:val="0"/>
          <w:w w:val="100"/>
          <w:position w:val="0"/>
        </w:rPr>
        <w:t>、</w:t>
        <w:tab/>
        <w:t>对外公布方式：合肥市环保局网站国控企业自行监测平台</w:t>
      </w:r>
    </w:p>
    <w:p>
      <w:pPr>
        <w:pStyle w:val="Style1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公布时限：</w:t>
      </w:r>
    </w:p>
    <w:p>
      <w:pPr>
        <w:pStyle w:val="Style10"/>
        <w:keepNext w:val="0"/>
        <w:keepLines w:val="0"/>
        <w:widowControl w:val="0"/>
        <w:numPr>
          <w:ilvl w:val="0"/>
          <w:numId w:val="11"/>
        </w:numPr>
        <w:shd w:val="clear" w:color="auto" w:fill="auto"/>
        <w:tabs>
          <w:tab w:pos="923" w:val="left"/>
        </w:tabs>
        <w:bidi w:val="0"/>
        <w:spacing w:before="0" w:after="220" w:line="240" w:lineRule="auto"/>
        <w:ind w:left="0" w:right="0" w:firstLine="440"/>
        <w:jc w:val="left"/>
      </w:pPr>
      <w:bookmarkStart w:id="486" w:name="bookmark486"/>
      <w:bookmarkEnd w:id="486"/>
      <w:r>
        <w:rPr>
          <w:color w:val="000000"/>
          <w:spacing w:val="0"/>
          <w:w w:val="100"/>
          <w:position w:val="0"/>
        </w:rPr>
        <w:t>手工监测数据于每次监测完成后的次日公布；</w:t>
      </w:r>
    </w:p>
    <w:p>
      <w:pPr>
        <w:pStyle w:val="Style10"/>
        <w:keepNext w:val="0"/>
        <w:keepLines w:val="0"/>
        <w:widowControl w:val="0"/>
        <w:numPr>
          <w:ilvl w:val="0"/>
          <w:numId w:val="11"/>
        </w:numPr>
        <w:shd w:val="clear" w:color="auto" w:fill="auto"/>
        <w:tabs>
          <w:tab w:pos="923" w:val="left"/>
        </w:tabs>
        <w:bidi w:val="0"/>
        <w:spacing w:before="0" w:after="220" w:line="240" w:lineRule="auto"/>
        <w:ind w:left="0" w:right="0" w:firstLine="440"/>
        <w:jc w:val="left"/>
      </w:pPr>
      <w:bookmarkStart w:id="487" w:name="bookmark487"/>
      <w:bookmarkEnd w:id="487"/>
      <w:r>
        <w:rPr>
          <w:color w:val="000000"/>
          <w:spacing w:val="0"/>
          <w:w w:val="100"/>
          <w:position w:val="0"/>
        </w:rPr>
        <w:t>自动监测数据实时公布监测结果，其中废水自动监测设备为每2小时均值。</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其他环保相关信息</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9"/>
        <w:keepNext/>
        <w:keepLines/>
        <w:widowControl w:val="0"/>
        <w:shd w:val="clear" w:color="auto" w:fill="auto"/>
        <w:tabs>
          <w:tab w:pos="512" w:val="left"/>
        </w:tabs>
        <w:bidi w:val="0"/>
        <w:spacing w:before="0" w:after="42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sz w:val="24"/>
          <w:szCs w:val="24"/>
        </w:rPr>
        <w:t>二</w:t>
      </w:r>
      <w:bookmarkEnd w:id="490"/>
      <w:r>
        <w:rPr>
          <w:color w:val="000000"/>
          <w:spacing w:val="0"/>
          <w:w w:val="100"/>
          <w:position w:val="0"/>
          <w:sz w:val="24"/>
          <w:szCs w:val="24"/>
        </w:rPr>
        <w:t>、</w:t>
        <w:tab/>
        <w:t>社会责任情况</w:t>
      </w:r>
      <w:bookmarkEnd w:id="488"/>
      <w:bookmarkEnd w:id="489"/>
      <w:bookmarkEnd w:id="491"/>
    </w:p>
    <w:p>
      <w:pPr>
        <w:pStyle w:val="Style10"/>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具体内容请查看公司于巨潮资讯网刊登的《2021年度社会责任报告》。</w:t>
      </w:r>
    </w:p>
    <w:p>
      <w:pPr>
        <w:pStyle w:val="Style19"/>
        <w:keepNext/>
        <w:keepLines/>
        <w:widowControl w:val="0"/>
        <w:shd w:val="clear" w:color="auto" w:fill="auto"/>
        <w:tabs>
          <w:tab w:pos="517" w:val="left"/>
        </w:tabs>
        <w:bidi w:val="0"/>
        <w:spacing w:before="0" w:after="36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sz w:val="24"/>
          <w:szCs w:val="24"/>
        </w:rPr>
        <w:t>三</w:t>
      </w:r>
      <w:bookmarkEnd w:id="494"/>
      <w:r>
        <w:rPr>
          <w:color w:val="000000"/>
          <w:spacing w:val="0"/>
          <w:w w:val="100"/>
          <w:position w:val="0"/>
          <w:sz w:val="24"/>
          <w:szCs w:val="24"/>
        </w:rPr>
        <w:t>、</w:t>
        <w:tab/>
        <w:t>巩固拓展脱贫攻坚成果、乡村振兴的情况</w:t>
      </w:r>
      <w:bookmarkEnd w:id="492"/>
      <w:bookmarkEnd w:id="493"/>
      <w:bookmarkEnd w:id="495"/>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报告期内，公司尚未开展相关工作。</w:t>
      </w:r>
      <w:r>
        <w:br w:type="page"/>
      </w:r>
    </w:p>
    <w:p>
      <w:pPr>
        <w:pStyle w:val="Style8"/>
        <w:keepNext/>
        <w:keepLines/>
        <w:widowControl w:val="0"/>
        <w:shd w:val="clear" w:color="auto" w:fill="auto"/>
        <w:bidi w:val="0"/>
        <w:spacing w:before="0" w:after="540" w:line="240" w:lineRule="auto"/>
        <w:ind w:left="0" w:right="0" w:firstLine="0"/>
        <w:jc w:val="center"/>
      </w:pPr>
      <w:bookmarkStart w:id="496" w:name="bookmark496"/>
      <w:bookmarkStart w:id="497" w:name="bookmark497"/>
      <w:bookmarkStart w:id="498" w:name="bookmark498"/>
      <w:bookmarkStart w:id="499" w:name="bookmark499"/>
      <w:r>
        <w:rPr>
          <w:color w:val="000000"/>
          <w:spacing w:val="0"/>
          <w:w w:val="100"/>
          <w:position w:val="0"/>
        </w:rPr>
        <w:t>第六节重要事项</w:t>
      </w:r>
      <w:bookmarkEnd w:id="497"/>
      <w:bookmarkEnd w:id="498"/>
      <w:bookmarkEnd w:id="499"/>
      <w:bookmarkEnd w:id="496"/>
    </w:p>
    <w:p>
      <w:pPr>
        <w:pStyle w:val="Style19"/>
        <w:keepNext/>
        <w:keepLines/>
        <w:widowControl w:val="0"/>
        <w:shd w:val="clear" w:color="auto" w:fill="auto"/>
        <w:bidi w:val="0"/>
        <w:spacing w:before="0" w:after="28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一</w:t>
      </w:r>
      <w:bookmarkEnd w:id="502"/>
      <w:r>
        <w:rPr>
          <w:color w:val="000000"/>
          <w:spacing w:val="0"/>
          <w:w w:val="100"/>
          <w:position w:val="0"/>
          <w:sz w:val="24"/>
          <w:szCs w:val="24"/>
        </w:rPr>
        <w:t>、承诺事项履行情况</w:t>
      </w:r>
      <w:bookmarkEnd w:id="500"/>
      <w:bookmarkEnd w:id="501"/>
      <w:bookmarkEnd w:id="503"/>
    </w:p>
    <w:p>
      <w:pPr>
        <w:pStyle w:val="Style28"/>
        <w:keepNext/>
        <w:keepLines/>
        <w:widowControl w:val="0"/>
        <w:shd w:val="clear" w:color="auto" w:fill="auto"/>
        <w:bidi w:val="0"/>
        <w:spacing w:before="0" w:after="380" w:line="317" w:lineRule="exact"/>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1</w:t>
      </w:r>
      <w:bookmarkEnd w:id="506"/>
      <w:r>
        <w:rPr>
          <w:color w:val="000000"/>
          <w:spacing w:val="0"/>
          <w:w w:val="100"/>
          <w:position w:val="0"/>
        </w:rPr>
        <w:t>、公司实际控制人、股东、关联方、收购人以及公司等承诺相关方在报告期内履行完毕及截至报告期末 尚未履行完毕的承诺事项</w:t>
      </w:r>
      <w:bookmarkEnd w:id="504"/>
      <w:bookmarkEnd w:id="505"/>
      <w:bookmarkEnd w:id="507"/>
    </w:p>
    <w:p>
      <w:pPr>
        <w:pStyle w:val="Style21"/>
        <w:keepNext w:val="0"/>
        <w:keepLines w:val="0"/>
        <w:widowControl w:val="0"/>
        <w:shd w:val="clear" w:color="auto" w:fill="auto"/>
        <w:bidi w:val="0"/>
        <w:spacing w:before="0" w:after="0" w:line="240" w:lineRule="auto"/>
        <w:ind w:left="5" w:right="0" w:firstLine="0"/>
        <w:jc w:val="left"/>
        <w:rPr>
          <w:sz w:val="18"/>
          <w:szCs w:val="18"/>
        </w:rPr>
      </w:pPr>
      <w:r>
        <w:rPr>
          <w:b w:val="0"/>
          <w:bCs w:val="0"/>
          <w:color w:val="000000"/>
          <w:spacing w:val="0"/>
          <w:w w:val="100"/>
          <w:position w:val="0"/>
          <w:sz w:val="18"/>
          <w:szCs w:val="18"/>
        </w:rPr>
        <w:t>J</w:t>
      </w:r>
      <w:r>
        <w:rPr>
          <w:b w:val="0"/>
          <w:bCs w:val="0"/>
          <w:color w:val="000000"/>
          <w:spacing w:val="0"/>
          <w:w w:val="100"/>
          <w:position w:val="0"/>
          <w:sz w:val="18"/>
          <w:szCs w:val="18"/>
        </w:rPr>
        <w:t>适用口不适用</w:t>
      </w:r>
    </w:p>
    <w:tbl>
      <w:tblPr>
        <w:tblOverlap w:val="never"/>
        <w:jc w:val="center"/>
        <w:tblLayout w:type="fixed"/>
      </w:tblPr>
      <w:tblGrid>
        <w:gridCol w:w="1382"/>
        <w:gridCol w:w="2006"/>
        <w:gridCol w:w="1234"/>
        <w:gridCol w:w="2021"/>
        <w:gridCol w:w="960"/>
        <w:gridCol w:w="994"/>
        <w:gridCol w:w="9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履行情况</w:t>
            </w:r>
          </w:p>
        </w:tc>
      </w:tr>
      <w:tr>
        <w:trPr>
          <w:trHeight w:val="28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首次公开发行</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或再融资时所</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任红军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钟超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公司控股股东、实际控 制人任红军先生、钟超 女士作出以下承诺：不 越权干预公司经营管理 活动，不侵占公司利益。 若违反上述承诺给公司 或者股东造成损失的， 本人将依法承担相应责 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截至报告 期末，上 述承诺人 均遵守了 所做的承 诺。</w:t>
            </w:r>
          </w:p>
        </w:tc>
      </w:tr>
      <w:tr>
        <w:trPr>
          <w:trHeight w:val="726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任红军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高天增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焦桂东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李颖江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刘瑞玲</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刘威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尚 剑红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肖锋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徐克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张潇 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张小水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赵向阳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公司全体董事、高级管 理人员作出以下承诺：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、承诺不无偿或以不公 平条件向其他单位或者 个人输送利益，也不采 用其他方式损害公司利 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、承诺对个人职务 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承诺不动用公司资产从 事与其履行职责无关的 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、承 诺由董事会或薪酬委员 会制定的薪酬制度与公 司填补回报措施的执行 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、若公司 后续推出股权激励政 策，承诺拟公布的公司 股权激励的行权条件与 公司填补回报措施的执 行情况相挂钩。若违反 上述承诺给公司或者股 东造成损失的，本人将 依法承担相应责任。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截至报告 期末，上 述承诺人 均遵守了 所做的承 诺。</w:t>
            </w:r>
          </w:p>
        </w:tc>
      </w:tr>
    </w:tbl>
    <w:p>
      <w:pPr>
        <w:spacing w:lineRule="exact" w:line="1"/>
        <w:rPr>
          <w:sz w:val="2"/>
          <w:szCs w:val="2"/>
        </w:rPr>
      </w:pPr>
      <w:r>
        <w:br w:type="page"/>
      </w:r>
    </w:p>
    <w:tbl>
      <w:tblPr>
        <w:tblOverlap w:val="never"/>
        <w:jc w:val="right"/>
        <w:tblLayout w:type="fixed"/>
      </w:tblPr>
      <w:tblGrid>
        <w:gridCol w:w="2011"/>
        <w:gridCol w:w="1234"/>
        <w:gridCol w:w="2021"/>
        <w:gridCol w:w="960"/>
        <w:gridCol w:w="994"/>
        <w:gridCol w:w="979"/>
      </w:tblGrid>
      <w:tr>
        <w:trPr>
          <w:trHeight w:val="25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任红军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钟超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关于同业竞 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上市前，公司实际控制 人任红军、钟超承诺， 承诺将尽量避免与公司 进行关联交易，对于因 生产经营需要而发生的 关联交易，将严格按照 公司章程及相关法律法 规进行操作。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截至报告 期末，上 述承诺人 均遵守了 所做的承 诺。</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任红军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刘瑞玲</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张小水</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焦桂东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关于同业竞 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上市前，公司董事承诺 涉及关联交易事项时， 将严格按照公司章程及 相关法律法规规定，严 格履行董事的职责。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截至报告 期末，上 述承诺人 均遵守了 所做的承 诺。</w:t>
            </w: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刘瑞玲</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张小水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焦桂东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张艳丽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尚中锋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任红军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关于同业竞 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上市前，公司董事、监 事、高管承诺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、不存 在自营或为他人经营与 公司同类业务的情况；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、在担任公司职务期 间，不在任何地域以任 何形式从事可能与公司 构成同业竞争关系的活 动，同时督促其本人的 配偶、成年子女及其配 偶等主要亲属遵守上述 承诺的约束。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截至报告 期末，上 述承诺人 均遵守了 所做的承 诺。</w:t>
            </w: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任红军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钟超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关于同业竞 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上市前，公司实际控制 人及持股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以上股东 任红军、钟超承诺：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在其持有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以上股份 期间，不在任何地域以 任何形式从事可能与公 司构成同业竞争关系的 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、从第三方获得 的商业机会如果属于公 司主要业务范围之内 的，将告知公司并尽可 能协助公司取得该机 会；</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、不以任何形式从 事可能影响公司经营和 发展的业务或活动。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截至报告 期末，上 述承诺人 均遵守了 所做的承 诺。</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UBSAG;</w:t>
            </w:r>
            <w:r>
              <w:rPr>
                <w:color w:val="000000"/>
                <w:spacing w:val="0"/>
                <w:w w:val="100"/>
                <w:position w:val="0"/>
                <w:sz w:val="18"/>
                <w:szCs w:val="18"/>
              </w:rPr>
              <w:t>财通基金管理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华泰资产管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本人承诺：自汉 威科技集团股份有限公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截至报告 期末，上</w:t>
            </w:r>
          </w:p>
        </w:tc>
      </w:tr>
    </w:tbl>
    <w:tbl>
      <w:tblPr>
        <w:tblOverlap w:val="never"/>
        <w:jc w:val="center"/>
        <w:tblLayout w:type="fixed"/>
      </w:tblPr>
      <w:tblGrid>
        <w:gridCol w:w="1382"/>
        <w:gridCol w:w="2006"/>
        <w:gridCol w:w="1234"/>
        <w:gridCol w:w="2021"/>
        <w:gridCol w:w="960"/>
        <w:gridCol w:w="994"/>
        <w:gridCol w:w="979"/>
      </w:tblGrid>
      <w:tr>
        <w:trPr>
          <w:trHeight w:val="3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济南江山 投资合伙企业（有限合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宁波宁聚资产管理 中心（有限合伙）</w:t>
            </w:r>
            <w:r>
              <w:rPr>
                <w:color w:val="000000"/>
                <w:spacing w:val="0"/>
                <w:w w:val="100"/>
                <w:position w:val="0"/>
                <w:sz w:val="18"/>
                <w:szCs w:val="18"/>
              </w:rPr>
              <w:t>；</w:t>
            </w:r>
            <w:r>
              <w:rPr>
                <w:color w:val="000000"/>
                <w:spacing w:val="0"/>
                <w:w w:val="100"/>
                <w:position w:val="0"/>
                <w:sz w:val="18"/>
                <w:szCs w:val="18"/>
              </w:rPr>
              <w:t>诺德 基金管理有限公司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 海伯绅投资中心（有限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银河资本资产管 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中国国际 金融股份有限公司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中 国银河证券股份有限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司本次发行的股票上市 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个月内，不转 让本公司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本人所认购 的上述股份。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述承诺人 均遵守了 所做的承 诺。</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承诺是否按时 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widowControl w:val="0"/>
        <w:spacing w:after="259" w:line="1" w:lineRule="exact"/>
      </w:pPr>
    </w:p>
    <w:p>
      <w:pPr>
        <w:pStyle w:val="Style28"/>
        <w:keepNext/>
        <w:keepLines/>
        <w:widowControl w:val="0"/>
        <w:shd w:val="clear" w:color="auto" w:fill="auto"/>
        <w:bidi w:val="0"/>
        <w:spacing w:before="0" w:line="317" w:lineRule="exact"/>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2</w:t>
      </w:r>
      <w:bookmarkEnd w:id="510"/>
      <w:r>
        <w:rPr>
          <w:color w:val="000000"/>
          <w:spacing w:val="0"/>
          <w:w w:val="100"/>
          <w:position w:val="0"/>
        </w:rPr>
        <w:t>、公司资产或项目存在盈利预测，且报告期仍处在盈利预测期间，公司就资产或项目达到原盈利预测及 其原因做出说明</w:t>
      </w:r>
      <w:bookmarkEnd w:id="508"/>
      <w:bookmarkEnd w:id="509"/>
      <w:bookmarkEnd w:id="511"/>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tabs>
          <w:tab w:pos="512" w:val="left"/>
        </w:tabs>
        <w:bidi w:val="0"/>
        <w:spacing w:before="0" w:after="360" w:line="326" w:lineRule="exact"/>
        <w:ind w:left="0" w:right="0" w:firstLine="0"/>
        <w:jc w:val="left"/>
      </w:pPr>
      <w:bookmarkStart w:id="512" w:name="bookmark512"/>
      <w:bookmarkStart w:id="513" w:name="bookmark513"/>
      <w:bookmarkStart w:id="514" w:name="bookmark514"/>
      <w:bookmarkStart w:id="515" w:name="bookmark515"/>
      <w:r>
        <w:rPr>
          <w:color w:val="000000"/>
          <w:spacing w:val="0"/>
          <w:w w:val="100"/>
          <w:position w:val="0"/>
          <w:sz w:val="24"/>
          <w:szCs w:val="24"/>
        </w:rPr>
        <w:t>二</w:t>
      </w:r>
      <w:bookmarkEnd w:id="514"/>
      <w:r>
        <w:rPr>
          <w:color w:val="000000"/>
          <w:spacing w:val="0"/>
          <w:w w:val="100"/>
          <w:position w:val="0"/>
          <w:sz w:val="24"/>
          <w:szCs w:val="24"/>
        </w:rPr>
        <w:t>、</w:t>
        <w:tab/>
        <w:t>控股股东及其他关联方对上市公司的非经营性占用资金情况</w:t>
      </w:r>
      <w:bookmarkEnd w:id="512"/>
      <w:bookmarkEnd w:id="513"/>
      <w:bookmarkEnd w:id="51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19"/>
        <w:keepNext/>
        <w:keepLines/>
        <w:widowControl w:val="0"/>
        <w:shd w:val="clear" w:color="auto" w:fill="auto"/>
        <w:tabs>
          <w:tab w:pos="517" w:val="left"/>
        </w:tabs>
        <w:bidi w:val="0"/>
        <w:spacing w:before="0" w:after="360" w:line="326" w:lineRule="exact"/>
        <w:ind w:left="0" w:right="0" w:firstLine="0"/>
        <w:jc w:val="left"/>
      </w:pPr>
      <w:bookmarkStart w:id="516" w:name="bookmark516"/>
      <w:bookmarkStart w:id="517" w:name="bookmark517"/>
      <w:bookmarkStart w:id="518" w:name="bookmark518"/>
      <w:bookmarkStart w:id="519" w:name="bookmark519"/>
      <w:r>
        <w:rPr>
          <w:color w:val="000000"/>
          <w:spacing w:val="0"/>
          <w:w w:val="100"/>
          <w:position w:val="0"/>
          <w:sz w:val="24"/>
          <w:szCs w:val="24"/>
        </w:rPr>
        <w:t>三</w:t>
      </w:r>
      <w:bookmarkEnd w:id="518"/>
      <w:r>
        <w:rPr>
          <w:color w:val="000000"/>
          <w:spacing w:val="0"/>
          <w:w w:val="100"/>
          <w:position w:val="0"/>
          <w:sz w:val="24"/>
          <w:szCs w:val="24"/>
        </w:rPr>
        <w:t>、</w:t>
        <w:tab/>
        <w:t>违规对外担保情况</w:t>
      </w:r>
      <w:bookmarkEnd w:id="516"/>
      <w:bookmarkEnd w:id="517"/>
      <w:bookmarkEnd w:id="51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公司报告期无违规对外担保情况。</w:t>
      </w:r>
    </w:p>
    <w:p>
      <w:pPr>
        <w:pStyle w:val="Style19"/>
        <w:keepNext/>
        <w:keepLines/>
        <w:widowControl w:val="0"/>
        <w:shd w:val="clear" w:color="auto" w:fill="auto"/>
        <w:tabs>
          <w:tab w:pos="517" w:val="left"/>
        </w:tabs>
        <w:bidi w:val="0"/>
        <w:spacing w:before="0" w:after="360" w:line="326" w:lineRule="exact"/>
        <w:ind w:left="0" w:right="0" w:firstLine="0"/>
        <w:jc w:val="left"/>
      </w:pPr>
      <w:bookmarkStart w:id="520" w:name="bookmark520"/>
      <w:bookmarkStart w:id="521" w:name="bookmark521"/>
      <w:bookmarkStart w:id="522" w:name="bookmark522"/>
      <w:bookmarkStart w:id="523" w:name="bookmark523"/>
      <w:r>
        <w:rPr>
          <w:color w:val="000000"/>
          <w:spacing w:val="0"/>
          <w:w w:val="100"/>
          <w:position w:val="0"/>
          <w:sz w:val="24"/>
          <w:szCs w:val="24"/>
        </w:rPr>
        <w:t>四</w:t>
      </w:r>
      <w:bookmarkEnd w:id="522"/>
      <w:r>
        <w:rPr>
          <w:color w:val="000000"/>
          <w:spacing w:val="0"/>
          <w:w w:val="100"/>
          <w:position w:val="0"/>
          <w:sz w:val="24"/>
          <w:szCs w:val="24"/>
        </w:rPr>
        <w:t>、</w:t>
        <w:tab/>
        <w:t>董事会对最近一期“非标准审计报告”相关情况的说明</w:t>
      </w:r>
      <w:bookmarkEnd w:id="520"/>
      <w:bookmarkEnd w:id="521"/>
      <w:bookmarkEnd w:id="523"/>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tabs>
          <w:tab w:pos="517" w:val="left"/>
        </w:tabs>
        <w:bidi w:val="0"/>
        <w:spacing w:before="0" w:after="360" w:line="326" w:lineRule="exact"/>
        <w:ind w:left="0" w:right="0" w:firstLine="0"/>
        <w:jc w:val="left"/>
      </w:pPr>
      <w:bookmarkStart w:id="524" w:name="bookmark524"/>
      <w:bookmarkStart w:id="525" w:name="bookmark525"/>
      <w:bookmarkStart w:id="526" w:name="bookmark526"/>
      <w:bookmarkStart w:id="527" w:name="bookmark527"/>
      <w:r>
        <w:rPr>
          <w:color w:val="000000"/>
          <w:spacing w:val="0"/>
          <w:w w:val="100"/>
          <w:position w:val="0"/>
          <w:sz w:val="24"/>
          <w:szCs w:val="24"/>
        </w:rPr>
        <w:t>五</w:t>
      </w:r>
      <w:bookmarkEnd w:id="526"/>
      <w:r>
        <w:rPr>
          <w:color w:val="000000"/>
          <w:spacing w:val="0"/>
          <w:w w:val="100"/>
          <w:position w:val="0"/>
          <w:sz w:val="24"/>
          <w:szCs w:val="24"/>
        </w:rPr>
        <w:t>、</w:t>
        <w:tab/>
        <w:t>董事会、监事会、独立董事（如有）对会计师事务所本报告期“非标准审计报告”的说 明</w:t>
      </w:r>
      <w:bookmarkEnd w:id="524"/>
      <w:bookmarkEnd w:id="525"/>
      <w:bookmarkEnd w:id="527"/>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tabs>
          <w:tab w:pos="517" w:val="left"/>
        </w:tabs>
        <w:bidi w:val="0"/>
        <w:spacing w:before="0" w:after="360" w:line="326" w:lineRule="exact"/>
        <w:ind w:left="0" w:right="0" w:firstLine="0"/>
        <w:jc w:val="left"/>
      </w:pPr>
      <w:bookmarkStart w:id="528" w:name="bookmark528"/>
      <w:bookmarkStart w:id="529" w:name="bookmark529"/>
      <w:bookmarkStart w:id="530" w:name="bookmark530"/>
      <w:bookmarkStart w:id="531" w:name="bookmark531"/>
      <w:r>
        <w:rPr>
          <w:color w:val="000000"/>
          <w:spacing w:val="0"/>
          <w:w w:val="100"/>
          <w:position w:val="0"/>
          <w:sz w:val="24"/>
          <w:szCs w:val="24"/>
        </w:rPr>
        <w:t>六</w:t>
      </w:r>
      <w:bookmarkEnd w:id="530"/>
      <w:r>
        <w:rPr>
          <w:color w:val="000000"/>
          <w:spacing w:val="0"/>
          <w:w w:val="100"/>
          <w:position w:val="0"/>
          <w:sz w:val="24"/>
          <w:szCs w:val="24"/>
        </w:rPr>
        <w:t>、</w:t>
        <w:tab/>
        <w:t>董事会关于报告期会计政策、会计估计变更或重大会计差错更正的说明</w:t>
      </w:r>
      <w:bookmarkEnd w:id="528"/>
      <w:bookmarkEnd w:id="529"/>
      <w:bookmarkEnd w:id="531"/>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10"/>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财政部于2018年度修订了《企业会计准则第21号</w:t>
      </w:r>
      <w:r>
        <w:rPr>
          <w:color w:val="000000"/>
          <w:spacing w:val="0"/>
          <w:w w:val="100"/>
          <w:position w:val="0"/>
        </w:rPr>
        <w:t>一一</w:t>
      </w:r>
      <w:r>
        <w:rPr>
          <w:color w:val="000000"/>
          <w:spacing w:val="0"/>
          <w:w w:val="100"/>
          <w:position w:val="0"/>
        </w:rPr>
        <w:t>租赁》（简称“新租赁准则”）。本公司自2021年1</w:t>
      </w:r>
    </w:p>
    <w:p>
      <w:pPr>
        <w:pStyle w:val="Style10"/>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月1日起执行新租赁准则。根据准则的规定，本公司仅对在首次执行日尚未完成的合同的累积影响数调整</w:t>
      </w:r>
      <w:r>
        <w:br w:type="page"/>
      </w:r>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rPr>
        <w:t>2021年年初留存收益以及财务报表其他相关项目金额，比较财务报表不做调整。执行该准则的主要影响如</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下：</w:t>
      </w:r>
    </w:p>
    <w:tbl>
      <w:tblPr>
        <w:tblOverlap w:val="never"/>
        <w:jc w:val="center"/>
        <w:tblLayout w:type="fixed"/>
      </w:tblPr>
      <w:tblGrid>
        <w:gridCol w:w="2122"/>
        <w:gridCol w:w="2986"/>
        <w:gridCol w:w="1786"/>
        <w:gridCol w:w="2765"/>
      </w:tblGrid>
      <w:tr>
        <w:trPr>
          <w:trHeight w:val="350"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合并资产负债表项目</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会计政策变更前</w:t>
            </w: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新租赁准则影响金额</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会计政策变更后</w:t>
            </w:r>
            <w:r>
              <w:rPr>
                <w:color w:val="000000"/>
                <w:spacing w:val="0"/>
                <w:w w:val="100"/>
                <w:position w:val="0"/>
                <w:sz w:val="18"/>
                <w:szCs w:val="18"/>
              </w:rPr>
              <w:t>2021</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1</w:t>
            </w:r>
            <w:r>
              <w:rPr>
                <w:color w:val="000000"/>
                <w:spacing w:val="0"/>
                <w:w w:val="100"/>
                <w:position w:val="0"/>
                <w:sz w:val="18"/>
                <w:szCs w:val="18"/>
              </w:rPr>
              <w:t>日余额</w:t>
            </w:r>
          </w:p>
        </w:tc>
      </w:tr>
      <w:tr>
        <w:trPr>
          <w:trHeight w:val="350"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4,730,856.41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4,730,856.41</w:t>
            </w:r>
          </w:p>
        </w:tc>
      </w:tr>
      <w:tr>
        <w:trPr>
          <w:trHeight w:val="346"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C0C0C0"/>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14,099,574.39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1,326,385.36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15,425,959.75</w:t>
            </w:r>
          </w:p>
        </w:tc>
      </w:tr>
      <w:tr>
        <w:trPr>
          <w:trHeight w:val="360" w:hRule="exact"/>
        </w:trPr>
        <w:tc>
          <w:tcPr>
            <w:tcBorders>
              <w:top w:val="single" w:sz="4"/>
              <w:left w:val="single" w:sz="4"/>
              <w:bottom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3,404,471.05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3,404,471.05</w:t>
            </w:r>
          </w:p>
        </w:tc>
      </w:tr>
    </w:tbl>
    <w:p>
      <w:pPr>
        <w:pStyle w:val="Style10"/>
        <w:keepNext w:val="0"/>
        <w:keepLines w:val="0"/>
        <w:widowControl w:val="0"/>
        <w:shd w:val="clear" w:color="auto" w:fill="auto"/>
        <w:bidi w:val="0"/>
        <w:spacing w:before="0" w:after="0" w:line="475" w:lineRule="exact"/>
        <w:ind w:left="0" w:right="0" w:firstLine="440"/>
        <w:jc w:val="left"/>
      </w:pPr>
      <w:r>
        <w:rPr>
          <w:color w:val="000000"/>
          <w:spacing w:val="0"/>
          <w:w w:val="100"/>
          <w:position w:val="0"/>
        </w:rPr>
        <w:t>财政部于2021年2月2日发布了《企业会计准则解释第14号》（财会〔2021） 1号，以下简称“解释第14 号”），自公布之日起施行。2021年1月1日至施行日新增的有关业务，根据解释第14号进行调整。</w:t>
      </w:r>
    </w:p>
    <w:p>
      <w:pPr>
        <w:pStyle w:val="Style10"/>
        <w:keepNext w:val="0"/>
        <w:keepLines w:val="0"/>
        <w:widowControl w:val="0"/>
        <w:shd w:val="clear" w:color="auto" w:fill="auto"/>
        <w:bidi w:val="0"/>
        <w:spacing w:before="0" w:after="120" w:line="474" w:lineRule="exact"/>
        <w:ind w:left="0" w:right="0" w:firstLine="440"/>
        <w:jc w:val="left"/>
      </w:pPr>
      <w:r>
        <w:rPr>
          <w:color w:val="000000"/>
          <w:spacing w:val="0"/>
          <w:w w:val="100"/>
          <w:position w:val="0"/>
        </w:rPr>
        <w:t>解释第14号适用于同时符合该解释所述“双特征”和“双控制”的</w:t>
      </w:r>
      <w:r>
        <w:rPr>
          <w:color w:val="000000"/>
          <w:spacing w:val="0"/>
          <w:w w:val="100"/>
          <w:position w:val="0"/>
        </w:rPr>
        <w:t>PPP</w:t>
      </w:r>
      <w:r>
        <w:rPr>
          <w:color w:val="000000"/>
          <w:spacing w:val="0"/>
          <w:w w:val="100"/>
          <w:position w:val="0"/>
        </w:rPr>
        <w:t>项目合同，对于2020年12月31 日前开始实施且至施行日尚未完成的有关</w:t>
      </w:r>
      <w:r>
        <w:rPr>
          <w:color w:val="000000"/>
          <w:spacing w:val="0"/>
          <w:w w:val="100"/>
          <w:position w:val="0"/>
        </w:rPr>
        <w:t>PPP</w:t>
      </w:r>
      <w:r>
        <w:rPr>
          <w:color w:val="000000"/>
          <w:spacing w:val="0"/>
          <w:w w:val="100"/>
          <w:position w:val="0"/>
        </w:rPr>
        <w:t>项目合同应进行追溯调整，追溯调整不切实可行的，从可追 溯调整的最早期间期初开始应用，累计影响数调整施行日当年年年初留存收益以及财务报表其他相关项 目，对可比期间信息不予调整。本公司执行该规定的主要影响如下：</w:t>
      </w:r>
    </w:p>
    <w:tbl>
      <w:tblPr>
        <w:tblOverlap w:val="never"/>
        <w:jc w:val="center"/>
        <w:tblLayout w:type="fixed"/>
      </w:tblPr>
      <w:tblGrid>
        <w:gridCol w:w="1723"/>
        <w:gridCol w:w="2971"/>
        <w:gridCol w:w="2174"/>
        <w:gridCol w:w="2798"/>
      </w:tblGrid>
      <w:tr>
        <w:trPr>
          <w:trHeight w:val="350"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合并资产负债表项目</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会计政策变更前</w:t>
            </w: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解释第</w:t>
            </w:r>
            <w:r>
              <w:rPr>
                <w:color w:val="000000"/>
                <w:spacing w:val="0"/>
                <w:w w:val="100"/>
                <w:position w:val="0"/>
                <w:sz w:val="18"/>
                <w:szCs w:val="18"/>
              </w:rPr>
              <w:t>14</w:t>
            </w:r>
            <w:r>
              <w:rPr>
                <w:color w:val="000000"/>
                <w:spacing w:val="0"/>
                <w:w w:val="100"/>
                <w:position w:val="0"/>
                <w:sz w:val="18"/>
                <w:szCs w:val="18"/>
              </w:rPr>
              <w:t>号影响金额</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会计政策变更后</w:t>
            </w:r>
            <w:r>
              <w:rPr>
                <w:color w:val="000000"/>
                <w:spacing w:val="0"/>
                <w:w w:val="100"/>
                <w:position w:val="0"/>
                <w:sz w:val="18"/>
                <w:szCs w:val="18"/>
              </w:rPr>
              <w:t>2021</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1</w:t>
            </w:r>
            <w:r>
              <w:rPr>
                <w:color w:val="000000"/>
                <w:spacing w:val="0"/>
                <w:w w:val="100"/>
                <w:position w:val="0"/>
                <w:sz w:val="18"/>
                <w:szCs w:val="18"/>
              </w:rPr>
              <w:t>日余额</w:t>
            </w:r>
          </w:p>
        </w:tc>
      </w:tr>
      <w:tr>
        <w:trPr>
          <w:trHeight w:val="346"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C0C0C0"/>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592,535,454.63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-31,400,865.17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561,134,589.46</w:t>
            </w:r>
          </w:p>
        </w:tc>
      </w:tr>
      <w:tr>
        <w:trPr>
          <w:trHeight w:val="346" w:hRule="exact"/>
        </w:trPr>
        <w:tc>
          <w:tcPr>
            <w:tcBorders>
              <w:top w:val="single" w:sz="4"/>
              <w:left w:val="single" w:sz="4"/>
            </w:tcBorders>
            <w:shd w:val="clear" w:color="auto" w:fill="C0C0C0"/>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79,549,641.69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-5,452,389.65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74,097,252.04</w:t>
            </w:r>
          </w:p>
        </w:tc>
      </w:tr>
      <w:tr>
        <w:trPr>
          <w:trHeight w:val="346"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31,561,191.14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-22,759,322.95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8,801,868.19</w:t>
            </w:r>
          </w:p>
        </w:tc>
      </w:tr>
      <w:tr>
        <w:trPr>
          <w:trHeight w:val="346" w:hRule="exact"/>
        </w:trPr>
        <w:tc>
          <w:tcPr>
            <w:tcBorders>
              <w:top w:val="single" w:sz="4"/>
              <w:left w:val="single" w:sz="4"/>
            </w:tcBorders>
            <w:shd w:val="clear" w:color="auto" w:fill="C0C0C0"/>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18,665,050.23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-11,866,514.96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6,798,535.27</w:t>
            </w:r>
          </w:p>
        </w:tc>
      </w:tr>
      <w:tr>
        <w:trPr>
          <w:trHeight w:val="346"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595,092,730.85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-1,885,871.43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593,206,859.42</w:t>
            </w:r>
          </w:p>
        </w:tc>
      </w:tr>
      <w:tr>
        <w:trPr>
          <w:trHeight w:val="355" w:hRule="exact"/>
        </w:trPr>
        <w:tc>
          <w:tcPr>
            <w:tcBorders>
              <w:top w:val="single" w:sz="4"/>
              <w:left w:val="single" w:sz="4"/>
              <w:bottom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547,685,884.17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-341,545.48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547,344,338.69</w:t>
            </w:r>
          </w:p>
        </w:tc>
      </w:tr>
    </w:tbl>
    <w:p>
      <w:pPr>
        <w:widowControl w:val="0"/>
        <w:spacing w:after="619" w:line="1" w:lineRule="exact"/>
      </w:pPr>
    </w:p>
    <w:p>
      <w:pPr>
        <w:pStyle w:val="Style19"/>
        <w:keepNext/>
        <w:keepLines/>
        <w:widowControl w:val="0"/>
        <w:shd w:val="clear" w:color="auto" w:fill="auto"/>
        <w:tabs>
          <w:tab w:pos="517" w:val="left"/>
        </w:tabs>
        <w:bidi w:val="0"/>
        <w:spacing w:before="0" w:after="36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sz w:val="24"/>
          <w:szCs w:val="24"/>
        </w:rPr>
        <w:t>七</w:t>
      </w:r>
      <w:bookmarkEnd w:id="534"/>
      <w:r>
        <w:rPr>
          <w:color w:val="000000"/>
          <w:spacing w:val="0"/>
          <w:w w:val="100"/>
          <w:position w:val="0"/>
          <w:sz w:val="24"/>
          <w:szCs w:val="24"/>
        </w:rPr>
        <w:t>、</w:t>
        <w:tab/>
        <w:t>与上年度财务报告相比，合并报表范围发生变化的情况说明</w:t>
      </w:r>
      <w:bookmarkEnd w:id="532"/>
      <w:bookmarkEnd w:id="533"/>
      <w:bookmarkEnd w:id="535"/>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报告期内，合并范围新增</w:t>
      </w:r>
      <w:r>
        <w:rPr>
          <w:rFonts w:ascii="Times New Roman" w:eastAsia="Times New Roman" w:hAnsi="Times New Roman" w:cs="Times New Roman"/>
          <w:color w:val="000000"/>
          <w:spacing w:val="0"/>
          <w:w w:val="100"/>
          <w:position w:val="0"/>
        </w:rPr>
        <w:t>2</w:t>
      </w:r>
      <w:r>
        <w:rPr>
          <w:color w:val="000000"/>
          <w:spacing w:val="0"/>
          <w:w w:val="100"/>
          <w:position w:val="0"/>
        </w:rPr>
        <w:t>家，为深圳汉威、苏州柔智。</w:t>
      </w:r>
    </w:p>
    <w:p>
      <w:pPr>
        <w:pStyle w:val="Style19"/>
        <w:keepNext/>
        <w:keepLines/>
        <w:widowControl w:val="0"/>
        <w:shd w:val="clear" w:color="auto" w:fill="auto"/>
        <w:tabs>
          <w:tab w:pos="517" w:val="left"/>
        </w:tabs>
        <w:bidi w:val="0"/>
        <w:spacing w:before="0" w:after="36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sz w:val="24"/>
          <w:szCs w:val="24"/>
        </w:rPr>
        <w:t>八</w:t>
      </w:r>
      <w:bookmarkEnd w:id="538"/>
      <w:r>
        <w:rPr>
          <w:color w:val="000000"/>
          <w:spacing w:val="0"/>
          <w:w w:val="100"/>
          <w:position w:val="0"/>
          <w:sz w:val="24"/>
          <w:szCs w:val="24"/>
        </w:rPr>
        <w:t>、</w:t>
        <w:tab/>
        <w:t>聘任、解聘会计师事务所情况</w:t>
      </w:r>
      <w:bookmarkEnd w:id="536"/>
      <w:bookmarkEnd w:id="537"/>
      <w:bookmarkEnd w:id="539"/>
    </w:p>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杨东升、吴可方</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36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sz w:val="24"/>
          <w:szCs w:val="24"/>
        </w:rPr>
        <w:t>九</w:t>
      </w:r>
      <w:bookmarkEnd w:id="542"/>
      <w:r>
        <w:rPr>
          <w:color w:val="000000"/>
          <w:spacing w:val="0"/>
          <w:w w:val="100"/>
          <w:position w:val="0"/>
          <w:sz w:val="24"/>
          <w:szCs w:val="24"/>
        </w:rPr>
        <w:t>、年度报告披露后面临退市情况</w:t>
      </w:r>
      <w:bookmarkEnd w:id="540"/>
      <w:bookmarkEnd w:id="541"/>
      <w:bookmarkEnd w:id="543"/>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360" w:line="240" w:lineRule="auto"/>
        <w:ind w:left="0" w:right="0" w:firstLine="0"/>
        <w:jc w:val="left"/>
      </w:pPr>
      <w:bookmarkStart w:id="544" w:name="bookmark544"/>
      <w:bookmarkStart w:id="545" w:name="bookmark545"/>
      <w:bookmarkStart w:id="546" w:name="bookmark546"/>
      <w:r>
        <w:rPr>
          <w:color w:val="000000"/>
          <w:spacing w:val="0"/>
          <w:w w:val="100"/>
          <w:position w:val="0"/>
          <w:sz w:val="24"/>
          <w:szCs w:val="24"/>
        </w:rPr>
        <w:t>十、破产重整相关事项</w:t>
      </w:r>
      <w:bookmarkEnd w:id="544"/>
      <w:bookmarkEnd w:id="545"/>
      <w:bookmarkEnd w:id="54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19"/>
        <w:keepNext/>
        <w:keepLines/>
        <w:widowControl w:val="0"/>
        <w:shd w:val="clear" w:color="auto" w:fill="auto"/>
        <w:bidi w:val="0"/>
        <w:spacing w:before="0" w:after="360" w:line="240" w:lineRule="auto"/>
        <w:ind w:left="0" w:right="0" w:firstLine="0"/>
        <w:jc w:val="left"/>
      </w:pPr>
      <w:bookmarkStart w:id="547" w:name="bookmark547"/>
      <w:bookmarkStart w:id="548" w:name="bookmark548"/>
      <w:bookmarkStart w:id="549" w:name="bookmark549"/>
      <w:r>
        <w:rPr>
          <w:color w:val="000000"/>
          <w:spacing w:val="0"/>
          <w:w w:val="100"/>
          <w:position w:val="0"/>
          <w:sz w:val="24"/>
          <w:szCs w:val="24"/>
        </w:rPr>
        <w:t>十一、重大诉讼、仲裁事项</w:t>
      </w:r>
      <w:bookmarkEnd w:id="547"/>
      <w:bookmarkEnd w:id="548"/>
      <w:bookmarkEnd w:id="54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19"/>
        <w:keepNext/>
        <w:keepLines/>
        <w:widowControl w:val="0"/>
        <w:shd w:val="clear" w:color="auto" w:fill="auto"/>
        <w:bidi w:val="0"/>
        <w:spacing w:before="0" w:after="360" w:line="240" w:lineRule="auto"/>
        <w:ind w:left="0" w:right="0" w:firstLine="0"/>
        <w:jc w:val="left"/>
      </w:pPr>
      <w:bookmarkStart w:id="550" w:name="bookmark550"/>
      <w:bookmarkStart w:id="551" w:name="bookmark551"/>
      <w:bookmarkStart w:id="552" w:name="bookmark552"/>
      <w:r>
        <w:rPr>
          <w:color w:val="000000"/>
          <w:spacing w:val="0"/>
          <w:w w:val="100"/>
          <w:position w:val="0"/>
          <w:sz w:val="24"/>
          <w:szCs w:val="24"/>
        </w:rPr>
        <w:t>十二、处罚及整改情况</w:t>
      </w:r>
      <w:bookmarkEnd w:id="550"/>
      <w:bookmarkEnd w:id="551"/>
      <w:bookmarkEnd w:id="55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19"/>
        <w:keepNext/>
        <w:keepLines/>
        <w:widowControl w:val="0"/>
        <w:shd w:val="clear" w:color="auto" w:fill="auto"/>
        <w:bidi w:val="0"/>
        <w:spacing w:before="0" w:after="360" w:line="240" w:lineRule="auto"/>
        <w:ind w:left="0" w:right="0" w:firstLine="0"/>
        <w:jc w:val="left"/>
      </w:pPr>
      <w:bookmarkStart w:id="553" w:name="bookmark553"/>
      <w:bookmarkStart w:id="554" w:name="bookmark554"/>
      <w:bookmarkStart w:id="555" w:name="bookmark555"/>
      <w:r>
        <w:rPr>
          <w:color w:val="000000"/>
          <w:spacing w:val="0"/>
          <w:w w:val="100"/>
          <w:position w:val="0"/>
          <w:sz w:val="24"/>
          <w:szCs w:val="24"/>
        </w:rPr>
        <w:t>十三、公司及其控股股东、实际控制人的诚信状况</w:t>
      </w:r>
      <w:bookmarkEnd w:id="553"/>
      <w:bookmarkEnd w:id="554"/>
      <w:bookmarkEnd w:id="555"/>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360" w:line="240" w:lineRule="auto"/>
        <w:ind w:left="0" w:right="0" w:firstLine="0"/>
        <w:jc w:val="left"/>
      </w:pPr>
      <w:bookmarkStart w:id="556" w:name="bookmark556"/>
      <w:bookmarkStart w:id="557" w:name="bookmark557"/>
      <w:bookmarkStart w:id="558" w:name="bookmark558"/>
      <w:r>
        <w:rPr>
          <w:color w:val="000000"/>
          <w:spacing w:val="0"/>
          <w:w w:val="100"/>
          <w:position w:val="0"/>
          <w:sz w:val="24"/>
          <w:szCs w:val="24"/>
        </w:rPr>
        <w:t>十四、重大关联交易</w:t>
      </w:r>
      <w:bookmarkEnd w:id="556"/>
      <w:bookmarkEnd w:id="557"/>
      <w:bookmarkEnd w:id="558"/>
    </w:p>
    <w:p>
      <w:pPr>
        <w:pStyle w:val="Style28"/>
        <w:keepNext/>
        <w:keepLines/>
        <w:widowControl w:val="0"/>
        <w:shd w:val="clear" w:color="auto" w:fill="auto"/>
        <w:tabs>
          <w:tab w:pos="368" w:val="left"/>
        </w:tabs>
        <w:bidi w:val="0"/>
        <w:spacing w:before="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color w:val="000000"/>
          <w:spacing w:val="0"/>
          <w:w w:val="100"/>
          <w:position w:val="0"/>
        </w:rPr>
        <w:t>、</w:t>
        <w:tab/>
        <w:t>与日常经营相关的关联交易</w:t>
      </w:r>
      <w:bookmarkEnd w:id="559"/>
      <w:bookmarkEnd w:id="560"/>
      <w:bookmarkEnd w:id="56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2</w:t>
      </w:r>
      <w:bookmarkEnd w:id="565"/>
      <w:r>
        <w:rPr>
          <w:color w:val="000000"/>
          <w:spacing w:val="0"/>
          <w:w w:val="100"/>
          <w:position w:val="0"/>
        </w:rPr>
        <w:t>、</w:t>
        <w:tab/>
        <w:t>资产或股权收购、出售发生的关联交易</w:t>
      </w:r>
      <w:bookmarkEnd w:id="563"/>
      <w:bookmarkEnd w:id="564"/>
      <w:bookmarkEnd w:id="56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3</w:t>
      </w:r>
      <w:bookmarkEnd w:id="569"/>
      <w:r>
        <w:rPr>
          <w:color w:val="000000"/>
          <w:spacing w:val="0"/>
          <w:w w:val="100"/>
          <w:position w:val="0"/>
        </w:rPr>
        <w:t>、</w:t>
        <w:tab/>
        <w:t>共同对外投资的关联交易</w:t>
      </w:r>
      <w:bookmarkEnd w:id="567"/>
      <w:bookmarkEnd w:id="568"/>
      <w:bookmarkEnd w:id="57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4</w:t>
      </w:r>
      <w:bookmarkEnd w:id="573"/>
      <w:r>
        <w:rPr>
          <w:color w:val="000000"/>
          <w:spacing w:val="0"/>
          <w:w w:val="100"/>
          <w:position w:val="0"/>
        </w:rPr>
        <w:t>、</w:t>
        <w:tab/>
        <w:t>关联债权债务往来</w:t>
      </w:r>
      <w:bookmarkEnd w:id="571"/>
      <w:bookmarkEnd w:id="572"/>
      <w:bookmarkEnd w:id="57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28"/>
        <w:keepNext/>
        <w:keepLines/>
        <w:widowControl w:val="0"/>
        <w:shd w:val="clear" w:color="auto" w:fill="auto"/>
        <w:tabs>
          <w:tab w:pos="378" w:val="left"/>
        </w:tabs>
        <w:bidi w:val="0"/>
        <w:spacing w:before="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5</w:t>
      </w:r>
      <w:bookmarkEnd w:id="577"/>
      <w:r>
        <w:rPr>
          <w:color w:val="000000"/>
          <w:spacing w:val="0"/>
          <w:w w:val="100"/>
          <w:position w:val="0"/>
        </w:rPr>
        <w:t>、</w:t>
        <w:tab/>
        <w:t>与存在关联关系的财务公司的往来情况</w:t>
      </w:r>
      <w:bookmarkEnd w:id="575"/>
      <w:bookmarkEnd w:id="576"/>
      <w:bookmarkEnd w:id="57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378" w:val="left"/>
        </w:tabs>
        <w:bidi w:val="0"/>
        <w:spacing w:before="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6</w:t>
      </w:r>
      <w:bookmarkEnd w:id="581"/>
      <w:r>
        <w:rPr>
          <w:color w:val="000000"/>
          <w:spacing w:val="0"/>
          <w:w w:val="100"/>
          <w:position w:val="0"/>
        </w:rPr>
        <w:t>、</w:t>
        <w:tab/>
        <w:t>公司控股的财务公司与关联方的往来情况</w:t>
      </w:r>
      <w:bookmarkEnd w:id="579"/>
      <w:bookmarkEnd w:id="580"/>
      <w:bookmarkEnd w:id="58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378" w:val="left"/>
        </w:tabs>
        <w:bidi w:val="0"/>
        <w:spacing w:before="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7</w:t>
      </w:r>
      <w:bookmarkEnd w:id="585"/>
      <w:r>
        <w:rPr>
          <w:color w:val="000000"/>
          <w:spacing w:val="0"/>
          <w:w w:val="100"/>
          <w:position w:val="0"/>
        </w:rPr>
        <w:t>、</w:t>
        <w:tab/>
        <w:t>其他重大关联交易</w:t>
      </w:r>
      <w:bookmarkEnd w:id="583"/>
      <w:bookmarkEnd w:id="584"/>
      <w:bookmarkEnd w:id="58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19"/>
        <w:keepNext/>
        <w:keepLines/>
        <w:widowControl w:val="0"/>
        <w:shd w:val="clear" w:color="auto" w:fill="auto"/>
        <w:bidi w:val="0"/>
        <w:spacing w:before="0" w:after="360" w:line="240" w:lineRule="auto"/>
        <w:ind w:left="0" w:right="0" w:firstLine="0"/>
        <w:jc w:val="left"/>
      </w:pPr>
      <w:bookmarkStart w:id="587" w:name="bookmark587"/>
      <w:bookmarkStart w:id="588" w:name="bookmark588"/>
      <w:bookmarkStart w:id="589" w:name="bookmark589"/>
      <w:r>
        <w:rPr>
          <w:color w:val="000000"/>
          <w:spacing w:val="0"/>
          <w:w w:val="100"/>
          <w:position w:val="0"/>
          <w:sz w:val="24"/>
          <w:szCs w:val="24"/>
        </w:rPr>
        <w:t>十五、重大合同及其履行情况</w:t>
      </w:r>
      <w:bookmarkEnd w:id="587"/>
      <w:bookmarkEnd w:id="588"/>
      <w:bookmarkEnd w:id="589"/>
    </w:p>
    <w:p>
      <w:pPr>
        <w:pStyle w:val="Style28"/>
        <w:keepNext/>
        <w:keepLines/>
        <w:widowControl w:val="0"/>
        <w:shd w:val="clear" w:color="auto" w:fill="auto"/>
        <w:bidi w:val="0"/>
        <w:spacing w:before="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bookmarkEnd w:id="592"/>
      <w:r>
        <w:rPr>
          <w:color w:val="000000"/>
          <w:spacing w:val="0"/>
          <w:w w:val="100"/>
          <w:position w:val="0"/>
        </w:rPr>
        <w:t>、托管、承包、租赁事项情况</w:t>
      </w:r>
      <w:bookmarkEnd w:id="590"/>
      <w:bookmarkEnd w:id="591"/>
      <w:bookmarkEnd w:id="593"/>
    </w:p>
    <w:p>
      <w:pPr>
        <w:pStyle w:val="Style28"/>
        <w:keepNext/>
        <w:keepLines/>
        <w:widowControl w:val="0"/>
        <w:numPr>
          <w:ilvl w:val="0"/>
          <w:numId w:val="13"/>
        </w:numPr>
        <w:shd w:val="clear" w:color="auto" w:fill="auto"/>
        <w:tabs>
          <w:tab w:pos="493" w:val="left"/>
        </w:tabs>
        <w:bidi w:val="0"/>
        <w:spacing w:before="0" w:line="240" w:lineRule="auto"/>
        <w:ind w:left="0" w:right="0" w:firstLine="0"/>
        <w:jc w:val="left"/>
      </w:pPr>
      <w:bookmarkStart w:id="590" w:name="bookmark590"/>
      <w:bookmarkStart w:id="591" w:name="bookmark591"/>
      <w:bookmarkStart w:id="594" w:name="bookmark594"/>
      <w:bookmarkStart w:id="595" w:name="bookmark595"/>
      <w:bookmarkEnd w:id="594"/>
      <w:r>
        <w:rPr>
          <w:color w:val="000000"/>
          <w:spacing w:val="0"/>
          <w:w w:val="100"/>
          <w:position w:val="0"/>
        </w:rPr>
        <w:t>托管情况</w:t>
      </w:r>
      <w:bookmarkEnd w:id="590"/>
      <w:bookmarkEnd w:id="591"/>
      <w:bookmarkEnd w:id="59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10"/>
        <w:keepNext w:val="0"/>
        <w:keepLines w:val="0"/>
        <w:widowControl w:val="0"/>
        <w:numPr>
          <w:ilvl w:val="0"/>
          <w:numId w:val="13"/>
        </w:numPr>
        <w:shd w:val="clear" w:color="auto" w:fill="auto"/>
        <w:tabs>
          <w:tab w:pos="493" w:val="left"/>
        </w:tabs>
        <w:bidi w:val="0"/>
        <w:spacing w:before="0" w:after="360" w:line="240" w:lineRule="auto"/>
        <w:ind w:left="0" w:right="0" w:firstLine="0"/>
        <w:jc w:val="left"/>
      </w:pPr>
      <w:bookmarkStart w:id="596" w:name="bookmark596"/>
      <w:bookmarkStart w:id="597" w:name="bookmark597"/>
      <w:bookmarkEnd w:id="596"/>
      <w:r>
        <w:rPr>
          <w:b/>
          <w:bCs/>
          <w:color w:val="000000"/>
          <w:spacing w:val="0"/>
          <w:w w:val="100"/>
          <w:position w:val="0"/>
        </w:rPr>
        <w:t>承包情况</w:t>
      </w:r>
      <w:bookmarkEnd w:id="597"/>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10"/>
        <w:keepNext w:val="0"/>
        <w:keepLines w:val="0"/>
        <w:widowControl w:val="0"/>
        <w:numPr>
          <w:ilvl w:val="0"/>
          <w:numId w:val="13"/>
        </w:numPr>
        <w:shd w:val="clear" w:color="auto" w:fill="auto"/>
        <w:tabs>
          <w:tab w:pos="493" w:val="left"/>
        </w:tabs>
        <w:bidi w:val="0"/>
        <w:spacing w:before="0" w:after="360" w:line="240" w:lineRule="auto"/>
        <w:ind w:left="0" w:right="0" w:firstLine="0"/>
        <w:jc w:val="left"/>
      </w:pPr>
      <w:bookmarkStart w:id="598" w:name="bookmark598"/>
      <w:bookmarkStart w:id="599" w:name="bookmark599"/>
      <w:bookmarkEnd w:id="598"/>
      <w:r>
        <w:rPr>
          <w:b/>
          <w:bCs/>
          <w:color w:val="000000"/>
          <w:spacing w:val="0"/>
          <w:w w:val="100"/>
          <w:position w:val="0"/>
        </w:rPr>
        <w:t>租赁情况</w:t>
      </w:r>
      <w:bookmarkEnd w:id="59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租赁情况说明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报告期内，公司充分利用闲置资产，将部分闲置房产对外进行出租，提高了资产使用效率。</w:t>
      </w:r>
      <w:r>
        <w:br w:type="page"/>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28"/>
        <w:keepNext/>
        <w:keepLines/>
        <w:widowControl w:val="0"/>
        <w:shd w:val="clear" w:color="auto" w:fill="auto"/>
        <w:bidi w:val="0"/>
        <w:spacing w:before="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、重大担保</w:t>
      </w:r>
      <w:bookmarkEnd w:id="600"/>
      <w:bookmarkEnd w:id="601"/>
      <w:bookmarkEnd w:id="603"/>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单位：万元</w:t>
      </w:r>
    </w:p>
    <w:tbl>
      <w:tblPr>
        <w:tblOverlap w:val="never"/>
        <w:jc w:val="center"/>
        <w:tblLayout w:type="fixed"/>
      </w:tblPr>
      <w:tblGrid>
        <w:gridCol w:w="941"/>
        <w:gridCol w:w="931"/>
        <w:gridCol w:w="931"/>
        <w:gridCol w:w="931"/>
        <w:gridCol w:w="931"/>
        <w:gridCol w:w="926"/>
        <w:gridCol w:w="744"/>
        <w:gridCol w:w="763"/>
        <w:gridCol w:w="1032"/>
        <w:gridCol w:w="653"/>
        <w:gridCol w:w="797"/>
      </w:tblGrid>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担保额</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度相关</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公告披</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实际发</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color w:val="000000"/>
                <w:spacing w:val="0"/>
                <w:w w:val="100"/>
                <w:position w:val="0"/>
                <w:sz w:val="18"/>
                <w:szCs w:val="18"/>
              </w:rPr>
              <w:t>实际担</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担保</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物（如</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反担保</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情况</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（如</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履行</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是否为</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关联方</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担保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郑州高新</w:t>
            </w:r>
          </w:p>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梧桐水务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连带责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日至</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报告期内审批的对外</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报告期内对外担保实 际发生额合计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报告期末已审批的对</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外担保额度合计</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报告期末实际对外担</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保余额合计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担保对象</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担保额</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度相关</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公告披</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color w:val="000000"/>
                <w:spacing w:val="0"/>
                <w:w w:val="100"/>
                <w:position w:val="0"/>
                <w:sz w:val="18"/>
                <w:szCs w:val="18"/>
              </w:rPr>
              <w:t>实际发</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实际担</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担保</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物（如</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反担保</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情况</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（如</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履行</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是否为</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关联方</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担保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嘉园环保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连带责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numPr>
                <w:ilvl w:val="0"/>
                <w:numId w:val="15"/>
              </w:numPr>
              <w:shd w:val="clear" w:color="auto" w:fill="auto"/>
              <w:tabs>
                <w:tab w:pos="413" w:val="left"/>
              </w:tabs>
              <w:bidi w:val="0"/>
              <w:spacing w:before="0" w:after="0" w:line="312" w:lineRule="exact"/>
              <w:ind w:left="0" w:right="0" w:firstLine="0"/>
              <w:jc w:val="left"/>
              <w:rPr>
                <w:sz w:val="18"/>
                <w:szCs w:val="18"/>
              </w:rPr>
            </w:pP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日至</w:t>
            </w:r>
          </w:p>
          <w:p>
            <w:pPr>
              <w:pStyle w:val="Style2"/>
              <w:keepNext w:val="0"/>
              <w:keepLines w:val="0"/>
              <w:widowControl w:val="0"/>
              <w:numPr>
                <w:ilvl w:val="0"/>
                <w:numId w:val="15"/>
              </w:numPr>
              <w:shd w:val="clear" w:color="auto" w:fill="auto"/>
              <w:tabs>
                <w:tab w:pos="413" w:val="left"/>
              </w:tabs>
              <w:bidi w:val="0"/>
              <w:spacing w:before="0" w:after="0" w:line="312" w:lineRule="exact"/>
              <w:ind w:left="0" w:right="0" w:firstLine="0"/>
              <w:jc w:val="left"/>
              <w:rPr>
                <w:sz w:val="18"/>
                <w:szCs w:val="18"/>
              </w:rPr>
            </w:pP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55" w:hRule="exact"/>
        </w:trPr>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报告期内审批对子公</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报告期内对子公司担</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17" w:hRule="exact"/>
        </w:trPr>
        <w:tc>
          <w:tcPr>
            <w:gridSpan w:val="2"/>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司担保额度合计</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2,850</w:t>
            </w:r>
          </w:p>
        </w:tc>
        <w:tc>
          <w:tcPr>
            <w:gridSpan w:val="2"/>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保实际发生额合计</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2,850</w:t>
            </w:r>
          </w:p>
        </w:tc>
      </w:tr>
      <w:tr>
        <w:trPr>
          <w:trHeight w:val="35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8"/>
                <w:szCs w:val="18"/>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8"/>
                <w:szCs w:val="18"/>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0" w:hRule="exact"/>
        </w:trPr>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报告期末已审批的对</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报告期末对子公司实</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17" w:hRule="exact"/>
        </w:trPr>
        <w:tc>
          <w:tcPr>
            <w:gridSpan w:val="2"/>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子公司担保额度合计</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2,850</w:t>
            </w:r>
          </w:p>
        </w:tc>
        <w:tc>
          <w:tcPr>
            <w:gridSpan w:val="2"/>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际担保余额合计</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2,850</w:t>
            </w:r>
          </w:p>
        </w:tc>
      </w:tr>
      <w:tr>
        <w:trPr>
          <w:trHeight w:val="35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8"/>
                <w:szCs w:val="18"/>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8"/>
                <w:szCs w:val="18"/>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子公司对子公司的担保情况</w:t>
            </w: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担保对象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担保额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实际发</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实际担</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担保类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反担保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是否为</w:t>
            </w:r>
          </w:p>
        </w:tc>
      </w:tr>
      <w:tr>
        <w:trPr>
          <w:trHeight w:val="350"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名称</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度相关</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度</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生日期</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保金额</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型</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物（如</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情况</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履行</w:t>
            </w: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w:t>
            </w:r>
          </w:p>
        </w:tc>
      </w:tr>
    </w:tbl>
    <w:p>
      <w:pPr>
        <w:spacing w:lineRule="exact" w:line="1"/>
        <w:rPr>
          <w:sz w:val="2"/>
          <w:szCs w:val="2"/>
        </w:rPr>
      </w:pPr>
      <w:r>
        <w:br w:type="page"/>
      </w:r>
    </w:p>
    <w:tbl>
      <w:tblPr>
        <w:tblOverlap w:val="never"/>
        <w:jc w:val="center"/>
        <w:tblLayout w:type="fixed"/>
      </w:tblPr>
      <w:tblGrid>
        <w:gridCol w:w="941"/>
        <w:gridCol w:w="931"/>
        <w:gridCol w:w="576"/>
        <w:gridCol w:w="355"/>
        <w:gridCol w:w="931"/>
        <w:gridCol w:w="931"/>
        <w:gridCol w:w="926"/>
        <w:gridCol w:w="744"/>
        <w:gridCol w:w="763"/>
        <w:gridCol w:w="1032"/>
        <w:gridCol w:w="653"/>
        <w:gridCol w:w="79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公告披</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露日期</w:t>
            </w: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（如</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完毕</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担保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光山嘉园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连带责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日至</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东山嘉园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连带责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日至 </w:t>
            </w: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东山嘉园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连带责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xml:space="preserve">日至 </w:t>
            </w: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福建恒嘉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连带责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主合同项 下债务履 行期限届 满之日起 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嘉园环保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连带责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主合同项</w:t>
            </w:r>
          </w:p>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下债务履 行期限届 满之日起 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福建恒嘉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连带责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主合同项</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下债务履 行期限届 满之日起 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报告期内审批对子公</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司担保额度合计</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报告期内对子公司担</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保实际发生额合计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02" w:lineRule="exact"/>
              <w:ind w:left="0" w:right="0" w:firstLine="0"/>
              <w:jc w:val="left"/>
              <w:rPr>
                <w:sz w:val="18"/>
                <w:szCs w:val="18"/>
              </w:rPr>
            </w:pPr>
            <w:r>
              <w:rPr>
                <w:color w:val="000000"/>
                <w:spacing w:val="0"/>
                <w:w w:val="100"/>
                <w:position w:val="0"/>
                <w:sz w:val="18"/>
                <w:szCs w:val="18"/>
              </w:rPr>
              <w:t>报告期末已审批的对 子公司担保额度合计</w:t>
            </w:r>
          </w:p>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报告期末对子公司实</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际担保余额合计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9,629.02</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公司担保总额（即前三大项的合计）</w:t>
            </w: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报告期内担保实际发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生额合计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tc>
      </w:tr>
      <w:tr>
        <w:trPr>
          <w:trHeight w:val="71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报告期末已审批的担保额度 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8"/>
                <w:szCs w:val="18"/>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报告期末实际担保余 额合计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8"/>
                <w:szCs w:val="18"/>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14,179.02</w:t>
            </w:r>
          </w:p>
        </w:tc>
      </w:tr>
    </w:tbl>
    <w:p>
      <w:pPr>
        <w:spacing w:lineRule="exact" w:line="1"/>
        <w:rPr>
          <w:sz w:val="2"/>
          <w:szCs w:val="2"/>
        </w:rPr>
      </w:pPr>
      <w:r>
        <w:br w:type="page"/>
      </w:r>
    </w:p>
    <w:tbl>
      <w:tblPr>
        <w:tblOverlap w:val="never"/>
        <w:jc w:val="center"/>
        <w:tblLayout w:type="fixed"/>
      </w:tblPr>
      <w:tblGrid>
        <w:gridCol w:w="3734"/>
        <w:gridCol w:w="584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8"/>
                <w:szCs w:val="18"/>
              </w:rPr>
              <w:t>）</w:t>
            </w:r>
            <w:r>
              <w:rPr>
                <w:color w:val="000000"/>
                <w:spacing w:val="0"/>
                <w:w w:val="100"/>
                <w:position w:val="0"/>
                <w:sz w:val="18"/>
                <w:szCs w:val="18"/>
              </w:rPr>
              <w:t>占公司净资产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为股东、实际控制人及其关联方提供担保的余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的被担保 对象提供的债务担保余额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部分的金额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上述三项担保金额合计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对未到期担保合同，报告期内已发生担保责任 或有证据表明有可能承担连带清偿责任的情 况说明（如有）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3</w:t>
      </w:r>
      <w:bookmarkEnd w:id="606"/>
      <w:r>
        <w:rPr>
          <w:color w:val="000000"/>
          <w:spacing w:val="0"/>
          <w:w w:val="100"/>
          <w:position w:val="0"/>
        </w:rPr>
        <w:t>、委托他人进行现金资产管理情况</w:t>
      </w:r>
      <w:bookmarkEnd w:id="604"/>
      <w:bookmarkEnd w:id="605"/>
      <w:bookmarkEnd w:id="607"/>
    </w:p>
    <w:p>
      <w:pPr>
        <w:pStyle w:val="Style201"/>
        <w:keepNext/>
        <w:keepLines/>
        <w:widowControl w:val="0"/>
        <w:shd w:val="clear" w:color="auto" w:fill="auto"/>
        <w:bidi w:val="0"/>
        <w:spacing w:before="0" w:after="36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w:t>
      </w:r>
      <w:bookmarkEnd w:id="61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608"/>
      <w:bookmarkEnd w:id="609"/>
      <w:bookmarkEnd w:id="61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报告期内委托理财概况</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单位：万元</w:t>
      </w:r>
    </w:p>
    <w:tbl>
      <w:tblPr>
        <w:tblOverlap w:val="never"/>
        <w:jc w:val="center"/>
        <w:tblLayout w:type="fixed"/>
      </w:tblPr>
      <w:tblGrid>
        <w:gridCol w:w="1334"/>
        <w:gridCol w:w="1848"/>
        <w:gridCol w:w="1618"/>
        <w:gridCol w:w="1546"/>
        <w:gridCol w:w="1680"/>
        <w:gridCol w:w="155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逾期未收回理财</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已计提减值金额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单项金额重大或安全性较低、流动性较差的高风险委托理财具体情况 口适用”不适用</w:t>
      </w:r>
    </w:p>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委托理财出现预期无法收回本金或存在其他可能导致减值的情形</w:t>
      </w:r>
    </w:p>
    <w:p>
      <w:pPr>
        <w:pStyle w:val="Style2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口适用”不适用</w:t>
      </w:r>
    </w:p>
    <w:p>
      <w:pPr>
        <w:pStyle w:val="Style201"/>
        <w:keepNext/>
        <w:keepLines/>
        <w:widowControl w:val="0"/>
        <w:shd w:val="clear" w:color="auto" w:fill="auto"/>
        <w:bidi w:val="0"/>
        <w:spacing w:before="0" w:after="24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rPr>
        <w:t>（</w:t>
      </w:r>
      <w:bookmarkEnd w:id="61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12"/>
      <w:bookmarkEnd w:id="613"/>
      <w:bookmarkEnd w:id="615"/>
    </w:p>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公司报告期不存在委托贷款。</w:t>
      </w:r>
    </w:p>
    <w:p>
      <w:pPr>
        <w:pStyle w:val="Style28"/>
        <w:keepNext/>
        <w:keepLines/>
        <w:widowControl w:val="0"/>
        <w:shd w:val="clear" w:color="auto" w:fill="auto"/>
        <w:bidi w:val="0"/>
        <w:spacing w:before="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4</w:t>
      </w:r>
      <w:bookmarkEnd w:id="618"/>
      <w:r>
        <w:rPr>
          <w:color w:val="000000"/>
          <w:spacing w:val="0"/>
          <w:w w:val="100"/>
          <w:position w:val="0"/>
        </w:rPr>
        <w:t>、其他重大合同</w:t>
      </w:r>
      <w:bookmarkEnd w:id="616"/>
      <w:bookmarkEnd w:id="617"/>
      <w:bookmarkEnd w:id="619"/>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19"/>
        <w:keepNext/>
        <w:keepLines/>
        <w:widowControl w:val="0"/>
        <w:shd w:val="clear" w:color="auto" w:fill="auto"/>
        <w:bidi w:val="0"/>
        <w:spacing w:before="0" w:after="360" w:line="240" w:lineRule="auto"/>
        <w:ind w:left="0" w:right="0" w:firstLine="0"/>
        <w:jc w:val="left"/>
      </w:pPr>
      <w:bookmarkStart w:id="620" w:name="bookmark620"/>
      <w:bookmarkStart w:id="621" w:name="bookmark621"/>
      <w:bookmarkStart w:id="622" w:name="bookmark622"/>
      <w:r>
        <w:rPr>
          <w:color w:val="000000"/>
          <w:spacing w:val="0"/>
          <w:w w:val="100"/>
          <w:position w:val="0"/>
          <w:sz w:val="24"/>
          <w:szCs w:val="24"/>
        </w:rPr>
        <w:t>十六、其他重大事项的说明</w:t>
      </w:r>
      <w:bookmarkEnd w:id="620"/>
      <w:bookmarkEnd w:id="621"/>
      <w:bookmarkEnd w:id="622"/>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0"/>
        <w:keepNext w:val="0"/>
        <w:keepLines w:val="0"/>
        <w:widowControl w:val="0"/>
        <w:shd w:val="clear" w:color="auto" w:fill="auto"/>
        <w:bidi w:val="0"/>
        <w:spacing w:before="0" w:after="0" w:line="470" w:lineRule="exact"/>
        <w:ind w:left="0" w:right="0" w:firstLine="440"/>
        <w:jc w:val="left"/>
      </w:pPr>
      <w:r>
        <w:rPr>
          <w:b/>
          <w:bCs/>
          <w:color w:val="000000"/>
          <w:spacing w:val="0"/>
          <w:w w:val="100"/>
          <w:position w:val="0"/>
        </w:rPr>
        <w:t>1、关于公司向特定对象发行股票的相关事项</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2020年8月26日，公司第五届董事会第八次会议审议通过了《关于向特定对象发行股票方案的议案》《关 于向特定对象发行股票方案的论证分析报告的议案》《关于向特定对象发行股票募集资金使用可行性分析 报告的议案》等向特定对象发行股票相关议案。并审议通过了《关于终止前次非公开发行股票事项的议案》。 本次向特定对象发行股票的对象为符合中国证监会规定条件的不超过35名（含）特定投资者，最终发行对 象由股东大会授权董事会在获得深圳证券交易所审核，并经中国证监会同意注册后，按照中国证监会、深 交所相关规定及本预案所规定的条件，根据询价结果与本次发行的保荐机构（主承销商）协商确定。</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2020年9月11日，公司召开2020年第二次临时股东大会审议通过了公司向特定对象发行股票方案的相 关的议案，并授权董事会办理本次向特定对象发行股票具体事宜。具体信息请查阅公司于2020年8月26日、 2020年9月11日在巨潮资讯网刊登的相关公告。</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2020年9月16日，公司收到深圳证券交易所（以下简称“深交所”）出具的《关于受理汉威科技集团股 份有限公司向特定对象发行股票申请文件的通知》（深证上审〔2020） 565号）。具体信息请查阅公司于2020 年9月17日在巨潮资讯网刊登的相关公告。</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2020年12月2日，公司收到深交所出具的《关于汉威科技集团股份有限公司申请向特定对象发行股票 的审核中心意见告知函》。深交所发行上市审核机构对公司向特定对象发行股票的文件进行了审核，认为 公司符合发行条件、上市条件和信息披露要求。具体信息请查阅公司于2020年12月3日在巨潮资讯网刊登 的相关公告。</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2021年1月14日，公司收到中国证券监督管理委员会出具的《关于同意汉威科技集团股份有限公司向 特定对象发行股票注册的批复》（证监许可〔2021） 100号）文件。同意汉威科技向特定对象发行股票的注 册申请；本批复自同意注册之日起12个月内有效。具体信息请查阅公司于2021年1月14日在巨潮资讯网刊 登的相关公告。</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 xml:space="preserve">2021年8月20日，公司披露了《关于向特定对象发行股票发行情况报告书披露的提示性公告》、《汉威 科技集团股份有限公司创业板向特定对象发行股票发行情况报告书》、《中信建投证券股份有限公司关于汉 威科技集团股份有限公司向特定对象发行股票发行过程及认购对象合规性的报告》、《国信信扬律师事务所 关于汉威科技集团股份有限公司向特定对象发行股票发行过程及认购对象合规性的法律意见书》。本次向 特定对象发行股票发行价格不低于发行期首日（即2021年8月5日）前20个交易日公司股票均价的80%，即 </w:t>
      </w:r>
      <w:r>
        <w:rPr>
          <w:color w:val="000000"/>
          <w:spacing w:val="0"/>
          <w:w w:val="100"/>
          <w:position w:val="0"/>
        </w:rPr>
        <w:t>不低于</w:t>
      </w:r>
      <w:r>
        <w:rPr>
          <w:color w:val="000000"/>
          <w:spacing w:val="0"/>
          <w:w w:val="100"/>
          <w:position w:val="0"/>
        </w:rPr>
        <w:t>17.46</w:t>
      </w:r>
      <w:r>
        <w:rPr>
          <w:color w:val="000000"/>
          <w:spacing w:val="0"/>
          <w:w w:val="100"/>
          <w:position w:val="0"/>
        </w:rPr>
        <w:t>元/股。公司和主承销商根据投资者申购报价情况，并严格按照认购邀请文件中确定的发行价 格、发行对象及获配股份数量的程序和规则，确定本次发行价格为</w:t>
      </w:r>
      <w:r>
        <w:rPr>
          <w:color w:val="000000"/>
          <w:spacing w:val="0"/>
          <w:w w:val="100"/>
          <w:position w:val="0"/>
        </w:rPr>
        <w:t xml:space="preserve">19. </w:t>
      </w:r>
      <w:r>
        <w:rPr>
          <w:color w:val="000000"/>
          <w:spacing w:val="0"/>
          <w:w w:val="100"/>
          <w:position w:val="0"/>
        </w:rPr>
        <w:t>13元/股，发行价格为发行底价的</w:t>
      </w:r>
      <w:r>
        <w:rPr>
          <w:color w:val="000000"/>
          <w:spacing w:val="0"/>
          <w:w w:val="100"/>
          <w:position w:val="0"/>
        </w:rPr>
        <w:t xml:space="preserve">1. </w:t>
      </w:r>
      <w:r>
        <w:rPr>
          <w:color w:val="000000"/>
          <w:spacing w:val="0"/>
          <w:w w:val="100"/>
          <w:position w:val="0"/>
        </w:rPr>
        <w:t>10 倍。本次发行募集资金总额为</w:t>
      </w:r>
      <w:r>
        <w:rPr>
          <w:color w:val="000000"/>
          <w:spacing w:val="0"/>
          <w:w w:val="100"/>
          <w:position w:val="0"/>
        </w:rPr>
        <w:t>599,999,996.37</w:t>
      </w:r>
      <w:r>
        <w:rPr>
          <w:color w:val="000000"/>
          <w:spacing w:val="0"/>
          <w:w w:val="100"/>
          <w:position w:val="0"/>
        </w:rPr>
        <w:t xml:space="preserve">元，扣除发行费用9, 180, </w:t>
      </w:r>
      <w:r>
        <w:rPr>
          <w:color w:val="000000"/>
          <w:spacing w:val="0"/>
          <w:w w:val="100"/>
          <w:position w:val="0"/>
        </w:rPr>
        <w:t xml:space="preserve">532. </w:t>
      </w:r>
      <w:r>
        <w:rPr>
          <w:color w:val="000000"/>
          <w:spacing w:val="0"/>
          <w:w w:val="100"/>
          <w:position w:val="0"/>
        </w:rPr>
        <w:t xml:space="preserve">40元（不含增值税）后，实际 募集资金净额590, 819, </w:t>
      </w:r>
      <w:r>
        <w:rPr>
          <w:color w:val="000000"/>
          <w:spacing w:val="0"/>
          <w:w w:val="100"/>
          <w:position w:val="0"/>
        </w:rPr>
        <w:t xml:space="preserve">463. </w:t>
      </w:r>
      <w:r>
        <w:rPr>
          <w:color w:val="000000"/>
          <w:spacing w:val="0"/>
          <w:w w:val="100"/>
          <w:position w:val="0"/>
        </w:rPr>
        <w:t>97元。具体信息请查阅公司于2021年8月20日在巨潮资讯网刊登的相关公告。</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2021年9月2日，公司披露了《汉威科技集团股份有限公司创业板向特定对象发行股票上市公告书》、《中 信建投证券股份有限公司关于汉威科技集团股份有限公司向特定对象发行股票并在创业板上市之上市保 荐书》、《董事、监事和高级管理人员持股情况变动的报告》等公告，本次向特定对象发行股票发行数量 31, 364, 349股，发行价格</w:t>
      </w:r>
      <w:r>
        <w:rPr>
          <w:color w:val="000000"/>
          <w:spacing w:val="0"/>
          <w:w w:val="100"/>
          <w:position w:val="0"/>
        </w:rPr>
        <w:t>19.13</w:t>
      </w:r>
      <w:r>
        <w:rPr>
          <w:color w:val="000000"/>
          <w:spacing w:val="0"/>
          <w:w w:val="100"/>
          <w:position w:val="0"/>
        </w:rPr>
        <w:t>元/股，股票上市时间为2021年9月6日，发行对象认购的股票自本次发行结 束之日起六个月内不得转让，自2021年9月6日（上市首日）起开始计算。具体信息请查阅公司于2021年9 月2日在巨潮资讯网刊登的相关公告。</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2021年9月9日召开第五届董事会第十七次会议和第五届监事会第十二次会议，审议通过了《关于调整 部分募集资金投资项目募集资金投入金额的议案》，同意公司根据本次向特定对象发行股票募集资金的实 际情况，对募投项目募集资金具体投资金额进行相应调整。具体信息请查阅公司于2021年9月9日在巨潮资 讯网刊登的相关公告。</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2021年10月21日召开第五届董事会第二十一次会议和第五届监事会第十四次会议，审议通过了《关于 部分募投项目增加实施主体的议案》，同意募投项目</w:t>
      </w:r>
      <w:r>
        <w:rPr>
          <w:color w:val="000000"/>
          <w:spacing w:val="0"/>
          <w:w w:val="100"/>
          <w:position w:val="0"/>
        </w:rPr>
        <w:t>“MEMS</w:t>
      </w:r>
      <w:r>
        <w:rPr>
          <w:color w:val="000000"/>
          <w:spacing w:val="0"/>
          <w:w w:val="100"/>
          <w:position w:val="0"/>
        </w:rPr>
        <w:t>传感器封测产线建设”、“新建年产150万只气体 传感器生产线”增加郑州炜盛电子科技有限公司为实施主体，即上述项目的实施主体为公司及其全资子公 司炜盛科技。具体信息请查阅公司于2021年10月21日在巨潮资讯网刊登的相关公告。</w:t>
      </w:r>
    </w:p>
    <w:p>
      <w:pPr>
        <w:pStyle w:val="Style10"/>
        <w:keepNext w:val="0"/>
        <w:keepLines w:val="0"/>
        <w:widowControl w:val="0"/>
        <w:shd w:val="clear" w:color="auto" w:fill="auto"/>
        <w:tabs>
          <w:tab w:pos="758" w:val="left"/>
        </w:tabs>
        <w:bidi w:val="0"/>
        <w:spacing w:before="0" w:after="0" w:line="470" w:lineRule="exact"/>
        <w:ind w:left="0" w:right="0" w:firstLine="440"/>
        <w:jc w:val="both"/>
      </w:pPr>
      <w:bookmarkStart w:id="623" w:name="bookmark623"/>
      <w:r>
        <w:rPr>
          <w:b/>
          <w:bCs/>
          <w:color w:val="000000"/>
          <w:spacing w:val="0"/>
          <w:w w:val="100"/>
          <w:position w:val="0"/>
        </w:rPr>
        <w:t>2</w:t>
      </w:r>
      <w:bookmarkEnd w:id="623"/>
      <w:r>
        <w:rPr>
          <w:b/>
          <w:bCs/>
          <w:color w:val="000000"/>
          <w:spacing w:val="0"/>
          <w:w w:val="100"/>
          <w:position w:val="0"/>
        </w:rPr>
        <w:t>、</w:t>
        <w:tab/>
        <w:t>关于增资天津市迅尔仪表科技有限公司的相关事项</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公司为进一步丰富产业生态圈、提升综合竞争力，有效促进长期发展战略目标的实现，于2021年3月 30日与天津市迅尔仪表科技有限公司签署了增资协议，以自有资金向天津迅尔增资2,000万元，其中</w:t>
      </w:r>
      <w:r>
        <w:rPr>
          <w:color w:val="000000"/>
          <w:spacing w:val="0"/>
          <w:w w:val="100"/>
          <w:position w:val="0"/>
        </w:rPr>
        <w:t xml:space="preserve">116.67 </w:t>
      </w:r>
      <w:r>
        <w:rPr>
          <w:color w:val="000000"/>
          <w:spacing w:val="0"/>
          <w:w w:val="100"/>
          <w:position w:val="0"/>
        </w:rPr>
        <w:t>万元计入天津迅尔注册资本，剩余</w:t>
      </w:r>
      <w:r>
        <w:rPr>
          <w:color w:val="000000"/>
          <w:spacing w:val="0"/>
          <w:w w:val="100"/>
          <w:position w:val="0"/>
        </w:rPr>
        <w:t>1,883.33</w:t>
      </w:r>
      <w:r>
        <w:rPr>
          <w:color w:val="000000"/>
          <w:spacing w:val="0"/>
          <w:w w:val="100"/>
          <w:position w:val="0"/>
        </w:rPr>
        <w:t>万元计入天津迅尔资本公积。本次增资完成后，公司占天津迅 尔增资后注册资本的10%。</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根据深圳证券交易所《创业板股票上市规则》和《公司章程》的有关规定，本次投资事项在董事长权 限内，无需提交董事会、股东大会审议，不构成《上市公司重大资产重组管理办法》规定的重大资产重组 情况。</w:t>
      </w:r>
    </w:p>
    <w:p>
      <w:pPr>
        <w:pStyle w:val="Style10"/>
        <w:keepNext w:val="0"/>
        <w:keepLines w:val="0"/>
        <w:widowControl w:val="0"/>
        <w:shd w:val="clear" w:color="auto" w:fill="auto"/>
        <w:tabs>
          <w:tab w:pos="758" w:val="left"/>
        </w:tabs>
        <w:bidi w:val="0"/>
        <w:spacing w:before="0" w:after="0" w:line="470" w:lineRule="exact"/>
        <w:ind w:left="0" w:right="0" w:firstLine="440"/>
        <w:jc w:val="both"/>
      </w:pPr>
      <w:bookmarkStart w:id="624" w:name="bookmark624"/>
      <w:r>
        <w:rPr>
          <w:b/>
          <w:bCs/>
          <w:color w:val="000000"/>
          <w:spacing w:val="0"/>
          <w:w w:val="100"/>
          <w:position w:val="0"/>
        </w:rPr>
        <w:t>3</w:t>
      </w:r>
      <w:bookmarkEnd w:id="624"/>
      <w:r>
        <w:rPr>
          <w:b/>
          <w:bCs/>
          <w:color w:val="000000"/>
          <w:spacing w:val="0"/>
          <w:w w:val="100"/>
          <w:position w:val="0"/>
        </w:rPr>
        <w:t>、</w:t>
        <w:tab/>
        <w:t>2021年限制性股票激励计划相关事项</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2021年8月31日，公司分别召开第五届董事会第十六次会议及第五届监事会第十一次会议，分别审议 通过了《关于公司＜2021年限制性股票激励计划（草案）＞及其摘要的议案》及《关于公司＜2021年限制性 股票激励计划实施考核管理办法＞的议案》，本次激励计划采取的激励工具为限制性股票（第二类限制性股 </w:t>
      </w:r>
      <w:r>
        <w:rPr>
          <w:color w:val="000000"/>
          <w:spacing w:val="0"/>
          <w:w w:val="100"/>
          <w:position w:val="0"/>
        </w:rPr>
        <w:t>票），激励计划拟向激励对象授予的限制性股票数量为</w:t>
      </w:r>
      <w:r>
        <w:rPr>
          <w:color w:val="000000"/>
          <w:spacing w:val="0"/>
          <w:w w:val="100"/>
          <w:position w:val="0"/>
        </w:rPr>
        <w:t xml:space="preserve">600. </w:t>
      </w:r>
      <w:r>
        <w:rPr>
          <w:color w:val="000000"/>
          <w:spacing w:val="0"/>
          <w:w w:val="100"/>
          <w:position w:val="0"/>
        </w:rPr>
        <w:t>00万股，股票来源为公司向激励对象定向发行 的本公司人民币</w:t>
      </w:r>
      <w:r>
        <w:rPr>
          <w:color w:val="000000"/>
          <w:spacing w:val="0"/>
          <w:w w:val="100"/>
          <w:position w:val="0"/>
        </w:rPr>
        <w:t>A</w:t>
      </w:r>
      <w:r>
        <w:rPr>
          <w:color w:val="000000"/>
          <w:spacing w:val="0"/>
          <w:w w:val="100"/>
          <w:position w:val="0"/>
        </w:rPr>
        <w:t>股普通股股票，其中首次授予限制性股票数量</w:t>
      </w:r>
      <w:r>
        <w:rPr>
          <w:color w:val="000000"/>
          <w:spacing w:val="0"/>
          <w:w w:val="100"/>
          <w:position w:val="0"/>
        </w:rPr>
        <w:t xml:space="preserve">530. </w:t>
      </w:r>
      <w:r>
        <w:rPr>
          <w:color w:val="000000"/>
          <w:spacing w:val="0"/>
          <w:w w:val="100"/>
          <w:position w:val="0"/>
        </w:rPr>
        <w:t>00万股，授予价格为</w:t>
      </w:r>
      <w:r>
        <w:rPr>
          <w:color w:val="000000"/>
          <w:spacing w:val="0"/>
          <w:w w:val="100"/>
          <w:position w:val="0"/>
        </w:rPr>
        <w:t>11.95</w:t>
      </w:r>
      <w:r>
        <w:rPr>
          <w:color w:val="000000"/>
          <w:spacing w:val="0"/>
          <w:w w:val="100"/>
          <w:position w:val="0"/>
        </w:rPr>
        <w:t>元/股，首 次授予的激励对象总人数为102人，包括公告激励计划时公司董事、高级管理人员、核心骨干及董事会认 为对公司有特殊贡献的其他人员。</w:t>
      </w:r>
    </w:p>
    <w:p>
      <w:pPr>
        <w:pStyle w:val="Style10"/>
        <w:keepNext w:val="0"/>
        <w:keepLines w:val="0"/>
        <w:widowControl w:val="0"/>
        <w:shd w:val="clear" w:color="auto" w:fill="auto"/>
        <w:bidi w:val="0"/>
        <w:spacing w:before="0" w:after="420" w:line="471" w:lineRule="exact"/>
        <w:ind w:left="0" w:right="0" w:firstLine="440"/>
        <w:jc w:val="both"/>
      </w:pPr>
      <w:r>
        <w:rPr>
          <w:color w:val="000000"/>
          <w:spacing w:val="0"/>
          <w:w w:val="100"/>
          <w:position w:val="0"/>
        </w:rPr>
        <w:t>2021年限制性股票激励计划的实施有利于公司进一步建立、健全公司长效激励机制，吸引和留住优秀 人才，充分调动公司管理人员、核心技术（业务）人员的积极性，能够有效地将股东利益、公司利益和核 心团队个人利益结合在一起，促进各方及公司的长远发展。具体信息请查阅公司于2021年9月1日在巨潮资 讯网刊登的相关公告。</w:t>
      </w:r>
    </w:p>
    <w:p>
      <w:pPr>
        <w:pStyle w:val="Style19"/>
        <w:keepNext/>
        <w:keepLines/>
        <w:widowControl w:val="0"/>
        <w:shd w:val="clear" w:color="auto" w:fill="auto"/>
        <w:bidi w:val="0"/>
        <w:spacing w:before="0" w:after="360" w:line="240" w:lineRule="auto"/>
        <w:ind w:left="0" w:right="0" w:firstLine="0"/>
        <w:jc w:val="left"/>
      </w:pPr>
      <w:bookmarkStart w:id="625" w:name="bookmark625"/>
      <w:bookmarkStart w:id="626" w:name="bookmark626"/>
      <w:bookmarkStart w:id="627" w:name="bookmark627"/>
      <w:r>
        <w:rPr>
          <w:color w:val="000000"/>
          <w:spacing w:val="0"/>
          <w:w w:val="100"/>
          <w:position w:val="0"/>
          <w:sz w:val="24"/>
          <w:szCs w:val="24"/>
        </w:rPr>
        <w:t>十七、公司子公司重大事项</w:t>
      </w:r>
      <w:bookmarkEnd w:id="625"/>
      <w:bookmarkEnd w:id="626"/>
      <w:bookmarkEnd w:id="627"/>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0"/>
        <w:keepNext w:val="0"/>
        <w:keepLines w:val="0"/>
        <w:widowControl w:val="0"/>
        <w:shd w:val="clear" w:color="auto" w:fill="auto"/>
        <w:tabs>
          <w:tab w:pos="750" w:val="left"/>
        </w:tabs>
        <w:bidi w:val="0"/>
        <w:spacing w:before="0" w:after="0" w:line="470" w:lineRule="exact"/>
        <w:ind w:left="0" w:right="0" w:firstLine="440"/>
        <w:jc w:val="both"/>
      </w:pPr>
      <w:bookmarkStart w:id="628" w:name="bookmark628"/>
      <w:r>
        <w:rPr>
          <w:b/>
          <w:bCs/>
          <w:color w:val="000000"/>
          <w:spacing w:val="0"/>
          <w:w w:val="100"/>
          <w:position w:val="0"/>
        </w:rPr>
        <w:t>1</w:t>
      </w:r>
      <w:bookmarkEnd w:id="628"/>
      <w:r>
        <w:rPr>
          <w:b/>
          <w:bCs/>
          <w:color w:val="000000"/>
          <w:spacing w:val="0"/>
          <w:w w:val="100"/>
          <w:position w:val="0"/>
        </w:rPr>
        <w:t>、</w:t>
        <w:tab/>
        <w:t>子公司增加注册资本的相关事项</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为增强全资子公司郑州炜盛电子科技有限公司的综合实力，满足其业务发展需要，进一步提高其核心 竞争力，公司以自有资金对全资子公司炜盛科技增资人民币5, 000万元。此次增资完成后，炜盛科技仍为 全资子公司，注册资本由人民币5, 000万元增加至人民币10,000万元。具体内容详见公司于2021年2月20日 在巨潮资讯网刊登的公告。</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2021年10月21日召开第五届董事会第二十一次会议和第五届监事会第十四次会议，审议通过了《关于 部分募投项目增加实施主体的议案》，同意募投项目</w:t>
      </w:r>
      <w:r>
        <w:rPr>
          <w:color w:val="000000"/>
          <w:spacing w:val="0"/>
          <w:w w:val="100"/>
          <w:position w:val="0"/>
        </w:rPr>
        <w:t>“MEMS</w:t>
      </w:r>
      <w:r>
        <w:rPr>
          <w:color w:val="000000"/>
          <w:spacing w:val="0"/>
          <w:w w:val="100"/>
          <w:position w:val="0"/>
        </w:rPr>
        <w:t>传感器封测产线建设”、“新建年产150万只气体 传感器生产线”增加郑州炜盛电子科技有限公司为实施主体，即上述项目的实施主体为公司及其全资子公 司炜盛科技。在本次部分募集资金投资项目增加实施主体后，公司拟使用合计185,883,400元向炜盛科技 增资以实施募投项目，其中60, 000, 000元增加注册资本，其余计入资本公积。此次增资完成后，炜盛科技 仍为全资子公司，注册资本由人民币10, 000万元增加至人民币16, 000万元。</w:t>
      </w:r>
    </w:p>
    <w:p>
      <w:pPr>
        <w:pStyle w:val="Style10"/>
        <w:keepNext w:val="0"/>
        <w:keepLines w:val="0"/>
        <w:widowControl w:val="0"/>
        <w:shd w:val="clear" w:color="auto" w:fill="auto"/>
        <w:tabs>
          <w:tab w:pos="758" w:val="left"/>
        </w:tabs>
        <w:bidi w:val="0"/>
        <w:spacing w:before="0" w:after="0" w:line="470" w:lineRule="exact"/>
        <w:ind w:left="0" w:right="0" w:firstLine="440"/>
        <w:jc w:val="both"/>
      </w:pPr>
      <w:bookmarkStart w:id="629" w:name="bookmark629"/>
      <w:r>
        <w:rPr>
          <w:b/>
          <w:bCs/>
          <w:color w:val="000000"/>
          <w:spacing w:val="0"/>
          <w:w w:val="100"/>
          <w:position w:val="0"/>
        </w:rPr>
        <w:t>2</w:t>
      </w:r>
      <w:bookmarkEnd w:id="629"/>
      <w:r>
        <w:rPr>
          <w:b/>
          <w:bCs/>
          <w:color w:val="000000"/>
          <w:spacing w:val="0"/>
          <w:w w:val="100"/>
          <w:position w:val="0"/>
        </w:rPr>
        <w:t>、</w:t>
        <w:tab/>
        <w:t>关于投资设立全资子公司的相关事项</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为了进一步持续加码技术创新，积极融入珠三角创新高地，加大研发力度，优化技术布局。2021年4 月15日，公司在深圳投资1,000万元人民币设立全资子公司深圳汉威物联有限公司，主营业务为传感器、 气敏元件、检测控制仪表、计算机软件、人工智能行业应用系统、智能仪器仪表、电子产品的研发、销售 和技术服务。</w:t>
      </w:r>
    </w:p>
    <w:p>
      <w:pPr>
        <w:pStyle w:val="Style10"/>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根据深圳证券交易所《创业板股票上市规则》和《公司章程》的有关规定，本次投资事项在董事长权 限内，无需提交董事会、股东大会审议，不构成《上市公司重大资产重组管理办法》规定的重大资产重组 情况。</w:t>
      </w:r>
      <w:r>
        <w:br w:type="page"/>
      </w:r>
    </w:p>
    <w:p>
      <w:pPr>
        <w:pStyle w:val="Style8"/>
        <w:keepNext/>
        <w:keepLines/>
        <w:widowControl w:val="0"/>
        <w:shd w:val="clear" w:color="auto" w:fill="auto"/>
        <w:bidi w:val="0"/>
        <w:spacing w:before="0" w:after="540" w:line="240" w:lineRule="auto"/>
        <w:ind w:left="0" w:right="0" w:firstLine="0"/>
        <w:jc w:val="center"/>
      </w:pPr>
      <w:bookmarkStart w:id="630" w:name="bookmark630"/>
      <w:bookmarkStart w:id="631" w:name="bookmark631"/>
      <w:bookmarkStart w:id="632" w:name="bookmark632"/>
      <w:bookmarkStart w:id="633" w:name="bookmark633"/>
      <w:r>
        <w:rPr>
          <w:color w:val="000000"/>
          <w:spacing w:val="0"/>
          <w:w w:val="100"/>
          <w:position w:val="0"/>
        </w:rPr>
        <w:t>第七节股份变动及股东情况</w:t>
      </w:r>
      <w:bookmarkEnd w:id="631"/>
      <w:bookmarkEnd w:id="632"/>
      <w:bookmarkEnd w:id="633"/>
      <w:bookmarkEnd w:id="630"/>
    </w:p>
    <w:p>
      <w:pPr>
        <w:pStyle w:val="Style19"/>
        <w:keepNext/>
        <w:keepLines/>
        <w:widowControl w:val="0"/>
        <w:shd w:val="clear" w:color="auto" w:fill="auto"/>
        <w:bidi w:val="0"/>
        <w:spacing w:before="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sz w:val="24"/>
          <w:szCs w:val="24"/>
        </w:rPr>
        <w:t>一</w:t>
      </w:r>
      <w:bookmarkEnd w:id="636"/>
      <w:r>
        <w:rPr>
          <w:color w:val="000000"/>
          <w:spacing w:val="0"/>
          <w:w w:val="100"/>
          <w:position w:val="0"/>
          <w:sz w:val="24"/>
          <w:szCs w:val="24"/>
        </w:rPr>
        <w:t>、股份变动情况</w:t>
      </w:r>
      <w:bookmarkEnd w:id="634"/>
      <w:bookmarkEnd w:id="635"/>
      <w:bookmarkEnd w:id="637"/>
    </w:p>
    <w:p>
      <w:pPr>
        <w:pStyle w:val="Style28"/>
        <w:keepNext/>
        <w:keepLines/>
        <w:widowControl w:val="0"/>
        <w:shd w:val="clear" w:color="auto" w:fill="auto"/>
        <w:bidi w:val="0"/>
        <w:spacing w:before="0" w:line="240" w:lineRule="auto"/>
        <w:ind w:left="0" w:right="0" w:firstLine="0"/>
        <w:jc w:val="left"/>
      </w:pPr>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1</w:t>
      </w:r>
      <w:r>
        <w:rPr>
          <w:color w:val="000000"/>
          <w:spacing w:val="0"/>
          <w:w w:val="100"/>
          <w:position w:val="0"/>
        </w:rPr>
        <w:t>、股份变动情况</w:t>
      </w:r>
      <w:bookmarkEnd w:id="638"/>
      <w:bookmarkEnd w:id="639"/>
      <w:bookmarkEnd w:id="64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171"/>
        <w:gridCol w:w="869"/>
        <w:gridCol w:w="1066"/>
        <w:gridCol w:w="648"/>
        <w:gridCol w:w="1123"/>
        <w:gridCol w:w="926"/>
        <w:gridCol w:w="754"/>
        <w:gridCol w:w="782"/>
        <w:gridCol w:w="88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比例</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一、有限售条 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48,426,718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31,364,349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-4,528,86</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26,835</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75,262,</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 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8,677,469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8,677,</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 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48,426,718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21,118,663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-4,528,86</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16,589</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65,016, 516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其中：境 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21,118,663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21,118,</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21,118,</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000"/>
              <w:jc w:val="left"/>
              <w:rPr>
                <w:sz w:val="18"/>
                <w:szCs w:val="18"/>
              </w:rPr>
            </w:pPr>
            <w:r>
              <w:rPr>
                <w:color w:val="000000"/>
                <w:spacing w:val="0"/>
                <w:w w:val="100"/>
                <w:position w:val="0"/>
                <w:sz w:val="18"/>
                <w:szCs w:val="18"/>
              </w:rPr>
              <w:t>境</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48,426,718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-4,528,86</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-4,528, </w:t>
            </w: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43,897,</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1,568,217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1,568, 217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其中：境 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1,568,217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1,568, 217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rPr>
                <w:sz w:val="18"/>
                <w:szCs w:val="18"/>
              </w:rPr>
            </w:pPr>
            <w:r>
              <w:rPr>
                <w:color w:val="000000"/>
                <w:spacing w:val="0"/>
                <w:w w:val="100"/>
                <w:position w:val="0"/>
                <w:sz w:val="18"/>
                <w:szCs w:val="18"/>
              </w:rPr>
              <w:t>境</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二、无限售条 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244,596,088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4,528,86</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4,528, 865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249,12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244,596,088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4,528,86</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4,528, 865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249,12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 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 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293,022,806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31,364,349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31,364</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324,38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7,155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4"/>
        <w:keepNext w:val="0"/>
        <w:keepLines w:val="0"/>
        <w:widowControl w:val="0"/>
        <w:shd w:val="clear" w:color="auto" w:fill="auto"/>
        <w:bidi w:val="0"/>
        <w:spacing w:before="0" w:after="0" w:line="350" w:lineRule="exact"/>
        <w:ind w:left="0" w:right="0" w:firstLine="0"/>
        <w:jc w:val="both"/>
      </w:pPr>
      <w:r>
        <w:rPr>
          <w:color w:val="000000"/>
          <w:spacing w:val="0"/>
          <w:w w:val="100"/>
          <w:position w:val="0"/>
        </w:rPr>
        <w:t>股份变动的原因</w:t>
      </w:r>
    </w:p>
    <w:p>
      <w:pPr>
        <w:pStyle w:val="Style24"/>
        <w:keepNext w:val="0"/>
        <w:keepLines w:val="0"/>
        <w:widowControl w:val="0"/>
        <w:shd w:val="clear" w:color="auto" w:fill="auto"/>
        <w:bidi w:val="0"/>
        <w:spacing w:before="0" w:after="0" w:line="461" w:lineRule="exact"/>
        <w:ind w:left="0" w:right="0" w:firstLine="0"/>
        <w:jc w:val="both"/>
      </w:pPr>
      <w:r>
        <w:rPr>
          <w:color w:val="000000"/>
          <w:spacing w:val="0"/>
          <w:w w:val="100"/>
          <w:position w:val="0"/>
        </w:rPr>
        <w:t>”适用口不适用</w:t>
      </w:r>
    </w:p>
    <w:p>
      <w:pPr>
        <w:pStyle w:val="Style10"/>
        <w:keepNext w:val="0"/>
        <w:keepLines w:val="0"/>
        <w:widowControl w:val="0"/>
        <w:shd w:val="clear" w:color="auto" w:fill="auto"/>
        <w:tabs>
          <w:tab w:pos="923" w:val="left"/>
        </w:tabs>
        <w:bidi w:val="0"/>
        <w:spacing w:before="0" w:after="0" w:line="461" w:lineRule="exact"/>
        <w:ind w:left="0" w:right="0" w:firstLine="440"/>
        <w:jc w:val="both"/>
      </w:pPr>
      <w:bookmarkStart w:id="641" w:name="bookmark641"/>
      <w:r>
        <w:rPr>
          <w:color w:val="000000"/>
          <w:spacing w:val="0"/>
          <w:w w:val="100"/>
          <w:position w:val="0"/>
        </w:rPr>
        <w:t>（</w:t>
      </w:r>
      <w:bookmarkEnd w:id="641"/>
      <w:r>
        <w:rPr>
          <w:color w:val="000000"/>
          <w:spacing w:val="0"/>
          <w:w w:val="100"/>
          <w:position w:val="0"/>
        </w:rPr>
        <w:t>1）</w:t>
        <w:tab/>
        <w:t>报告期内，公司董事、监事、高级管理人员所持股份按照25%自动解除锁定；</w:t>
      </w:r>
    </w:p>
    <w:p>
      <w:pPr>
        <w:pStyle w:val="Style10"/>
        <w:keepNext w:val="0"/>
        <w:keepLines w:val="0"/>
        <w:widowControl w:val="0"/>
        <w:shd w:val="clear" w:color="auto" w:fill="auto"/>
        <w:tabs>
          <w:tab w:pos="1016" w:val="left"/>
        </w:tabs>
        <w:bidi w:val="0"/>
        <w:spacing w:before="0" w:after="80" w:line="461" w:lineRule="exact"/>
        <w:ind w:left="0" w:right="0" w:firstLine="440"/>
        <w:jc w:val="both"/>
      </w:pPr>
      <w:bookmarkStart w:id="642" w:name="bookmark642"/>
      <w:r>
        <w:rPr>
          <w:color w:val="000000"/>
          <w:spacing w:val="0"/>
          <w:w w:val="100"/>
          <w:position w:val="0"/>
        </w:rPr>
        <w:t>（</w:t>
      </w:r>
      <w:bookmarkEnd w:id="642"/>
      <w:r>
        <w:rPr>
          <w:color w:val="000000"/>
          <w:spacing w:val="0"/>
          <w:w w:val="100"/>
          <w:position w:val="0"/>
        </w:rPr>
        <w:t>2）</w:t>
        <w:tab/>
        <w:t>报告期内，公司向特定对象发行股票31, 364, 349股人民币普通股</w:t>
      </w:r>
      <w:r>
        <w:rPr>
          <w:color w:val="000000"/>
          <w:spacing w:val="0"/>
          <w:w w:val="100"/>
          <w:position w:val="0"/>
        </w:rPr>
        <w:t>（A</w:t>
      </w:r>
      <w:r>
        <w:rPr>
          <w:color w:val="000000"/>
          <w:spacing w:val="0"/>
          <w:w w:val="100"/>
          <w:position w:val="0"/>
        </w:rPr>
        <w:t>股），新增股份的上市时间 为2021年9月6日，限售期为6个月。</w:t>
      </w:r>
    </w:p>
    <w:p>
      <w:pPr>
        <w:pStyle w:val="Style24"/>
        <w:keepNext w:val="0"/>
        <w:keepLines w:val="0"/>
        <w:widowControl w:val="0"/>
        <w:shd w:val="clear" w:color="auto" w:fill="auto"/>
        <w:bidi w:val="0"/>
        <w:spacing w:before="0" w:after="0" w:line="350" w:lineRule="exact"/>
        <w:ind w:left="0" w:right="0" w:firstLine="0"/>
        <w:jc w:val="both"/>
      </w:pPr>
      <w:r>
        <w:rPr>
          <w:color w:val="000000"/>
          <w:spacing w:val="0"/>
          <w:w w:val="100"/>
          <w:position w:val="0"/>
        </w:rPr>
        <w:t>股份变动的批准情况</w:t>
      </w:r>
    </w:p>
    <w:p>
      <w:pPr>
        <w:pStyle w:val="Style24"/>
        <w:keepNext w:val="0"/>
        <w:keepLines w:val="0"/>
        <w:widowControl w:val="0"/>
        <w:shd w:val="clear" w:color="auto" w:fill="auto"/>
        <w:bidi w:val="0"/>
        <w:spacing w:before="0" w:after="0" w:line="350" w:lineRule="exact"/>
        <w:ind w:left="0" w:right="0" w:firstLine="0"/>
        <w:jc w:val="both"/>
      </w:pPr>
      <w:r>
        <w:rPr>
          <w:color w:val="000000"/>
          <w:spacing w:val="0"/>
          <w:w w:val="100"/>
          <w:position w:val="0"/>
        </w:rPr>
        <w:t>”适用口不适用</w:t>
      </w:r>
    </w:p>
    <w:p>
      <w:pPr>
        <w:pStyle w:val="Style10"/>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2021年8月25日，中国证券登记结算有限责任公司深圳分公司向公司出具了《股份登记申请受理确认 书》，受理公司本次发行新股登记申请材料，相关股份登记到账后正式列入上市公司的股东名册。</w:t>
      </w:r>
    </w:p>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股份变动的过户情况</w:t>
      </w:r>
    </w:p>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 ”适用口不适用</w:t>
      </w:r>
    </w:p>
    <w:p>
      <w:pPr>
        <w:pStyle w:val="Style10"/>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报告期内，公司向特定对象发行股票导致股本变动，公司总股本由293, 022, 806股增加至324, 387, 155 股。上述事项将对公司2021年度每股收益、每股净资产等财务指标产生摊薄作用。2021年度公司基本每股 收益为</w:t>
      </w:r>
      <w:r>
        <w:rPr>
          <w:color w:val="000000"/>
          <w:spacing w:val="0"/>
          <w:w w:val="100"/>
          <w:position w:val="0"/>
        </w:rPr>
        <w:t>0.87</w:t>
      </w:r>
      <w:r>
        <w:rPr>
          <w:color w:val="000000"/>
          <w:spacing w:val="0"/>
          <w:w w:val="100"/>
          <w:position w:val="0"/>
        </w:rPr>
        <w:t>元，稀释每股收益为</w:t>
      </w:r>
      <w:r>
        <w:rPr>
          <w:color w:val="000000"/>
          <w:spacing w:val="0"/>
          <w:w w:val="100"/>
          <w:position w:val="0"/>
        </w:rPr>
        <w:t>0.87</w:t>
      </w:r>
      <w:r>
        <w:rPr>
          <w:color w:val="000000"/>
          <w:spacing w:val="0"/>
          <w:w w:val="100"/>
          <w:position w:val="0"/>
        </w:rPr>
        <w:t>元，每股净资产为</w:t>
      </w:r>
      <w:r>
        <w:rPr>
          <w:color w:val="000000"/>
          <w:spacing w:val="0"/>
          <w:w w:val="100"/>
          <w:position w:val="0"/>
        </w:rPr>
        <w:t>6.21</w:t>
      </w:r>
      <w:r>
        <w:rPr>
          <w:color w:val="000000"/>
          <w:spacing w:val="0"/>
          <w:w w:val="100"/>
          <w:position w:val="0"/>
        </w:rPr>
        <w:t>元。</w:t>
      </w:r>
    </w:p>
    <w:p>
      <w:pPr>
        <w:pStyle w:val="Style24"/>
        <w:keepNext w:val="0"/>
        <w:keepLines w:val="0"/>
        <w:widowControl w:val="0"/>
        <w:shd w:val="clear" w:color="auto" w:fill="auto"/>
        <w:bidi w:val="0"/>
        <w:spacing w:before="0" w:after="0" w:line="350" w:lineRule="exact"/>
        <w:ind w:left="0" w:right="0" w:firstLine="0"/>
        <w:jc w:val="both"/>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360" w:line="350" w:lineRule="exact"/>
        <w:ind w:left="0" w:right="0" w:firstLine="0"/>
        <w:jc w:val="both"/>
      </w:pPr>
      <w:r>
        <w:rPr>
          <w:color w:val="000000"/>
          <w:spacing w:val="0"/>
          <w:w w:val="100"/>
          <w:position w:val="0"/>
        </w:rPr>
        <w:t>口适用”不适用</w:t>
      </w:r>
    </w:p>
    <w:p>
      <w:pPr>
        <w:pStyle w:val="Style28"/>
        <w:keepNext/>
        <w:keepLines/>
        <w:widowControl w:val="0"/>
        <w:shd w:val="clear" w:color="auto" w:fill="auto"/>
        <w:bidi w:val="0"/>
        <w:spacing w:before="0" w:after="0" w:line="480" w:lineRule="auto"/>
        <w:ind w:left="0" w:right="0" w:firstLine="0"/>
        <w:jc w:val="both"/>
      </w:pPr>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2</w:t>
      </w:r>
      <w:r>
        <w:rPr>
          <w:color w:val="000000"/>
          <w:spacing w:val="0"/>
          <w:w w:val="100"/>
          <w:position w:val="0"/>
        </w:rPr>
        <w:t>、限售股份变动情况</w:t>
      </w:r>
      <w:bookmarkEnd w:id="643"/>
      <w:bookmarkEnd w:id="644"/>
      <w:bookmarkEnd w:id="645"/>
    </w:p>
    <w:p>
      <w:pPr>
        <w:pStyle w:val="Style24"/>
        <w:keepNext w:val="0"/>
        <w:keepLines w:val="0"/>
        <w:widowControl w:val="0"/>
        <w:shd w:val="clear" w:color="auto" w:fill="auto"/>
        <w:bidi w:val="0"/>
        <w:spacing w:before="0" w:after="140" w:line="350" w:lineRule="exact"/>
        <w:ind w:left="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8"/>
        <w:gridCol w:w="1301"/>
        <w:gridCol w:w="1680"/>
        <w:gridCol w:w="1699"/>
        <w:gridCol w:w="1320"/>
        <w:gridCol w:w="1080"/>
        <w:gridCol w:w="14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本期解除限售股数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拟解除限售日期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43,837,222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39,659,432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在任期间按照每 年</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在任期间按照每 年</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刘瑞玲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1,759,395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1,759,395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在任期间按照每 年</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张艳丽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1,046,250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1,046,250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在任期间按照每 年</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1,783,851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1,338,501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在任期间按照每 年</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解除锁定</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高延明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高管锁定 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在任期间按照每 年</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解除锁定</w:t>
            </w:r>
          </w:p>
        </w:tc>
      </w:tr>
    </w:tbl>
    <w:p>
      <w:pPr>
        <w:spacing w:lineRule="exact" w:line="1"/>
        <w:rPr>
          <w:sz w:val="2"/>
          <w:szCs w:val="2"/>
        </w:rPr>
      </w:pPr>
      <w:r>
        <w:br w:type="page"/>
      </w:r>
    </w:p>
    <w:tbl>
      <w:tblPr>
        <w:tblOverlap w:val="never"/>
        <w:jc w:val="center"/>
        <w:tblLayout w:type="fixed"/>
      </w:tblPr>
      <w:tblGrid>
        <w:gridCol w:w="998"/>
        <w:gridCol w:w="1301"/>
        <w:gridCol w:w="1680"/>
        <w:gridCol w:w="1699"/>
        <w:gridCol w:w="1320"/>
        <w:gridCol w:w="1080"/>
        <w:gridCol w:w="149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杨昌再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在任期间按照每 年</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在任期间按照每 年</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向特定对 象发行股 票的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位 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31,364,349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31,364,349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首发后限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48,426,718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31,458,624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75,262,202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sz w:val="24"/>
          <w:szCs w:val="24"/>
        </w:rPr>
        <w:t>二</w:t>
      </w:r>
      <w:bookmarkEnd w:id="648"/>
      <w:r>
        <w:rPr>
          <w:color w:val="000000"/>
          <w:spacing w:val="0"/>
          <w:w w:val="100"/>
          <w:position w:val="0"/>
          <w:sz w:val="24"/>
          <w:szCs w:val="24"/>
        </w:rPr>
        <w:t>、证券发行与上市情况</w:t>
      </w:r>
      <w:bookmarkEnd w:id="646"/>
      <w:bookmarkEnd w:id="647"/>
      <w:bookmarkEnd w:id="649"/>
    </w:p>
    <w:p>
      <w:pPr>
        <w:pStyle w:val="Style28"/>
        <w:keepNext/>
        <w:keepLines/>
        <w:widowControl w:val="0"/>
        <w:shd w:val="clear" w:color="auto" w:fill="auto"/>
        <w:bidi w:val="0"/>
        <w:spacing w:before="0" w:line="240" w:lineRule="auto"/>
        <w:ind w:left="0" w:right="0" w:firstLine="0"/>
        <w:jc w:val="left"/>
      </w:pPr>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1</w:t>
      </w:r>
      <w:r>
        <w:rPr>
          <w:color w:val="000000"/>
          <w:spacing w:val="0"/>
          <w:w w:val="100"/>
          <w:position w:val="0"/>
        </w:rPr>
        <w:t>、报告期内证券发行（不含优先股）情况</w:t>
      </w:r>
      <w:bookmarkEnd w:id="650"/>
      <w:bookmarkEnd w:id="651"/>
      <w:bookmarkEnd w:id="652"/>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1142"/>
        <w:gridCol w:w="1032"/>
        <w:gridCol w:w="854"/>
        <w:gridCol w:w="1037"/>
        <w:gridCol w:w="1003"/>
        <w:gridCol w:w="1066"/>
        <w:gridCol w:w="1022"/>
        <w:gridCol w:w="1354"/>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股票及其衍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发行价 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获准上市</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交易终止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股票类</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创业板向特</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定对象发行</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31,364,349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31,364,349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 xml:space="preserve">巨潮资讯网 </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sz w:val="18"/>
                <w:szCs w:val="18"/>
              </w:rPr>
              <w:t>汉威科 技集团股份有 限公司创业板 向特定对象发 行股票发行情 况报告书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r>
    </w:tbl>
    <w:p>
      <w:pPr>
        <w:pStyle w:val="Style21"/>
        <w:keepNext w:val="0"/>
        <w:keepLines w:val="0"/>
        <w:widowControl w:val="0"/>
        <w:shd w:val="clear" w:color="auto" w:fill="auto"/>
        <w:bidi w:val="0"/>
        <w:spacing w:before="0" w:after="0" w:line="240" w:lineRule="auto"/>
        <w:ind w:left="91" w:right="0" w:firstLine="0"/>
        <w:jc w:val="left"/>
        <w:rPr>
          <w:sz w:val="18"/>
          <w:szCs w:val="18"/>
        </w:rPr>
      </w:pPr>
      <w:r>
        <w:rPr>
          <w:b w:val="0"/>
          <w:bCs w:val="0"/>
          <w:color w:val="000000"/>
          <w:spacing w:val="0"/>
          <w:w w:val="100"/>
          <w:position w:val="0"/>
          <w:sz w:val="18"/>
          <w:szCs w:val="18"/>
        </w:rPr>
        <w:t>可转换公司债券、分离交易的可转换公司债券、公司债类</w:t>
      </w:r>
    </w:p>
    <w:p>
      <w:pPr>
        <w:widowControl w:val="0"/>
        <w:spacing w:after="179" w:line="1" w:lineRule="exact"/>
      </w:pPr>
    </w:p>
    <w:p>
      <w:pPr>
        <w:pStyle w:val="Style24"/>
        <w:keepNext w:val="0"/>
        <w:keepLines w:val="0"/>
        <w:widowControl w:val="0"/>
        <w:pBdr>
          <w:top w:val="single" w:sz="4" w:space="0" w:color="auto"/>
        </w:pBdr>
        <w:shd w:val="clear" w:color="auto" w:fill="auto"/>
        <w:bidi w:val="0"/>
        <w:spacing w:before="0" w:after="180" w:line="240" w:lineRule="auto"/>
        <w:ind w:left="0" w:right="0" w:firstLine="0"/>
        <w:jc w:val="both"/>
      </w:pPr>
      <w:r>
        <w:rPr>
          <w:color w:val="000000"/>
          <w:spacing w:val="0"/>
          <w:w w:val="100"/>
          <w:position w:val="0"/>
        </w:rPr>
        <w:t>其他衍生证券类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2021年8月20日，公司披露《汉威科技集团股份有限公司创业板向特定对象发行股票发行情况报告书》 等相关公告。本次向特定对象发行股票发行价格不低于发行期首日（即2021年8月5日）前20个交易日公司 股票均价的80%,即不低于</w:t>
      </w:r>
      <w:r>
        <w:rPr>
          <w:color w:val="000000"/>
          <w:spacing w:val="0"/>
          <w:w w:val="100"/>
          <w:position w:val="0"/>
        </w:rPr>
        <w:t>17.46</w:t>
      </w:r>
      <w:r>
        <w:rPr>
          <w:color w:val="000000"/>
          <w:spacing w:val="0"/>
          <w:w w:val="100"/>
          <w:position w:val="0"/>
        </w:rPr>
        <w:t>元/股。公司和主承销商根据投资者申购报价情况，并严格按照认购邀请 文件中确定的发行价格、发行对象及获配股份数量的程序和规则，最终确定本次发行价格为</w:t>
      </w:r>
      <w:r>
        <w:rPr>
          <w:color w:val="000000"/>
          <w:spacing w:val="0"/>
          <w:w w:val="100"/>
          <w:position w:val="0"/>
        </w:rPr>
        <w:t xml:space="preserve">19. </w:t>
      </w:r>
      <w:r>
        <w:rPr>
          <w:color w:val="000000"/>
          <w:spacing w:val="0"/>
          <w:w w:val="100"/>
          <w:position w:val="0"/>
        </w:rPr>
        <w:t>13元/股， 发行价格为发行底价的</w:t>
      </w:r>
      <w:r>
        <w:rPr>
          <w:color w:val="000000"/>
          <w:spacing w:val="0"/>
          <w:w w:val="100"/>
          <w:position w:val="0"/>
        </w:rPr>
        <w:t>1.10</w:t>
      </w:r>
      <w:r>
        <w:rPr>
          <w:color w:val="000000"/>
          <w:spacing w:val="0"/>
          <w:w w:val="100"/>
          <w:position w:val="0"/>
        </w:rPr>
        <w:t xml:space="preserve">倍。本次发行募集资金总额为599, 999, </w:t>
      </w:r>
      <w:r>
        <w:rPr>
          <w:color w:val="000000"/>
          <w:spacing w:val="0"/>
          <w:w w:val="100"/>
          <w:position w:val="0"/>
        </w:rPr>
        <w:t xml:space="preserve">996. </w:t>
      </w:r>
      <w:r>
        <w:rPr>
          <w:color w:val="000000"/>
          <w:spacing w:val="0"/>
          <w:w w:val="100"/>
          <w:position w:val="0"/>
        </w:rPr>
        <w:t xml:space="preserve">37元，扣除发行费用9, 180, </w:t>
      </w:r>
      <w:r>
        <w:rPr>
          <w:color w:val="000000"/>
          <w:spacing w:val="0"/>
          <w:w w:val="100"/>
          <w:position w:val="0"/>
        </w:rPr>
        <w:t xml:space="preserve">532. </w:t>
      </w:r>
      <w:r>
        <w:rPr>
          <w:color w:val="000000"/>
          <w:spacing w:val="0"/>
          <w:w w:val="100"/>
          <w:position w:val="0"/>
        </w:rPr>
        <w:t xml:space="preserve">40 元（不含增值税）后，实际募集资金净额590, 819, </w:t>
      </w:r>
      <w:r>
        <w:rPr>
          <w:color w:val="000000"/>
          <w:spacing w:val="0"/>
          <w:w w:val="100"/>
          <w:position w:val="0"/>
        </w:rPr>
        <w:t xml:space="preserve">463. </w:t>
      </w:r>
      <w:r>
        <w:rPr>
          <w:color w:val="000000"/>
          <w:spacing w:val="0"/>
          <w:w w:val="100"/>
          <w:position w:val="0"/>
        </w:rPr>
        <w:t>97元。具体信息请查阅公司于2021年8月20日在巨 潮资讯网刊登的相关公告。</w:t>
      </w:r>
    </w:p>
    <w:p>
      <w:pPr>
        <w:pStyle w:val="Style10"/>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 xml:space="preserve">2021年9月2日，公司披露《汉威科技集团股份有限公司创业板向特定对象发行股票上市公告书》等相 </w:t>
      </w:r>
      <w:r>
        <w:rPr>
          <w:color w:val="000000"/>
          <w:spacing w:val="0"/>
          <w:w w:val="100"/>
          <w:position w:val="0"/>
        </w:rPr>
        <w:t>关公告。本次向特定对象发行股票共计向10名对象发行人民币普通股</w:t>
      </w:r>
      <w:r>
        <w:rPr>
          <w:color w:val="000000"/>
          <w:spacing w:val="0"/>
          <w:w w:val="100"/>
          <w:position w:val="0"/>
        </w:rPr>
        <w:t>（A</w:t>
      </w:r>
      <w:r>
        <w:rPr>
          <w:color w:val="000000"/>
          <w:spacing w:val="0"/>
          <w:w w:val="100"/>
          <w:position w:val="0"/>
        </w:rPr>
        <w:t>股）31, 364, 349股，新增股份已 于2021年9月6日上市，发行完成后，公司总股本由293,022,806股增加至324, 387, 155股。具体信息请查阅 公司于2021年9月2日在巨潮资讯网刊登的相关公告。</w:t>
      </w:r>
    </w:p>
    <w:p>
      <w:pPr>
        <w:pStyle w:val="Style28"/>
        <w:keepNext/>
        <w:keepLines/>
        <w:widowControl w:val="0"/>
        <w:shd w:val="clear" w:color="auto" w:fill="auto"/>
        <w:bidi w:val="0"/>
        <w:spacing w:before="0" w:after="120" w:line="480" w:lineRule="auto"/>
        <w:ind w:left="0" w:right="0" w:firstLine="0"/>
        <w:jc w:val="both"/>
      </w:pPr>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2</w:t>
      </w:r>
      <w:r>
        <w:rPr>
          <w:color w:val="000000"/>
          <w:spacing w:val="0"/>
          <w:w w:val="100"/>
          <w:position w:val="0"/>
        </w:rPr>
        <w:t>、公司股份总数及股东结构的变动、公司资产和负债结构的变动情况说明</w:t>
      </w:r>
      <w:bookmarkEnd w:id="653"/>
      <w:bookmarkEnd w:id="654"/>
      <w:bookmarkEnd w:id="655"/>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报告期内，公司向特定对象发行股票共计向10名对象发行人民币普通股</w:t>
      </w:r>
      <w:r>
        <w:rPr>
          <w:color w:val="000000"/>
          <w:spacing w:val="0"/>
          <w:w w:val="100"/>
          <w:position w:val="0"/>
        </w:rPr>
        <w:t>（A</w:t>
      </w:r>
      <w:r>
        <w:rPr>
          <w:color w:val="000000"/>
          <w:spacing w:val="0"/>
          <w:w w:val="100"/>
          <w:position w:val="0"/>
        </w:rPr>
        <w:t>股）31, 364, 349股，新增 股份已于2021年9月6日上市，发行完成后，公司总股本由293,022,806股增加至324, 387, 155股。具体信息 请查阅公司于2021年9月2日在巨潮资讯网刊登的相关公告。</w:t>
      </w:r>
    </w:p>
    <w:p>
      <w:pPr>
        <w:pStyle w:val="Style10"/>
        <w:keepNext w:val="0"/>
        <w:keepLines w:val="0"/>
        <w:widowControl w:val="0"/>
        <w:shd w:val="clear" w:color="auto" w:fill="auto"/>
        <w:bidi w:val="0"/>
        <w:spacing w:before="0" w:after="0" w:line="466" w:lineRule="exact"/>
        <w:ind w:left="0" w:right="0" w:firstLine="440"/>
        <w:jc w:val="both"/>
      </w:pPr>
      <w:bookmarkStart w:id="656" w:name="bookmark656"/>
      <w:r>
        <w:rPr>
          <w:b/>
          <w:bCs/>
          <w:color w:val="000000"/>
          <w:spacing w:val="0"/>
          <w:w w:val="100"/>
          <w:position w:val="0"/>
        </w:rPr>
        <w:t>（</w:t>
      </w:r>
      <w:bookmarkEnd w:id="656"/>
      <w:r>
        <w:rPr>
          <w:b/>
          <w:bCs/>
          <w:color w:val="000000"/>
          <w:spacing w:val="0"/>
          <w:w w:val="100"/>
          <w:position w:val="0"/>
        </w:rPr>
        <w:t>1）本次发行前后前10名股东变动情况</w:t>
      </w:r>
    </w:p>
    <w:p>
      <w:pPr>
        <w:pStyle w:val="Style10"/>
        <w:keepNext w:val="0"/>
        <w:keepLines w:val="0"/>
        <w:widowControl w:val="0"/>
        <w:shd w:val="clear" w:color="auto" w:fill="auto"/>
        <w:bidi w:val="0"/>
        <w:spacing w:before="0" w:after="0" w:line="466" w:lineRule="exact"/>
        <w:ind w:left="0" w:right="0" w:firstLine="440"/>
        <w:jc w:val="both"/>
      </w:pPr>
      <w:bookmarkStart w:id="657" w:name="bookmark657"/>
      <w:r>
        <w:rPr>
          <w:b/>
          <w:bCs/>
          <w:color w:val="000000"/>
          <w:spacing w:val="0"/>
          <w:w w:val="100"/>
          <w:position w:val="0"/>
        </w:rPr>
        <w:t>1</w:t>
      </w:r>
      <w:bookmarkEnd w:id="657"/>
      <w:r>
        <w:rPr>
          <w:b/>
          <w:bCs/>
          <w:color w:val="000000"/>
          <w:spacing w:val="0"/>
          <w:w w:val="100"/>
          <w:position w:val="0"/>
        </w:rPr>
        <w:t>）本次发行前公司前10名股东情况</w:t>
      </w:r>
    </w:p>
    <w:p>
      <w:pPr>
        <w:pStyle w:val="Style10"/>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截至2021年8月31日，公司前十名股东持股情况如下：</w:t>
      </w:r>
    </w:p>
    <w:p>
      <w:pPr>
        <w:pStyle w:val="Style10"/>
        <w:keepNext w:val="0"/>
        <w:keepLines w:val="0"/>
        <w:widowControl w:val="0"/>
        <w:shd w:val="clear" w:color="auto" w:fill="auto"/>
        <w:bidi w:val="0"/>
        <w:spacing w:before="0" w:after="120" w:line="240" w:lineRule="auto"/>
        <w:ind w:left="0" w:right="400" w:firstLine="0"/>
        <w:jc w:val="right"/>
      </w:pPr>
      <w:r>
        <w:rPr>
          <w:color w:val="000000"/>
          <w:spacing w:val="0"/>
          <w:w w:val="100"/>
          <w:position w:val="0"/>
        </w:rPr>
        <w:t>单位：股</w:t>
      </w:r>
    </w:p>
    <w:tbl>
      <w:tblPr>
        <w:tblOverlap w:val="never"/>
        <w:jc w:val="center"/>
        <w:tblLayout w:type="fixed"/>
      </w:tblPr>
      <w:tblGrid>
        <w:gridCol w:w="686"/>
        <w:gridCol w:w="2755"/>
        <w:gridCol w:w="1277"/>
        <w:gridCol w:w="1402"/>
        <w:gridCol w:w="1435"/>
        <w:gridCol w:w="1565"/>
      </w:tblGrid>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股本性质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持有有限售条件的 股份数量</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52,879,243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有条件限售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39,659,432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钟超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15,154,280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无条件限售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中国工商银行股份有限公司一诺安 先锋混合型证券投资基金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7,815,688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无条件限售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JPMORGAN CHASE BANK, NATIONAL</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ASSOCIATION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5,633,654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无条件限售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钟克创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3,097,420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无条件限售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林纳新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2,649,700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无条件限售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刘瑞玲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2,345,860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有条件限售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1,759,395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尚中锋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1,784,668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有条件限售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1,338,501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高孔兴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1,685,730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无条件限售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中信建投基金一广发银行一钟超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1,647,300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无条件限售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5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94, 693, 543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32. </w:t>
            </w:r>
            <w:r>
              <w:rPr>
                <w:b/>
                <w:bCs/>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_</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b/>
                <w:bCs/>
                <w:color w:val="000000"/>
                <w:spacing w:val="0"/>
                <w:w w:val="100"/>
                <w:position w:val="0"/>
                <w:sz w:val="18"/>
                <w:szCs w:val="18"/>
              </w:rPr>
              <w:t>42, 757, 328</w:t>
            </w:r>
          </w:p>
        </w:tc>
      </w:tr>
    </w:tbl>
    <w:p>
      <w:pPr>
        <w:widowControl w:val="0"/>
        <w:spacing w:after="119" w:line="1" w:lineRule="exact"/>
      </w:pPr>
    </w:p>
    <w:p>
      <w:pPr>
        <w:pStyle w:val="Style10"/>
        <w:keepNext w:val="0"/>
        <w:keepLines w:val="0"/>
        <w:widowControl w:val="0"/>
        <w:shd w:val="clear" w:color="auto" w:fill="auto"/>
        <w:bidi w:val="0"/>
        <w:spacing w:before="0" w:after="240" w:line="240" w:lineRule="auto"/>
        <w:ind w:left="0" w:right="0" w:firstLine="440"/>
        <w:jc w:val="both"/>
      </w:pPr>
      <w:bookmarkStart w:id="658" w:name="bookmark658"/>
      <w:r>
        <w:rPr>
          <w:b/>
          <w:bCs/>
          <w:color w:val="000000"/>
          <w:spacing w:val="0"/>
          <w:w w:val="100"/>
          <w:position w:val="0"/>
        </w:rPr>
        <w:t>2</w:t>
      </w:r>
      <w:bookmarkEnd w:id="658"/>
      <w:r>
        <w:rPr>
          <w:b/>
          <w:bCs/>
          <w:color w:val="000000"/>
          <w:spacing w:val="0"/>
          <w:w w:val="100"/>
          <w:position w:val="0"/>
        </w:rPr>
        <w:t>）本次发行后公司前十名股东情况</w:t>
      </w:r>
    </w:p>
    <w:p>
      <w:pPr>
        <w:pStyle w:val="Style10"/>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截至2021年9月30日，公司前十名股东持股情况如下:</w:t>
      </w:r>
    </w:p>
    <w:p>
      <w:pPr>
        <w:pStyle w:val="Style10"/>
        <w:keepNext w:val="0"/>
        <w:keepLines w:val="0"/>
        <w:widowControl w:val="0"/>
        <w:shd w:val="clear" w:color="auto" w:fill="auto"/>
        <w:bidi w:val="0"/>
        <w:spacing w:before="0" w:after="120" w:line="240" w:lineRule="auto"/>
        <w:ind w:left="0" w:right="400" w:firstLine="0"/>
        <w:jc w:val="right"/>
      </w:pPr>
      <w:r>
        <w:rPr>
          <w:color w:val="000000"/>
          <w:spacing w:val="0"/>
          <w:w w:val="100"/>
          <w:position w:val="0"/>
        </w:rPr>
        <w:t>单位：股</w:t>
      </w:r>
    </w:p>
    <w:tbl>
      <w:tblPr>
        <w:tblOverlap w:val="never"/>
        <w:jc w:val="center"/>
        <w:tblLayout w:type="fixed"/>
      </w:tblPr>
      <w:tblGrid>
        <w:gridCol w:w="686"/>
        <w:gridCol w:w="2755"/>
        <w:gridCol w:w="1469"/>
        <w:gridCol w:w="1210"/>
        <w:gridCol w:w="1435"/>
        <w:gridCol w:w="1565"/>
      </w:tblGrid>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r>
              <w:rPr>
                <w:rFonts w:ascii="SimHei" w:eastAsia="SimHei" w:hAnsi="SimHei" w:cs="SimHei"/>
                <w:color w:val="000000"/>
                <w:spacing w:val="0"/>
                <w:w w:val="100"/>
                <w:position w:val="0"/>
                <w:sz w:val="14"/>
                <w:szCs w:val="14"/>
              </w:rPr>
              <w:t>・</w:t>
            </w:r>
            <w:r>
              <w:rPr>
                <w:color w:val="000000"/>
                <w:spacing w:val="0"/>
                <w:w w:val="100"/>
                <w:position w:val="0"/>
                <w:sz w:val="18"/>
                <w:szCs w:val="18"/>
              </w:rPr>
              <w:t>｛性质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持有有限售条件的 股份数量</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52,879,243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有条件限售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39,659,432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钟超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15,154,280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 </w:t>
            </w:r>
            <w:r>
              <w:rPr>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无条件限售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691"/>
        <w:gridCol w:w="2755"/>
        <w:gridCol w:w="1469"/>
        <w:gridCol w:w="1210"/>
        <w:gridCol w:w="1435"/>
        <w:gridCol w:w="1570"/>
      </w:tblGrid>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中国工商银行股份有限公司一诺安 先锋混合型证券投资基金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7,815, 688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无条件限售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中国银河证券股份有限公司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7,109, 252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有条件限售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7,109, 252</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JPMORGAN CHASE BANK, NATIONAL</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ASSOCIATION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6,421,994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无条件限售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济南江山投资合伙企业（有限合伙）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5,802,408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有条件限售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5, 802,408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UBS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5,506,777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有条件限售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1,568,217</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银河资</w:t>
            </w:r>
            <w:r>
              <w:rPr>
                <w:rFonts w:ascii="SimHei" w:eastAsia="SimHei" w:hAnsi="SimHei" w:cs="SimHei"/>
                <w:color w:val="000000"/>
                <w:spacing w:val="0"/>
                <w:w w:val="100"/>
                <w:position w:val="0"/>
                <w:sz w:val="14"/>
                <w:szCs w:val="14"/>
              </w:rPr>
              <w:t>・</w:t>
            </w:r>
            <w:r>
              <w:rPr>
                <w:color w:val="000000"/>
                <w:spacing w:val="0"/>
                <w:w w:val="100"/>
                <w:position w:val="0"/>
                <w:sz w:val="18"/>
                <w:szCs w:val="18"/>
              </w:rPr>
              <w:t>｛一浙商银行一银河资</w:t>
            </w:r>
            <w:r>
              <w:rPr>
                <w:rFonts w:ascii="SimHei" w:eastAsia="SimHei" w:hAnsi="SimHei" w:cs="SimHei"/>
                <w:color w:val="000000"/>
                <w:spacing w:val="0"/>
                <w:w w:val="100"/>
                <w:position w:val="0"/>
                <w:sz w:val="14"/>
                <w:szCs w:val="14"/>
              </w:rPr>
              <w:t>・</w:t>
            </w:r>
            <w:r>
              <w:rPr>
                <w:color w:val="000000"/>
                <w:spacing w:val="0"/>
                <w:w w:val="100"/>
                <w:position w:val="0"/>
                <w:sz w:val="18"/>
                <w:szCs w:val="18"/>
              </w:rPr>
              <w:t>｛一 鑫鑫一号集合资产管理计划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5,222,164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有条件限售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5, 222,164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中国国际金融香港资产管理有限公 司一客户资金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4,227,802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无条件限售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钟克创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3,097,420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无条件限售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r>
        <w:trPr>
          <w:trHeight w:val="36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113, 237, 028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 xml:space="preserve">34. </w:t>
            </w:r>
            <w:r>
              <w:rPr>
                <w:b/>
                <w:bCs/>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_</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59, 361,473</w:t>
            </w:r>
          </w:p>
        </w:tc>
      </w:tr>
    </w:tbl>
    <w:p>
      <w:pPr>
        <w:widowControl w:val="0"/>
        <w:spacing w:after="119" w:line="1" w:lineRule="exact"/>
      </w:pPr>
    </w:p>
    <w:p>
      <w:pPr>
        <w:pStyle w:val="Style10"/>
        <w:keepNext w:val="0"/>
        <w:keepLines w:val="0"/>
        <w:widowControl w:val="0"/>
        <w:shd w:val="clear" w:color="auto" w:fill="auto"/>
        <w:bidi w:val="0"/>
        <w:spacing w:before="0" w:after="0" w:line="240" w:lineRule="auto"/>
        <w:ind w:left="0" w:right="0" w:firstLine="440"/>
        <w:jc w:val="both"/>
      </w:pPr>
      <w:bookmarkStart w:id="659" w:name="bookmark659"/>
      <w:r>
        <w:rPr>
          <w:b/>
          <w:bCs/>
          <w:color w:val="000000"/>
          <w:spacing w:val="0"/>
          <w:w w:val="100"/>
          <w:position w:val="0"/>
        </w:rPr>
        <w:t>（</w:t>
      </w:r>
      <w:bookmarkEnd w:id="659"/>
      <w:r>
        <w:rPr>
          <w:b/>
          <w:bCs/>
          <w:color w:val="000000"/>
          <w:spacing w:val="0"/>
          <w:w w:val="100"/>
          <w:position w:val="0"/>
        </w:rPr>
        <w:t>2）对公司股本结构的影响</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本次向特定对象发行的新股登记完成后，公司增加31, 364, 349股有限售条件流通股。同时，本次发 行不会导致公司控制权发生变化，公司实际控制人仍为任红军先生及钟超女士。本次向特定对象发行完成 后，公司股权分布符合《深圳证券交易所股票上市规则》规定的上市条件。</w:t>
      </w:r>
    </w:p>
    <w:p>
      <w:pPr>
        <w:pStyle w:val="Style10"/>
        <w:keepNext w:val="0"/>
        <w:keepLines w:val="0"/>
        <w:widowControl w:val="0"/>
        <w:shd w:val="clear" w:color="auto" w:fill="auto"/>
        <w:bidi w:val="0"/>
        <w:spacing w:before="0" w:after="0" w:line="470" w:lineRule="exact"/>
        <w:ind w:left="0" w:right="0" w:firstLine="440"/>
        <w:jc w:val="both"/>
      </w:pPr>
      <w:bookmarkStart w:id="660" w:name="bookmark660"/>
      <w:r>
        <w:rPr>
          <w:b/>
          <w:bCs/>
          <w:color w:val="000000"/>
          <w:spacing w:val="0"/>
          <w:w w:val="100"/>
          <w:position w:val="0"/>
        </w:rPr>
        <w:t>（</w:t>
      </w:r>
      <w:bookmarkEnd w:id="660"/>
      <w:r>
        <w:rPr>
          <w:b/>
          <w:bCs/>
          <w:color w:val="000000"/>
          <w:spacing w:val="0"/>
          <w:w w:val="100"/>
          <w:position w:val="0"/>
        </w:rPr>
        <w:t>3）对公司资产结构的影响</w:t>
      </w:r>
    </w:p>
    <w:p>
      <w:pPr>
        <w:pStyle w:val="Style10"/>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本次发行后，公司总资产和净资产将同时增加，资产负债率将有所下降，本次发行使得公司整体资金 实力得到进一步提升，资本结构得到优化，也为公司后续发展提供有效的保障。</w:t>
      </w:r>
    </w:p>
    <w:p>
      <w:pPr>
        <w:pStyle w:val="Style28"/>
        <w:keepNext/>
        <w:keepLines/>
        <w:widowControl w:val="0"/>
        <w:shd w:val="clear" w:color="auto" w:fill="auto"/>
        <w:bidi w:val="0"/>
        <w:spacing w:before="0" w:after="120" w:line="492" w:lineRule="auto"/>
        <w:ind w:left="0" w:right="0" w:firstLine="0"/>
        <w:jc w:val="both"/>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3</w:t>
      </w:r>
      <w:bookmarkEnd w:id="663"/>
      <w:r>
        <w:rPr>
          <w:color w:val="000000"/>
          <w:spacing w:val="0"/>
          <w:w w:val="100"/>
          <w:position w:val="0"/>
        </w:rPr>
        <w:t>、现存的内部职工股情况</w:t>
      </w:r>
      <w:bookmarkEnd w:id="661"/>
      <w:bookmarkEnd w:id="662"/>
      <w:bookmarkEnd w:id="664"/>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19"/>
        <w:keepNext/>
        <w:keepLines/>
        <w:widowControl w:val="0"/>
        <w:shd w:val="clear" w:color="auto" w:fill="auto"/>
        <w:bidi w:val="0"/>
        <w:spacing w:before="0" w:line="240" w:lineRule="auto"/>
        <w:ind w:left="0" w:right="0" w:firstLine="0"/>
        <w:jc w:val="both"/>
      </w:pPr>
      <w:bookmarkStart w:id="665" w:name="bookmark665"/>
      <w:bookmarkStart w:id="666" w:name="bookmark666"/>
      <w:bookmarkStart w:id="667" w:name="bookmark667"/>
      <w:bookmarkStart w:id="668" w:name="bookmark668"/>
      <w:r>
        <w:rPr>
          <w:color w:val="000000"/>
          <w:spacing w:val="0"/>
          <w:w w:val="100"/>
          <w:position w:val="0"/>
          <w:sz w:val="24"/>
          <w:szCs w:val="24"/>
        </w:rPr>
        <w:t>三</w:t>
      </w:r>
      <w:bookmarkEnd w:id="667"/>
      <w:r>
        <w:rPr>
          <w:color w:val="000000"/>
          <w:spacing w:val="0"/>
          <w:w w:val="100"/>
          <w:position w:val="0"/>
          <w:sz w:val="24"/>
          <w:szCs w:val="24"/>
        </w:rPr>
        <w:t>、股东和实际控制人情况</w:t>
      </w:r>
      <w:bookmarkEnd w:id="665"/>
      <w:bookmarkEnd w:id="666"/>
      <w:bookmarkEnd w:id="668"/>
    </w:p>
    <w:p>
      <w:pPr>
        <w:pStyle w:val="Style28"/>
        <w:keepNext/>
        <w:keepLines/>
        <w:widowControl w:val="0"/>
        <w:shd w:val="clear" w:color="auto" w:fill="auto"/>
        <w:bidi w:val="0"/>
        <w:spacing w:before="0" w:after="120" w:line="492" w:lineRule="auto"/>
        <w:ind w:left="0" w:right="0" w:firstLine="0"/>
        <w:jc w:val="both"/>
      </w:pPr>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bookmarkEnd w:id="669"/>
      <w:bookmarkEnd w:id="670"/>
      <w:bookmarkEnd w:id="671"/>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1051"/>
        <w:gridCol w:w="994"/>
        <w:gridCol w:w="946"/>
        <w:gridCol w:w="1061"/>
        <w:gridCol w:w="840"/>
        <w:gridCol w:w="1037"/>
        <w:gridCol w:w="1397"/>
        <w:gridCol w:w="974"/>
        <w:gridCol w:w="1003"/>
        <w:gridCol w:w="274"/>
      </w:tblGrid>
      <w:tr>
        <w:trPr>
          <w:trHeight w:val="29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普通股股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29,789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年度报告 披露日前 上一月末 普通股股 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30,436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 末表决 权恢复 的优先 股股东 总数</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（如 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8"/>
                <w:szCs w:val="18"/>
              </w:rPr>
              <w:t>持有特别 表决权股 份的股东 总数（如 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051"/>
        <w:gridCol w:w="994"/>
        <w:gridCol w:w="946"/>
        <w:gridCol w:w="1061"/>
        <w:gridCol w:w="840"/>
        <w:gridCol w:w="1037"/>
        <w:gridCol w:w="1397"/>
        <w:gridCol w:w="974"/>
        <w:gridCol w:w="127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color w:val="000000"/>
                <w:spacing w:val="0"/>
                <w:w w:val="100"/>
                <w:position w:val="0"/>
                <w:sz w:val="18"/>
                <w:szCs w:val="18"/>
              </w:rPr>
              <w:t>报告期末</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持有无限售条 件的股份数量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境内自然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52,879,243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39,659,432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13,219,811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19,590,000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钟超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境内自然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15,154,280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中国工商 银行股份 有限公司 —诺安先 锋混合型 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9,438,588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9,438,5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9,438,588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中国银河 证券股份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7,109,252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7,109,2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济南江山</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投资合伙</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企业（有限</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境内非国</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5,802,408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5,802,4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银河资本 —浙商银 行一银河 资本一鑫 鑫一号集 合资产管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5,222,164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5,222,1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钟克创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境内自然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3,097,420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3,097,420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诺安基金 一建设银 行—中国 人寿一中 国人寿委 托诺安基 金股票型 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2,682,700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2,682,7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2,682,700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刘瑞玲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2,345,860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51"/>
        <w:gridCol w:w="994"/>
        <w:gridCol w:w="946"/>
        <w:gridCol w:w="509"/>
        <w:gridCol w:w="552"/>
        <w:gridCol w:w="840"/>
        <w:gridCol w:w="1037"/>
        <w:gridCol w:w="475"/>
        <w:gridCol w:w="922"/>
        <w:gridCol w:w="974"/>
        <w:gridCol w:w="127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香港中央</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结算有限</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1,817,932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1,817,9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1,817,932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战略投资者或一般法人 因配售新股成为前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名股东的情况（如有）</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上述股东关联关系或一 致行动的说明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任红军与钟超系夫妻关系，钟超与钟克创系姐弟关系，公司未知上述其他股东之间是否存在关 联关系，也未知是否属于《上市公司收购管理办法》规定的一致行动人。</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受 托表决权、放弃表决权 情况的说明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名股东中存在回 购专户的特别说明（如 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403" w:hRule="exact"/>
        </w:trPr>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报告期末持有无限售条件股份数 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398" w:hRule="exact"/>
        </w:trPr>
        <w:tc>
          <w:tcPr>
            <w:gridSpan w:val="4"/>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数量</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钟超</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15,154,280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15,154,280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任红军</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13,219,811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13,219,811</w:t>
            </w:r>
          </w:p>
        </w:tc>
      </w:tr>
      <w:tr>
        <w:trPr>
          <w:trHeight w:val="715"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中国工商银行股份有限公司一诺安先锋混 合型证券投资基金</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9,438,588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9,438,588</w:t>
            </w:r>
          </w:p>
        </w:tc>
      </w:tr>
      <w:tr>
        <w:trPr>
          <w:trHeight w:val="398"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钟克创</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3,097,420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3,097,420</w:t>
            </w:r>
          </w:p>
        </w:tc>
      </w:tr>
      <w:tr>
        <w:trPr>
          <w:trHeight w:val="715"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诺安基金一建设银行一中国人寿一中国人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寿委托诺安基金股票型组合</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2,682,700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2,682,700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香港中央结算有限公司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1,817,932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1,817,932</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中信建投基金一广发银行一钟超</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1,647,300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1,647,300</w:t>
            </w:r>
          </w:p>
        </w:tc>
      </w:tr>
      <w:tr>
        <w:trPr>
          <w:trHeight w:val="710"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中国邮政储蓄银行股份有限公司一东方新 能源汽车主题混合型证券投资基金</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1,645,800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1,645,800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王和方</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1,636,000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1,636,000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常州市和方标准件有限公司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1,517,500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1,517,500</w:t>
            </w:r>
          </w:p>
        </w:tc>
      </w:tr>
      <w:tr>
        <w:trPr>
          <w:trHeight w:val="1651"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 股东之间，以及前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名股东之间关联 关系或一致行动的说明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任红军与钟超系夫妻关系，钟超与钟克创系姐弟关系，“中信建投基金一广发银行一钟超”资 产管理计划的资产委托人为钟超，公司未知上述其他股东之间是否存在关联关系，也未知是否 属于《上市公司收购管理办法》规定的一致行动人。</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参与融资融券业务股东</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tbl>
      <w:tblPr>
        <w:tblOverlap w:val="never"/>
        <w:jc w:val="center"/>
        <w:tblLayout w:type="fixed"/>
      </w:tblPr>
      <w:tblGrid>
        <w:gridCol w:w="2045"/>
        <w:gridCol w:w="7531"/>
      </w:tblGrid>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情况说明（如有）（参见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公司是否具有表决权差异安排</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24"/>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line="240" w:lineRule="auto"/>
        <w:ind w:left="0" w:right="0" w:firstLine="0"/>
        <w:jc w:val="left"/>
      </w:pPr>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2</w:t>
      </w:r>
      <w:r>
        <w:rPr>
          <w:color w:val="000000"/>
          <w:spacing w:val="0"/>
          <w:w w:val="100"/>
          <w:position w:val="0"/>
        </w:rPr>
        <w:t>、公司控股股东情况</w:t>
      </w:r>
      <w:bookmarkEnd w:id="672"/>
      <w:bookmarkEnd w:id="673"/>
      <w:bookmarkEnd w:id="67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3</w:t>
      </w:r>
      <w:bookmarkEnd w:id="677"/>
      <w:r>
        <w:rPr>
          <w:color w:val="000000"/>
          <w:spacing w:val="0"/>
          <w:w w:val="100"/>
          <w:position w:val="0"/>
        </w:rPr>
        <w:t>、公司实际控制人及其一致行动人</w:t>
      </w:r>
      <w:bookmarkEnd w:id="675"/>
      <w:bookmarkEnd w:id="676"/>
      <w:bookmarkEnd w:id="67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3202"/>
        <w:gridCol w:w="1186"/>
        <w:gridCol w:w="27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钟超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任红军先生与钟超女士系夫妻关系。任红军先生目前任职公司董事长，钟超女士不担任公 司任何职务。</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pStyle w:val="Style172"/>
        <w:keepNext w:val="0"/>
        <w:keepLines w:val="0"/>
        <w:widowControl w:val="0"/>
        <w:shd w:val="clear" w:color="auto" w:fill="auto"/>
        <w:tabs>
          <w:tab w:pos="2357" w:val="left"/>
        </w:tabs>
        <w:bidi w:val="0"/>
        <w:spacing w:before="0" w:after="0" w:line="240" w:lineRule="auto"/>
        <w:ind w:left="0" w:right="0" w:firstLine="0"/>
        <w:jc w:val="center"/>
      </w:pPr>
      <w:r>
        <w:rPr>
          <w:color w:val="6D6D6D"/>
          <w:spacing w:val="0"/>
          <w:w w:val="100"/>
          <w:position w:val="0"/>
        </w:rPr>
        <w:t>任红军</w:t>
        <w:tab/>
        <w:t>钟超</w:t>
      </w:r>
    </w:p>
    <w:p>
      <w:pPr>
        <w:pStyle w:val="Style10"/>
        <w:keepNext w:val="0"/>
        <w:keepLines w:val="0"/>
        <w:widowControl w:val="0"/>
        <w:shd w:val="clear" w:color="auto" w:fill="auto"/>
        <w:tabs>
          <w:tab w:leader="underscore" w:pos="979" w:val="left"/>
          <w:tab w:leader="underscore" w:pos="1944" w:val="left"/>
          <w:tab w:pos="4162" w:val="left"/>
        </w:tabs>
        <w:bidi w:val="0"/>
        <w:spacing w:before="0" w:after="220" w:line="240" w:lineRule="auto"/>
        <w:ind w:left="0" w:right="0" w:firstLine="0"/>
        <w:jc w:val="center"/>
        <w:rPr>
          <w:sz w:val="10"/>
          <w:szCs w:val="10"/>
        </w:rPr>
      </w:pPr>
      <w:r>
        <w:rPr>
          <w:b/>
          <w:bCs/>
          <w:color w:val="474646"/>
          <w:spacing w:val="0"/>
          <w:w w:val="100"/>
          <w:position w:val="0"/>
          <w:sz w:val="20"/>
          <w:szCs w:val="20"/>
        </w:rPr>
        <w:t>&lt;</w:t>
        <w:tab/>
        <w:tab/>
        <w:t xml:space="preserve">) </w:t>
      </w:r>
      <w:r>
        <w:rPr>
          <w:b/>
          <w:bCs/>
          <w:color w:val="474646"/>
          <w:spacing w:val="0"/>
          <w:w w:val="100"/>
          <w:position w:val="0"/>
          <w:sz w:val="20"/>
          <w:szCs w:val="20"/>
        </w:rPr>
        <w:t>I</w:t>
        <w:tab/>
      </w:r>
      <w:r>
        <w:rPr>
          <w:rFonts w:ascii="Arial" w:eastAsia="Arial" w:hAnsi="Arial" w:cs="Arial"/>
          <w:i/>
          <w:iCs/>
          <w:color w:val="474646"/>
          <w:spacing w:val="0"/>
          <w:w w:val="100"/>
          <w:position w:val="0"/>
          <w:sz w:val="10"/>
          <w:szCs w:val="10"/>
        </w:rPr>
        <w:t>J</w:t>
      </w:r>
    </w:p>
    <w:p>
      <w:pPr>
        <w:pStyle w:val="Style2"/>
        <w:keepNext w:val="0"/>
        <w:keepLines w:val="0"/>
        <w:widowControl w:val="0"/>
        <w:shd w:val="clear" w:color="auto" w:fill="auto"/>
        <w:tabs>
          <w:tab w:pos="3854" w:val="left"/>
        </w:tabs>
        <w:bidi w:val="0"/>
        <w:spacing w:before="0" w:after="620" w:line="240" w:lineRule="auto"/>
        <w:ind w:left="0" w:right="0" w:firstLine="0"/>
        <w:jc w:val="center"/>
        <w:rPr>
          <w:sz w:val="24"/>
          <w:szCs w:val="24"/>
        </w:rPr>
      </w:pPr>
      <w:r>
        <w:rPr>
          <w:rFonts w:ascii="Times New Roman" w:eastAsia="Times New Roman" w:hAnsi="Times New Roman" w:cs="Times New Roman"/>
          <w:b/>
          <w:bCs/>
          <w:color w:val="474646"/>
          <w:spacing w:val="0"/>
          <w:w w:val="100"/>
          <w:position w:val="0"/>
          <w:sz w:val="24"/>
          <w:szCs w:val="24"/>
        </w:rPr>
        <w:t>16.30%</w:t>
        <w:tab/>
        <w:t>4.67%</w:t>
      </w:r>
    </w:p>
    <w:p>
      <w:pPr>
        <w:pStyle w:val="Style172"/>
        <w:keepNext w:val="0"/>
        <w:keepLines w:val="0"/>
        <w:widowControl w:val="0"/>
        <w:shd w:val="clear" w:color="auto" w:fill="auto"/>
        <w:bidi w:val="0"/>
        <w:spacing w:before="0" w:after="1000" w:line="240" w:lineRule="auto"/>
        <w:ind w:left="0" w:right="0" w:firstLine="0"/>
        <w:jc w:val="center"/>
      </w:pPr>
      <w:r>
        <w:rPr>
          <w:color w:val="6D6D6D"/>
          <w:spacing w:val="0"/>
          <w:w w:val="100"/>
          <w:position w:val="0"/>
        </w:rPr>
        <w:t>汉威科技集团股份有限公司</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tabs>
          <w:tab w:pos="378" w:val="left"/>
        </w:tabs>
        <w:bidi w:val="0"/>
        <w:spacing w:before="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4</w:t>
      </w:r>
      <w:bookmarkEnd w:id="681"/>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79"/>
      <w:bookmarkEnd w:id="680"/>
      <w:bookmarkEnd w:id="682"/>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tabs>
          <w:tab w:pos="378" w:val="left"/>
        </w:tabs>
        <w:bidi w:val="0"/>
        <w:spacing w:before="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5</w:t>
      </w:r>
      <w:bookmarkEnd w:id="68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83"/>
      <w:bookmarkEnd w:id="684"/>
      <w:bookmarkEnd w:id="686"/>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8"/>
        <w:keepNext/>
        <w:keepLines/>
        <w:widowControl w:val="0"/>
        <w:shd w:val="clear" w:color="auto" w:fill="auto"/>
        <w:tabs>
          <w:tab w:pos="378" w:val="left"/>
        </w:tabs>
        <w:bidi w:val="0"/>
        <w:spacing w:before="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6</w:t>
      </w:r>
      <w:bookmarkEnd w:id="689"/>
      <w:r>
        <w:rPr>
          <w:color w:val="000000"/>
          <w:spacing w:val="0"/>
          <w:w w:val="100"/>
          <w:position w:val="0"/>
        </w:rPr>
        <w:t>、</w:t>
        <w:tab/>
        <w:t>控股股东、实际控制人、重组方及其他承诺主体股份限制减持情况</w:t>
      </w:r>
      <w:bookmarkEnd w:id="687"/>
      <w:bookmarkEnd w:id="688"/>
      <w:bookmarkEnd w:id="690"/>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36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sz w:val="24"/>
          <w:szCs w:val="24"/>
        </w:rPr>
        <w:t>四</w:t>
      </w:r>
      <w:bookmarkEnd w:id="693"/>
      <w:r>
        <w:rPr>
          <w:color w:val="000000"/>
          <w:spacing w:val="0"/>
          <w:w w:val="100"/>
          <w:position w:val="0"/>
          <w:sz w:val="24"/>
          <w:szCs w:val="24"/>
        </w:rPr>
        <w:t>、股份回购在报告期的具体实施情况</w:t>
      </w:r>
      <w:bookmarkEnd w:id="691"/>
      <w:bookmarkEnd w:id="692"/>
      <w:bookmarkEnd w:id="69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06" w:right="1055" w:bottom="1460" w:left="1053" w:header="0" w:footer="3" w:gutter="0"/>
          <w:cols w:space="720"/>
          <w:noEndnote/>
          <w:rtlGutter w:val="0"/>
          <w:docGrid w:linePitch="360"/>
        </w:sectPr>
      </w:pPr>
      <w:r>
        <w:rPr>
          <w:color w:val="000000"/>
          <w:spacing w:val="0"/>
          <w:w w:val="100"/>
          <w:position w:val="0"/>
        </w:rPr>
        <w:t>口适用”不适用</w:t>
      </w:r>
    </w:p>
    <w:p>
      <w:pPr>
        <w:widowControl w:val="0"/>
        <w:spacing w:line="1" w:lineRule="exact"/>
      </w:pPr>
      <w:r>
        <mc:AlternateContent>
          <mc:Choice Requires="wps">
            <w:drawing>
              <wp:anchor distT="0" distB="279400" distL="0" distR="0" simplePos="0" relativeHeight="125829460" behindDoc="0" locked="0" layoutInCell="1" allowOverlap="1">
                <wp:simplePos x="0" y="0"/>
                <wp:positionH relativeFrom="page">
                  <wp:posOffset>2696210</wp:posOffset>
                </wp:positionH>
                <wp:positionV relativeFrom="paragraph">
                  <wp:posOffset>0</wp:posOffset>
                </wp:positionV>
                <wp:extent cx="2164080" cy="243840"/>
                <wp:wrapTopAndBottom/>
                <wp:docPr id="196" name="Shape 196"/>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695" w:name="bookmark695"/>
                            <w:bookmarkStart w:id="696" w:name="bookmark696"/>
                            <w:bookmarkStart w:id="697" w:name="bookmark697"/>
                            <w:bookmarkStart w:id="698" w:name="bookmark698"/>
                            <w:r>
                              <w:rPr>
                                <w:color w:val="000000"/>
                                <w:spacing w:val="0"/>
                                <w:w w:val="100"/>
                                <w:position w:val="0"/>
                              </w:rPr>
                              <w:t>第八节优先股相关情况</w:t>
                            </w:r>
                            <w:bookmarkEnd w:id="696"/>
                            <w:bookmarkEnd w:id="697"/>
                            <w:bookmarkEnd w:id="698"/>
                            <w:bookmarkEnd w:id="695"/>
                          </w:p>
                        </w:txbxContent>
                      </wps:txbx>
                      <wps:bodyPr wrap="none" lIns="0" tIns="0" rIns="0" bIns="0">
                        <a:noAutoFit/>
                      </wps:bodyPr>
                    </wps:wsp>
                  </a:graphicData>
                </a:graphic>
              </wp:anchor>
            </w:drawing>
          </mc:Choice>
          <mc:Fallback>
            <w:pict>
              <v:shape id="_x0000_s1222" type="#_x0000_t202" style="position:absolute;margin-left:212.30000000000001pt;margin-top:0;width:170.40000000000001pt;height:19.199999999999999pt;z-index:-125829293;mso-wrap-distance-left:0;mso-wrap-distance-right:0;mso-wrap-distance-bottom:22.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695" w:name="bookmark695"/>
                      <w:bookmarkStart w:id="696" w:name="bookmark696"/>
                      <w:bookmarkStart w:id="697" w:name="bookmark697"/>
                      <w:bookmarkStart w:id="698" w:name="bookmark698"/>
                      <w:r>
                        <w:rPr>
                          <w:color w:val="000000"/>
                          <w:spacing w:val="0"/>
                          <w:w w:val="100"/>
                          <w:position w:val="0"/>
                        </w:rPr>
                        <w:t>第八节优先股相关情况</w:t>
                      </w:r>
                      <w:bookmarkEnd w:id="696"/>
                      <w:bookmarkEnd w:id="697"/>
                      <w:bookmarkEnd w:id="698"/>
                      <w:bookmarkEnd w:id="695"/>
                    </w:p>
                  </w:txbxContent>
                </v:textbox>
                <w10:wrap type="topAndBottom" anchorx="page"/>
              </v:shape>
            </w:pict>
          </mc:Fallback>
        </mc:AlternateConten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318" w:bottom="1935" w:left="1107"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0" w:after="560" w:line="240" w:lineRule="auto"/>
        <w:ind w:left="0" w:right="0" w:firstLine="0"/>
        <w:jc w:val="center"/>
      </w:pPr>
      <w:bookmarkStart w:id="699" w:name="bookmark699"/>
      <w:bookmarkStart w:id="700" w:name="bookmark700"/>
      <w:bookmarkStart w:id="701" w:name="bookmark701"/>
      <w:bookmarkStart w:id="702" w:name="bookmark702"/>
      <w:r>
        <w:rPr>
          <w:color w:val="000000"/>
          <w:spacing w:val="0"/>
          <w:w w:val="100"/>
          <w:position w:val="0"/>
        </w:rPr>
        <w:t>第九节债券相关情况</w:t>
      </w:r>
      <w:bookmarkEnd w:id="700"/>
      <w:bookmarkEnd w:id="701"/>
      <w:bookmarkEnd w:id="702"/>
      <w:bookmarkEnd w:id="699"/>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40" w:right="1318" w:bottom="1940" w:left="1107"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8"/>
        <w:keepNext/>
        <w:keepLines/>
        <w:widowControl w:val="0"/>
        <w:shd w:val="clear" w:color="auto" w:fill="auto"/>
        <w:bidi w:val="0"/>
        <w:spacing w:before="620" w:after="540" w:line="240" w:lineRule="auto"/>
        <w:ind w:left="0" w:right="0" w:firstLine="0"/>
        <w:jc w:val="center"/>
      </w:pPr>
      <w:bookmarkStart w:id="703" w:name="bookmark703"/>
      <w:bookmarkStart w:id="704" w:name="bookmark704"/>
      <w:bookmarkStart w:id="705" w:name="bookmark705"/>
      <w:bookmarkStart w:id="706" w:name="bookmark706"/>
      <w:r>
        <w:rPr>
          <w:color w:val="000000"/>
          <w:spacing w:val="0"/>
          <w:w w:val="100"/>
          <w:position w:val="0"/>
        </w:rPr>
        <w:t>第十节财务报告</w:t>
      </w:r>
      <w:bookmarkEnd w:id="704"/>
      <w:bookmarkEnd w:id="705"/>
      <w:bookmarkEnd w:id="706"/>
      <w:bookmarkEnd w:id="703"/>
    </w:p>
    <w:p>
      <w:pPr>
        <w:pStyle w:val="Style19"/>
        <w:keepNext/>
        <w:keepLines/>
        <w:widowControl w:val="0"/>
        <w:shd w:val="clear" w:color="auto" w:fill="auto"/>
        <w:bidi w:val="0"/>
        <w:spacing w:before="0" w:after="300" w:line="240" w:lineRule="auto"/>
        <w:ind w:left="0" w:right="0" w:firstLine="260"/>
        <w:jc w:val="both"/>
      </w:pPr>
      <w:bookmarkStart w:id="707" w:name="bookmark707"/>
      <w:bookmarkStart w:id="708" w:name="bookmark708"/>
      <w:bookmarkStart w:id="709" w:name="bookmark709"/>
      <w:r>
        <w:rPr>
          <w:color w:val="000000"/>
          <w:spacing w:val="0"/>
          <w:w w:val="100"/>
          <w:position w:val="0"/>
          <w:sz w:val="24"/>
          <w:szCs w:val="24"/>
        </w:rPr>
        <w:t>、审计报告</w:t>
      </w:r>
      <w:bookmarkEnd w:id="707"/>
      <w:bookmarkEnd w:id="708"/>
      <w:bookmarkEnd w:id="709"/>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信会师报字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ZB10165</w:t>
            </w:r>
            <w:r>
              <w:rPr>
                <w:color w:val="000000"/>
                <w:spacing w:val="0"/>
                <w:w w:val="100"/>
                <w:position w:val="0"/>
                <w:sz w:val="18"/>
                <w:szCs w:val="18"/>
              </w:rPr>
              <w:t>号</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杨东升、吴可方</w:t>
            </w:r>
          </w:p>
        </w:tc>
      </w:tr>
    </w:tbl>
    <w:p>
      <w:pPr>
        <w:pStyle w:val="Style21"/>
        <w:keepNext w:val="0"/>
        <w:keepLines w:val="0"/>
        <w:widowControl w:val="0"/>
        <w:shd w:val="clear" w:color="auto" w:fill="auto"/>
        <w:bidi w:val="0"/>
        <w:spacing w:before="0" w:after="0" w:line="240" w:lineRule="auto"/>
        <w:ind w:left="4267" w:right="0" w:firstLine="0"/>
        <w:jc w:val="left"/>
        <w:rPr>
          <w:sz w:val="18"/>
          <w:szCs w:val="18"/>
        </w:rPr>
      </w:pPr>
      <w:r>
        <w:rPr>
          <w:b w:val="0"/>
          <w:bCs w:val="0"/>
          <w:color w:val="000000"/>
          <w:spacing w:val="0"/>
          <w:w w:val="100"/>
          <w:position w:val="0"/>
          <w:sz w:val="18"/>
          <w:szCs w:val="18"/>
        </w:rPr>
        <w:t>审计报告正文</w:t>
      </w:r>
    </w:p>
    <w:p>
      <w:pPr>
        <w:widowControl w:val="0"/>
        <w:spacing w:after="819" w:line="1" w:lineRule="exact"/>
      </w:pPr>
    </w:p>
    <w:p>
      <w:pPr>
        <w:pStyle w:val="Style2"/>
        <w:keepNext w:val="0"/>
        <w:keepLines w:val="0"/>
        <w:widowControl w:val="0"/>
        <w:shd w:val="clear" w:color="auto" w:fill="auto"/>
        <w:bidi w:val="0"/>
        <w:spacing w:before="0" w:after="600" w:line="240" w:lineRule="auto"/>
        <w:ind w:left="0" w:right="0" w:firstLine="0"/>
        <w:jc w:val="center"/>
        <w:rPr>
          <w:sz w:val="36"/>
          <w:szCs w:val="36"/>
        </w:rPr>
      </w:pPr>
      <w:r>
        <w:rPr>
          <w:b/>
          <w:bCs/>
          <w:color w:val="000000"/>
          <w:spacing w:val="0"/>
          <w:w w:val="100"/>
          <w:position w:val="0"/>
          <w:sz w:val="36"/>
          <w:szCs w:val="36"/>
        </w:rPr>
        <w:t>审计报告</w:t>
      </w:r>
    </w:p>
    <w:p>
      <w:pPr>
        <w:pStyle w:val="Style10"/>
        <w:keepNext w:val="0"/>
        <w:keepLines w:val="0"/>
        <w:widowControl w:val="0"/>
        <w:shd w:val="clear" w:color="auto" w:fill="auto"/>
        <w:bidi w:val="0"/>
        <w:spacing w:before="0" w:after="0" w:line="467" w:lineRule="exact"/>
        <w:ind w:left="0" w:right="0" w:firstLine="460"/>
        <w:jc w:val="both"/>
      </w:pPr>
      <w:r>
        <w:rPr>
          <w:b/>
          <w:bCs/>
          <w:color w:val="000000"/>
          <w:spacing w:val="0"/>
          <w:w w:val="100"/>
          <w:position w:val="0"/>
        </w:rPr>
        <w:t>汉威科技集团股份有限公司全体股东：</w:t>
      </w:r>
    </w:p>
    <w:p>
      <w:pPr>
        <w:pStyle w:val="Style10"/>
        <w:keepNext w:val="0"/>
        <w:keepLines w:val="0"/>
        <w:widowControl w:val="0"/>
        <w:shd w:val="clear" w:color="auto" w:fill="auto"/>
        <w:tabs>
          <w:tab w:pos="943" w:val="left"/>
        </w:tabs>
        <w:bidi w:val="0"/>
        <w:spacing w:before="0" w:after="0" w:line="467" w:lineRule="exact"/>
        <w:ind w:left="0" w:right="0" w:firstLine="460"/>
        <w:jc w:val="both"/>
      </w:pPr>
      <w:bookmarkStart w:id="710" w:name="bookmark710"/>
      <w:r>
        <w:rPr>
          <w:b/>
          <w:bCs/>
          <w:color w:val="000000"/>
          <w:spacing w:val="0"/>
          <w:w w:val="100"/>
          <w:position w:val="0"/>
        </w:rPr>
        <w:t>一</w:t>
      </w:r>
      <w:bookmarkEnd w:id="710"/>
      <w:r>
        <w:rPr>
          <w:b/>
          <w:bCs/>
          <w:color w:val="000000"/>
          <w:spacing w:val="0"/>
          <w:w w:val="100"/>
          <w:position w:val="0"/>
        </w:rPr>
        <w:t>、</w:t>
        <w:tab/>
        <w:t>审计意见</w:t>
      </w:r>
    </w:p>
    <w:p>
      <w:pPr>
        <w:pStyle w:val="Style10"/>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我们审计了汉威科技集团股份有限公司（以下简称汉威科技）财务报表，包括2021年12月31日的合并 及母公司资产负债表，2021年度的合并及母公司利润表、合并及母公司现金流量表、合并及母公司所有者 权益变动表以及相关财务报表附注。</w:t>
      </w:r>
    </w:p>
    <w:p>
      <w:pPr>
        <w:pStyle w:val="Style10"/>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我们认为，后附的财务报表在所有重大方面按照企业会计准则的规定编制，公允反映了汉威科技2021 年12月31日的合并及母公司财务状况以及2021年度的合并及母公司经营成果和现金流量。</w:t>
      </w:r>
    </w:p>
    <w:p>
      <w:pPr>
        <w:pStyle w:val="Style10"/>
        <w:keepNext w:val="0"/>
        <w:keepLines w:val="0"/>
        <w:widowControl w:val="0"/>
        <w:shd w:val="clear" w:color="auto" w:fill="auto"/>
        <w:tabs>
          <w:tab w:pos="943" w:val="left"/>
        </w:tabs>
        <w:bidi w:val="0"/>
        <w:spacing w:before="0" w:after="0" w:line="467" w:lineRule="exact"/>
        <w:ind w:left="0" w:right="0" w:firstLine="460"/>
        <w:jc w:val="both"/>
      </w:pPr>
      <w:bookmarkStart w:id="711" w:name="bookmark711"/>
      <w:r>
        <w:rPr>
          <w:b/>
          <w:bCs/>
          <w:color w:val="000000"/>
          <w:spacing w:val="0"/>
          <w:w w:val="100"/>
          <w:position w:val="0"/>
        </w:rPr>
        <w:t>二</w:t>
      </w:r>
      <w:bookmarkEnd w:id="711"/>
      <w:r>
        <w:rPr>
          <w:b/>
          <w:bCs/>
          <w:color w:val="000000"/>
          <w:spacing w:val="0"/>
          <w:w w:val="100"/>
          <w:position w:val="0"/>
        </w:rPr>
        <w:t>、</w:t>
        <w:tab/>
        <w:t>形成审计意见的基础</w:t>
      </w:r>
    </w:p>
    <w:p>
      <w:pPr>
        <w:pStyle w:val="Style10"/>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的责任”部分进一步阐述了我们在这些准则下的责任。按照中国注册会计师职业道德守则，我们独立于汉 威科技，并履行了职业道德方面的其他责任。我们相信，我们获取的审计证据是充分、适当的，为发表审 计意见提供了基础。</w:t>
      </w:r>
    </w:p>
    <w:p>
      <w:pPr>
        <w:pStyle w:val="Style10"/>
        <w:keepNext w:val="0"/>
        <w:keepLines w:val="0"/>
        <w:widowControl w:val="0"/>
        <w:shd w:val="clear" w:color="auto" w:fill="auto"/>
        <w:tabs>
          <w:tab w:pos="943" w:val="left"/>
        </w:tabs>
        <w:bidi w:val="0"/>
        <w:spacing w:before="0" w:after="0" w:line="467" w:lineRule="exact"/>
        <w:ind w:left="0" w:right="0" w:firstLine="460"/>
        <w:jc w:val="both"/>
      </w:pPr>
      <w:bookmarkStart w:id="712" w:name="bookmark712"/>
      <w:r>
        <w:rPr>
          <w:b/>
          <w:bCs/>
          <w:color w:val="000000"/>
          <w:spacing w:val="0"/>
          <w:w w:val="100"/>
          <w:position w:val="0"/>
        </w:rPr>
        <w:t>三</w:t>
      </w:r>
      <w:bookmarkEnd w:id="712"/>
      <w:r>
        <w:rPr>
          <w:b/>
          <w:bCs/>
          <w:color w:val="000000"/>
          <w:spacing w:val="0"/>
          <w:w w:val="100"/>
          <w:position w:val="0"/>
        </w:rPr>
        <w:t>、</w:t>
        <w:tab/>
        <w:t>关键审计事项</w:t>
      </w:r>
    </w:p>
    <w:p>
      <w:pPr>
        <w:pStyle w:val="Style10"/>
        <w:keepNext w:val="0"/>
        <w:keepLines w:val="0"/>
        <w:widowControl w:val="0"/>
        <w:shd w:val="clear" w:color="auto" w:fill="auto"/>
        <w:bidi w:val="0"/>
        <w:spacing w:before="0" w:after="240" w:line="467" w:lineRule="exact"/>
        <w:ind w:left="0" w:right="0" w:firstLine="46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10"/>
        <w:keepNext w:val="0"/>
        <w:keepLines w:val="0"/>
        <w:widowControl w:val="0"/>
        <w:shd w:val="clear" w:color="auto" w:fill="auto"/>
        <w:bidi w:val="0"/>
        <w:spacing w:before="0" w:after="420" w:line="240" w:lineRule="auto"/>
        <w:ind w:left="0" w:right="0" w:firstLine="460"/>
        <w:jc w:val="both"/>
      </w:pPr>
      <w:r>
        <w:rPr>
          <w:color w:val="000000"/>
          <w:spacing w:val="0"/>
          <w:w w:val="100"/>
          <w:position w:val="0"/>
        </w:rPr>
        <w:t>我们在审计中识别出的关键审计事项汇总如下:</w:t>
      </w:r>
      <w:r>
        <w:br w:type="page"/>
      </w:r>
    </w:p>
    <w:tbl>
      <w:tblPr>
        <w:tblOverlap w:val="never"/>
        <w:jc w:val="center"/>
        <w:tblLayout w:type="fixed"/>
      </w:tblPr>
      <w:tblGrid>
        <w:gridCol w:w="4157"/>
        <w:gridCol w:w="4080"/>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50" w:hRule="exact"/>
        </w:trPr>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（一）收入确认</w:t>
            </w:r>
          </w:p>
        </w:tc>
      </w:tr>
      <w:tr>
        <w:trPr>
          <w:trHeight w:val="628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与收入确认相关的会计政策及披露情况请参 阅本附注“三、（二十七）收入”及“五、（四 十二）营业收入及营业成本”。</w:t>
            </w:r>
          </w:p>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报告期内，汉威科技合并口径主营业务收入为 </w:t>
            </w:r>
            <w:r>
              <w:rPr>
                <w:color w:val="000000"/>
                <w:spacing w:val="0"/>
                <w:w w:val="100"/>
                <w:position w:val="0"/>
              </w:rPr>
              <w:t xml:space="preserve">22. </w:t>
            </w:r>
            <w:r>
              <w:rPr>
                <w:color w:val="000000"/>
                <w:spacing w:val="0"/>
                <w:w w:val="100"/>
                <w:position w:val="0"/>
              </w:rPr>
              <w:t>53亿元，较2020年度增长</w:t>
            </w:r>
            <w:r>
              <w:rPr>
                <w:color w:val="000000"/>
                <w:spacing w:val="0"/>
                <w:w w:val="100"/>
                <w:position w:val="0"/>
              </w:rPr>
              <w:t xml:space="preserve">19. </w:t>
            </w:r>
            <w:r>
              <w:rPr>
                <w:color w:val="000000"/>
                <w:spacing w:val="0"/>
                <w:w w:val="100"/>
                <w:position w:val="0"/>
              </w:rPr>
              <w:t>14%。</w:t>
            </w:r>
          </w:p>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由于收入是公司关键经营指标，存在管理层为 了达到特定目标或期望而操纵收入确认的固 有风险，且收入确认对财务报表影响较大，因 此我们将收入确认识别为关键审计事项。</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我们对收入确认所执行的主要审计程序包 括：</w:t>
            </w:r>
          </w:p>
          <w:p>
            <w:pPr>
              <w:pStyle w:val="Style2"/>
              <w:keepNext w:val="0"/>
              <w:keepLines w:val="0"/>
              <w:widowControl w:val="0"/>
              <w:shd w:val="clear" w:color="auto" w:fill="auto"/>
              <w:tabs>
                <w:tab w:pos="514" w:val="left"/>
              </w:tabs>
              <w:bidi w:val="0"/>
              <w:spacing w:before="0" w:after="0" w:line="314" w:lineRule="exact"/>
              <w:ind w:left="0" w:right="0" w:firstLine="0"/>
              <w:jc w:val="both"/>
            </w:pPr>
            <w:r>
              <w:rPr>
                <w:color w:val="000000"/>
                <w:spacing w:val="0"/>
                <w:w w:val="100"/>
                <w:position w:val="0"/>
              </w:rPr>
              <w:t>（1）</w:t>
              <w:tab/>
              <w:t>了解、测试汉威科技与销售、收款相关 的内部控制的设计和执行；</w:t>
            </w:r>
          </w:p>
          <w:p>
            <w:pPr>
              <w:pStyle w:val="Style2"/>
              <w:keepNext w:val="0"/>
              <w:keepLines w:val="0"/>
              <w:widowControl w:val="0"/>
              <w:shd w:val="clear" w:color="auto" w:fill="auto"/>
              <w:tabs>
                <w:tab w:pos="514" w:val="left"/>
              </w:tabs>
              <w:bidi w:val="0"/>
              <w:spacing w:before="0" w:after="0" w:line="314" w:lineRule="exact"/>
              <w:ind w:left="0" w:right="0" w:firstLine="0"/>
              <w:jc w:val="both"/>
            </w:pPr>
            <w:r>
              <w:rPr>
                <w:color w:val="000000"/>
                <w:spacing w:val="0"/>
                <w:w w:val="100"/>
                <w:position w:val="0"/>
              </w:rPr>
              <w:t>（2）</w:t>
              <w:tab/>
              <w:t>区分收入类别及结合各业务板块、行业 发展和汉威科技实际情况，执行分析性复核 程序，判断销售收入和毛利变动的合理性；</w:t>
            </w:r>
          </w:p>
          <w:p>
            <w:pPr>
              <w:pStyle w:val="Style2"/>
              <w:keepNext w:val="0"/>
              <w:keepLines w:val="0"/>
              <w:widowControl w:val="0"/>
              <w:shd w:val="clear" w:color="auto" w:fill="auto"/>
              <w:tabs>
                <w:tab w:pos="499" w:val="left"/>
              </w:tabs>
              <w:bidi w:val="0"/>
              <w:spacing w:before="0" w:after="0" w:line="314" w:lineRule="exact"/>
              <w:ind w:left="0" w:right="0" w:firstLine="0"/>
              <w:jc w:val="both"/>
            </w:pPr>
            <w:r>
              <w:rPr>
                <w:color w:val="000000"/>
                <w:spacing w:val="0"/>
                <w:w w:val="100"/>
                <w:position w:val="0"/>
              </w:rPr>
              <w:t>（3）</w:t>
              <w:tab/>
              <w:t>选取样本检查销售合同，识别与商品控 制权转移相关的合同条款与条件，评价汉威 科技的收入确认是否符合企业会计准则的规 定；</w:t>
            </w:r>
          </w:p>
          <w:p>
            <w:pPr>
              <w:pStyle w:val="Style2"/>
              <w:keepNext w:val="0"/>
              <w:keepLines w:val="0"/>
              <w:widowControl w:val="0"/>
              <w:shd w:val="clear" w:color="auto" w:fill="auto"/>
              <w:tabs>
                <w:tab w:pos="475" w:val="left"/>
              </w:tabs>
              <w:bidi w:val="0"/>
              <w:spacing w:before="0" w:after="0" w:line="314" w:lineRule="exact"/>
              <w:ind w:left="0" w:right="0" w:firstLine="0"/>
              <w:jc w:val="both"/>
            </w:pPr>
            <w:r>
              <w:rPr>
                <w:color w:val="000000"/>
                <w:spacing w:val="0"/>
                <w:w w:val="100"/>
                <w:position w:val="0"/>
              </w:rPr>
              <w:t>（4）</w:t>
              <w:tab/>
              <w:t>执行细节测试，包括检查合同、发票等， 抽样检查存货收发存记录、客户确认的签收 单、验收证明等外部证据；检查收款记录， 对期末应收账款及大额销售收入进行函证， 核实销售收入的真实性；</w:t>
            </w:r>
          </w:p>
          <w:p>
            <w:pPr>
              <w:pStyle w:val="Style2"/>
              <w:keepNext w:val="0"/>
              <w:keepLines w:val="0"/>
              <w:widowControl w:val="0"/>
              <w:shd w:val="clear" w:color="auto" w:fill="auto"/>
              <w:tabs>
                <w:tab w:pos="480" w:val="left"/>
              </w:tabs>
              <w:bidi w:val="0"/>
              <w:spacing w:before="0" w:after="0" w:line="314" w:lineRule="exact"/>
              <w:ind w:left="0" w:right="0" w:firstLine="0"/>
              <w:jc w:val="both"/>
            </w:pPr>
            <w:r>
              <w:rPr>
                <w:color w:val="000000"/>
                <w:spacing w:val="0"/>
                <w:w w:val="100"/>
                <w:position w:val="0"/>
              </w:rPr>
              <w:t>（5）</w:t>
              <w:tab/>
              <w:t>执行资产负债表日前后销售收入的截止 性测试程序，并结合期后事项审计检查是否 存在销售退回等特殊情况，已确认销售收入 是否计入恰当的会计期间。</w:t>
            </w:r>
          </w:p>
        </w:tc>
      </w:tr>
    </w:tbl>
    <w:p>
      <w:pPr>
        <w:pStyle w:val="Style10"/>
        <w:keepNext w:val="0"/>
        <w:keepLines w:val="0"/>
        <w:widowControl w:val="0"/>
        <w:shd w:val="clear" w:color="auto" w:fill="auto"/>
        <w:tabs>
          <w:tab w:pos="904" w:val="left"/>
        </w:tabs>
        <w:bidi w:val="0"/>
        <w:spacing w:before="0" w:after="0" w:line="469" w:lineRule="exact"/>
        <w:ind w:left="0" w:right="0" w:firstLine="440"/>
        <w:jc w:val="both"/>
      </w:pPr>
      <w:bookmarkStart w:id="713" w:name="bookmark713"/>
      <w:r>
        <w:rPr>
          <w:b/>
          <w:bCs/>
          <w:color w:val="000000"/>
          <w:spacing w:val="0"/>
          <w:w w:val="100"/>
          <w:position w:val="0"/>
        </w:rPr>
        <w:t>四</w:t>
      </w:r>
      <w:bookmarkEnd w:id="713"/>
      <w:r>
        <w:rPr>
          <w:b/>
          <w:bCs/>
          <w:color w:val="000000"/>
          <w:spacing w:val="0"/>
          <w:w w:val="100"/>
          <w:position w:val="0"/>
        </w:rPr>
        <w:t>、</w:t>
        <w:tab/>
        <w:t>其他信息</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汉威科技管理层（以下简称管理层）对其他信息负责。其他信息包括汉威科技2021年年度报告中涵盖 的信息，但不包括财务报表和我们的审计报告。</w:t>
      </w:r>
    </w:p>
    <w:p>
      <w:pPr>
        <w:pStyle w:val="Style1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我们对财务报表发表的审计意见不涵盖其他信息，我们也不对其他信息发表任何形式的鉴证结论。</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0"/>
        <w:keepNext w:val="0"/>
        <w:keepLines w:val="0"/>
        <w:widowControl w:val="0"/>
        <w:shd w:val="clear" w:color="auto" w:fill="auto"/>
        <w:tabs>
          <w:tab w:pos="923" w:val="left"/>
        </w:tabs>
        <w:bidi w:val="0"/>
        <w:spacing w:before="0" w:after="0" w:line="469" w:lineRule="exact"/>
        <w:ind w:left="0" w:right="0" w:firstLine="440"/>
        <w:jc w:val="both"/>
      </w:pPr>
      <w:bookmarkStart w:id="714" w:name="bookmark714"/>
      <w:r>
        <w:rPr>
          <w:b/>
          <w:bCs/>
          <w:color w:val="000000"/>
          <w:spacing w:val="0"/>
          <w:w w:val="100"/>
          <w:position w:val="0"/>
        </w:rPr>
        <w:t>五</w:t>
      </w:r>
      <w:bookmarkEnd w:id="714"/>
      <w:r>
        <w:rPr>
          <w:b/>
          <w:bCs/>
          <w:color w:val="000000"/>
          <w:spacing w:val="0"/>
          <w:w w:val="100"/>
          <w:position w:val="0"/>
        </w:rPr>
        <w:t>、</w:t>
        <w:tab/>
        <w:t>管理层和治理层对财务报表的责任</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在编制财务报表时，管理层负责评估汉威科技的持续经营能力，披露与持续经营相关的事项（如适用）， 并运用持续经营假设，除非计划进行清算、终止运营或别无其他现实的选择。</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治理层负责监督汉威科技的财务报告过程。</w:t>
      </w:r>
    </w:p>
    <w:p>
      <w:pPr>
        <w:pStyle w:val="Style10"/>
        <w:keepNext w:val="0"/>
        <w:keepLines w:val="0"/>
        <w:widowControl w:val="0"/>
        <w:shd w:val="clear" w:color="auto" w:fill="auto"/>
        <w:tabs>
          <w:tab w:pos="923" w:val="left"/>
        </w:tabs>
        <w:bidi w:val="0"/>
        <w:spacing w:before="0" w:after="0" w:line="469" w:lineRule="exact"/>
        <w:ind w:left="0" w:right="0" w:firstLine="440"/>
        <w:jc w:val="both"/>
      </w:pPr>
      <w:bookmarkStart w:id="715" w:name="bookmark715"/>
      <w:r>
        <w:rPr>
          <w:b/>
          <w:bCs/>
          <w:color w:val="000000"/>
          <w:spacing w:val="0"/>
          <w:w w:val="100"/>
          <w:position w:val="0"/>
        </w:rPr>
        <w:t>六</w:t>
      </w:r>
      <w:bookmarkEnd w:id="715"/>
      <w:r>
        <w:rPr>
          <w:b/>
          <w:bCs/>
          <w:color w:val="000000"/>
          <w:spacing w:val="0"/>
          <w:w w:val="100"/>
          <w:position w:val="0"/>
        </w:rPr>
        <w:t>、</w:t>
        <w:tab/>
        <w:t>注册会计师对财务报表审计的责任</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10"/>
        <w:keepNext w:val="0"/>
        <w:keepLines w:val="0"/>
        <w:widowControl w:val="0"/>
        <w:shd w:val="clear" w:color="auto" w:fill="auto"/>
        <w:tabs>
          <w:tab w:pos="1063" w:val="left"/>
        </w:tabs>
        <w:bidi w:val="0"/>
        <w:spacing w:before="0" w:after="0" w:line="469" w:lineRule="exact"/>
        <w:ind w:left="0" w:right="0" w:firstLine="440"/>
        <w:jc w:val="both"/>
      </w:pPr>
      <w:bookmarkStart w:id="716" w:name="bookmark716"/>
      <w:r>
        <w:rPr>
          <w:color w:val="000000"/>
          <w:spacing w:val="0"/>
          <w:w w:val="100"/>
          <w:position w:val="0"/>
        </w:rPr>
        <w:t>（</w:t>
      </w:r>
      <w:bookmarkEnd w:id="716"/>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10"/>
        <w:keepNext w:val="0"/>
        <w:keepLines w:val="0"/>
        <w:widowControl w:val="0"/>
        <w:shd w:val="clear" w:color="auto" w:fill="auto"/>
        <w:tabs>
          <w:tab w:pos="1063" w:val="left"/>
        </w:tabs>
        <w:bidi w:val="0"/>
        <w:spacing w:before="0" w:after="0" w:line="469" w:lineRule="exact"/>
        <w:ind w:left="0" w:right="0" w:firstLine="440"/>
        <w:jc w:val="both"/>
      </w:pPr>
      <w:bookmarkStart w:id="717" w:name="bookmark717"/>
      <w:r>
        <w:rPr>
          <w:color w:val="000000"/>
          <w:spacing w:val="0"/>
          <w:w w:val="100"/>
          <w:position w:val="0"/>
        </w:rPr>
        <w:t>（</w:t>
      </w:r>
      <w:bookmarkEnd w:id="717"/>
      <w:r>
        <w:rPr>
          <w:color w:val="000000"/>
          <w:spacing w:val="0"/>
          <w:w w:val="100"/>
          <w:position w:val="0"/>
        </w:rPr>
        <w:t>二）</w:t>
        <w:tab/>
        <w:t>了解与审计相关的内部控制，以设计恰当的审计程序，但目的并非对内部控制的有效性发表意 见。</w:t>
      </w:r>
    </w:p>
    <w:p>
      <w:pPr>
        <w:pStyle w:val="Style10"/>
        <w:keepNext w:val="0"/>
        <w:keepLines w:val="0"/>
        <w:widowControl w:val="0"/>
        <w:shd w:val="clear" w:color="auto" w:fill="auto"/>
        <w:tabs>
          <w:tab w:pos="1031" w:val="left"/>
        </w:tabs>
        <w:bidi w:val="0"/>
        <w:spacing w:before="0" w:after="0" w:line="469" w:lineRule="exact"/>
        <w:ind w:left="0" w:right="0" w:firstLine="440"/>
        <w:jc w:val="both"/>
      </w:pPr>
      <w:bookmarkStart w:id="718" w:name="bookmark718"/>
      <w:r>
        <w:rPr>
          <w:color w:val="000000"/>
          <w:spacing w:val="0"/>
          <w:w w:val="100"/>
          <w:position w:val="0"/>
        </w:rPr>
        <w:t>（</w:t>
      </w:r>
      <w:bookmarkEnd w:id="718"/>
      <w:r>
        <w:rPr>
          <w:color w:val="000000"/>
          <w:spacing w:val="0"/>
          <w:w w:val="100"/>
          <w:position w:val="0"/>
        </w:rPr>
        <w:t>三）</w:t>
        <w:tab/>
        <w:t>评价管理层选用会计政策的恰当性和作出会计估计及相关披露的合理性。</w:t>
      </w:r>
    </w:p>
    <w:p>
      <w:pPr>
        <w:pStyle w:val="Style10"/>
        <w:keepNext w:val="0"/>
        <w:keepLines w:val="0"/>
        <w:widowControl w:val="0"/>
        <w:shd w:val="clear" w:color="auto" w:fill="auto"/>
        <w:tabs>
          <w:tab w:pos="1063" w:val="left"/>
        </w:tabs>
        <w:bidi w:val="0"/>
        <w:spacing w:before="0" w:after="0" w:line="469" w:lineRule="exact"/>
        <w:ind w:left="0" w:right="0" w:firstLine="440"/>
        <w:jc w:val="both"/>
      </w:pPr>
      <w:bookmarkStart w:id="719" w:name="bookmark719"/>
      <w:r>
        <w:rPr>
          <w:color w:val="000000"/>
          <w:spacing w:val="0"/>
          <w:w w:val="100"/>
          <w:position w:val="0"/>
        </w:rPr>
        <w:t>（</w:t>
      </w:r>
      <w:bookmarkEnd w:id="719"/>
      <w:r>
        <w:rPr>
          <w:color w:val="000000"/>
          <w:spacing w:val="0"/>
          <w:w w:val="100"/>
          <w:position w:val="0"/>
        </w:rPr>
        <w:t>四）</w:t>
        <w:tab/>
        <w:t>对管理层使用持续经营假设的恰当性得出结论。同时，根据获取的审计证据，就可能导致对汉 威科技持续经营能力产生重大疑虑的事项或情况是否存在重大不确定性得出结论。如果我们得出结论认为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项或情况可能导致汉威科技不能持续经营。</w:t>
      </w:r>
    </w:p>
    <w:p>
      <w:pPr>
        <w:pStyle w:val="Style10"/>
        <w:keepNext w:val="0"/>
        <w:keepLines w:val="0"/>
        <w:widowControl w:val="0"/>
        <w:shd w:val="clear" w:color="auto" w:fill="auto"/>
        <w:tabs>
          <w:tab w:pos="1068" w:val="left"/>
        </w:tabs>
        <w:bidi w:val="0"/>
        <w:spacing w:before="0" w:after="0" w:line="469" w:lineRule="exact"/>
        <w:ind w:left="0" w:right="0" w:firstLine="440"/>
        <w:jc w:val="both"/>
      </w:pPr>
      <w:bookmarkStart w:id="720" w:name="bookmark720"/>
      <w:r>
        <w:rPr>
          <w:color w:val="000000"/>
          <w:spacing w:val="0"/>
          <w:w w:val="100"/>
          <w:position w:val="0"/>
        </w:rPr>
        <w:t>（</w:t>
      </w:r>
      <w:bookmarkEnd w:id="720"/>
      <w:r>
        <w:rPr>
          <w:color w:val="000000"/>
          <w:spacing w:val="0"/>
          <w:w w:val="100"/>
          <w:position w:val="0"/>
        </w:rPr>
        <w:t>五）</w:t>
        <w:tab/>
        <w:t>评价财务报表的总体列报（包括披露）、结构和内容，并评价财务报表是否公允反映相关交易 和事项。</w:t>
      </w:r>
    </w:p>
    <w:p>
      <w:pPr>
        <w:pStyle w:val="Style10"/>
        <w:keepNext w:val="0"/>
        <w:keepLines w:val="0"/>
        <w:widowControl w:val="0"/>
        <w:shd w:val="clear" w:color="auto" w:fill="auto"/>
        <w:tabs>
          <w:tab w:pos="1058" w:val="left"/>
        </w:tabs>
        <w:bidi w:val="0"/>
        <w:spacing w:before="0" w:after="0" w:line="469" w:lineRule="exact"/>
        <w:ind w:left="0" w:right="0" w:firstLine="440"/>
        <w:jc w:val="both"/>
      </w:pPr>
      <w:bookmarkStart w:id="721" w:name="bookmark721"/>
      <w:r>
        <w:rPr>
          <w:color w:val="000000"/>
          <w:spacing w:val="0"/>
          <w:w w:val="100"/>
          <w:position w:val="0"/>
        </w:rPr>
        <w:t>（</w:t>
      </w:r>
      <w:bookmarkEnd w:id="721"/>
      <w:r>
        <w:rPr>
          <w:color w:val="000000"/>
          <w:spacing w:val="0"/>
          <w:w w:val="100"/>
          <w:position w:val="0"/>
        </w:rPr>
        <w:t>六）</w:t>
        <w:tab/>
        <w:t>就汉威科技中实体或业务活动的财务信息获取充分、适当的审计证据，以对合并财务报表发表 审计意见。我们负责指导、监督和执行集团审计，并对审计意见承担全部责任。</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10"/>
        <w:keepNext w:val="0"/>
        <w:keepLines w:val="0"/>
        <w:widowControl w:val="0"/>
        <w:shd w:val="clear" w:color="auto" w:fill="auto"/>
        <w:bidi w:val="0"/>
        <w:spacing w:before="0" w:after="0" w:line="469" w:lineRule="exact"/>
        <w:ind w:left="0" w:right="0" w:firstLine="440"/>
        <w:jc w:val="both"/>
        <w:sectPr>
          <w:footnotePr>
            <w:pos w:val="pageBottom"/>
            <w:numFmt w:val="decimal"/>
            <w:numRestart w:val="continuous"/>
          </w:footnotePr>
          <w:pgSz w:w="11900" w:h="16840"/>
          <w:pgMar w:top="1321" w:right="1010" w:bottom="1455" w:left="1104" w:header="0" w:footer="3" w:gutter="0"/>
          <w:cols w:space="720"/>
          <w:noEndnote/>
          <w:rtlGutter w:val="0"/>
          <w:docGrid w:linePitch="360"/>
        </w:sectPr>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17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w:t>
      </w:r>
    </w:p>
    <w:p>
      <w:pPr>
        <w:pStyle w:val="Style17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2833" w:right="3594" w:bottom="10556" w:left="1668" w:header="0" w:footer="3" w:gutter="0"/>
          <w:cols w:num="2" w:space="2063"/>
          <w:noEndnote/>
          <w:rtlGutter w:val="0"/>
          <w:docGrid w:linePitch="360"/>
        </w:sectPr>
      </w:pPr>
      <w:r>
        <w:rPr>
          <w:color w:val="000000"/>
          <w:spacing w:val="0"/>
          <w:w w:val="100"/>
          <w:position w:val="0"/>
        </w:rPr>
        <w:t>中国注册会计师:</w:t>
      </w:r>
    </w:p>
    <w:p>
      <w:pPr>
        <w:widowControl w:val="0"/>
        <w:spacing w:line="206" w:lineRule="exact"/>
        <w:rPr>
          <w:sz w:val="17"/>
          <w:szCs w:val="17"/>
        </w:rPr>
      </w:pPr>
    </w:p>
    <w:p>
      <w:pPr>
        <w:widowControl w:val="0"/>
        <w:spacing w:line="1" w:lineRule="exact"/>
        <w:sectPr>
          <w:footnotePr>
            <w:pos w:val="pageBottom"/>
            <w:numFmt w:val="decimal"/>
            <w:numRestart w:val="continuous"/>
          </w:footnotePr>
          <w:type w:val="continuous"/>
          <w:pgSz w:w="11900" w:h="16840"/>
          <w:pgMar w:top="2833" w:right="0" w:bottom="10556" w:left="0" w:header="0" w:footer="3" w:gutter="0"/>
          <w:cols w:space="720"/>
          <w:noEndnote/>
          <w:rtlGutter w:val="0"/>
          <w:docGrid w:linePitch="360"/>
        </w:sectPr>
      </w:pPr>
    </w:p>
    <w:p>
      <w:pPr>
        <w:pStyle w:val="Style17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p>
      <w:pPr>
        <w:pStyle w:val="Style17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2833" w:right="3877" w:bottom="10556" w:left="1692" w:header="0" w:footer="3" w:gutter="0"/>
          <w:cols w:num="2" w:space="720" w:equalWidth="0">
            <w:col w:w="2270" w:space="2074"/>
            <w:col w:w="1987"/>
          </w:cols>
          <w:noEndnote/>
          <w:rtlGutter w:val="0"/>
          <w:docGrid w:linePitch="360"/>
        </w:sectPr>
      </w:pPr>
      <w:r>
        <w:rPr>
          <w:color w:val="000000"/>
          <w:spacing w:val="0"/>
          <w:w w:val="100"/>
          <w:position w:val="0"/>
        </w:rPr>
        <w:t>（项目合伙人）</w:t>
      </w:r>
    </w:p>
    <w:p>
      <w:pPr>
        <w:widowControl w:val="0"/>
        <w:spacing w:line="240" w:lineRule="exact"/>
        <w:rPr>
          <w:sz w:val="19"/>
          <w:szCs w:val="19"/>
        </w:rPr>
      </w:pPr>
    </w:p>
    <w:p>
      <w:pPr>
        <w:widowControl w:val="0"/>
        <w:spacing w:line="240" w:lineRule="exact"/>
        <w:rPr>
          <w:sz w:val="19"/>
          <w:szCs w:val="19"/>
        </w:rPr>
      </w:pPr>
    </w:p>
    <w:p>
      <w:pPr>
        <w:widowControl w:val="0"/>
        <w:spacing w:before="32" w:after="3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833" w:right="0" w:bottom="2833" w:left="0" w:header="0" w:footer="3" w:gutter="0"/>
          <w:cols w:space="720"/>
          <w:noEndnote/>
          <w:rtlGutter w:val="0"/>
          <w:docGrid w:linePitch="360"/>
        </w:sectPr>
      </w:pPr>
    </w:p>
    <w:tbl>
      <w:tblPr>
        <w:tblOverlap w:val="never"/>
        <w:jc w:val="right"/>
        <w:tblLayout w:type="fixed"/>
      </w:tblPr>
      <w:tblGrid>
        <w:gridCol w:w="2458"/>
        <w:gridCol w:w="3994"/>
      </w:tblGrid>
      <w:tr>
        <w:trPr>
          <w:trHeight w:val="7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1320" w:right="0" w:firstLine="0"/>
              <w:jc w:val="left"/>
              <w:rPr>
                <w:sz w:val="26"/>
                <w:szCs w:val="26"/>
              </w:rPr>
            </w:pPr>
            <w:r>
              <w:rPr>
                <w:color w:val="000000"/>
                <w:spacing w:val="0"/>
                <w:w w:val="100"/>
                <w:position w:val="0"/>
                <w:sz w:val="26"/>
                <w:szCs w:val="26"/>
              </w:rPr>
              <w:t>中国注册会计师:</w:t>
            </w:r>
          </w:p>
        </w:tc>
      </w:tr>
      <w:tr>
        <w:trPr>
          <w:trHeight w:val="78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中国•上海</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二</w:t>
            </w:r>
            <w:r>
              <w:rPr>
                <w:rFonts w:ascii="Times New Roman" w:eastAsia="Times New Roman" w:hAnsi="Times New Roman" w:cs="Times New Roman"/>
                <w:b/>
                <w:bCs/>
                <w:color w:val="000000"/>
                <w:spacing w:val="0"/>
                <w:w w:val="100"/>
                <w:position w:val="0"/>
                <w:sz w:val="24"/>
                <w:szCs w:val="24"/>
              </w:rPr>
              <w:t>O</w:t>
            </w:r>
            <w:r>
              <w:rPr>
                <w:color w:val="000000"/>
                <w:spacing w:val="0"/>
                <w:w w:val="100"/>
                <w:position w:val="0"/>
                <w:sz w:val="26"/>
                <w:szCs w:val="26"/>
              </w:rPr>
              <w:t>二二年三月三十日</w:t>
            </w:r>
          </w:p>
        </w:tc>
      </w:tr>
    </w:tbl>
    <w:p>
      <w:pPr>
        <w:sectPr>
          <w:footnotePr>
            <w:pos w:val="pageBottom"/>
            <w:numFmt w:val="decimal"/>
            <w:numRestart w:val="continuous"/>
          </w:footnotePr>
          <w:type w:val="continuous"/>
          <w:pgSz w:w="11900" w:h="16840"/>
          <w:pgMar w:top="2833" w:right="3195" w:bottom="2833" w:left="1668" w:header="0" w:footer="3" w:gutter="0"/>
          <w:cols w:space="720"/>
          <w:noEndnote/>
          <w:rtlGutter w:val="0"/>
          <w:docGrid w:linePitch="360"/>
        </w:sectPr>
      </w:pPr>
    </w:p>
    <w:p>
      <w:pPr>
        <w:pStyle w:val="Style19"/>
        <w:keepNext/>
        <w:keepLines/>
        <w:widowControl w:val="0"/>
        <w:shd w:val="clear" w:color="auto" w:fill="auto"/>
        <w:bidi w:val="0"/>
        <w:spacing w:before="460" w:after="360" w:line="240" w:lineRule="auto"/>
        <w:ind w:left="0" w:right="0" w:firstLine="0"/>
        <w:jc w:val="left"/>
      </w:pPr>
      <w:bookmarkStart w:id="722" w:name="bookmark722"/>
      <w:bookmarkStart w:id="723" w:name="bookmark723"/>
      <w:bookmarkStart w:id="724" w:name="bookmark724"/>
      <w:r>
        <w:rPr>
          <w:color w:val="000000"/>
          <w:spacing w:val="0"/>
          <w:w w:val="100"/>
          <w:position w:val="0"/>
          <w:sz w:val="24"/>
          <w:szCs w:val="24"/>
        </w:rPr>
        <w:t>二、财务报表</w:t>
      </w:r>
      <w:bookmarkEnd w:id="722"/>
      <w:bookmarkEnd w:id="723"/>
      <w:bookmarkEnd w:id="724"/>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28"/>
        <w:keepNext/>
        <w:keepLines/>
        <w:widowControl w:val="0"/>
        <w:shd w:val="clear" w:color="auto" w:fill="auto"/>
        <w:bidi w:val="0"/>
        <w:spacing w:before="0" w:line="240" w:lineRule="auto"/>
        <w:ind w:left="0" w:right="0" w:firstLine="0"/>
        <w:jc w:val="left"/>
      </w:pPr>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25"/>
      <w:bookmarkEnd w:id="726"/>
      <w:bookmarkEnd w:id="727"/>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编制单位：汉威科技集团股份有限公司</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1,415,425,871.76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1,347,225,775.69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35,072,088.67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26,636,671.56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6,959,875.36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843,617,752.70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568,776,964.50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9,572,254.00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15,224,608.60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73,785,721.36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52,159,266.36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93,481,167.05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25,373,545.17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345,179,285.21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227,541,938.19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112,055,127.69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133,545,861.61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41,283,629.69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44,182,848.62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2,996,109,569.69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2,420,990,684.10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134,458,794.48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126,999,283.79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78,595,001.00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58,100,001.00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287,389,070.68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307,113,496.91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1,308,212,792.13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1,025,479,184.61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358,761,266.68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488,074,250.73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14,727,182.72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531,163,974.87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592,535,454.63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124,654,012.10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124,654,012.10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19,094,487.97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12,252,035.54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71,051,552.59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79,549,641.69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22,775,416.97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16,584,764.42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2,950,883,552.19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2,831,342,125.42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5,946,993,121.88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5,252,332,809.52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118,294,326.63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335,457,195.78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3,409,204.38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6,365,158.27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661,274,959.72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503,756,310.57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1,576,203.30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710,081.31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230,734,642.59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311,239,887.87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70,620,824.01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65,951,053.78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52,680,005.34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21,443,221.56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160,047,454.98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143,620,411.50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48,826,128.24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14,099,574.39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11,380,985.66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5,971,457.30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1,358,844,734.85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1,408,614,352.33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526,845,478.25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676,869,959.14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10,552,982.70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8,495,915.06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8,679,668.36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2,411,371.68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31,561,191.14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1,051,977,961.91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1,001,247,308.26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6,008,912.68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18,665,050.23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1,606,292,622.28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1,737,023,177.13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2,965,137,357.13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3,145,637,529.46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324,387,155.00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293,022,806.00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1,203,534,158.21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613,016,574.32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-343,817.39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-237,338.83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78,443,673.32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58,114,623.55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818,483,237.77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595,092,730.85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2,424,504,406.91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1,559,009,395.89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557,351,357.84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547,685,884.17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2,981,855,764.75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2,106,695,280.06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5,946,993,121.88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5,252,332,809.52</w:t>
            </w:r>
          </w:p>
        </w:tc>
      </w:tr>
    </w:tbl>
    <w:p>
      <w:pPr>
        <w:pStyle w:val="Style28"/>
        <w:keepNext/>
        <w:keepLines/>
        <w:widowControl w:val="0"/>
        <w:shd w:val="clear" w:color="auto" w:fill="auto"/>
        <w:bidi w:val="0"/>
        <w:spacing w:before="0" w:after="380" w:line="240" w:lineRule="auto"/>
        <w:ind w:left="0" w:right="0" w:firstLine="0"/>
        <w:jc w:val="left"/>
      </w:pPr>
      <w:r>
        <mc:AlternateContent>
          <mc:Choice Requires="wps">
            <w:drawing>
              <wp:anchor distT="152400" distB="3175" distL="114300" distR="5143500" simplePos="0" relativeHeight="125829462" behindDoc="0" locked="0" layoutInCell="1" allowOverlap="1">
                <wp:simplePos x="0" y="0"/>
                <wp:positionH relativeFrom="page">
                  <wp:posOffset>707390</wp:posOffset>
                </wp:positionH>
                <wp:positionV relativeFrom="margin">
                  <wp:posOffset>2359025</wp:posOffset>
                </wp:positionV>
                <wp:extent cx="1054735" cy="149225"/>
                <wp:wrapTopAndBottom/>
                <wp:docPr id="198" name="Shape 19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wps:txbx>
                      <wps:bodyPr wrap="none" lIns="0" tIns="0" rIns="0" bIns="0">
                        <a:noAutoFit/>
                      </wps:bodyPr>
                    </wps:wsp>
                  </a:graphicData>
                </a:graphic>
              </wp:anchor>
            </w:drawing>
          </mc:Choice>
          <mc:Fallback>
            <w:pict>
              <v:shape id="_x0000_s1224" type="#_x0000_t202" style="position:absolute;margin-left:55.700000000000003pt;margin-top:185.75pt;width:83.049999999999997pt;height:11.75pt;z-index:-125829291;mso-wrap-distance-left:9.pt;mso-wrap-distance-top:12.pt;mso-wrap-distance-right:405.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v:textbox>
                <w10:wrap type="topAndBottom" anchorx="page" anchory="margin"/>
              </v:shape>
            </w:pict>
          </mc:Fallback>
        </mc:AlternateContent>
      </w:r>
      <w:r>
        <mc:AlternateContent>
          <mc:Choice Requires="wps">
            <w:drawing>
              <wp:anchor distT="152400" distB="6350" distL="2284730" distR="2510155" simplePos="0" relativeHeight="125829464" behindDoc="0" locked="0" layoutInCell="1" allowOverlap="1">
                <wp:simplePos x="0" y="0"/>
                <wp:positionH relativeFrom="page">
                  <wp:posOffset>2877820</wp:posOffset>
                </wp:positionH>
                <wp:positionV relativeFrom="margin">
                  <wp:posOffset>2359025</wp:posOffset>
                </wp:positionV>
                <wp:extent cx="1517650" cy="146050"/>
                <wp:wrapTopAndBottom/>
                <wp:docPr id="200" name="Shape 200"/>
                <a:graphic xmlns:a="http://schemas.openxmlformats.org/drawingml/2006/main">
                  <a:graphicData uri="http://schemas.microsoft.com/office/word/2010/wordprocessingShape">
                    <wps:wsp>
                      <wps:cNvSpPr txBox="1"/>
                      <wps:spPr>
                        <a:xfrm>
                          <a:ext cx="1517650"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wps:txbx>
                      <wps:bodyPr wrap="none" lIns="0" tIns="0" rIns="0" bIns="0">
                        <a:noAutoFit/>
                      </wps:bodyPr>
                    </wps:wsp>
                  </a:graphicData>
                </a:graphic>
              </wp:anchor>
            </w:drawing>
          </mc:Choice>
          <mc:Fallback>
            <w:pict>
              <v:shape id="_x0000_s1226" type="#_x0000_t202" style="position:absolute;margin-left:226.59999999999999pt;margin-top:185.75pt;width:119.5pt;height:11.5pt;z-index:-125829289;mso-wrap-distance-left:179.90000000000001pt;mso-wrap-distance-top:12.pt;mso-wrap-distance-right:197.65000000000001pt;mso-wrap-distance-bottom:0.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v:textbox>
                <w10:wrap type="topAndBottom" anchorx="page" anchory="margin"/>
              </v:shape>
            </w:pict>
          </mc:Fallback>
        </mc:AlternateContent>
      </w:r>
      <w:r>
        <mc:AlternateContent>
          <mc:Choice Requires="wps">
            <w:drawing>
              <wp:anchor distT="152400" distB="0" distL="4914900" distR="114300" simplePos="0" relativeHeight="125829466" behindDoc="0" locked="0" layoutInCell="1" allowOverlap="1">
                <wp:simplePos x="0" y="0"/>
                <wp:positionH relativeFrom="page">
                  <wp:posOffset>5507990</wp:posOffset>
                </wp:positionH>
                <wp:positionV relativeFrom="margin">
                  <wp:posOffset>2359025</wp:posOffset>
                </wp:positionV>
                <wp:extent cx="1283335" cy="152400"/>
                <wp:wrapTopAndBottom/>
                <wp:docPr id="202" name="Shape 202"/>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会计机构负责人：肖桂华</w:t>
                            </w:r>
                          </w:p>
                        </w:txbxContent>
                      </wps:txbx>
                      <wps:bodyPr wrap="none" lIns="0" tIns="0" rIns="0" bIns="0">
                        <a:noAutoFit/>
                      </wps:bodyPr>
                    </wps:wsp>
                  </a:graphicData>
                </a:graphic>
              </wp:anchor>
            </w:drawing>
          </mc:Choice>
          <mc:Fallback>
            <w:pict>
              <v:shape id="_x0000_s1228" type="#_x0000_t202" style="position:absolute;margin-left:433.69999999999999pt;margin-top:185.75pt;width:101.05pt;height:12.pt;z-index:-125829287;mso-wrap-distance-left:387.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会计机构负责人：肖桂华</w:t>
                      </w:r>
                    </w:p>
                  </w:txbxContent>
                </v:textbox>
                <w10:wrap type="topAndBottom" anchorx="page" anchory="margin"/>
              </v:shape>
            </w:pict>
          </mc:Fallback>
        </mc:AlternateContent>
      </w:r>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28"/>
      <w:bookmarkEnd w:id="729"/>
      <w:bookmarkEnd w:id="730"/>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787,833,636.16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732,186,793.06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2,632,148.09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360,730.13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360,864,693.71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234,033,740.83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2,607,500.00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10,567,317.75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7,062,686.06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6,714,658.20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240,784,486.31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177,970,121.55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144,102,856.99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69,636,360.73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2,884,087.22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2,434,804.80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3,941,579.14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381,603.51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1,552,713,673.68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1,234,286,130.56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1,919,500,661.60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1,721,772,314.93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74,900,001.00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54,900,001.00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213,219,907.59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222,292,757.92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117,911,005.79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123,109,956.08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121,780,684.45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84,458,200.35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2,946,568.53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54,738,756.12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57,320,611.85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12,205,382.20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8,805,385.05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5,513,845.97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5,473,935.97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5,323,916.58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4,244,616.35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2,528,040,729.83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2,282,377,779.50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4,080,754,403.51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3,516,663,910.06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60,073,058.33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250,300,361.11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179,119,915.94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119,437,363.08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1,576,203.27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2,217,507.22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10,794,264.61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9,772,390.37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20,342,693.62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16,621,389.29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13,774,644.06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4,786,815.99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1,345,466,139.30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1,342,612,841.16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30,732,628.30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400,548.17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1,372,071.58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874,202.63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1,663,251,619.01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1,747,023,419.02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324,927,017.25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2,315,198.50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8,171,739.95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187,924,353.42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333,098,757.20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1,851,175,972.43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2,080,122,176.22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324,387,155.00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293,022,806.00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1,249,952,791.96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673,989,573.04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78,443,673.32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58,114,623.55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576,794,810.80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411,414,731.25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2,229,578,431.08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1,436,541,733.84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4,080,754,403.51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3,516,663,910.06</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3</w:t>
      </w:r>
      <w:bookmarkEnd w:id="733"/>
      <w:r>
        <w:rPr>
          <w:color w:val="000000"/>
          <w:spacing w:val="0"/>
          <w:w w:val="100"/>
          <w:position w:val="0"/>
        </w:rPr>
        <w:t>、合并利润表</w:t>
      </w:r>
      <w:bookmarkEnd w:id="731"/>
      <w:bookmarkEnd w:id="732"/>
      <w:bookmarkEnd w:id="73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2,316,212,044.89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1,941,168,910.89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2,316,212,044.89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1,941,168,910.89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2,072,902,685.81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1,776,530,892.73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1,540,883,487.50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1,291,528,680.16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rPr>
                <w:sz w:val="18"/>
                <w:szCs w:val="18"/>
              </w:rPr>
            </w:pPr>
            <w:r>
              <w:rPr>
                <w:color w:val="000000"/>
                <w:spacing w:val="0"/>
                <w:w w:val="100"/>
                <w:position w:val="0"/>
                <w:sz w:val="18"/>
                <w:szCs w:val="18"/>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20,470,278.52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17,726,281.55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148,889,529.95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130,457,052.73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176,171,198.78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167,734,002.20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158,052,519.31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128,509,464.12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28,435,671.75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40,575,411.97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48,679,000.43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55,191,233.05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22,174,632.01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18,635,467.55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156,934,197.79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141,030,533.32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rPr>
                <w:sz w:val="18"/>
                <w:szCs w:val="18"/>
              </w:rPr>
            </w:pPr>
            <w:r>
              <w:rPr>
                <w:color w:val="000000"/>
                <w:spacing w:val="0"/>
                <w:w w:val="100"/>
                <w:position w:val="0"/>
                <w:sz w:val="18"/>
                <w:szCs w:val="18"/>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5,795,638.31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5,884,933.73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4,814,171.82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5,452,120.38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80" w:right="0" w:firstLine="0"/>
              <w:jc w:val="left"/>
              <w:rPr>
                <w:sz w:val="18"/>
                <w:szCs w:val="18"/>
              </w:rPr>
            </w:pPr>
            <w:r>
              <w:rPr>
                <w:color w:val="000000"/>
                <w:spacing w:val="0"/>
                <w:w w:val="100"/>
                <w:position w:val="0"/>
                <w:sz w:val="18"/>
                <w:szCs w:val="18"/>
              </w:rPr>
              <w:t>以摊余成本计量的金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汇兑收益（损失以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8"/>
                <w:szCs w:val="18"/>
              </w:rPr>
            </w:pPr>
            <w:r>
              <w:rPr>
                <w:color w:val="000000"/>
                <w:spacing w:val="0"/>
                <w:w w:val="100"/>
                <w:position w:val="0"/>
                <w:sz w:val="18"/>
                <w:szCs w:val="18"/>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72,087.67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rPr>
                <w:sz w:val="18"/>
                <w:szCs w:val="18"/>
              </w:rPr>
            </w:pPr>
            <w:r>
              <w:rPr>
                <w:color w:val="000000"/>
                <w:spacing w:val="0"/>
                <w:w w:val="100"/>
                <w:position w:val="0"/>
                <w:sz w:val="18"/>
                <w:szCs w:val="18"/>
              </w:rPr>
              <w:t>信用减值损失（损失以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-21,569,565.47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-22,825,121.80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rPr>
                <w:sz w:val="18"/>
                <w:szCs w:val="18"/>
              </w:rPr>
            </w:pPr>
            <w:r>
              <w:rPr>
                <w:color w:val="000000"/>
                <w:spacing w:val="0"/>
                <w:w w:val="100"/>
                <w:position w:val="0"/>
                <w:sz w:val="18"/>
                <w:szCs w:val="18"/>
              </w:rPr>
              <w:t>资产减值损失（损失以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784,816.20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-2,083,344.04</w:t>
            </w: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rPr>
                <w:sz w:val="18"/>
                <w:szCs w:val="18"/>
              </w:rPr>
            </w:pPr>
            <w:r>
              <w:rPr>
                <w:color w:val="000000"/>
                <w:spacing w:val="0"/>
                <w:w w:val="100"/>
                <w:position w:val="0"/>
                <w:sz w:val="18"/>
                <w:szCs w:val="18"/>
              </w:rPr>
              <w:t>资产处置收益（损失以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-108,772.72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385,217,760.86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286,632,096.95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644,293.63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1,219,283.76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3,403,829.00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2,087,524.90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382,458,225.49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285,763,855.81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57,242,687.68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36,080,659.56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325,215,537.81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249,683,196.25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持续经营净利润（净亏损以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325,215,537.81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249,683,196.25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终止经营净利润（净亏损以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263,186,796.48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205,534,778.34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62,028,741.33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44,148,417.91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-143,617.77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-332,349.92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rPr>
                <w:sz w:val="18"/>
                <w:szCs w:val="18"/>
              </w:rPr>
            </w:pPr>
            <w:r>
              <w:rPr>
                <w:color w:val="000000"/>
                <w:spacing w:val="0"/>
                <w:w w:val="100"/>
                <w:position w:val="0"/>
                <w:sz w:val="18"/>
                <w:szCs w:val="18"/>
              </w:rPr>
              <w:t>归属母公司所有者的其他综合收 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-106,478.56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-252,313.19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8"/>
                <w:szCs w:val="18"/>
              </w:rPr>
            </w:pPr>
            <w:r>
              <w:rPr>
                <w:color w:val="000000"/>
                <w:spacing w:val="0"/>
                <w:w w:val="100"/>
                <w:position w:val="0"/>
                <w:sz w:val="18"/>
                <w:szCs w:val="18"/>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-106,478.56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-252,313.19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 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-106,478.56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-252,313.19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rPr>
                <w:sz w:val="18"/>
                <w:szCs w:val="18"/>
              </w:rPr>
            </w:pPr>
            <w:r>
              <w:rPr>
                <w:color w:val="000000"/>
                <w:spacing w:val="0"/>
                <w:w w:val="100"/>
                <w:position w:val="0"/>
                <w:sz w:val="18"/>
                <w:szCs w:val="18"/>
              </w:rPr>
              <w:t>归属于少数股东的其他综合收益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-80,036.73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325,071,920.04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249,350,846.33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60"/>
              <w:jc w:val="left"/>
              <w:rPr>
                <w:sz w:val="18"/>
                <w:szCs w:val="18"/>
              </w:rPr>
            </w:pPr>
            <w:r>
              <w:rPr>
                <w:color w:val="000000"/>
                <w:spacing w:val="0"/>
                <w:w w:val="100"/>
                <w:position w:val="0"/>
                <w:sz w:val="18"/>
                <w:szCs w:val="18"/>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263,080,317.92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205,282,465.15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61,991,602.12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44,068,381.18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bl>
    <w:p>
      <w:pPr>
        <w:widowControl w:val="0"/>
        <w:spacing w:after="5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4"/>
        <w:keepNext w:val="0"/>
        <w:keepLines w:val="0"/>
        <w:widowControl w:val="0"/>
        <w:shd w:val="clear" w:color="auto" w:fill="auto"/>
        <w:tabs>
          <w:tab w:pos="3360" w:val="left"/>
          <w:tab w:pos="7502" w:val="left"/>
        </w:tabs>
        <w:bidi w:val="0"/>
        <w:spacing w:before="0" w:after="360" w:line="240" w:lineRule="auto"/>
        <w:ind w:left="0" w:right="0" w:firstLine="0"/>
        <w:jc w:val="both"/>
      </w:pPr>
      <w:r>
        <w:rPr>
          <w:color w:val="000000"/>
          <w:spacing w:val="0"/>
          <w:w w:val="100"/>
          <w:position w:val="0"/>
        </w:rPr>
        <w:t>法定代表人：任红军</w:t>
        <w:tab/>
        <w:t>主管会计工作负责人：刘瑞玲</w:t>
        <w:tab/>
        <w:t>会计机构负责人：肖桂华</w:t>
      </w:r>
    </w:p>
    <w:p>
      <w:pPr>
        <w:pStyle w:val="Style28"/>
        <w:keepNext/>
        <w:keepLines/>
        <w:widowControl w:val="0"/>
        <w:shd w:val="clear" w:color="auto" w:fill="auto"/>
        <w:bidi w:val="0"/>
        <w:spacing w:before="0" w:line="240" w:lineRule="auto"/>
        <w:ind w:left="0" w:right="0" w:firstLine="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4</w:t>
      </w:r>
      <w:bookmarkEnd w:id="737"/>
      <w:r>
        <w:rPr>
          <w:color w:val="000000"/>
          <w:spacing w:val="0"/>
          <w:w w:val="100"/>
          <w:position w:val="0"/>
        </w:rPr>
        <w:t>、母公司利润表</w:t>
      </w:r>
      <w:bookmarkEnd w:id="735"/>
      <w:bookmarkEnd w:id="736"/>
      <w:bookmarkEnd w:id="738"/>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558,746,092.01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377,771,824.03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339,976,805.19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232,731,438.31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9,767,215.72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8,734,313.53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45,444,092.64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25,328,141.46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52,011,921.93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53,724,596.78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34,054,778.82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19,558,468.89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15,204,356.85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24,473,578.96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20,478,805.37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28,036,628.71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5,861,938.37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3,941,968.75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29,155,775.09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26,110,884.67</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8"/>
                <w:szCs w:val="18"/>
              </w:rPr>
            </w:pPr>
            <w:r>
              <w:rPr>
                <w:color w:val="000000"/>
                <w:spacing w:val="0"/>
                <w:w w:val="100"/>
                <w:position w:val="0"/>
                <w:sz w:val="18"/>
                <w:szCs w:val="18"/>
              </w:rPr>
              <w:t>投资收益（损失以“一”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138,829,871.18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117,160,372.67</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20"/>
              <w:jc w:val="both"/>
              <w:rPr>
                <w:sz w:val="18"/>
                <w:szCs w:val="18"/>
              </w:rPr>
            </w:pPr>
            <w:r>
              <w:rPr>
                <w:color w:val="000000"/>
                <w:spacing w:val="0"/>
                <w:w w:val="100"/>
                <w:position w:val="0"/>
                <w:sz w:val="18"/>
                <w:szCs w:val="18"/>
              </w:rPr>
              <w:t>其中：对联营企业和合营 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2,299,814.18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3,723,647.53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180"/>
              <w:jc w:val="left"/>
              <w:rPr>
                <w:sz w:val="18"/>
                <w:szCs w:val="18"/>
              </w:rPr>
            </w:pPr>
            <w:r>
              <w:rPr>
                <w:color w:val="000000"/>
                <w:spacing w:val="0"/>
                <w:w w:val="100"/>
                <w:position w:val="0"/>
                <w:sz w:val="18"/>
                <w:szCs w:val="18"/>
              </w:rPr>
              <w:t>以摊余成本计量的金 融资产终止确认收益（损失以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rPr>
                <w:sz w:val="18"/>
                <w:szCs w:val="18"/>
              </w:rPr>
            </w:pPr>
            <w:r>
              <w:rPr>
                <w:color w:val="000000"/>
                <w:spacing w:val="0"/>
                <w:w w:val="100"/>
                <w:position w:val="0"/>
                <w:sz w:val="18"/>
                <w:szCs w:val="18"/>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both"/>
              <w:rPr>
                <w:sz w:val="18"/>
                <w:szCs w:val="18"/>
              </w:rPr>
            </w:pPr>
            <w:r>
              <w:rPr>
                <w:color w:val="000000"/>
                <w:spacing w:val="0"/>
                <w:w w:val="100"/>
                <w:position w:val="0"/>
                <w:sz w:val="18"/>
                <w:szCs w:val="18"/>
              </w:rPr>
              <w:t>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rPr>
                <w:sz w:val="18"/>
                <w:szCs w:val="18"/>
              </w:rPr>
            </w:pPr>
            <w:r>
              <w:rPr>
                <w:color w:val="000000"/>
                <w:spacing w:val="0"/>
                <w:w w:val="100"/>
                <w:position w:val="0"/>
                <w:sz w:val="18"/>
                <w:szCs w:val="18"/>
              </w:rPr>
              <w:t>信用减值损失（损失以</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-7,849,251.80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-3,012,501.97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rPr>
                <w:sz w:val="18"/>
                <w:szCs w:val="18"/>
              </w:rPr>
            </w:pPr>
            <w:r>
              <w:rPr>
                <w:color w:val="000000"/>
                <w:spacing w:val="0"/>
                <w:w w:val="100"/>
                <w:position w:val="0"/>
                <w:sz w:val="18"/>
                <w:szCs w:val="18"/>
              </w:rPr>
              <w:t>资产减值损失（损失以</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-906,532.10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rPr>
                <w:sz w:val="18"/>
                <w:szCs w:val="18"/>
              </w:rPr>
            </w:pPr>
            <w:r>
              <w:rPr>
                <w:color w:val="000000"/>
                <w:spacing w:val="0"/>
                <w:w w:val="100"/>
                <w:position w:val="0"/>
                <w:sz w:val="18"/>
                <w:szCs w:val="18"/>
              </w:rPr>
              <w:t>资产处置收益（损失以</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-118,106.68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222,502,898.46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152,455,402.69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192,577.88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2,205,372.31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1,253,072.05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1,188,681.23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221,442,404.29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153,472,093.77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18,151,906.61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2,598,385.29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203,290,497.68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150,873,708.48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203,290,497.68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150,873,708.48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rPr>
                <w:sz w:val="18"/>
                <w:szCs w:val="18"/>
              </w:rPr>
            </w:pPr>
            <w:r>
              <w:rPr>
                <w:color w:val="000000"/>
                <w:spacing w:val="0"/>
                <w:w w:val="100"/>
                <w:position w:val="0"/>
                <w:sz w:val="18"/>
                <w:szCs w:val="18"/>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rPr>
                <w:sz w:val="18"/>
                <w:szCs w:val="18"/>
              </w:rPr>
            </w:pPr>
            <w:r>
              <w:rPr>
                <w:color w:val="000000"/>
                <w:spacing w:val="0"/>
                <w:w w:val="100"/>
                <w:position w:val="0"/>
                <w:sz w:val="18"/>
                <w:szCs w:val="18"/>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203,290,497.68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150,873,708.48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5</w:t>
      </w:r>
      <w:bookmarkEnd w:id="741"/>
      <w:r>
        <w:rPr>
          <w:color w:val="000000"/>
          <w:spacing w:val="0"/>
          <w:w w:val="100"/>
          <w:position w:val="0"/>
        </w:rPr>
        <w:t>、合并现金流量表</w:t>
      </w:r>
      <w:bookmarkEnd w:id="739"/>
      <w:bookmarkEnd w:id="740"/>
      <w:bookmarkEnd w:id="742"/>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2,091,216,267.44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2,021,640,854.19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保户储金及投资款净增加额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21,417,116.94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14,230,500.84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198,255,864.25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296,599,766.62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2,310,889,248.63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2,332,471,121.65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1,324,880,437.86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1,050,901,739.99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401,084,293.62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343,165,658.50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123,907,789.64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127,893,339.47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246,690,750.02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224,388,714.43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2,096,563,271.14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1,746,349,452.39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214,325,977.49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586,121,669.26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309,850,000.00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4,668,662.77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4,083,862.02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395,876.68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345,955.25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314,914,539.45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4,429,817.27</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244,638,295.87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376,816,631.18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365,345,000.00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23,513,512.20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999,922.50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609,983,295.87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401,330,065.88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-295,068,756.42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-396,900,248.61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596,590,804.37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978,265.00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其中：子公司吸收少数股东投 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5,090,808.00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978,265.00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701,500,000.00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716,000,000.00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1,312,890.87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1,299,403,695.24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716,978,265.00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1,043,575,073.29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711,735,665.82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8"/>
                <w:szCs w:val="18"/>
              </w:rPr>
            </w:pPr>
            <w:r>
              <w:rPr>
                <w:color w:val="000000"/>
                <w:spacing w:val="0"/>
                <w:w w:val="100"/>
                <w:position w:val="0"/>
                <w:sz w:val="18"/>
                <w:szCs w:val="18"/>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98,026,257.40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58,058,211.48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其中：子公司支付给少数股东 的股利、利润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36,582,043.00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8"/>
                <w:szCs w:val="18"/>
              </w:rPr>
            </w:pPr>
            <w:r>
              <w:rPr>
                <w:color w:val="000000"/>
                <w:spacing w:val="0"/>
                <w:w w:val="100"/>
                <w:position w:val="0"/>
                <w:sz w:val="18"/>
                <w:szCs w:val="18"/>
              </w:rPr>
              <w:t>支付其他与筹资活动有关的现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9,552,110.07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1,151,153,440.76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769,793,877.30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148,250,254.48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-52,815,612.30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-1,231,320.53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-2,291,801.32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66,276,155.02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134,114,007.03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1,333,829,473.75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1,199,715,466.72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1,400,105,628.77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1,333,829,473.75</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6</w:t>
      </w:r>
      <w:bookmarkEnd w:id="745"/>
      <w:r>
        <w:rPr>
          <w:color w:val="000000"/>
          <w:spacing w:val="0"/>
          <w:w w:val="100"/>
          <w:position w:val="0"/>
        </w:rPr>
        <w:t>、母公司现金流量表</w:t>
      </w:r>
      <w:bookmarkEnd w:id="743"/>
      <w:bookmarkEnd w:id="744"/>
      <w:bookmarkEnd w:id="746"/>
    </w:p>
    <w:p>
      <w:pPr>
        <w:pStyle w:val="Style24"/>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344,190,466.68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268,887,669.33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12,506,908.55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7,610,031.65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175,238,771.47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414,402,445.15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531,936,146.70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690,900,146.13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255,669,187.39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131,116,543.35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88,743,081.04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67,659,052.18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37,726,600.65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23,888,065.58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66,098,913.06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47,114,330.12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448,237,782.14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269,777,991.23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83,698,364.56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421,122,154.90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81,535,957.00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14,339,922.23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1,479,247.88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207,775,879.23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28,479,247.88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49,701,404.81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52,827,526.03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440,883,400.00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134,013,512.20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999,922.50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8"/>
                <w:szCs w:val="18"/>
              </w:rPr>
            </w:pPr>
            <w:r>
              <w:rPr>
                <w:color w:val="000000"/>
                <w:spacing w:val="0"/>
                <w:w w:val="100"/>
                <w:position w:val="0"/>
                <w:sz w:val="18"/>
                <w:szCs w:val="18"/>
              </w:rPr>
              <w:t>支付其他与投资活动有关的现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490,584,804.81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187,840,960.73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-282,808,925.58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-159,361,712.85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591,499,996.37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625,000,000.00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1,191,499,996.37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625,000,000.00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899,900,000.00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615,100,000.00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8"/>
                <w:szCs w:val="18"/>
              </w:rPr>
            </w:pPr>
            <w:r>
              <w:rPr>
                <w:color w:val="000000"/>
                <w:spacing w:val="0"/>
                <w:w w:val="100"/>
                <w:position w:val="0"/>
                <w:sz w:val="18"/>
                <w:szCs w:val="18"/>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38,238,030.77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33,687,778.02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8"/>
                <w:szCs w:val="18"/>
              </w:rPr>
            </w:pPr>
            <w:r>
              <w:rPr>
                <w:color w:val="000000"/>
                <w:spacing w:val="0"/>
                <w:w w:val="100"/>
                <w:position w:val="0"/>
                <w:sz w:val="18"/>
                <w:szCs w:val="18"/>
              </w:rPr>
              <w:t>支付其他与筹资活动有关的现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1,278,414.35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939,416,445.12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648,787,778.02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252,083,551.25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-23,787,778.02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-441,216.78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-358,881.16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52,531,773.45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237,613,782.87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729,927,364.06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492,313,581.19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782,459,137.51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729,927,364.06</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7</w:t>
      </w:r>
      <w:bookmarkEnd w:id="749"/>
      <w:r>
        <w:rPr>
          <w:color w:val="000000"/>
          <w:spacing w:val="0"/>
          <w:w w:val="100"/>
          <w:position w:val="0"/>
        </w:rPr>
        <w:t>、合并所有者权益变动表</w:t>
      </w:r>
      <w:bookmarkEnd w:id="747"/>
      <w:bookmarkEnd w:id="748"/>
      <w:bookmarkEnd w:id="75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48"/>
        <w:gridCol w:w="504"/>
        <w:gridCol w:w="466"/>
        <w:gridCol w:w="466"/>
        <w:gridCol w:w="470"/>
        <w:gridCol w:w="581"/>
        <w:gridCol w:w="586"/>
        <w:gridCol w:w="586"/>
        <w:gridCol w:w="581"/>
        <w:gridCol w:w="586"/>
        <w:gridCol w:w="581"/>
        <w:gridCol w:w="586"/>
        <w:gridCol w:w="586"/>
        <w:gridCol w:w="581"/>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少数</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股东</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60"/>
              <w:jc w:val="left"/>
              <w:rPr>
                <w:sz w:val="18"/>
                <w:szCs w:val="18"/>
              </w:rPr>
            </w:pPr>
            <w:r>
              <w:rPr>
                <w:color w:val="000000"/>
                <w:spacing w:val="0"/>
                <w:w w:val="100"/>
                <w:position w:val="0"/>
                <w:sz w:val="18"/>
                <w:szCs w:val="18"/>
              </w:rPr>
              <w:t>股 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资本</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库存</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综合</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专项</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盈余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风险</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未分</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配利</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优</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先</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永</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续</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w:t>
            </w:r>
          </w:p>
        </w:tc>
      </w:tr>
      <w:tr>
        <w:trPr>
          <w:trHeight w:val="149"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6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一、上年期末 余额</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w:t>
            </w:r>
          </w:p>
        </w:tc>
      </w:tr>
      <w:tr>
        <w:trPr>
          <w:trHeight w:val="17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w:t>
            </w:r>
          </w:p>
        </w:tc>
      </w:tr>
      <w:tr>
        <w:trPr>
          <w:trHeight w:val="13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w:t>
            </w:r>
          </w:p>
        </w:tc>
      </w:tr>
      <w:tr>
        <w:trPr>
          <w:trHeight w:val="154"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248"/>
        <w:gridCol w:w="504"/>
        <w:gridCol w:w="466"/>
        <w:gridCol w:w="466"/>
        <w:gridCol w:w="470"/>
        <w:gridCol w:w="581"/>
        <w:gridCol w:w="586"/>
        <w:gridCol w:w="586"/>
        <w:gridCol w:w="581"/>
        <w:gridCol w:w="586"/>
        <w:gridCol w:w="581"/>
        <w:gridCol w:w="586"/>
        <w:gridCol w:w="586"/>
        <w:gridCol w:w="581"/>
        <w:gridCol w:w="586"/>
        <w:gridCol w:w="58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8"/>
                <w:szCs w:val="18"/>
              </w:rPr>
            </w:pPr>
            <w:r>
              <w:rPr>
                <w:color w:val="000000"/>
                <w:spacing w:val="0"/>
                <w:w w:val="100"/>
                <w:position w:val="0"/>
                <w:sz w:val="18"/>
                <w:szCs w:val="18"/>
              </w:rPr>
              <w:t>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613,</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016,</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574.</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58,1</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14,6</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593,</w:t>
            </w:r>
          </w:p>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206, 859.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1,55</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7,12</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3,52</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4,46</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7,86</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3.15</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left"/>
              <w:rPr>
                <w:sz w:val="18"/>
                <w:szCs w:val="18"/>
              </w:rPr>
            </w:pPr>
            <w:r>
              <w:rPr>
                <w:color w:val="000000"/>
                <w:spacing w:val="0"/>
                <w:w w:val="100"/>
                <w:position w:val="0"/>
                <w:sz w:val="18"/>
                <w:szCs w:val="18"/>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w:t>
            </w:r>
          </w:p>
          <w:p>
            <w:pPr>
              <w:pStyle w:val="Style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590,</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517,</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583.</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20,3</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29,0</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225,</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276,</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867,</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380,</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882.</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877,</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387,</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901.</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263,</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186,</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796.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263, 080, 317.</w:t>
            </w:r>
          </w:p>
          <w:p>
            <w:pPr>
              <w:pStyle w:val="Style2"/>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325,</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071,</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920.</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（二）所有者</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投入和减少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w:t>
            </w:r>
          </w:p>
          <w:p>
            <w:pPr>
              <w:pStyle w:val="Style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584,</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067,</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323.</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615,</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431,</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672.</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-15, 010, 539.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600,</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421,</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132.</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w:t>
            </w:r>
          </w:p>
          <w:p>
            <w:pPr>
              <w:pStyle w:val="Style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559, 455, 114.</w:t>
            </w:r>
          </w:p>
          <w:p>
            <w:pPr>
              <w:pStyle w:val="Style2"/>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590,</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819,</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463.</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590,</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363,</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288.</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57,8</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57,8</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44.0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57,8</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98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14,5</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48"/>
        <w:gridCol w:w="504"/>
        <w:gridCol w:w="466"/>
        <w:gridCol w:w="466"/>
        <w:gridCol w:w="470"/>
        <w:gridCol w:w="581"/>
        <w:gridCol w:w="586"/>
        <w:gridCol w:w="586"/>
        <w:gridCol w:w="581"/>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20,3</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29,0</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910,</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581,</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974,</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555,</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20,3</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29,0</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-20, 329, 049.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w:t>
            </w:r>
          </w:p>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581,</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581,</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974,</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555,</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（四）所有者</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权益内部结</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48"/>
        <w:gridCol w:w="504"/>
        <w:gridCol w:w="466"/>
        <w:gridCol w:w="466"/>
        <w:gridCol w:w="470"/>
        <w:gridCol w:w="581"/>
        <w:gridCol w:w="586"/>
        <w:gridCol w:w="586"/>
        <w:gridCol w:w="581"/>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6,45</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0,25</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6,45</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0,25</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6,45</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0,25</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9.94</w:t>
            </w: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3,53</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4,15</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-343</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,817.</w:t>
            </w:r>
          </w:p>
          <w:p>
            <w:pPr>
              <w:pStyle w:val="Style2"/>
              <w:keepNext w:val="0"/>
              <w:keepLines w:val="0"/>
              <w:widowControl w:val="0"/>
              <w:shd w:val="clear" w:color="auto" w:fill="auto"/>
              <w:bidi w:val="0"/>
              <w:spacing w:before="0" w:after="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78,4</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43,6</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818,</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483,</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2,42</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4,50</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4,40</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557,</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351,</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2,98</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1,85</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5,76</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4.75</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上期金额</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少数</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股东</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减：</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库存</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综合</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专项</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盈余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风险</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未分</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配利</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小</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永</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续</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w:t>
            </w:r>
          </w:p>
          <w:p>
            <w:pPr>
              <w:pStyle w:val="Style2"/>
              <w:keepNext w:val="0"/>
              <w:keepLines w:val="0"/>
              <w:widowControl w:val="0"/>
              <w:shd w:val="clear" w:color="auto" w:fill="auto"/>
              <w:bidi w:val="0"/>
              <w:spacing w:before="0" w:after="8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1,34</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6,04</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1,73</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43,62</w:t>
            </w:r>
          </w:p>
          <w:p>
            <w:pPr>
              <w:pStyle w:val="Style2"/>
              <w:keepNext w:val="0"/>
              <w:keepLines w:val="0"/>
              <w:widowControl w:val="0"/>
              <w:shd w:val="clear" w:color="auto" w:fill="auto"/>
              <w:bidi w:val="0"/>
              <w:spacing w:before="0" w:after="8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1,870 ,885, 360.3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20"/>
              <w:jc w:val="left"/>
              <w:rPr>
                <w:sz w:val="18"/>
                <w:szCs w:val="18"/>
              </w:rPr>
            </w:pPr>
            <w:r>
              <w:rPr>
                <w:color w:val="000000"/>
                <w:spacing w:val="0"/>
                <w:w w:val="100"/>
                <w:position w:val="0"/>
                <w:sz w:val="18"/>
                <w:szCs w:val="18"/>
              </w:rPr>
              <w:t>加：会计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7,85</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1,099 ,848.</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8"/>
                <w:szCs w:val="18"/>
              </w:rPr>
            </w:pPr>
            <w:r>
              <w:rPr>
                <w:color w:val="000000"/>
                <w:spacing w:val="0"/>
                <w:w w:val="100"/>
                <w:position w:val="0"/>
                <w:sz w:val="18"/>
                <w:szCs w:val="18"/>
              </w:rPr>
              <w:t>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w:t>
            </w:r>
          </w:p>
          <w:p>
            <w:pPr>
              <w:pStyle w:val="Style2"/>
              <w:keepNext w:val="0"/>
              <w:keepLines w:val="0"/>
              <w:widowControl w:val="0"/>
              <w:shd w:val="clear" w:color="auto" w:fill="auto"/>
              <w:bidi w:val="0"/>
              <w:spacing w:before="0" w:after="8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1,34</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7,15</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9,59</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25,61</w:t>
            </w:r>
          </w:p>
          <w:p>
            <w:pPr>
              <w:pStyle w:val="Style2"/>
              <w:keepNext w:val="0"/>
              <w:keepLines w:val="0"/>
              <w:widowControl w:val="0"/>
              <w:shd w:val="clear" w:color="auto" w:fill="auto"/>
              <w:bidi w:val="0"/>
              <w:spacing w:before="0" w:after="8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1,871</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rPr>
                <w:sz w:val="18"/>
                <w:szCs w:val="18"/>
              </w:rPr>
            </w:pPr>
            <w:r>
              <w:rPr>
                <w:color w:val="000000"/>
                <w:spacing w:val="0"/>
                <w:w w:val="100"/>
                <w:position w:val="0"/>
                <w:sz w:val="18"/>
                <w:szCs w:val="18"/>
              </w:rPr>
              <w:t>三、本期增减 变动金额（减 少以，，_，，号 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,313.</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211,</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849,</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0,269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234,7</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10,07</w:t>
            </w:r>
          </w:p>
          <w:p>
            <w:pPr>
              <w:pStyle w:val="Style2"/>
              <w:keepNext w:val="0"/>
              <w:keepLines w:val="0"/>
              <w:widowControl w:val="0"/>
              <w:shd w:val="clear" w:color="auto" w:fill="auto"/>
              <w:bidi w:val="0"/>
              <w:spacing w:before="0" w:after="8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,313.</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205,</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534,</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8,381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50,84</w:t>
            </w:r>
          </w:p>
          <w:p>
            <w:pPr>
              <w:pStyle w:val="Style2"/>
              <w:keepNext w:val="0"/>
              <w:keepLines w:val="0"/>
              <w:widowControl w:val="0"/>
              <w:shd w:val="clear" w:color="auto" w:fill="auto"/>
              <w:bidi w:val="0"/>
              <w:spacing w:before="0" w:after="8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79,1</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35.1</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56,11</w:t>
            </w:r>
          </w:p>
          <w:p>
            <w:pPr>
              <w:pStyle w:val="Style2"/>
              <w:keepNext w:val="0"/>
              <w:keepLines w:val="0"/>
              <w:widowControl w:val="0"/>
              <w:shd w:val="clear" w:color="auto" w:fill="auto"/>
              <w:bidi w:val="0"/>
              <w:spacing w:before="0" w:after="8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35,24</w:t>
            </w:r>
          </w:p>
          <w:p>
            <w:pPr>
              <w:pStyle w:val="Style2"/>
              <w:keepNext w:val="0"/>
              <w:keepLines w:val="0"/>
              <w:widowControl w:val="0"/>
              <w:shd w:val="clear" w:color="auto" w:fill="auto"/>
              <w:bidi w:val="0"/>
              <w:spacing w:before="0" w:after="8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35,24</w:t>
            </w:r>
          </w:p>
          <w:p>
            <w:pPr>
              <w:pStyle w:val="Style2"/>
              <w:keepNext w:val="0"/>
              <w:keepLines w:val="0"/>
              <w:widowControl w:val="0"/>
              <w:shd w:val="clear" w:color="auto" w:fill="auto"/>
              <w:bidi w:val="0"/>
              <w:spacing w:before="0" w:after="8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35,24</w:t>
            </w:r>
          </w:p>
          <w:p>
            <w:pPr>
              <w:pStyle w:val="Style2"/>
              <w:keepNext w:val="0"/>
              <w:keepLines w:val="0"/>
              <w:widowControl w:val="0"/>
              <w:shd w:val="clear" w:color="auto" w:fill="auto"/>
              <w:bidi w:val="0"/>
              <w:spacing w:before="0" w:after="8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计入所有者</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79,1</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35.1</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3,679 ,135.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87,3</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70.8</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533,</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87,3</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70.8</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087,</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w:t>
            </w:r>
          </w:p>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46,4</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 转增资本（或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16,6</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92,9</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16,6</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92,9</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16,69</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293</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613, 016, 574.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595,</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092,</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1,55</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9,00</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9,39</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2,106 ,695, 280.0 6</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8</w:t>
      </w:r>
      <w:bookmarkEnd w:id="753"/>
      <w:r>
        <w:rPr>
          <w:color w:val="000000"/>
          <w:spacing w:val="0"/>
          <w:w w:val="100"/>
          <w:position w:val="0"/>
        </w:rPr>
        <w:t>、母公司所有者权益变动表</w:t>
      </w:r>
      <w:bookmarkEnd w:id="751"/>
      <w:bookmarkEnd w:id="752"/>
      <w:bookmarkEnd w:id="75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653"/>
        <w:gridCol w:w="691"/>
        <w:gridCol w:w="710"/>
        <w:gridCol w:w="86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60"/>
              <w:jc w:val="left"/>
              <w:rPr>
                <w:sz w:val="18"/>
                <w:szCs w:val="18"/>
              </w:rPr>
            </w:pPr>
            <w:r>
              <w:rPr>
                <w:color w:val="000000"/>
                <w:spacing w:val="0"/>
                <w:w w:val="100"/>
                <w:position w:val="0"/>
                <w:sz w:val="18"/>
                <w:szCs w:val="18"/>
              </w:rPr>
              <w:t>资本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综合</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专项</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盈余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未分</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配利</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所有者</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权益合</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293,0</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22,80</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673,98</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9,573.</w:t>
            </w:r>
          </w:p>
          <w:p>
            <w:pPr>
              <w:pStyle w:val="Style2"/>
              <w:keepNext w:val="0"/>
              <w:keepLines w:val="0"/>
              <w:widowControl w:val="0"/>
              <w:shd w:val="clear" w:color="auto" w:fill="auto"/>
              <w:bidi w:val="0"/>
              <w:spacing w:before="0" w:after="8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58,11</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411,4</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14,73</w:t>
            </w:r>
          </w:p>
          <w:p>
            <w:pPr>
              <w:pStyle w:val="Style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1,733.84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加：会计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653"/>
        <w:gridCol w:w="691"/>
        <w:gridCol w:w="710"/>
        <w:gridCol w:w="86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rPr>
                <w:sz w:val="18"/>
                <w:szCs w:val="18"/>
              </w:rPr>
            </w:pPr>
            <w:r>
              <w:rPr>
                <w:color w:val="000000"/>
                <w:spacing w:val="0"/>
                <w:w w:val="100"/>
                <w:position w:val="0"/>
                <w:sz w:val="18"/>
                <w:szCs w:val="18"/>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22,80</w:t>
            </w:r>
          </w:p>
          <w:p>
            <w:pPr>
              <w:pStyle w:val="Style2"/>
              <w:keepNext w:val="0"/>
              <w:keepLines w:val="0"/>
              <w:widowControl w:val="0"/>
              <w:shd w:val="clear" w:color="auto" w:fill="auto"/>
              <w:bidi w:val="0"/>
              <w:spacing w:before="0" w:after="8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673,98</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9,573.</w:t>
            </w:r>
          </w:p>
          <w:p>
            <w:pPr>
              <w:pStyle w:val="Style2"/>
              <w:keepNext w:val="0"/>
              <w:keepLines w:val="0"/>
              <w:widowControl w:val="0"/>
              <w:shd w:val="clear" w:color="auto" w:fill="auto"/>
              <w:bidi w:val="0"/>
              <w:spacing w:before="0" w:after="8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4,623</w:t>
            </w:r>
          </w:p>
          <w:p>
            <w:pPr>
              <w:pStyle w:val="Style2"/>
              <w:keepNext w:val="0"/>
              <w:keepLines w:val="0"/>
              <w:widowControl w:val="0"/>
              <w:shd w:val="clear" w:color="auto" w:fill="auto"/>
              <w:bidi w:val="0"/>
              <w:spacing w:before="0" w:after="8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14,73</w:t>
            </w:r>
          </w:p>
          <w:p>
            <w:pPr>
              <w:pStyle w:val="Style2"/>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1,436,54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1,733.84</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三、本期增减</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变动金额（减</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少以“_”号</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575,96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3,218.</w:t>
            </w:r>
          </w:p>
          <w:p>
            <w:pPr>
              <w:pStyle w:val="Style2"/>
              <w:keepNext w:val="0"/>
              <w:keepLines w:val="0"/>
              <w:widowControl w:val="0"/>
              <w:shd w:val="clear" w:color="auto" w:fill="auto"/>
              <w:bidi w:val="0"/>
              <w:spacing w:before="0" w:after="8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9,049</w:t>
            </w:r>
          </w:p>
          <w:p>
            <w:pPr>
              <w:pStyle w:val="Style2"/>
              <w:keepNext w:val="0"/>
              <w:keepLines w:val="0"/>
              <w:widowControl w:val="0"/>
              <w:shd w:val="clear" w:color="auto" w:fill="auto"/>
              <w:bidi w:val="0"/>
              <w:spacing w:before="0" w:after="8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80,07</w:t>
            </w:r>
          </w:p>
          <w:p>
            <w:pPr>
              <w:pStyle w:val="Style2"/>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793,036,</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697.24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90,49</w:t>
            </w:r>
          </w:p>
          <w:p>
            <w:pPr>
              <w:pStyle w:val="Style2"/>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203,290,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497.68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569,51</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2,958.</w:t>
            </w:r>
          </w:p>
          <w:p>
            <w:pPr>
              <w:pStyle w:val="Style2"/>
              <w:keepNext w:val="0"/>
              <w:keepLines w:val="0"/>
              <w:widowControl w:val="0"/>
              <w:shd w:val="clear" w:color="auto" w:fill="auto"/>
              <w:bidi w:val="0"/>
              <w:spacing w:before="0" w:after="8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600,877,</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307.98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559,45</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5,114.</w:t>
            </w:r>
          </w:p>
          <w:p>
            <w:pPr>
              <w:pStyle w:val="Style2"/>
              <w:keepNext w:val="0"/>
              <w:keepLines w:val="0"/>
              <w:widowControl w:val="0"/>
              <w:shd w:val="clear" w:color="auto" w:fill="auto"/>
              <w:bidi w:val="0"/>
              <w:spacing w:before="0" w:after="8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590,819,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463.97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10,057 ,844.0</w:t>
            </w:r>
          </w:p>
          <w:p>
            <w:pPr>
              <w:pStyle w:val="Style2"/>
              <w:keepNext w:val="0"/>
              <w:keepLines w:val="0"/>
              <w:widowControl w:val="0"/>
              <w:shd w:val="clear" w:color="auto" w:fill="auto"/>
              <w:bidi w:val="0"/>
              <w:spacing w:before="0" w:after="0" w:line="36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10,057,8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9,049</w:t>
            </w:r>
          </w:p>
          <w:p>
            <w:pPr>
              <w:pStyle w:val="Style2"/>
              <w:keepNext w:val="0"/>
              <w:keepLines w:val="0"/>
              <w:widowControl w:val="0"/>
              <w:shd w:val="clear" w:color="auto" w:fill="auto"/>
              <w:bidi w:val="0"/>
              <w:spacing w:before="0" w:after="8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0,418.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-17,581,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368.36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9,049</w:t>
            </w:r>
          </w:p>
          <w:p>
            <w:pPr>
              <w:pStyle w:val="Style2"/>
              <w:keepNext w:val="0"/>
              <w:keepLines w:val="0"/>
              <w:widowControl w:val="0"/>
              <w:shd w:val="clear" w:color="auto" w:fill="auto"/>
              <w:bidi w:val="0"/>
              <w:spacing w:before="0" w:after="8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-20,32 9,049.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w:t>
            </w:r>
          </w:p>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-17,581,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（四）所有者</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653"/>
        <w:gridCol w:w="691"/>
        <w:gridCol w:w="710"/>
        <w:gridCol w:w="86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6,450,25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324,3</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87,15</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952,79</w:t>
            </w:r>
          </w:p>
          <w:p>
            <w:pPr>
              <w:pStyle w:val="Style2"/>
              <w:keepNext w:val="0"/>
              <w:keepLines w:val="0"/>
              <w:widowControl w:val="0"/>
              <w:shd w:val="clear" w:color="auto" w:fill="auto"/>
              <w:bidi w:val="0"/>
              <w:spacing w:before="0" w:after="8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78,44</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576,7</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94,81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2,229,57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8,431.08</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上期金额</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资本</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综合</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盈余</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所有者</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权益合</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200" w:right="0" w:firstLine="0"/>
              <w:jc w:val="left"/>
              <w:rPr>
                <w:sz w:val="18"/>
                <w:szCs w:val="18"/>
              </w:rPr>
            </w:pPr>
            <w:r>
              <w:rPr>
                <w:color w:val="000000"/>
                <w:spacing w:val="0"/>
                <w:w w:val="100"/>
                <w:position w:val="0"/>
                <w:sz w:val="18"/>
                <w:szCs w:val="18"/>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永</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续</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8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293, 022, 806.</w:t>
            </w:r>
          </w:p>
          <w:p>
            <w:pPr>
              <w:pStyle w:val="Style2"/>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657,2</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96,60</w:t>
            </w:r>
          </w:p>
          <w:p>
            <w:pPr>
              <w:pStyle w:val="Style2"/>
              <w:keepNext w:val="0"/>
              <w:keepLines w:val="0"/>
              <w:widowControl w:val="0"/>
              <w:shd w:val="clear" w:color="auto" w:fill="auto"/>
              <w:bidi w:val="0"/>
              <w:spacing w:before="0" w:after="8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43,02</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7,252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1,275,42</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1,553.36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40"/>
              <w:jc w:val="left"/>
              <w:rPr>
                <w:sz w:val="18"/>
                <w:szCs w:val="18"/>
              </w:rPr>
            </w:pPr>
            <w:r>
              <w:rPr>
                <w:color w:val="000000"/>
                <w:spacing w:val="0"/>
                <w:w w:val="100"/>
                <w:position w:val="0"/>
                <w:sz w:val="18"/>
                <w:szCs w:val="18"/>
              </w:rPr>
              <w:t>加：会计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8"/>
                <w:szCs w:val="18"/>
              </w:rPr>
            </w:pPr>
            <w:r>
              <w:rPr>
                <w:color w:val="000000"/>
                <w:spacing w:val="0"/>
                <w:w w:val="100"/>
                <w:position w:val="0"/>
                <w:sz w:val="18"/>
                <w:szCs w:val="18"/>
              </w:rPr>
              <w:t>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293, 022, </w:t>
            </w:r>
            <w:r>
              <w:rPr>
                <w:rFonts w:ascii="Times New Roman" w:eastAsia="Times New Roman" w:hAnsi="Times New Roman" w:cs="Times New Roman"/>
                <w:color w:val="000000"/>
                <w:spacing w:val="0"/>
                <w:w w:val="100"/>
                <w:position w:val="0"/>
                <w:sz w:val="18"/>
                <w:szCs w:val="18"/>
              </w:rPr>
              <w:t>806.</w:t>
            </w:r>
          </w:p>
          <w:p>
            <w:pPr>
              <w:pStyle w:val="Style2"/>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657,2</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96,60</w:t>
            </w:r>
          </w:p>
          <w:p>
            <w:pPr>
              <w:pStyle w:val="Style2"/>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43,02</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7,252</w:t>
            </w:r>
          </w:p>
          <w:p>
            <w:pPr>
              <w:pStyle w:val="Style2"/>
              <w:keepNext w:val="0"/>
              <w:keepLines w:val="0"/>
              <w:widowControl w:val="0"/>
              <w:shd w:val="clear" w:color="auto" w:fill="auto"/>
              <w:bidi w:val="0"/>
              <w:spacing w:before="0" w:after="8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282,07</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4,892.9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1,275,42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1,553.36</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rPr>
                <w:sz w:val="18"/>
                <w:szCs w:val="18"/>
              </w:rPr>
            </w:pPr>
            <w:r>
              <w:rPr>
                <w:color w:val="000000"/>
                <w:spacing w:val="0"/>
                <w:w w:val="100"/>
                <w:position w:val="0"/>
                <w:sz w:val="18"/>
                <w:szCs w:val="18"/>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16,69</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2,971.</w:t>
            </w:r>
          </w:p>
          <w:p>
            <w:pPr>
              <w:pStyle w:val="Style2"/>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15,08</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7,370</w:t>
            </w:r>
          </w:p>
          <w:p>
            <w:pPr>
              <w:pStyle w:val="Style2"/>
              <w:keepNext w:val="0"/>
              <w:keepLines w:val="0"/>
              <w:widowControl w:val="0"/>
              <w:shd w:val="clear" w:color="auto" w:fill="auto"/>
              <w:bidi w:val="0"/>
              <w:spacing w:before="0" w:after="8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129,33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9,838.3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161,120,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150,87</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3,708.4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708.48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（二）所有者</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投入和减少</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15,08</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7,370</w:t>
            </w:r>
          </w:p>
          <w:p>
            <w:pPr>
              <w:pStyle w:val="Style2"/>
              <w:keepNext w:val="0"/>
              <w:keepLines w:val="0"/>
              <w:widowControl w:val="0"/>
              <w:shd w:val="clear" w:color="auto" w:fill="auto"/>
              <w:bidi w:val="0"/>
              <w:spacing w:before="0" w:after="8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-21,533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15,08</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7,370</w:t>
            </w:r>
          </w:p>
          <w:p>
            <w:pPr>
              <w:pStyle w:val="Style2"/>
              <w:keepNext w:val="0"/>
              <w:keepLines w:val="0"/>
              <w:widowControl w:val="0"/>
              <w:shd w:val="clear" w:color="auto" w:fill="auto"/>
              <w:bidi w:val="0"/>
              <w:spacing w:before="0" w:after="8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-15,087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-对所有者</w:t>
            </w:r>
          </w:p>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-6,446,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（四）所有者</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权益内部结</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 转增资本（或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16,69</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2,971.</w:t>
            </w:r>
          </w:p>
          <w:p>
            <w:pPr>
              <w:pStyle w:val="Style2"/>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16,692,9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293, 022, </w:t>
            </w:r>
            <w:r>
              <w:rPr>
                <w:rFonts w:ascii="Times New Roman" w:eastAsia="Times New Roman" w:hAnsi="Times New Roman" w:cs="Times New Roman"/>
                <w:color w:val="000000"/>
                <w:spacing w:val="0"/>
                <w:w w:val="100"/>
                <w:position w:val="0"/>
                <w:sz w:val="18"/>
                <w:szCs w:val="18"/>
              </w:rPr>
              <w:t>806.</w:t>
            </w:r>
          </w:p>
          <w:p>
            <w:pPr>
              <w:pStyle w:val="Style2"/>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673,9</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89,57</w:t>
            </w:r>
          </w:p>
          <w:p>
            <w:pPr>
              <w:pStyle w:val="Style2"/>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58,11</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4,623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411,414 ,731.25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1,436,54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1,733.84</w:t>
            </w:r>
          </w:p>
        </w:tc>
      </w:tr>
    </w:tbl>
    <w:p>
      <w:pPr>
        <w:widowControl w:val="0"/>
        <w:spacing w:after="319" w:line="1" w:lineRule="exact"/>
      </w:pPr>
    </w:p>
    <w:p>
      <w:pPr>
        <w:pStyle w:val="Style19"/>
        <w:keepNext/>
        <w:keepLines/>
        <w:widowControl w:val="0"/>
        <w:shd w:val="clear" w:color="auto" w:fill="auto"/>
        <w:bidi w:val="0"/>
        <w:spacing w:before="0" w:after="180" w:line="240" w:lineRule="auto"/>
        <w:ind w:left="0" w:right="0" w:firstLine="0"/>
        <w:jc w:val="left"/>
      </w:pPr>
      <w:bookmarkStart w:id="755" w:name="bookmark755"/>
      <w:bookmarkStart w:id="756" w:name="bookmark756"/>
      <w:bookmarkStart w:id="757" w:name="bookmark757"/>
      <w:r>
        <w:rPr>
          <w:color w:val="000000"/>
          <w:spacing w:val="0"/>
          <w:w w:val="100"/>
          <w:position w:val="0"/>
          <w:sz w:val="24"/>
          <w:szCs w:val="24"/>
        </w:rPr>
        <w:t>三、公司基本情况</w:t>
      </w:r>
      <w:bookmarkEnd w:id="755"/>
      <w:bookmarkEnd w:id="756"/>
      <w:bookmarkEnd w:id="757"/>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汉威科技集团股份有限公司（以下简称“公司”或“本公司”）系2009年10月在深圳证券交易所创业 板上市的股份有限公司，股票简称：汉威科技，股票代码：300007；</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截至2021年12月31日止，本公司累计发行股本总数324, 387, 155股，注册资本为324,387, </w:t>
      </w:r>
      <w:r>
        <w:rPr>
          <w:color w:val="000000"/>
          <w:spacing w:val="0"/>
          <w:w w:val="100"/>
          <w:position w:val="0"/>
        </w:rPr>
        <w:t>155.00</w:t>
      </w:r>
      <w:r>
        <w:rPr>
          <w:color w:val="000000"/>
          <w:spacing w:val="0"/>
          <w:w w:val="100"/>
          <w:position w:val="0"/>
        </w:rPr>
        <w:t>元， 注册地：河南省郑州市，总部地址：郑州高新开发区雪松路169号。统一社会信用代码：914101007067858314, 公司法定代表人：任红军。</w:t>
      </w:r>
    </w:p>
    <w:p>
      <w:pPr>
        <w:pStyle w:val="Style10"/>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本公司属物联网行业。本公司以“成为以传感器为核心的物联网解决方案引领者”为产业愿景，主要 是以传感器为核心，将传感技术、智能终端、通讯技术、云计算和地理信息等物联网技术紧密结合，形成 了 “传感器+监测终端+数据采集+空间信息技术+云应用”的系统解决方案，业务应用覆盖物联网综合解决 方案及居家智能与健康等行业领域。</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本公司无母公司，实质控制人为任红军先生及钟超女士。</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本财务报表业经本公司董事会于2022年3月30日决议批准报出。</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本报告期合并范围变化情况详见本附注“八、合并范围的变更”。</w:t>
      </w:r>
    </w:p>
    <w:p>
      <w:pPr>
        <w:pStyle w:val="Style1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本公司子公司的相关信息详见本附注“九、在其他主体中的权益”。</w:t>
      </w:r>
    </w:p>
    <w:p>
      <w:pPr>
        <w:pStyle w:val="Style19"/>
        <w:keepNext/>
        <w:keepLines/>
        <w:widowControl w:val="0"/>
        <w:shd w:val="clear" w:color="auto" w:fill="auto"/>
        <w:tabs>
          <w:tab w:pos="493" w:val="left"/>
        </w:tabs>
        <w:bidi w:val="0"/>
        <w:spacing w:before="0" w:line="240" w:lineRule="auto"/>
        <w:ind w:left="0" w:right="0" w:firstLine="0"/>
        <w:jc w:val="both"/>
      </w:pPr>
      <w:bookmarkStart w:id="758" w:name="bookmark758"/>
      <w:bookmarkStart w:id="759" w:name="bookmark759"/>
      <w:bookmarkStart w:id="760" w:name="bookmark760"/>
      <w:bookmarkStart w:id="761" w:name="bookmark761"/>
      <w:r>
        <w:rPr>
          <w:color w:val="000000"/>
          <w:spacing w:val="0"/>
          <w:w w:val="100"/>
          <w:position w:val="0"/>
          <w:sz w:val="24"/>
          <w:szCs w:val="24"/>
        </w:rPr>
        <w:t>四</w:t>
      </w:r>
      <w:bookmarkEnd w:id="760"/>
      <w:r>
        <w:rPr>
          <w:color w:val="000000"/>
          <w:spacing w:val="0"/>
          <w:w w:val="100"/>
          <w:position w:val="0"/>
          <w:sz w:val="24"/>
          <w:szCs w:val="24"/>
        </w:rPr>
        <w:t>、</w:t>
        <w:tab/>
        <w:t>财务报表的编制基础</w:t>
      </w:r>
      <w:bookmarkEnd w:id="758"/>
      <w:bookmarkEnd w:id="759"/>
      <w:bookmarkEnd w:id="761"/>
    </w:p>
    <w:p>
      <w:pPr>
        <w:pStyle w:val="Style28"/>
        <w:keepNext/>
        <w:keepLines/>
        <w:widowControl w:val="0"/>
        <w:shd w:val="clear" w:color="auto" w:fill="auto"/>
        <w:tabs>
          <w:tab w:pos="368" w:val="left"/>
        </w:tabs>
        <w:bidi w:val="0"/>
        <w:spacing w:before="0" w:after="0" w:line="480" w:lineRule="auto"/>
        <w:ind w:left="0" w:right="0" w:firstLine="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w:t>
      </w:r>
      <w:bookmarkEnd w:id="764"/>
      <w:r>
        <w:rPr>
          <w:color w:val="000000"/>
          <w:spacing w:val="0"/>
          <w:w w:val="100"/>
          <w:position w:val="0"/>
        </w:rPr>
        <w:t>、</w:t>
        <w:tab/>
        <w:t>编制基础</w:t>
      </w:r>
      <w:bookmarkEnd w:id="762"/>
      <w:bookmarkEnd w:id="763"/>
      <w:bookmarkEnd w:id="765"/>
    </w:p>
    <w:p>
      <w:pPr>
        <w:pStyle w:val="Style10"/>
        <w:keepNext w:val="0"/>
        <w:keepLines w:val="0"/>
        <w:widowControl w:val="0"/>
        <w:shd w:val="clear" w:color="auto" w:fill="auto"/>
        <w:bidi w:val="0"/>
        <w:spacing w:before="0" w:after="420" w:line="463" w:lineRule="exact"/>
        <w:ind w:left="0" w:right="0" w:firstLine="440"/>
        <w:jc w:val="left"/>
      </w:pPr>
      <w:r>
        <w:rPr>
          <w:color w:val="000000"/>
          <w:spacing w:val="0"/>
          <w:w w:val="100"/>
          <w:position w:val="0"/>
        </w:rPr>
        <w:t>本财务报表按照财政部颁布的《企业会计准则</w:t>
      </w:r>
      <w:r>
        <w:rPr>
          <w:color w:val="000000"/>
          <w:spacing w:val="0"/>
          <w:w w:val="100"/>
          <w:position w:val="0"/>
        </w:rPr>
        <w:t>一一</w:t>
      </w:r>
      <w:r>
        <w:rPr>
          <w:color w:val="000000"/>
          <w:spacing w:val="0"/>
          <w:w w:val="100"/>
          <w:position w:val="0"/>
        </w:rPr>
        <w:t>基本准则》和各项具体会计准则、企业会计准则应 用指南、企业会计准则解释及其他相关规定（以下合称“企业会计准则”），以及中国证券监督管理委员会 《公开发行证券的公司信息披露编报规则第15号</w:t>
      </w:r>
      <w:r>
        <w:rPr>
          <w:color w:val="000000"/>
          <w:spacing w:val="0"/>
          <w:w w:val="100"/>
          <w:position w:val="0"/>
        </w:rPr>
        <w:t>一一</w:t>
      </w:r>
      <w:r>
        <w:rPr>
          <w:color w:val="000000"/>
          <w:spacing w:val="0"/>
          <w:w w:val="100"/>
          <w:position w:val="0"/>
        </w:rPr>
        <w:t>财务报告的一般规定》的相关规定编制。</w:t>
      </w:r>
    </w:p>
    <w:p>
      <w:pPr>
        <w:pStyle w:val="Style28"/>
        <w:keepNext/>
        <w:keepLines/>
        <w:widowControl w:val="0"/>
        <w:shd w:val="clear" w:color="auto" w:fill="auto"/>
        <w:tabs>
          <w:tab w:pos="378" w:val="left"/>
        </w:tabs>
        <w:bidi w:val="0"/>
        <w:spacing w:before="0" w:after="0" w:line="480" w:lineRule="auto"/>
        <w:ind w:left="0" w:right="0" w:firstLine="0"/>
        <w:jc w:val="both"/>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2</w:t>
      </w:r>
      <w:bookmarkEnd w:id="768"/>
      <w:r>
        <w:rPr>
          <w:color w:val="000000"/>
          <w:spacing w:val="0"/>
          <w:w w:val="100"/>
          <w:position w:val="0"/>
        </w:rPr>
        <w:t>、</w:t>
        <w:tab/>
        <w:t>持续经营</w:t>
      </w:r>
      <w:bookmarkEnd w:id="766"/>
      <w:bookmarkEnd w:id="767"/>
      <w:bookmarkEnd w:id="769"/>
    </w:p>
    <w:p>
      <w:pPr>
        <w:pStyle w:val="Style10"/>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本财务报表以持续经营为基础编制。公司自报告期末起12个月不存在对公司持续经营能力产生重大疑 虑的事项或情况。</w:t>
      </w:r>
    </w:p>
    <w:p>
      <w:pPr>
        <w:pStyle w:val="Style19"/>
        <w:keepNext/>
        <w:keepLines/>
        <w:widowControl w:val="0"/>
        <w:shd w:val="clear" w:color="auto" w:fill="auto"/>
        <w:tabs>
          <w:tab w:pos="512" w:val="left"/>
        </w:tabs>
        <w:bidi w:val="0"/>
        <w:spacing w:before="0" w:after="360" w:line="240" w:lineRule="auto"/>
        <w:ind w:left="0" w:right="0" w:firstLine="0"/>
        <w:jc w:val="left"/>
      </w:pPr>
      <w:bookmarkStart w:id="770" w:name="bookmark770"/>
      <w:bookmarkStart w:id="771" w:name="bookmark771"/>
      <w:bookmarkStart w:id="772" w:name="bookmark772"/>
      <w:bookmarkStart w:id="773" w:name="bookmark773"/>
      <w:r>
        <w:rPr>
          <w:color w:val="000000"/>
          <w:spacing w:val="0"/>
          <w:w w:val="100"/>
          <w:position w:val="0"/>
          <w:sz w:val="24"/>
          <w:szCs w:val="24"/>
        </w:rPr>
        <w:t>五</w:t>
      </w:r>
      <w:bookmarkEnd w:id="772"/>
      <w:r>
        <w:rPr>
          <w:color w:val="000000"/>
          <w:spacing w:val="0"/>
          <w:w w:val="100"/>
          <w:position w:val="0"/>
          <w:sz w:val="24"/>
          <w:szCs w:val="24"/>
        </w:rPr>
        <w:t>、</w:t>
        <w:tab/>
        <w:t>重要会计政策及会计估计</w:t>
      </w:r>
      <w:bookmarkEnd w:id="770"/>
      <w:bookmarkEnd w:id="771"/>
      <w:bookmarkEnd w:id="773"/>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10"/>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本公司从事传感器、智能仪表、物联网综合解决方案及居家智能和健康等业务。公司根据实际生产经 营特点，依据相关企业会计准则的规定，对收入确认等交易和事项制定了若干项具体会计政策和会计估计。</w:t>
      </w:r>
    </w:p>
    <w:p>
      <w:pPr>
        <w:pStyle w:val="Style28"/>
        <w:keepNext/>
        <w:keepLines/>
        <w:widowControl w:val="0"/>
        <w:shd w:val="clear" w:color="auto" w:fill="auto"/>
        <w:tabs>
          <w:tab w:pos="368" w:val="left"/>
        </w:tabs>
        <w:bidi w:val="0"/>
        <w:spacing w:before="0" w:after="0" w:line="48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color w:val="000000"/>
          <w:spacing w:val="0"/>
          <w:w w:val="100"/>
          <w:position w:val="0"/>
        </w:rPr>
        <w:t>、</w:t>
        <w:tab/>
        <w:t>遵循企业会计准则的声明</w:t>
      </w:r>
      <w:bookmarkEnd w:id="774"/>
      <w:bookmarkEnd w:id="775"/>
      <w:bookmarkEnd w:id="777"/>
    </w:p>
    <w:p>
      <w:pPr>
        <w:pStyle w:val="Style10"/>
        <w:keepNext w:val="0"/>
        <w:keepLines w:val="0"/>
        <w:widowControl w:val="0"/>
        <w:shd w:val="clear" w:color="auto" w:fill="auto"/>
        <w:bidi w:val="0"/>
        <w:spacing w:before="0" w:after="420" w:line="466" w:lineRule="exact"/>
        <w:ind w:left="0" w:right="0" w:firstLine="440"/>
        <w:jc w:val="left"/>
      </w:pPr>
      <w:r>
        <w:rPr>
          <w:color w:val="000000"/>
          <w:spacing w:val="0"/>
          <w:w w:val="100"/>
          <w:position w:val="0"/>
        </w:rPr>
        <w:t>本财务报表符合财政部颁布的企业会计准则的要求，真实、完整地反映了本公司2021年12月31日的合 并及母公司财务状况以及2021年度的合并及母公司经营成果和现金流量。</w:t>
      </w:r>
    </w:p>
    <w:p>
      <w:pPr>
        <w:pStyle w:val="Style28"/>
        <w:keepNext/>
        <w:keepLines/>
        <w:widowControl w:val="0"/>
        <w:shd w:val="clear" w:color="auto" w:fill="auto"/>
        <w:tabs>
          <w:tab w:pos="378" w:val="left"/>
        </w:tabs>
        <w:bidi w:val="0"/>
        <w:spacing w:before="0" w:after="0" w:line="480" w:lineRule="auto"/>
        <w:ind w:left="0" w:right="0" w:firstLine="0"/>
        <w:jc w:val="both"/>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2</w:t>
      </w:r>
      <w:bookmarkEnd w:id="780"/>
      <w:r>
        <w:rPr>
          <w:color w:val="000000"/>
          <w:spacing w:val="0"/>
          <w:w w:val="100"/>
          <w:position w:val="0"/>
        </w:rPr>
        <w:t>、</w:t>
        <w:tab/>
        <w:t>会计期间</w:t>
      </w:r>
      <w:bookmarkEnd w:id="778"/>
      <w:bookmarkEnd w:id="779"/>
      <w:bookmarkEnd w:id="781"/>
    </w:p>
    <w:p>
      <w:pPr>
        <w:pStyle w:val="Style10"/>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自公历1月1日起至12月31日止为一个会计年度。</w:t>
      </w:r>
    </w:p>
    <w:p>
      <w:pPr>
        <w:pStyle w:val="Style28"/>
        <w:keepNext/>
        <w:keepLines/>
        <w:widowControl w:val="0"/>
        <w:shd w:val="clear" w:color="auto" w:fill="auto"/>
        <w:tabs>
          <w:tab w:pos="378" w:val="left"/>
        </w:tabs>
        <w:bidi w:val="0"/>
        <w:spacing w:before="0" w:after="0" w:line="480" w:lineRule="auto"/>
        <w:ind w:left="0" w:right="0" w:firstLine="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3</w:t>
      </w:r>
      <w:bookmarkEnd w:id="784"/>
      <w:r>
        <w:rPr>
          <w:color w:val="000000"/>
          <w:spacing w:val="0"/>
          <w:w w:val="100"/>
          <w:position w:val="0"/>
        </w:rPr>
        <w:t>、</w:t>
        <w:tab/>
        <w:t>营业周期</w:t>
      </w:r>
      <w:bookmarkEnd w:id="782"/>
      <w:bookmarkEnd w:id="783"/>
      <w:bookmarkEnd w:id="785"/>
    </w:p>
    <w:p>
      <w:pPr>
        <w:pStyle w:val="Style10"/>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本公司营业周期为12个月，并以营业周期作为资产和负债的流动性划分标准。</w:t>
      </w:r>
    </w:p>
    <w:p>
      <w:pPr>
        <w:pStyle w:val="Style28"/>
        <w:keepNext/>
        <w:keepLines/>
        <w:widowControl w:val="0"/>
        <w:shd w:val="clear" w:color="auto" w:fill="auto"/>
        <w:bidi w:val="0"/>
        <w:spacing w:before="0" w:after="20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4</w:t>
      </w:r>
      <w:bookmarkEnd w:id="788"/>
      <w:r>
        <w:rPr>
          <w:color w:val="000000"/>
          <w:spacing w:val="0"/>
          <w:w w:val="100"/>
          <w:position w:val="0"/>
        </w:rPr>
        <w:t>、记账本位币</w:t>
      </w:r>
      <w:bookmarkEnd w:id="786"/>
      <w:bookmarkEnd w:id="787"/>
      <w:bookmarkEnd w:id="789"/>
    </w:p>
    <w:p>
      <w:pPr>
        <w:pStyle w:val="Style10"/>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本公司采用人民币为记账本位币。本公司下属子公司根据其经营所处的主要经济环境确定其记账本位 币，环球传感以英镑为记账本位币；汉威香港以美元为记账本位币；艾森斯波兰以兹罗提为记账本位币。 本财务报表以人民币列示。</w:t>
      </w:r>
    </w:p>
    <w:p>
      <w:pPr>
        <w:pStyle w:val="Style28"/>
        <w:keepNext/>
        <w:keepLines/>
        <w:widowControl w:val="0"/>
        <w:shd w:val="clear" w:color="auto" w:fill="auto"/>
        <w:tabs>
          <w:tab w:pos="356" w:val="left"/>
        </w:tabs>
        <w:bidi w:val="0"/>
        <w:spacing w:before="0" w:after="0" w:line="48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5</w:t>
      </w:r>
      <w:bookmarkEnd w:id="792"/>
      <w:r>
        <w:rPr>
          <w:color w:val="000000"/>
          <w:spacing w:val="0"/>
          <w:w w:val="100"/>
          <w:position w:val="0"/>
        </w:rPr>
        <w:t>、</w:t>
        <w:tab/>
        <w:t>同一控制下和非同一控制下企业合并的会计处理方法</w:t>
      </w:r>
      <w:bookmarkEnd w:id="790"/>
      <w:bookmarkEnd w:id="791"/>
      <w:bookmarkEnd w:id="793"/>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同一控制下企业合并：合并方在企业合并中取得的资产和负债（包括最终控制方收购被合并方而形成 的商誉），按照合并日被合并方资产、负债在最终控制方合并财务报表中的账面价值为基础计量。在合并 中取得的净资产账面价值与支付的合并对价账面价值（或发行股份面值总额）的差额，调整资本公积中的 股本溢价，资本公积中的股本溢价不足冲减的，调整留存收益。</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非同一控制下企业合并：合并成本为购买方在购买日为取得被购买方的控制权而付出的资产、发生或 承担的负债以及发行的权益性证券的公允价值。合并成本大于合并中取得的被购买方可辨认净资产公允价 值份额的差额，确认为商誉；合并成本小于合并中取得的被购买方可辨认净资产公允价值份额的差额，计 入当期损益。在合并中取得的被购买方符合确认条件的各项可辨认资产、负债及或有负债在购买日按公允 价值计量。</w:t>
      </w:r>
    </w:p>
    <w:p>
      <w:pPr>
        <w:pStyle w:val="Style10"/>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为企业合并发生的直接相关费用于发生时计入当期损益；为企业合并而发行权益性证券或债务性证券 的交易费用，计入权益性证券或债务性证券的初始确认金额。</w:t>
      </w:r>
    </w:p>
    <w:p>
      <w:pPr>
        <w:pStyle w:val="Style28"/>
        <w:keepNext/>
        <w:keepLines/>
        <w:widowControl w:val="0"/>
        <w:shd w:val="clear" w:color="auto" w:fill="auto"/>
        <w:tabs>
          <w:tab w:pos="356" w:val="left"/>
        </w:tabs>
        <w:bidi w:val="0"/>
        <w:spacing w:before="0" w:after="120" w:line="48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6</w:t>
      </w:r>
      <w:bookmarkEnd w:id="796"/>
      <w:r>
        <w:rPr>
          <w:color w:val="000000"/>
          <w:spacing w:val="0"/>
          <w:w w:val="100"/>
          <w:position w:val="0"/>
        </w:rPr>
        <w:t>、</w:t>
        <w:tab/>
        <w:t>合并财务报表的编制方法</w:t>
      </w:r>
      <w:bookmarkEnd w:id="794"/>
      <w:bookmarkEnd w:id="795"/>
      <w:bookmarkEnd w:id="797"/>
    </w:p>
    <w:p>
      <w:pPr>
        <w:pStyle w:val="Style28"/>
        <w:keepNext/>
        <w:keepLines/>
        <w:widowControl w:val="0"/>
        <w:shd w:val="clear" w:color="auto" w:fill="auto"/>
        <w:tabs>
          <w:tab w:pos="337" w:val="left"/>
        </w:tabs>
        <w:bidi w:val="0"/>
        <w:spacing w:before="0" w:after="0" w:line="240" w:lineRule="auto"/>
        <w:ind w:left="0" w:right="0" w:firstLine="0"/>
        <w:jc w:val="left"/>
      </w:pPr>
      <w:bookmarkStart w:id="794" w:name="bookmark794"/>
      <w:bookmarkStart w:id="795" w:name="bookmark795"/>
      <w:bookmarkStart w:id="798" w:name="bookmark798"/>
      <w:r>
        <w:rPr>
          <w:color w:val="000000"/>
          <w:spacing w:val="0"/>
          <w:w w:val="100"/>
          <w:position w:val="0"/>
        </w:rPr>
        <w:t>1</w:t>
      </w:r>
      <w:bookmarkEnd w:id="798"/>
      <w:r>
        <w:rPr>
          <w:color w:val="000000"/>
          <w:spacing w:val="0"/>
          <w:w w:val="100"/>
          <w:position w:val="0"/>
        </w:rPr>
        <w:t>、</w:t>
        <w:tab/>
        <w:t>合并范围</w:t>
      </w:r>
      <w:bookmarkEnd w:id="794"/>
      <w:bookmarkEnd w:id="795"/>
    </w:p>
    <w:p>
      <w:pPr>
        <w:pStyle w:val="Style1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合并财务报表的合并范围以控制为基础确定，合并范围包括本公司及全部子公司。控制，是指公司拥 有对被投资方的权力，通过参与被投资方的相关活动而享有可变回报，并且有能力运用对被投资方的权力 影响其回报金额。</w:t>
      </w:r>
    </w:p>
    <w:p>
      <w:pPr>
        <w:pStyle w:val="Style10"/>
        <w:keepNext w:val="0"/>
        <w:keepLines w:val="0"/>
        <w:widowControl w:val="0"/>
        <w:shd w:val="clear" w:color="auto" w:fill="auto"/>
        <w:tabs>
          <w:tab w:pos="351" w:val="left"/>
        </w:tabs>
        <w:bidi w:val="0"/>
        <w:spacing w:before="0" w:after="0" w:line="240" w:lineRule="auto"/>
        <w:ind w:left="0" w:right="0" w:firstLine="0"/>
        <w:jc w:val="left"/>
      </w:pPr>
      <w:bookmarkStart w:id="799" w:name="bookmark799"/>
      <w:r>
        <w:rPr>
          <w:b/>
          <w:bCs/>
          <w:color w:val="000000"/>
          <w:spacing w:val="0"/>
          <w:w w:val="100"/>
          <w:position w:val="0"/>
        </w:rPr>
        <w:t>2</w:t>
      </w:r>
      <w:bookmarkEnd w:id="799"/>
      <w:r>
        <w:rPr>
          <w:b/>
          <w:bCs/>
          <w:color w:val="000000"/>
          <w:spacing w:val="0"/>
          <w:w w:val="100"/>
          <w:position w:val="0"/>
        </w:rPr>
        <w:t>、</w:t>
        <w:tab/>
        <w:t>合并程序</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本公司将整个企业集团视为一个会计主体，按照统一的会计政策编制合并财务报表，反映本企业集团 整体财务状况、经营成果和现金流量。本公司与子公司、子公司相互之间发生的内部交易的影响予以抵销。 内部交易表明相关资产发生减值损失的，全额确认该部分损失。如子公司采用的会计政策、会计期间与本 公司不一致的，在编制合并财务报表时，按本公司的会计政策、会计期间进行必要的调整。</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子公司所有者权益、当期净损益和当期综合收益中属于少数股东的份额分别在合并资产负债表中所有 </w:t>
      </w:r>
      <w:r>
        <w:rPr>
          <w:color w:val="000000"/>
          <w:spacing w:val="0"/>
          <w:w w:val="100"/>
          <w:position w:val="0"/>
        </w:rPr>
        <w:t>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10"/>
        <w:keepNext w:val="0"/>
        <w:keepLines w:val="0"/>
        <w:widowControl w:val="0"/>
        <w:shd w:val="clear" w:color="auto" w:fill="auto"/>
        <w:tabs>
          <w:tab w:pos="923" w:val="left"/>
        </w:tabs>
        <w:bidi w:val="0"/>
        <w:spacing w:before="0" w:after="0" w:line="467" w:lineRule="exact"/>
        <w:ind w:left="0" w:right="0" w:firstLine="440"/>
        <w:jc w:val="both"/>
      </w:pPr>
      <w:bookmarkStart w:id="800" w:name="bookmark800"/>
      <w:r>
        <w:rPr>
          <w:color w:val="000000"/>
          <w:spacing w:val="0"/>
          <w:w w:val="100"/>
          <w:position w:val="0"/>
        </w:rPr>
        <w:t>（</w:t>
      </w:r>
      <w:bookmarkEnd w:id="800"/>
      <w:r>
        <w:rPr>
          <w:color w:val="000000"/>
          <w:spacing w:val="0"/>
          <w:w w:val="100"/>
          <w:position w:val="0"/>
        </w:rPr>
        <w:t>1）</w:t>
        <w:tab/>
        <w:t>增加子公司或业务</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在报告期内，因同一控制下企业合并增加子公司或业务的，将子公司或业务合并当期期初至报告期末 的经营成果和现金流量纳入合并财务报表，同时对合并财务报表的期初数和比较报表的相关项目进行调 整，视同合并后的报告主体自最终控制方开始控制时点起一直存在。</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因追加投资等原因能够对同一控制下的被投资方实施控制的，在取得被合并方控制权之前持有的股权 投资，在取得原股权之日与合并方和被合并方同处于同一控制之日孰晚日起至合并日之间已确认有关损 益、其他综合收益以及其他净资产变动，分别冲减比较报表期间的期初留存收益或当期损益。</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在报告期内，因非同一控制下企业合并增加子公司或业务的，以购买日确定的各项可辨认资产、负债 及或有负债的公允价值为基础自购买日起纳入合并财务报表。</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因追加投资等原因能够对非同一控制下的被投资方实施控制的，对于购买日之前持有的被购买方的股 权，按照该股权在购买日的公允价值进行重新计量，公允价值与其账面价值的差额计入当期投资收益。购 买日之前持有的被购买方的股权涉及的以后可重分类进损益的其他综合收益、权益法核算下的其他所有者 权益变动转为购买日所属当期投资收益。</w:t>
      </w:r>
    </w:p>
    <w:p>
      <w:pPr>
        <w:pStyle w:val="Style10"/>
        <w:keepNext w:val="0"/>
        <w:keepLines w:val="0"/>
        <w:widowControl w:val="0"/>
        <w:shd w:val="clear" w:color="auto" w:fill="auto"/>
        <w:tabs>
          <w:tab w:pos="923" w:val="left"/>
        </w:tabs>
        <w:bidi w:val="0"/>
        <w:spacing w:before="0" w:after="0" w:line="467" w:lineRule="exact"/>
        <w:ind w:left="0" w:right="0" w:firstLine="440"/>
        <w:jc w:val="both"/>
      </w:pPr>
      <w:bookmarkStart w:id="801" w:name="bookmark801"/>
      <w:r>
        <w:rPr>
          <w:color w:val="000000"/>
          <w:spacing w:val="0"/>
          <w:w w:val="100"/>
          <w:position w:val="0"/>
        </w:rPr>
        <w:t>（</w:t>
      </w:r>
      <w:bookmarkEnd w:id="801"/>
      <w:r>
        <w:rPr>
          <w:color w:val="000000"/>
          <w:spacing w:val="0"/>
          <w:w w:val="100"/>
          <w:position w:val="0"/>
        </w:rPr>
        <w:t>2）</w:t>
        <w:tab/>
        <w:t>处置子公司</w:t>
      </w:r>
    </w:p>
    <w:p>
      <w:pPr>
        <w:pStyle w:val="Style10"/>
        <w:keepNext w:val="0"/>
        <w:keepLines w:val="0"/>
        <w:widowControl w:val="0"/>
        <w:numPr>
          <w:ilvl w:val="0"/>
          <w:numId w:val="17"/>
        </w:numPr>
        <w:shd w:val="clear" w:color="auto" w:fill="auto"/>
        <w:tabs>
          <w:tab w:pos="832" w:val="left"/>
        </w:tabs>
        <w:bidi w:val="0"/>
        <w:spacing w:before="0" w:after="0" w:line="467" w:lineRule="exact"/>
        <w:ind w:left="0" w:right="0" w:firstLine="440"/>
        <w:jc w:val="both"/>
      </w:pPr>
      <w:bookmarkStart w:id="802" w:name="bookmark802"/>
      <w:bookmarkEnd w:id="802"/>
      <w:r>
        <w:rPr>
          <w:color w:val="000000"/>
          <w:spacing w:val="0"/>
          <w:w w:val="100"/>
          <w:position w:val="0"/>
        </w:rPr>
        <w:t>一般处理方法</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因处置部分股权投资或其他原因丧失了对被投资方控制权时，对于处置后的剩余股权投资，按照其在 丧失控制权日的公允价值进行重新计量。处置股权取得的对价与剩余股权公允价值之和，减去按原持股比 例计算应享有原有子公司自购买日或合并日开始持续计算的净资产的份额与商誉之和的差额，计入丧失控 制权当期的投资收益。与原有子公司股权投资相关的以后可重分类进损益的其他综合收益、权益法核算下 的其他所有者权益变动，在丧失控制权时转为当期投资收益。</w:t>
      </w:r>
    </w:p>
    <w:p>
      <w:pPr>
        <w:pStyle w:val="Style10"/>
        <w:keepNext w:val="0"/>
        <w:keepLines w:val="0"/>
        <w:widowControl w:val="0"/>
        <w:numPr>
          <w:ilvl w:val="0"/>
          <w:numId w:val="17"/>
        </w:numPr>
        <w:shd w:val="clear" w:color="auto" w:fill="auto"/>
        <w:tabs>
          <w:tab w:pos="837" w:val="left"/>
        </w:tabs>
        <w:bidi w:val="0"/>
        <w:spacing w:before="0" w:after="0" w:line="467" w:lineRule="exact"/>
        <w:ind w:left="0" w:right="0" w:firstLine="440"/>
        <w:jc w:val="both"/>
      </w:pPr>
      <w:bookmarkStart w:id="803" w:name="bookmark803"/>
      <w:bookmarkEnd w:id="803"/>
      <w:r>
        <w:rPr>
          <w:color w:val="000000"/>
          <w:spacing w:val="0"/>
          <w:w w:val="100"/>
          <w:position w:val="0"/>
        </w:rPr>
        <w:t>分步处置子公司</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款、条件以及经济影响符合以下一种或多种情况，通常表明该多次交易事项为一揽子交易：</w:t>
      </w:r>
    </w:p>
    <w:p>
      <w:pPr>
        <w:pStyle w:val="Style10"/>
        <w:keepNext w:val="0"/>
        <w:keepLines w:val="0"/>
        <w:widowControl w:val="0"/>
        <w:numPr>
          <w:ilvl w:val="0"/>
          <w:numId w:val="19"/>
        </w:numPr>
        <w:shd w:val="clear" w:color="auto" w:fill="auto"/>
        <w:tabs>
          <w:tab w:pos="827" w:val="left"/>
        </w:tabs>
        <w:bidi w:val="0"/>
        <w:spacing w:before="0" w:after="0" w:line="467" w:lineRule="exact"/>
        <w:ind w:left="0" w:right="0" w:firstLine="440"/>
        <w:jc w:val="left"/>
      </w:pPr>
      <w:bookmarkStart w:id="804" w:name="bookmark804"/>
      <w:bookmarkEnd w:id="804"/>
      <w:r>
        <w:rPr>
          <w:color w:val="000000"/>
          <w:spacing w:val="0"/>
          <w:w w:val="100"/>
          <w:position w:val="0"/>
        </w:rPr>
        <w:t>这些交易是同时或者在考虑了彼此影响的情况下订立的；</w:t>
      </w:r>
    </w:p>
    <w:p>
      <w:pPr>
        <w:pStyle w:val="Style10"/>
        <w:keepNext w:val="0"/>
        <w:keepLines w:val="0"/>
        <w:widowControl w:val="0"/>
        <w:numPr>
          <w:ilvl w:val="0"/>
          <w:numId w:val="19"/>
        </w:numPr>
        <w:shd w:val="clear" w:color="auto" w:fill="auto"/>
        <w:tabs>
          <w:tab w:pos="861" w:val="left"/>
        </w:tabs>
        <w:bidi w:val="0"/>
        <w:spacing w:before="0" w:after="0" w:line="467" w:lineRule="exact"/>
        <w:ind w:left="0" w:right="0" w:firstLine="440"/>
        <w:jc w:val="both"/>
      </w:pPr>
      <w:bookmarkStart w:id="805" w:name="bookmark805"/>
      <w:bookmarkEnd w:id="805"/>
      <w:r>
        <w:rPr>
          <w:color w:val="000000"/>
          <w:spacing w:val="0"/>
          <w:w w:val="100"/>
          <w:position w:val="0"/>
        </w:rPr>
        <w:t>这些交易整体才能达成一项完整的商业结果；</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m. </w:t>
      </w:r>
      <w:r>
        <w:rPr>
          <w:color w:val="000000"/>
          <w:spacing w:val="0"/>
          <w:w w:val="100"/>
          <w:position w:val="0"/>
        </w:rPr>
        <w:t>一项交易的发生取决于其他至少一项交易的发生；</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各项交易属于一揽子交易的，将各项交易作为一项处置子公司并丧失控制权的交易进行会计处理；在 </w:t>
      </w:r>
      <w:r>
        <w:rPr>
          <w:color w:val="000000"/>
          <w:spacing w:val="0"/>
          <w:w w:val="100"/>
          <w:position w:val="0"/>
        </w:rPr>
        <w:t>丧失控制权之前每一次处置价款与处置投资对应的享有该子公司净资产份额的差额，在合并财务报表中确 认为其他综合收益，在丧失控制权时一并转入丧失控制权当期的损益。</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各项交易不属于一揽子交易的，在丧失控制权之前，按不丧失控制权的情况下部分处置对子公司的股 权投资进行会计处理；在丧失控制权时，按处置子公司一般处理方法进行会计处理。</w:t>
      </w:r>
    </w:p>
    <w:p>
      <w:pPr>
        <w:pStyle w:val="Style10"/>
        <w:keepNext w:val="0"/>
        <w:keepLines w:val="0"/>
        <w:widowControl w:val="0"/>
        <w:shd w:val="clear" w:color="auto" w:fill="auto"/>
        <w:tabs>
          <w:tab w:pos="923" w:val="left"/>
        </w:tabs>
        <w:bidi w:val="0"/>
        <w:spacing w:before="0" w:after="0" w:line="469" w:lineRule="exact"/>
        <w:ind w:left="0" w:right="0" w:firstLine="440"/>
        <w:jc w:val="both"/>
      </w:pPr>
      <w:bookmarkStart w:id="806" w:name="bookmark806"/>
      <w:r>
        <w:rPr>
          <w:color w:val="000000"/>
          <w:spacing w:val="0"/>
          <w:w w:val="100"/>
          <w:position w:val="0"/>
        </w:rPr>
        <w:t>（</w:t>
      </w:r>
      <w:bookmarkEnd w:id="806"/>
      <w:r>
        <w:rPr>
          <w:color w:val="000000"/>
          <w:spacing w:val="0"/>
          <w:w w:val="100"/>
          <w:position w:val="0"/>
        </w:rPr>
        <w:t>3）</w:t>
        <w:tab/>
        <w:t>购买子公司少数股权</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因购买少数股权新取得的长期股权投资与按照新增持股比例计算应享有子公司自购买日或合并日开 始持续计算的净资产份额之间的差额，调整合并资产负债表中的资本公积中的股本溢价，资本公积中的股 本溢价不足冲减的，调整留存收益。</w:t>
      </w:r>
    </w:p>
    <w:p>
      <w:pPr>
        <w:pStyle w:val="Style10"/>
        <w:keepNext w:val="0"/>
        <w:keepLines w:val="0"/>
        <w:widowControl w:val="0"/>
        <w:shd w:val="clear" w:color="auto" w:fill="auto"/>
        <w:tabs>
          <w:tab w:pos="923" w:val="left"/>
        </w:tabs>
        <w:bidi w:val="0"/>
        <w:spacing w:before="0" w:after="0" w:line="469" w:lineRule="exact"/>
        <w:ind w:left="0" w:right="0" w:firstLine="440"/>
        <w:jc w:val="left"/>
      </w:pPr>
      <w:bookmarkStart w:id="807" w:name="bookmark807"/>
      <w:r>
        <w:rPr>
          <w:color w:val="000000"/>
          <w:spacing w:val="0"/>
          <w:w w:val="100"/>
          <w:position w:val="0"/>
        </w:rPr>
        <w:t>（</w:t>
      </w:r>
      <w:bookmarkEnd w:id="807"/>
      <w:r>
        <w:rPr>
          <w:color w:val="000000"/>
          <w:spacing w:val="0"/>
          <w:w w:val="100"/>
          <w:position w:val="0"/>
        </w:rPr>
        <w:t>4）</w:t>
        <w:tab/>
        <w:t>不丧失控制权的情况下部分处置对子公司的股权投资</w:t>
      </w:r>
    </w:p>
    <w:p>
      <w:pPr>
        <w:pStyle w:val="Style10"/>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处置价款与处置长期股权投资相对应享有子公司自购买日或合并日开始持续计算的净资产份额之间 的差额，调整合并资产负债表中的资本公积中的股本溢价，资本公积中的股本溢价不足冲减的，调整留存 收益。</w:t>
      </w:r>
    </w:p>
    <w:p>
      <w:pPr>
        <w:pStyle w:val="Style28"/>
        <w:keepNext/>
        <w:keepLines/>
        <w:widowControl w:val="0"/>
        <w:shd w:val="clear" w:color="auto" w:fill="auto"/>
        <w:tabs>
          <w:tab w:pos="373" w:val="left"/>
        </w:tabs>
        <w:bidi w:val="0"/>
        <w:spacing w:before="0" w:after="0" w:line="48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7</w:t>
      </w:r>
      <w:bookmarkEnd w:id="810"/>
      <w:r>
        <w:rPr>
          <w:color w:val="000000"/>
          <w:spacing w:val="0"/>
          <w:w w:val="100"/>
          <w:position w:val="0"/>
        </w:rPr>
        <w:t>、</w:t>
        <w:tab/>
        <w:t>合营安排分类及共同经营会计处理方法</w:t>
      </w:r>
      <w:bookmarkEnd w:id="808"/>
      <w:bookmarkEnd w:id="809"/>
      <w:bookmarkEnd w:id="811"/>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合营安排分为共同经营和合营企业。</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共同经营，是指合营方享有该安排相关资产且承担该安排相关负债的合营安排。</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本公司确认与共同经营中利益份额相关的下列项目：</w:t>
      </w:r>
    </w:p>
    <w:p>
      <w:pPr>
        <w:pStyle w:val="Style10"/>
        <w:keepNext w:val="0"/>
        <w:keepLines w:val="0"/>
        <w:widowControl w:val="0"/>
        <w:shd w:val="clear" w:color="auto" w:fill="auto"/>
        <w:tabs>
          <w:tab w:pos="923" w:val="left"/>
        </w:tabs>
        <w:bidi w:val="0"/>
        <w:spacing w:before="0" w:after="0" w:line="469" w:lineRule="exact"/>
        <w:ind w:left="0" w:right="0" w:firstLine="440"/>
        <w:jc w:val="both"/>
      </w:pPr>
      <w:bookmarkStart w:id="812" w:name="bookmark812"/>
      <w:r>
        <w:rPr>
          <w:color w:val="000000"/>
          <w:spacing w:val="0"/>
          <w:w w:val="100"/>
          <w:position w:val="0"/>
        </w:rPr>
        <w:t>（</w:t>
      </w:r>
      <w:bookmarkEnd w:id="812"/>
      <w:r>
        <w:rPr>
          <w:color w:val="000000"/>
          <w:spacing w:val="0"/>
          <w:w w:val="100"/>
          <w:position w:val="0"/>
        </w:rPr>
        <w:t>1）</w:t>
        <w:tab/>
        <w:t>确认本公司单独所持有的资产，以及按本公司份额确认共同持有的资产；</w:t>
      </w:r>
    </w:p>
    <w:p>
      <w:pPr>
        <w:pStyle w:val="Style10"/>
        <w:keepNext w:val="0"/>
        <w:keepLines w:val="0"/>
        <w:widowControl w:val="0"/>
        <w:shd w:val="clear" w:color="auto" w:fill="auto"/>
        <w:tabs>
          <w:tab w:pos="923" w:val="left"/>
        </w:tabs>
        <w:bidi w:val="0"/>
        <w:spacing w:before="0" w:after="0" w:line="469" w:lineRule="exact"/>
        <w:ind w:left="0" w:right="0" w:firstLine="440"/>
        <w:jc w:val="both"/>
      </w:pPr>
      <w:bookmarkStart w:id="813" w:name="bookmark813"/>
      <w:r>
        <w:rPr>
          <w:color w:val="000000"/>
          <w:spacing w:val="0"/>
          <w:w w:val="100"/>
          <w:position w:val="0"/>
        </w:rPr>
        <w:t>（</w:t>
      </w:r>
      <w:bookmarkEnd w:id="813"/>
      <w:r>
        <w:rPr>
          <w:color w:val="000000"/>
          <w:spacing w:val="0"/>
          <w:w w:val="100"/>
          <w:position w:val="0"/>
        </w:rPr>
        <w:t>2）</w:t>
        <w:tab/>
        <w:t>确认本公司单独所承担的负债，以及按本公司份额确认共同承担的负债；</w:t>
      </w:r>
    </w:p>
    <w:p>
      <w:pPr>
        <w:pStyle w:val="Style10"/>
        <w:keepNext w:val="0"/>
        <w:keepLines w:val="0"/>
        <w:widowControl w:val="0"/>
        <w:shd w:val="clear" w:color="auto" w:fill="auto"/>
        <w:tabs>
          <w:tab w:pos="923" w:val="left"/>
        </w:tabs>
        <w:bidi w:val="0"/>
        <w:spacing w:before="0" w:after="0" w:line="469" w:lineRule="exact"/>
        <w:ind w:left="0" w:right="0" w:firstLine="440"/>
        <w:jc w:val="both"/>
      </w:pPr>
      <w:bookmarkStart w:id="814" w:name="bookmark814"/>
      <w:r>
        <w:rPr>
          <w:color w:val="000000"/>
          <w:spacing w:val="0"/>
          <w:w w:val="100"/>
          <w:position w:val="0"/>
        </w:rPr>
        <w:t>（</w:t>
      </w:r>
      <w:bookmarkEnd w:id="814"/>
      <w:r>
        <w:rPr>
          <w:color w:val="000000"/>
          <w:spacing w:val="0"/>
          <w:w w:val="100"/>
          <w:position w:val="0"/>
        </w:rPr>
        <w:t>3）</w:t>
        <w:tab/>
        <w:t>确认出售本公司享有的共同经营产出份额所产生的收入；</w:t>
      </w:r>
    </w:p>
    <w:p>
      <w:pPr>
        <w:pStyle w:val="Style10"/>
        <w:keepNext w:val="0"/>
        <w:keepLines w:val="0"/>
        <w:widowControl w:val="0"/>
        <w:shd w:val="clear" w:color="auto" w:fill="auto"/>
        <w:tabs>
          <w:tab w:pos="923" w:val="left"/>
        </w:tabs>
        <w:bidi w:val="0"/>
        <w:spacing w:before="0" w:after="0" w:line="469" w:lineRule="exact"/>
        <w:ind w:left="0" w:right="0" w:firstLine="440"/>
        <w:jc w:val="both"/>
      </w:pPr>
      <w:bookmarkStart w:id="815" w:name="bookmark815"/>
      <w:r>
        <w:rPr>
          <w:color w:val="000000"/>
          <w:spacing w:val="0"/>
          <w:w w:val="100"/>
          <w:position w:val="0"/>
        </w:rPr>
        <w:t>（</w:t>
      </w:r>
      <w:bookmarkEnd w:id="815"/>
      <w:r>
        <w:rPr>
          <w:color w:val="000000"/>
          <w:spacing w:val="0"/>
          <w:w w:val="100"/>
          <w:position w:val="0"/>
        </w:rPr>
        <w:t>4）</w:t>
        <w:tab/>
        <w:t>按本公司份额确认共同经营因出售产出所产生的收入；</w:t>
      </w:r>
    </w:p>
    <w:p>
      <w:pPr>
        <w:pStyle w:val="Style10"/>
        <w:keepNext w:val="0"/>
        <w:keepLines w:val="0"/>
        <w:widowControl w:val="0"/>
        <w:shd w:val="clear" w:color="auto" w:fill="auto"/>
        <w:tabs>
          <w:tab w:pos="923" w:val="left"/>
        </w:tabs>
        <w:bidi w:val="0"/>
        <w:spacing w:before="0" w:after="0" w:line="469" w:lineRule="exact"/>
        <w:ind w:left="0" w:right="0" w:firstLine="440"/>
        <w:jc w:val="both"/>
      </w:pPr>
      <w:bookmarkStart w:id="816" w:name="bookmark816"/>
      <w:r>
        <w:rPr>
          <w:color w:val="000000"/>
          <w:spacing w:val="0"/>
          <w:w w:val="100"/>
          <w:position w:val="0"/>
        </w:rPr>
        <w:t>（</w:t>
      </w:r>
      <w:bookmarkEnd w:id="816"/>
      <w:r>
        <w:rPr>
          <w:color w:val="000000"/>
          <w:spacing w:val="0"/>
          <w:w w:val="100"/>
          <w:position w:val="0"/>
        </w:rPr>
        <w:t>5）</w:t>
        <w:tab/>
        <w:t>确认单独所发生的费用，以及按本公司份额确认共同经营发生的费用。</w:t>
      </w:r>
    </w:p>
    <w:p>
      <w:pPr>
        <w:pStyle w:val="Style10"/>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本公司对合营企业的投资采用权益法核算，详见附注五重要会计政策及会计估计18、长期股权投资</w:t>
      </w:r>
    </w:p>
    <w:p>
      <w:pPr>
        <w:pStyle w:val="Style28"/>
        <w:keepNext/>
        <w:keepLines/>
        <w:widowControl w:val="0"/>
        <w:shd w:val="clear" w:color="auto" w:fill="auto"/>
        <w:tabs>
          <w:tab w:pos="378" w:val="left"/>
        </w:tabs>
        <w:bidi w:val="0"/>
        <w:spacing w:before="0" w:after="0" w:line="48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8</w:t>
      </w:r>
      <w:bookmarkEnd w:id="819"/>
      <w:r>
        <w:rPr>
          <w:color w:val="000000"/>
          <w:spacing w:val="0"/>
          <w:w w:val="100"/>
          <w:position w:val="0"/>
        </w:rPr>
        <w:t>、</w:t>
        <w:tab/>
        <w:t>现金及现金等价物的确定标准</w:t>
      </w:r>
      <w:bookmarkEnd w:id="817"/>
      <w:bookmarkEnd w:id="818"/>
      <w:bookmarkEnd w:id="820"/>
    </w:p>
    <w:p>
      <w:pPr>
        <w:pStyle w:val="Style10"/>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现金，是指本公司的库存现金以及可以随时用于支付的存款。现金等价物，是指本公司持有的期限短、 流动性强、易于转换为已知金额的现金、价值变动风险很小的投资。</w:t>
      </w:r>
    </w:p>
    <w:p>
      <w:pPr>
        <w:pStyle w:val="Style28"/>
        <w:keepNext/>
        <w:keepLines/>
        <w:widowControl w:val="0"/>
        <w:shd w:val="clear" w:color="auto" w:fill="auto"/>
        <w:tabs>
          <w:tab w:pos="378" w:val="left"/>
        </w:tabs>
        <w:bidi w:val="0"/>
        <w:spacing w:before="0" w:after="120" w:line="48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9</w:t>
      </w:r>
      <w:bookmarkEnd w:id="823"/>
      <w:r>
        <w:rPr>
          <w:color w:val="000000"/>
          <w:spacing w:val="0"/>
          <w:w w:val="100"/>
          <w:position w:val="0"/>
        </w:rPr>
        <w:t>、</w:t>
        <w:tab/>
        <w:t>外币业务和外币报表折算</w:t>
      </w:r>
      <w:bookmarkEnd w:id="821"/>
      <w:bookmarkEnd w:id="822"/>
      <w:bookmarkEnd w:id="824"/>
    </w:p>
    <w:p>
      <w:pPr>
        <w:pStyle w:val="Style28"/>
        <w:keepNext/>
        <w:keepLines/>
        <w:widowControl w:val="0"/>
        <w:shd w:val="clear" w:color="auto" w:fill="auto"/>
        <w:bidi w:val="0"/>
        <w:spacing w:before="0" w:after="280" w:line="240" w:lineRule="auto"/>
        <w:ind w:left="0" w:right="0" w:firstLine="440"/>
        <w:jc w:val="both"/>
      </w:pPr>
      <w:bookmarkStart w:id="821" w:name="bookmark821"/>
      <w:bookmarkStart w:id="822" w:name="bookmark822"/>
      <w:bookmarkStart w:id="825" w:name="bookmark825"/>
      <w:r>
        <w:rPr>
          <w:color w:val="000000"/>
          <w:spacing w:val="0"/>
          <w:w w:val="100"/>
          <w:position w:val="0"/>
        </w:rPr>
        <w:t>（</w:t>
      </w:r>
      <w:bookmarkEnd w:id="825"/>
      <w:r>
        <w:rPr>
          <w:color w:val="000000"/>
          <w:spacing w:val="0"/>
          <w:w w:val="100"/>
          <w:position w:val="0"/>
        </w:rPr>
        <w:t>1）外币业务</w:t>
      </w:r>
      <w:bookmarkEnd w:id="821"/>
      <w:bookmarkEnd w:id="822"/>
    </w:p>
    <w:p>
      <w:pPr>
        <w:pStyle w:val="Style10"/>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外币业务采用交易发生日的即期汇率作为折算汇率将外币金额折合成人民币记账。资产负债表日外币 货币性项目余额按资产负债表日即期汇率折算，由此产生的汇兑差额，除属于与购建符合资本化条件的资 产相关的外币专门借款产生的汇兑差额按照借款费用资本化的原则处理外，均计入当期损益。</w:t>
      </w:r>
    </w:p>
    <w:p>
      <w:pPr>
        <w:pStyle w:val="Style10"/>
        <w:keepNext w:val="0"/>
        <w:keepLines w:val="0"/>
        <w:widowControl w:val="0"/>
        <w:shd w:val="clear" w:color="auto" w:fill="auto"/>
        <w:bidi w:val="0"/>
        <w:spacing w:before="0" w:after="0" w:line="240" w:lineRule="auto"/>
        <w:ind w:left="0" w:right="0" w:firstLine="440"/>
        <w:jc w:val="both"/>
      </w:pPr>
      <w:bookmarkStart w:id="826" w:name="bookmark826"/>
      <w:r>
        <w:rPr>
          <w:b/>
          <w:bCs/>
          <w:color w:val="000000"/>
          <w:spacing w:val="0"/>
          <w:w w:val="100"/>
          <w:position w:val="0"/>
        </w:rPr>
        <w:t>（</w:t>
      </w:r>
      <w:bookmarkEnd w:id="826"/>
      <w:r>
        <w:rPr>
          <w:b/>
          <w:bCs/>
          <w:color w:val="000000"/>
          <w:spacing w:val="0"/>
          <w:w w:val="100"/>
          <w:position w:val="0"/>
        </w:rPr>
        <w:t>2）外币财务报表的折算</w:t>
      </w:r>
    </w:p>
    <w:p>
      <w:pPr>
        <w:pStyle w:val="Style10"/>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汇率折算。处置境外经营时，将与该境外经营相关的外币财务报表折算差额，自所有者权益项目转入处置 当期损益。</w:t>
      </w:r>
    </w:p>
    <w:p>
      <w:pPr>
        <w:pStyle w:val="Style28"/>
        <w:keepNext/>
        <w:keepLines/>
        <w:widowControl w:val="0"/>
        <w:shd w:val="clear" w:color="auto" w:fill="auto"/>
        <w:bidi w:val="0"/>
        <w:spacing w:before="0" w:after="220" w:line="480" w:lineRule="auto"/>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27"/>
      <w:bookmarkEnd w:id="828"/>
      <w:bookmarkEnd w:id="830"/>
    </w:p>
    <w:p>
      <w:pPr>
        <w:pStyle w:val="Style10"/>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本公司在成为金融工具合同的一方时，确认一项金融资产、金融负债或权益工具。</w:t>
      </w:r>
    </w:p>
    <w:p>
      <w:pPr>
        <w:pStyle w:val="Style10"/>
        <w:keepNext w:val="0"/>
        <w:keepLines w:val="0"/>
        <w:widowControl w:val="0"/>
        <w:shd w:val="clear" w:color="auto" w:fill="auto"/>
        <w:bidi w:val="0"/>
        <w:spacing w:before="0" w:after="0" w:line="240" w:lineRule="auto"/>
        <w:ind w:left="0" w:right="0" w:firstLine="440"/>
        <w:jc w:val="both"/>
      </w:pPr>
      <w:bookmarkStart w:id="831" w:name="bookmark831"/>
      <w:r>
        <w:rPr>
          <w:b/>
          <w:bCs/>
          <w:color w:val="000000"/>
          <w:spacing w:val="0"/>
          <w:w w:val="100"/>
          <w:position w:val="0"/>
        </w:rPr>
        <w:t>（</w:t>
      </w:r>
      <w:bookmarkEnd w:id="831"/>
      <w:r>
        <w:rPr>
          <w:b/>
          <w:bCs/>
          <w:color w:val="000000"/>
          <w:spacing w:val="0"/>
          <w:w w:val="100"/>
          <w:position w:val="0"/>
        </w:rPr>
        <w:t>1）金融工具的分类</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根据本公司管理金融资产的业务模式和金融资产的合同现金流量特征，金融资产于初始确认时分类 为：以摊余成本计量的金融资产、以公允价值计量且其变动计入其他综合收益的金融资产和以公允价值计 量且其变动计入当期损益的金融资产。</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本公司将同时符合下列条件且未被指定为以公允价值计量且其变动计入当期损益的金融资产，分类为 以摊余成本计量的金融资产：</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—业务模式是以收取合同现金流量为目标；</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—合同现金流量仅为对本金和以未偿付本金金额为基础的利息的支付。</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本公司将同时符合下列条件且未被指定为以公允价值计量且其变动计入当期损益的金融资产，分类为 以公允价值计量且其变动计入其他综合收益的金融资产（债务工具）：</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—业务模式既以收取合同现金流量又以出售该金融资产为目标；</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—合同现金流量仅为对本金和以未偿付本金金额为基础的利息的支付。</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对于非交易性权益工具投资，本公司可以在初始确认时将其不可撤销地指定为以公允价值计量且其变 动计入其他综合收益的金融资产（权益工具）。该指定在单项投资的基础上作出，且相关投资从发行者的 角度符合权益工具的定义。</w:t>
      </w:r>
    </w:p>
    <w:p>
      <w:pPr>
        <w:pStyle w:val="Style10"/>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除上述以摊余成本计量和以公允价值计量且其变动计入其他综合收益的金融资产外，本公司将其余所 有的金融资产分类为以公允价值计量且其变动计入当期损益的金融资产。在初始确认时，如果能够消除或 显著减少会计错配，本公司可以将本应分类为摊余成本计量或以公允价值计量且其变动计入其他综合收益 的金融资产不可撤销地指定为以公允价值计量且其变动计入当期损益的金融资产。</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金融负债于初始确认时分类为：以公允价值计量且其变动计入当期损益的金融负债和以摊余成本计量 的金融负债。</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p>
    <w:p>
      <w:pPr>
        <w:pStyle w:val="Style10"/>
        <w:keepNext w:val="0"/>
        <w:keepLines w:val="0"/>
        <w:widowControl w:val="0"/>
        <w:shd w:val="clear" w:color="auto" w:fill="auto"/>
        <w:tabs>
          <w:tab w:pos="813" w:val="left"/>
        </w:tabs>
        <w:bidi w:val="0"/>
        <w:spacing w:before="0" w:after="0" w:line="469" w:lineRule="exact"/>
        <w:ind w:left="0" w:right="0" w:firstLine="440"/>
        <w:jc w:val="both"/>
      </w:pPr>
      <w:bookmarkStart w:id="832" w:name="bookmark832"/>
      <w:r>
        <w:rPr>
          <w:color w:val="000000"/>
          <w:spacing w:val="0"/>
          <w:w w:val="100"/>
          <w:position w:val="0"/>
        </w:rPr>
        <w:t>1</w:t>
      </w:r>
      <w:bookmarkEnd w:id="832"/>
      <w:r>
        <w:rPr>
          <w:color w:val="000000"/>
          <w:spacing w:val="0"/>
          <w:w w:val="100"/>
          <w:position w:val="0"/>
        </w:rPr>
        <w:t>）</w:t>
        <w:tab/>
        <w:t>该项指定能够消除或显著减少会计错配。</w:t>
      </w:r>
    </w:p>
    <w:p>
      <w:pPr>
        <w:pStyle w:val="Style10"/>
        <w:keepNext w:val="0"/>
        <w:keepLines w:val="0"/>
        <w:widowControl w:val="0"/>
        <w:shd w:val="clear" w:color="auto" w:fill="auto"/>
        <w:tabs>
          <w:tab w:pos="810" w:val="left"/>
        </w:tabs>
        <w:bidi w:val="0"/>
        <w:spacing w:before="0" w:after="0" w:line="469" w:lineRule="exact"/>
        <w:ind w:left="0" w:right="0" w:firstLine="440"/>
        <w:jc w:val="both"/>
      </w:pPr>
      <w:bookmarkStart w:id="833" w:name="bookmark833"/>
      <w:r>
        <w:rPr>
          <w:color w:val="000000"/>
          <w:spacing w:val="0"/>
          <w:w w:val="100"/>
          <w:position w:val="0"/>
        </w:rPr>
        <w:t>2</w:t>
      </w:r>
      <w:bookmarkEnd w:id="833"/>
      <w:r>
        <w:rPr>
          <w:color w:val="000000"/>
          <w:spacing w:val="0"/>
          <w:w w:val="100"/>
          <w:position w:val="0"/>
        </w:rPr>
        <w:t>）</w:t>
        <w:tab/>
        <w:t>根据正式书面文件载明的企业风险管理或投资策略，以公允价值为基础对金融负债组合或金融资 产和金融负债组合进行管理和业绩评价，并在企业内部以此为基础向关键管理人员报告。</w:t>
      </w:r>
    </w:p>
    <w:p>
      <w:pPr>
        <w:pStyle w:val="Style10"/>
        <w:keepNext w:val="0"/>
        <w:keepLines w:val="0"/>
        <w:widowControl w:val="0"/>
        <w:shd w:val="clear" w:color="auto" w:fill="auto"/>
        <w:tabs>
          <w:tab w:pos="832" w:val="left"/>
        </w:tabs>
        <w:bidi w:val="0"/>
        <w:spacing w:before="0" w:after="0" w:line="469" w:lineRule="exact"/>
        <w:ind w:left="0" w:right="0" w:firstLine="440"/>
        <w:jc w:val="both"/>
      </w:pPr>
      <w:bookmarkStart w:id="834" w:name="bookmark834"/>
      <w:r>
        <w:rPr>
          <w:color w:val="000000"/>
          <w:spacing w:val="0"/>
          <w:w w:val="100"/>
          <w:position w:val="0"/>
        </w:rPr>
        <w:t>3</w:t>
      </w:r>
      <w:bookmarkEnd w:id="834"/>
      <w:r>
        <w:rPr>
          <w:color w:val="000000"/>
          <w:spacing w:val="0"/>
          <w:w w:val="100"/>
          <w:position w:val="0"/>
        </w:rPr>
        <w:t>）</w:t>
        <w:tab/>
        <w:t>该金融负债包含需单独分拆的嵌入衍生工具。</w:t>
      </w:r>
    </w:p>
    <w:p>
      <w:pPr>
        <w:pStyle w:val="Style10"/>
        <w:keepNext w:val="0"/>
        <w:keepLines w:val="0"/>
        <w:widowControl w:val="0"/>
        <w:shd w:val="clear" w:color="auto" w:fill="auto"/>
        <w:bidi w:val="0"/>
        <w:spacing w:before="0" w:after="0" w:line="469" w:lineRule="exact"/>
        <w:ind w:left="0" w:right="0" w:firstLine="440"/>
        <w:jc w:val="both"/>
      </w:pPr>
      <w:bookmarkStart w:id="835" w:name="bookmark835"/>
      <w:r>
        <w:rPr>
          <w:b/>
          <w:bCs/>
          <w:color w:val="000000"/>
          <w:spacing w:val="0"/>
          <w:w w:val="100"/>
          <w:position w:val="0"/>
        </w:rPr>
        <w:t>（</w:t>
      </w:r>
      <w:bookmarkEnd w:id="835"/>
      <w:r>
        <w:rPr>
          <w:b/>
          <w:bCs/>
          <w:color w:val="000000"/>
          <w:spacing w:val="0"/>
          <w:w w:val="100"/>
          <w:position w:val="0"/>
        </w:rPr>
        <w:t>2）金融工具的确认依据和计量方法</w:t>
      </w:r>
    </w:p>
    <w:p>
      <w:pPr>
        <w:pStyle w:val="Style10"/>
        <w:keepNext w:val="0"/>
        <w:keepLines w:val="0"/>
        <w:widowControl w:val="0"/>
        <w:shd w:val="clear" w:color="auto" w:fill="auto"/>
        <w:tabs>
          <w:tab w:pos="813" w:val="left"/>
        </w:tabs>
        <w:bidi w:val="0"/>
        <w:spacing w:before="0" w:after="0" w:line="469" w:lineRule="exact"/>
        <w:ind w:left="0" w:right="0" w:firstLine="440"/>
        <w:jc w:val="both"/>
      </w:pPr>
      <w:bookmarkStart w:id="836" w:name="bookmark836"/>
      <w:r>
        <w:rPr>
          <w:color w:val="000000"/>
          <w:spacing w:val="0"/>
          <w:w w:val="100"/>
          <w:position w:val="0"/>
        </w:rPr>
        <w:t>1</w:t>
      </w:r>
      <w:bookmarkEnd w:id="836"/>
      <w:r>
        <w:rPr>
          <w:color w:val="000000"/>
          <w:spacing w:val="0"/>
          <w:w w:val="100"/>
          <w:position w:val="0"/>
        </w:rPr>
        <w:t>）</w:t>
        <w:tab/>
        <w:t>以摊余成本计量的金融资产</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以摊余成本计量的金融资产包括应收票据、应收账款、其他应收款、长期应收款、债权投资等，按公 允价值进行初始计量，相关交易费用计入初始确认金额；不包含重大融资成分的应收账款以及本公司决定 不考虑不超过一年的融资成分的应收账款，以合同交易价格进行初始计量。</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持有期间采用实际利率法计算的利息计入当期损益。</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收回或处置时，将取得的价款与该金融资产账面价值之间的差额计入当期损益。</w:t>
      </w:r>
    </w:p>
    <w:p>
      <w:pPr>
        <w:pStyle w:val="Style10"/>
        <w:keepNext w:val="0"/>
        <w:keepLines w:val="0"/>
        <w:widowControl w:val="0"/>
        <w:shd w:val="clear" w:color="auto" w:fill="auto"/>
        <w:tabs>
          <w:tab w:pos="827" w:val="left"/>
        </w:tabs>
        <w:bidi w:val="0"/>
        <w:spacing w:before="0" w:after="0" w:line="469" w:lineRule="exact"/>
        <w:ind w:left="0" w:right="0" w:firstLine="440"/>
        <w:jc w:val="both"/>
      </w:pPr>
      <w:bookmarkStart w:id="837" w:name="bookmark837"/>
      <w:r>
        <w:rPr>
          <w:color w:val="000000"/>
          <w:spacing w:val="0"/>
          <w:w w:val="100"/>
          <w:position w:val="0"/>
        </w:rPr>
        <w:t>2</w:t>
      </w:r>
      <w:bookmarkEnd w:id="837"/>
      <w:r>
        <w:rPr>
          <w:color w:val="000000"/>
          <w:spacing w:val="0"/>
          <w:w w:val="100"/>
          <w:position w:val="0"/>
        </w:rPr>
        <w:t>）</w:t>
        <w:tab/>
        <w:t>以公允价值计量且其变动计入其他综合收益的金融资产（债务工具）</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以公允价值计量且其变动计入其他综合收益的金融资产（债务工具）包括应收款项融资、其他债权投 资等，按公允价值进行初始计量，相关交易费用计入初始确认金额。该金融资产按公允价值进行后续计量， 公允价值变动除采用实际利率法计算的利息、减值损失或利得和汇兑损益之外，均计入其他综合收益。</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终止确认时，之前计入其他综合收益的累计利得或损失从其他综合收益中转出，计入当期损益。</w:t>
      </w:r>
    </w:p>
    <w:p>
      <w:pPr>
        <w:pStyle w:val="Style10"/>
        <w:keepNext w:val="0"/>
        <w:keepLines w:val="0"/>
        <w:widowControl w:val="0"/>
        <w:shd w:val="clear" w:color="auto" w:fill="auto"/>
        <w:tabs>
          <w:tab w:pos="827" w:val="left"/>
        </w:tabs>
        <w:bidi w:val="0"/>
        <w:spacing w:before="0" w:after="0" w:line="469" w:lineRule="exact"/>
        <w:ind w:left="0" w:right="0" w:firstLine="440"/>
        <w:jc w:val="both"/>
      </w:pPr>
      <w:bookmarkStart w:id="838" w:name="bookmark838"/>
      <w:r>
        <w:rPr>
          <w:color w:val="000000"/>
          <w:spacing w:val="0"/>
          <w:w w:val="100"/>
          <w:position w:val="0"/>
        </w:rPr>
        <w:t>3</w:t>
      </w:r>
      <w:bookmarkEnd w:id="838"/>
      <w:r>
        <w:rPr>
          <w:color w:val="000000"/>
          <w:spacing w:val="0"/>
          <w:w w:val="100"/>
          <w:position w:val="0"/>
        </w:rPr>
        <w:t>）</w:t>
        <w:tab/>
        <w:t>以公允价值计量且其变动计入其他综合收益的金融资产（权益工具）</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以公允价值计量且其变动计入其他综合收益的金融资产（权益工具）包括其他权益工具投资等，按公 允价值进行初始计量，相关交易费用计入初始确认金额。该金融资产按公允价值进行后续计量，公允价值 变动计入其他综合收益。取得的股利计入当期损益。</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终止确认时，之前计入其他综合收益的累计利得或损失从其他综合收益中转出，计入留存收益。</w:t>
      </w:r>
    </w:p>
    <w:p>
      <w:pPr>
        <w:pStyle w:val="Style10"/>
        <w:keepNext w:val="0"/>
        <w:keepLines w:val="0"/>
        <w:widowControl w:val="0"/>
        <w:shd w:val="clear" w:color="auto" w:fill="auto"/>
        <w:tabs>
          <w:tab w:pos="827" w:val="left"/>
        </w:tabs>
        <w:bidi w:val="0"/>
        <w:spacing w:before="0" w:after="0" w:line="469" w:lineRule="exact"/>
        <w:ind w:left="0" w:right="0" w:firstLine="440"/>
        <w:jc w:val="both"/>
      </w:pPr>
      <w:bookmarkStart w:id="839" w:name="bookmark839"/>
      <w:r>
        <w:rPr>
          <w:color w:val="000000"/>
          <w:spacing w:val="0"/>
          <w:w w:val="100"/>
          <w:position w:val="0"/>
        </w:rPr>
        <w:t>4</w:t>
      </w:r>
      <w:bookmarkEnd w:id="839"/>
      <w:r>
        <w:rPr>
          <w:color w:val="000000"/>
          <w:spacing w:val="0"/>
          <w:w w:val="100"/>
          <w:position w:val="0"/>
        </w:rPr>
        <w:t>）</w:t>
        <w:tab/>
        <w:t>以公允价值计量且其变动计入当期损益的金融资产</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10"/>
        <w:keepNext w:val="0"/>
        <w:keepLines w:val="0"/>
        <w:widowControl w:val="0"/>
        <w:shd w:val="clear" w:color="auto" w:fill="auto"/>
        <w:tabs>
          <w:tab w:pos="827" w:val="left"/>
        </w:tabs>
        <w:bidi w:val="0"/>
        <w:spacing w:before="0" w:after="0" w:line="469" w:lineRule="exact"/>
        <w:ind w:left="0" w:right="0" w:firstLine="440"/>
        <w:jc w:val="both"/>
      </w:pPr>
      <w:bookmarkStart w:id="840" w:name="bookmark840"/>
      <w:r>
        <w:rPr>
          <w:color w:val="000000"/>
          <w:spacing w:val="0"/>
          <w:w w:val="100"/>
          <w:position w:val="0"/>
        </w:rPr>
        <w:t>5</w:t>
      </w:r>
      <w:bookmarkEnd w:id="840"/>
      <w:r>
        <w:rPr>
          <w:color w:val="000000"/>
          <w:spacing w:val="0"/>
          <w:w w:val="100"/>
          <w:position w:val="0"/>
        </w:rPr>
        <w:t>）</w:t>
        <w:tab/>
        <w:t>以公允价值计量且其变动计入当期损益的金融负债</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以公允价值计量且其变动计入当期损益的金融负债包括交易性金融负债、衍生金融负债等，按公允价 值进行初始计量，相关交易费用计入当期损益。该金融负债按公允价值进行后续计量，公允价值变动计入 当期损益。</w:t>
      </w:r>
    </w:p>
    <w:p>
      <w:pPr>
        <w:pStyle w:val="Style1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终止确认时，其账面价值与支付的对价之间的差额计入当期损益。</w:t>
      </w:r>
    </w:p>
    <w:p>
      <w:pPr>
        <w:pStyle w:val="Style10"/>
        <w:keepNext w:val="0"/>
        <w:keepLines w:val="0"/>
        <w:widowControl w:val="0"/>
        <w:shd w:val="clear" w:color="auto" w:fill="auto"/>
        <w:bidi w:val="0"/>
        <w:spacing w:before="0" w:after="0" w:line="471" w:lineRule="exact"/>
        <w:ind w:left="0" w:right="0" w:firstLine="440"/>
        <w:jc w:val="both"/>
      </w:pPr>
      <w:bookmarkStart w:id="841" w:name="bookmark841"/>
      <w:r>
        <w:rPr>
          <w:color w:val="000000"/>
          <w:spacing w:val="0"/>
          <w:w w:val="100"/>
          <w:position w:val="0"/>
        </w:rPr>
        <w:t>6</w:t>
      </w:r>
      <w:bookmarkEnd w:id="841"/>
      <w:r>
        <w:rPr>
          <w:color w:val="000000"/>
          <w:spacing w:val="0"/>
          <w:w w:val="100"/>
          <w:position w:val="0"/>
        </w:rPr>
        <w:t>）以摊余成本计量的金融负债</w:t>
      </w:r>
    </w:p>
    <w:p>
      <w:pPr>
        <w:pStyle w:val="Style1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以摊余成本计量的金融负债包括短期借款、应付票据、应付账款、其他应付款、长期借款、应付债券、 长期应付款，按公允价值进行初始计量，相关交易费用计入初始确认金额。</w:t>
      </w:r>
    </w:p>
    <w:p>
      <w:pPr>
        <w:pStyle w:val="Style1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持有期间采用实际利率法计算的利息计入当期损益。</w:t>
      </w:r>
    </w:p>
    <w:p>
      <w:pPr>
        <w:pStyle w:val="Style1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终止确认时，将支付的对价与该金融负债账面价值之间的差额计入当期损益。</w:t>
      </w:r>
    </w:p>
    <w:p>
      <w:pPr>
        <w:pStyle w:val="Style10"/>
        <w:keepNext w:val="0"/>
        <w:keepLines w:val="0"/>
        <w:widowControl w:val="0"/>
        <w:shd w:val="clear" w:color="auto" w:fill="auto"/>
        <w:bidi w:val="0"/>
        <w:spacing w:before="0" w:after="0" w:line="471" w:lineRule="exact"/>
        <w:ind w:left="0" w:right="0" w:firstLine="440"/>
        <w:jc w:val="left"/>
      </w:pPr>
      <w:bookmarkStart w:id="842" w:name="bookmark842"/>
      <w:r>
        <w:rPr>
          <w:b/>
          <w:bCs/>
          <w:color w:val="000000"/>
          <w:spacing w:val="0"/>
          <w:w w:val="100"/>
          <w:position w:val="0"/>
        </w:rPr>
        <w:t>（</w:t>
      </w:r>
      <w:bookmarkEnd w:id="842"/>
      <w:r>
        <w:rPr>
          <w:b/>
          <w:bCs/>
          <w:color w:val="000000"/>
          <w:spacing w:val="0"/>
          <w:w w:val="100"/>
          <w:position w:val="0"/>
        </w:rPr>
        <w:t>3）金融资产终止确认和金融资产转移</w:t>
      </w:r>
    </w:p>
    <w:p>
      <w:pPr>
        <w:pStyle w:val="Style1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满足下列条件之一时，本公司终止确认金融资产：</w:t>
      </w:r>
    </w:p>
    <w:p>
      <w:pPr>
        <w:pStyle w:val="Style1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—收取金融资产现金流量的合同权利终止；</w:t>
      </w:r>
    </w:p>
    <w:p>
      <w:pPr>
        <w:pStyle w:val="Style1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—金融资产已转移，且已将金融资产所有权上几乎所有的风险和报酬转移给转入方；</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—金融资产已转移，虽然本公司既没有转移也没有保留金融资产所有权上几乎所有的风险和报酬， 但是未保留对金融资产的控制。</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发生金融资产转移时，如保留了金融资产所有权上几乎所有的风险和报酬的，则不终止确认该金融资 产。</w:t>
      </w:r>
    </w:p>
    <w:p>
      <w:pPr>
        <w:pStyle w:val="Style1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在判断金融资产转移是否满足上述金融资产终止确认条件时，采用实质重于形式的原则。</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公司将金融资产转移区分为金融资产整体转移和部分转移。金融资产整体转移满足终止确认条件的， 将下列两项金额的差额计入当期损益：</w:t>
      </w:r>
    </w:p>
    <w:p>
      <w:pPr>
        <w:pStyle w:val="Style10"/>
        <w:keepNext w:val="0"/>
        <w:keepLines w:val="0"/>
        <w:widowControl w:val="0"/>
        <w:shd w:val="clear" w:color="auto" w:fill="auto"/>
        <w:tabs>
          <w:tab w:pos="813" w:val="left"/>
        </w:tabs>
        <w:bidi w:val="0"/>
        <w:spacing w:before="0" w:after="0" w:line="471" w:lineRule="exact"/>
        <w:ind w:left="0" w:right="0" w:firstLine="440"/>
        <w:jc w:val="both"/>
      </w:pPr>
      <w:bookmarkStart w:id="843" w:name="bookmark843"/>
      <w:r>
        <w:rPr>
          <w:color w:val="000000"/>
          <w:spacing w:val="0"/>
          <w:w w:val="100"/>
          <w:position w:val="0"/>
        </w:rPr>
        <w:t>1</w:t>
      </w:r>
      <w:bookmarkEnd w:id="843"/>
      <w:r>
        <w:rPr>
          <w:color w:val="000000"/>
          <w:spacing w:val="0"/>
          <w:w w:val="100"/>
          <w:position w:val="0"/>
        </w:rPr>
        <w:t>）</w:t>
        <w:tab/>
        <w:t>所转移金融资产的账面价值；</w:t>
      </w:r>
    </w:p>
    <w:p>
      <w:pPr>
        <w:pStyle w:val="Style10"/>
        <w:keepNext w:val="0"/>
        <w:keepLines w:val="0"/>
        <w:widowControl w:val="0"/>
        <w:shd w:val="clear" w:color="auto" w:fill="auto"/>
        <w:tabs>
          <w:tab w:pos="786" w:val="left"/>
        </w:tabs>
        <w:bidi w:val="0"/>
        <w:spacing w:before="0" w:after="0" w:line="471" w:lineRule="exact"/>
        <w:ind w:left="0" w:right="0" w:firstLine="440"/>
        <w:jc w:val="both"/>
      </w:pPr>
      <w:bookmarkStart w:id="844" w:name="bookmark844"/>
      <w:r>
        <w:rPr>
          <w:color w:val="000000"/>
          <w:spacing w:val="0"/>
          <w:w w:val="100"/>
          <w:position w:val="0"/>
        </w:rPr>
        <w:t>2</w:t>
      </w:r>
      <w:bookmarkEnd w:id="844"/>
      <w:r>
        <w:rPr>
          <w:color w:val="000000"/>
          <w:spacing w:val="0"/>
          <w:w w:val="100"/>
          <w:position w:val="0"/>
        </w:rPr>
        <w:t>）</w:t>
        <w:tab/>
        <w:t>因转移而收到的对价，与原直接计入所有者权益的公允价值变动累计额（涉及转移的金融资产为 以公允价值计量且其变动计入其他综合收益的金融资产（债务工具）的情形）之和。</w:t>
      </w:r>
    </w:p>
    <w:p>
      <w:pPr>
        <w:pStyle w:val="Style10"/>
        <w:keepNext w:val="0"/>
        <w:keepLines w:val="0"/>
        <w:widowControl w:val="0"/>
        <w:shd w:val="clear" w:color="auto" w:fill="auto"/>
        <w:bidi w:val="0"/>
        <w:spacing w:before="0" w:after="0" w:line="471" w:lineRule="exact"/>
        <w:ind w:left="0" w:right="0" w:firstLine="0"/>
        <w:jc w:val="both"/>
      </w:pPr>
      <w:r>
        <w:rPr>
          <w:color w:val="000000"/>
          <w:spacing w:val="0"/>
          <w:w w:val="100"/>
          <w:position w:val="0"/>
        </w:rPr>
        <w:t>金融资产部分转移满足终止确认条件的，将所转移金融资产整体的账面价值，在终止确认部分和未终止确 认部分之间，按照各自的相对公允价值进行分摊，并将下列两项金额的差额计入当期损益：</w:t>
      </w:r>
    </w:p>
    <w:p>
      <w:pPr>
        <w:pStyle w:val="Style10"/>
        <w:keepNext w:val="0"/>
        <w:keepLines w:val="0"/>
        <w:widowControl w:val="0"/>
        <w:numPr>
          <w:ilvl w:val="0"/>
          <w:numId w:val="21"/>
        </w:numPr>
        <w:shd w:val="clear" w:color="auto" w:fill="auto"/>
        <w:tabs>
          <w:tab w:pos="774" w:val="left"/>
        </w:tabs>
        <w:bidi w:val="0"/>
        <w:spacing w:before="0" w:after="0" w:line="471" w:lineRule="exact"/>
        <w:ind w:left="0" w:right="0" w:firstLine="440"/>
        <w:jc w:val="both"/>
      </w:pPr>
      <w:bookmarkStart w:id="845" w:name="bookmark845"/>
      <w:bookmarkEnd w:id="845"/>
      <w:r>
        <w:rPr>
          <w:color w:val="000000"/>
          <w:spacing w:val="0"/>
          <w:w w:val="100"/>
          <w:position w:val="0"/>
        </w:rPr>
        <w:t>终止确认部分的账面价值；</w:t>
      </w:r>
    </w:p>
    <w:p>
      <w:pPr>
        <w:pStyle w:val="Style10"/>
        <w:keepNext w:val="0"/>
        <w:keepLines w:val="0"/>
        <w:widowControl w:val="0"/>
        <w:numPr>
          <w:ilvl w:val="0"/>
          <w:numId w:val="21"/>
        </w:numPr>
        <w:shd w:val="clear" w:color="auto" w:fill="auto"/>
        <w:tabs>
          <w:tab w:pos="662" w:val="left"/>
        </w:tabs>
        <w:bidi w:val="0"/>
        <w:spacing w:before="0" w:after="0" w:line="471" w:lineRule="exact"/>
        <w:ind w:left="0" w:right="0" w:firstLine="440"/>
        <w:jc w:val="both"/>
      </w:pPr>
      <w:bookmarkStart w:id="846" w:name="bookmark846"/>
      <w:bookmarkEnd w:id="846"/>
      <w:r>
        <w:rPr>
          <w:color w:val="000000"/>
          <w:spacing w:val="0"/>
          <w:w w:val="100"/>
          <w:position w:val="0"/>
        </w:rPr>
        <w:t>终止确认部分的对价，与原直接计入所有者权益的公允价值变动累计额中对应终止确认部分的金额 （涉及转移的金融资产为以公允价值计量且其变动计入其他综合收益的金融资产（债务工具）的情形）之</w:t>
      </w:r>
    </w:p>
    <w:p>
      <w:pPr>
        <w:pStyle w:val="Style10"/>
        <w:keepNext w:val="0"/>
        <w:keepLines w:val="0"/>
        <w:widowControl w:val="0"/>
        <w:shd w:val="clear" w:color="auto" w:fill="auto"/>
        <w:bidi w:val="0"/>
        <w:spacing w:before="0" w:after="240" w:line="471" w:lineRule="exact"/>
        <w:ind w:left="0" w:right="0" w:firstLine="0"/>
        <w:jc w:val="left"/>
      </w:pPr>
      <w:r>
        <w:rPr>
          <w:color w:val="000000"/>
          <w:spacing w:val="0"/>
          <w:w w:val="100"/>
          <w:position w:val="0"/>
        </w:rPr>
        <w:t>和。</w:t>
      </w:r>
    </w:p>
    <w:p>
      <w:pPr>
        <w:pStyle w:val="Style10"/>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金融资产转移不满足终止确认条件的，继续确认该金融资产，所收到的对价确认为一项金融负债。</w:t>
      </w:r>
    </w:p>
    <w:p>
      <w:pPr>
        <w:pStyle w:val="Style10"/>
        <w:keepNext w:val="0"/>
        <w:keepLines w:val="0"/>
        <w:widowControl w:val="0"/>
        <w:shd w:val="clear" w:color="auto" w:fill="auto"/>
        <w:tabs>
          <w:tab w:pos="881" w:val="left"/>
        </w:tabs>
        <w:bidi w:val="0"/>
        <w:spacing w:before="0" w:after="0" w:line="468" w:lineRule="exact"/>
        <w:ind w:left="0" w:right="0" w:firstLine="440"/>
        <w:jc w:val="both"/>
      </w:pPr>
      <w:bookmarkStart w:id="847" w:name="bookmark847"/>
      <w:r>
        <w:rPr>
          <w:b/>
          <w:bCs/>
          <w:color w:val="000000"/>
          <w:spacing w:val="0"/>
          <w:w w:val="100"/>
          <w:position w:val="0"/>
        </w:rPr>
        <w:t>（</w:t>
      </w:r>
      <w:bookmarkEnd w:id="847"/>
      <w:r>
        <w:rPr>
          <w:b/>
          <w:bCs/>
          <w:color w:val="000000"/>
          <w:spacing w:val="0"/>
          <w:w w:val="100"/>
          <w:position w:val="0"/>
        </w:rPr>
        <w:t>4）</w:t>
        <w:tab/>
        <w:t>金融负债终止确认</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10"/>
        <w:keepNext w:val="0"/>
        <w:keepLines w:val="0"/>
        <w:widowControl w:val="0"/>
        <w:shd w:val="clear" w:color="auto" w:fill="auto"/>
        <w:tabs>
          <w:tab w:pos="881" w:val="left"/>
        </w:tabs>
        <w:bidi w:val="0"/>
        <w:spacing w:before="0" w:after="0" w:line="468" w:lineRule="exact"/>
        <w:ind w:left="0" w:right="0" w:firstLine="440"/>
        <w:jc w:val="both"/>
      </w:pPr>
      <w:bookmarkStart w:id="848" w:name="bookmark848"/>
      <w:r>
        <w:rPr>
          <w:b/>
          <w:bCs/>
          <w:color w:val="000000"/>
          <w:spacing w:val="0"/>
          <w:w w:val="100"/>
          <w:position w:val="0"/>
        </w:rPr>
        <w:t>（</w:t>
      </w:r>
      <w:bookmarkEnd w:id="848"/>
      <w:r>
        <w:rPr>
          <w:b/>
          <w:bCs/>
          <w:color w:val="000000"/>
          <w:spacing w:val="0"/>
          <w:w w:val="100"/>
          <w:position w:val="0"/>
        </w:rPr>
        <w:t>5）</w:t>
        <w:tab/>
        <w:t>金融资产和金融负债的公允价值的确定方法</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10"/>
        <w:keepNext w:val="0"/>
        <w:keepLines w:val="0"/>
        <w:widowControl w:val="0"/>
        <w:shd w:val="clear" w:color="auto" w:fill="auto"/>
        <w:tabs>
          <w:tab w:pos="881" w:val="left"/>
        </w:tabs>
        <w:bidi w:val="0"/>
        <w:spacing w:before="0" w:after="0" w:line="468" w:lineRule="exact"/>
        <w:ind w:left="0" w:right="0" w:firstLine="440"/>
        <w:jc w:val="both"/>
      </w:pPr>
      <w:bookmarkStart w:id="849" w:name="bookmark849"/>
      <w:r>
        <w:rPr>
          <w:b/>
          <w:bCs/>
          <w:color w:val="000000"/>
          <w:spacing w:val="0"/>
          <w:w w:val="100"/>
          <w:position w:val="0"/>
        </w:rPr>
        <w:t>（</w:t>
      </w:r>
      <w:bookmarkEnd w:id="849"/>
      <w:r>
        <w:rPr>
          <w:b/>
          <w:bCs/>
          <w:color w:val="000000"/>
          <w:spacing w:val="0"/>
          <w:w w:val="100"/>
          <w:position w:val="0"/>
        </w:rPr>
        <w:t>6）</w:t>
        <w:tab/>
        <w:t>金融资产减值的测试方法及会计处理方法</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本公司以单项或组合的方式对以摊余成本计量的金融资产、以公允价值计量且其变动计入其他综合收 益的金融资产（债务工具）和财务担保合同等的预期信用损失进行估计。</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本公司考虑有关过去事项、当前状况以及对未来经济状况的预测等合理且有依据的信息，以发生违约 的风险为权重，计算合同应收的现金流量与预期能收到的现金流量之间差额的现值的概率加权金额，确认 预期信用损失。</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相当于该金融工具未来12个月内预期信用损失的金额计量其损失准备。由此形成的损失准备的增加或转回 金额，作为减值损失或利得计入当期损益。</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本公司通过比较金融工具在资产负债表日发生违约的风险与在初始确认日发生违约的风险，以确定金 融工具预计存续期内发生违约风险的相对变化，以评估金融工具的信用风险自初始确认后是否已显著增 加。通常逾期超过30日，本公司即认为该金融工具的信用风险已显著增加，除非有确凿证据证明该金融工 </w:t>
      </w:r>
      <w:r>
        <w:rPr>
          <w:color w:val="000000"/>
          <w:spacing w:val="0"/>
          <w:w w:val="100"/>
          <w:position w:val="0"/>
        </w:rPr>
        <w:t>具的信用风险自初始确认后并未显著增加。</w:t>
      </w:r>
    </w:p>
    <w:p>
      <w:pPr>
        <w:pStyle w:val="Style10"/>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如果金融工具于资产负债表日的信用风险较低，本公司即认为该金融工具的信用风险自初始确认后并 未显著增加。</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如果有客观证据表明某项金融资产已经发生信用减值，则本公司在单项基础上对该金融资产计提减值 准备。</w:t>
      </w:r>
    </w:p>
    <w:p>
      <w:pPr>
        <w:pStyle w:val="Style10"/>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对于由《企业会计准则第14号</w:t>
      </w:r>
      <w:r>
        <w:rPr>
          <w:color w:val="000000"/>
          <w:spacing w:val="0"/>
          <w:w w:val="100"/>
          <w:position w:val="0"/>
        </w:rPr>
        <w:t>一一</w:t>
      </w:r>
      <w:r>
        <w:rPr>
          <w:color w:val="000000"/>
          <w:spacing w:val="0"/>
          <w:w w:val="100"/>
          <w:position w:val="0"/>
        </w:rPr>
        <w:t>收入》（2017）规范的交易形成的应收款项和合同资产，无论是否包 含重大融资成分，本公司始终按照相当于整个存续期内预期信用损失的金额计量其损失准备。</w:t>
      </w:r>
    </w:p>
    <w:p>
      <w:pPr>
        <w:pStyle w:val="Style10"/>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对于租赁应收款，本公司选择始终按照相当于整个存续期内预期信用损失的金额计量其损失准备。</w:t>
      </w:r>
    </w:p>
    <w:p>
      <w:pPr>
        <w:pStyle w:val="Style10"/>
        <w:keepNext w:val="0"/>
        <w:keepLines w:val="0"/>
        <w:widowControl w:val="0"/>
        <w:shd w:val="clear" w:color="auto" w:fill="auto"/>
        <w:bidi w:val="0"/>
        <w:spacing w:before="0" w:after="420" w:line="480" w:lineRule="exact"/>
        <w:ind w:left="0" w:right="0" w:firstLine="440"/>
        <w:jc w:val="both"/>
      </w:pPr>
      <w:r>
        <w:rPr>
          <w:color w:val="000000"/>
          <w:spacing w:val="0"/>
          <w:w w:val="100"/>
          <w:position w:val="0"/>
        </w:rPr>
        <w:t>本公司不再合理预期金融资产合同现金流量能够全部或部分收回的，直接减记该金融资产的账面余 额。</w:t>
      </w:r>
    </w:p>
    <w:p>
      <w:pPr>
        <w:pStyle w:val="Style28"/>
        <w:keepNext/>
        <w:keepLines/>
        <w:widowControl w:val="0"/>
        <w:shd w:val="clear" w:color="auto" w:fill="auto"/>
        <w:tabs>
          <w:tab w:pos="474" w:val="left"/>
        </w:tabs>
        <w:bidi w:val="0"/>
        <w:spacing w:before="0" w:after="0" w:line="494"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50"/>
      <w:bookmarkEnd w:id="851"/>
      <w:bookmarkEnd w:id="853"/>
    </w:p>
    <w:p>
      <w:pPr>
        <w:pStyle w:val="Style10"/>
        <w:keepNext w:val="0"/>
        <w:keepLines w:val="0"/>
        <w:widowControl w:val="0"/>
        <w:shd w:val="clear" w:color="auto" w:fill="auto"/>
        <w:bidi w:val="0"/>
        <w:spacing w:before="0" w:after="420" w:line="473" w:lineRule="exact"/>
        <w:ind w:left="0" w:right="0" w:firstLine="0"/>
        <w:jc w:val="left"/>
      </w:pPr>
      <w:r>
        <w:rPr>
          <w:color w:val="000000"/>
          <w:spacing w:val="0"/>
          <w:w w:val="100"/>
          <w:position w:val="0"/>
        </w:rPr>
        <w:t>见附注五、重要会计政策及会计估计10、金融工具</w:t>
      </w:r>
    </w:p>
    <w:p>
      <w:pPr>
        <w:pStyle w:val="Style28"/>
        <w:keepNext/>
        <w:keepLines/>
        <w:widowControl w:val="0"/>
        <w:shd w:val="clear" w:color="auto" w:fill="auto"/>
        <w:tabs>
          <w:tab w:pos="474" w:val="left"/>
        </w:tabs>
        <w:bidi w:val="0"/>
        <w:spacing w:before="0" w:after="0" w:line="494"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54"/>
      <w:bookmarkEnd w:id="855"/>
      <w:bookmarkEnd w:id="857"/>
    </w:p>
    <w:p>
      <w:pPr>
        <w:pStyle w:val="Style10"/>
        <w:keepNext w:val="0"/>
        <w:keepLines w:val="0"/>
        <w:widowControl w:val="0"/>
        <w:shd w:val="clear" w:color="auto" w:fill="auto"/>
        <w:bidi w:val="0"/>
        <w:spacing w:before="0" w:after="420" w:line="473" w:lineRule="exact"/>
        <w:ind w:left="0" w:right="0" w:firstLine="0"/>
        <w:jc w:val="left"/>
      </w:pPr>
      <w:r>
        <w:rPr>
          <w:color w:val="000000"/>
          <w:spacing w:val="0"/>
          <w:w w:val="100"/>
          <w:position w:val="0"/>
        </w:rPr>
        <w:t>见附注五、重要会计政策及会计估计10、金融工具</w:t>
      </w:r>
    </w:p>
    <w:p>
      <w:pPr>
        <w:pStyle w:val="Style28"/>
        <w:keepNext/>
        <w:keepLines/>
        <w:widowControl w:val="0"/>
        <w:shd w:val="clear" w:color="auto" w:fill="auto"/>
        <w:tabs>
          <w:tab w:pos="474" w:val="left"/>
        </w:tabs>
        <w:bidi w:val="0"/>
        <w:spacing w:before="0" w:after="0" w:line="494"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58"/>
      <w:bookmarkEnd w:id="859"/>
      <w:bookmarkEnd w:id="861"/>
    </w:p>
    <w:p>
      <w:pPr>
        <w:pStyle w:val="Style10"/>
        <w:keepNext w:val="0"/>
        <w:keepLines w:val="0"/>
        <w:widowControl w:val="0"/>
        <w:shd w:val="clear" w:color="auto" w:fill="auto"/>
        <w:bidi w:val="0"/>
        <w:spacing w:before="0" w:after="420" w:line="473" w:lineRule="exact"/>
        <w:ind w:left="0" w:right="0" w:firstLine="0"/>
        <w:jc w:val="left"/>
      </w:pPr>
      <w:r>
        <w:rPr>
          <w:color w:val="000000"/>
          <w:spacing w:val="0"/>
          <w:w w:val="100"/>
          <w:position w:val="0"/>
        </w:rPr>
        <w:t>见附注五、重要会计政策及会计估计10、金融工具</w:t>
      </w:r>
    </w:p>
    <w:p>
      <w:pPr>
        <w:pStyle w:val="Style28"/>
        <w:keepNext/>
        <w:keepLines/>
        <w:widowControl w:val="0"/>
        <w:shd w:val="clear" w:color="auto" w:fill="auto"/>
        <w:tabs>
          <w:tab w:pos="474" w:val="left"/>
        </w:tabs>
        <w:bidi w:val="0"/>
        <w:spacing w:before="0" w:after="140" w:line="494"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62"/>
      <w:bookmarkEnd w:id="863"/>
      <w:bookmarkEnd w:id="865"/>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10"/>
        <w:keepNext w:val="0"/>
        <w:keepLines w:val="0"/>
        <w:widowControl w:val="0"/>
        <w:shd w:val="clear" w:color="auto" w:fill="auto"/>
        <w:bidi w:val="0"/>
        <w:spacing w:before="0" w:after="420" w:line="473" w:lineRule="exact"/>
        <w:ind w:left="0" w:right="0" w:firstLine="0"/>
        <w:jc w:val="left"/>
      </w:pPr>
      <w:r>
        <w:rPr>
          <w:color w:val="000000"/>
          <w:spacing w:val="0"/>
          <w:w w:val="100"/>
          <w:position w:val="0"/>
        </w:rPr>
        <w:t>见附注五、重要会计政策及会计估计10、金融工具</w:t>
      </w:r>
    </w:p>
    <w:p>
      <w:pPr>
        <w:pStyle w:val="Style28"/>
        <w:keepNext/>
        <w:keepLines/>
        <w:widowControl w:val="0"/>
        <w:shd w:val="clear" w:color="auto" w:fill="auto"/>
        <w:tabs>
          <w:tab w:pos="474" w:val="left"/>
        </w:tabs>
        <w:bidi w:val="0"/>
        <w:spacing w:before="0" w:after="0" w:line="494"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66"/>
      <w:bookmarkEnd w:id="867"/>
      <w:bookmarkEnd w:id="869"/>
    </w:p>
    <w:p>
      <w:pPr>
        <w:pStyle w:val="Style28"/>
        <w:keepNext/>
        <w:keepLines/>
        <w:widowControl w:val="0"/>
        <w:shd w:val="clear" w:color="auto" w:fill="auto"/>
        <w:bidi w:val="0"/>
        <w:spacing w:before="0" w:after="0" w:line="473" w:lineRule="exact"/>
        <w:ind w:left="0" w:right="0" w:firstLine="440"/>
        <w:jc w:val="both"/>
      </w:pPr>
      <w:bookmarkStart w:id="866" w:name="bookmark866"/>
      <w:bookmarkStart w:id="867" w:name="bookmark867"/>
      <w:bookmarkStart w:id="870" w:name="bookmark870"/>
      <w:r>
        <w:rPr>
          <w:color w:val="000000"/>
          <w:spacing w:val="0"/>
          <w:w w:val="100"/>
          <w:position w:val="0"/>
        </w:rPr>
        <w:t>（</w:t>
      </w:r>
      <w:bookmarkEnd w:id="870"/>
      <w:r>
        <w:rPr>
          <w:color w:val="000000"/>
          <w:spacing w:val="0"/>
          <w:w w:val="100"/>
          <w:position w:val="0"/>
        </w:rPr>
        <w:t>1）存货的分类和成本</w:t>
      </w:r>
      <w:bookmarkEnd w:id="866"/>
      <w:bookmarkEnd w:id="867"/>
    </w:p>
    <w:p>
      <w:pPr>
        <w:pStyle w:val="Style1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存货分类为：原材料、周转材料、委托加工材料、包装物、低值易耗品、在产品、半成品、产成品（库 存商品）、合同履约成本等。</w:t>
      </w:r>
    </w:p>
    <w:p>
      <w:pPr>
        <w:pStyle w:val="Style10"/>
        <w:keepNext w:val="0"/>
        <w:keepLines w:val="0"/>
        <w:widowControl w:val="0"/>
        <w:shd w:val="clear" w:color="auto" w:fill="auto"/>
        <w:bidi w:val="0"/>
        <w:spacing w:before="0" w:after="420" w:line="473" w:lineRule="exact"/>
        <w:ind w:left="0" w:right="0" w:firstLine="440"/>
        <w:jc w:val="both"/>
      </w:pPr>
      <w:r>
        <w:rPr>
          <w:color w:val="000000"/>
          <w:spacing w:val="0"/>
          <w:w w:val="100"/>
          <w:position w:val="0"/>
        </w:rPr>
        <w:t>存货按成本进行初始计量，存货成本包括采购成本、加工成本和其他使存货达到目前场所和状态所发 生的支出。</w:t>
      </w:r>
    </w:p>
    <w:p>
      <w:pPr>
        <w:pStyle w:val="Style10"/>
        <w:keepNext w:val="0"/>
        <w:keepLines w:val="0"/>
        <w:widowControl w:val="0"/>
        <w:shd w:val="clear" w:color="auto" w:fill="auto"/>
        <w:tabs>
          <w:tab w:pos="928" w:val="left"/>
        </w:tabs>
        <w:bidi w:val="0"/>
        <w:spacing w:before="0" w:after="0" w:line="470" w:lineRule="exact"/>
        <w:ind w:left="0" w:right="0" w:firstLine="440"/>
        <w:jc w:val="both"/>
      </w:pPr>
      <w:bookmarkStart w:id="871" w:name="bookmark871"/>
      <w:r>
        <w:rPr>
          <w:b/>
          <w:bCs/>
          <w:color w:val="000000"/>
          <w:spacing w:val="0"/>
          <w:w w:val="100"/>
          <w:position w:val="0"/>
        </w:rPr>
        <w:t>（</w:t>
      </w:r>
      <w:bookmarkEnd w:id="871"/>
      <w:r>
        <w:rPr>
          <w:b/>
          <w:bCs/>
          <w:color w:val="000000"/>
          <w:spacing w:val="0"/>
          <w:w w:val="100"/>
          <w:position w:val="0"/>
        </w:rPr>
        <w:t>2）</w:t>
        <w:tab/>
        <w:t>发出存货的计价方法</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存货发出时按加权平均法计价。</w:t>
      </w:r>
    </w:p>
    <w:p>
      <w:pPr>
        <w:pStyle w:val="Style10"/>
        <w:keepNext w:val="0"/>
        <w:keepLines w:val="0"/>
        <w:widowControl w:val="0"/>
        <w:shd w:val="clear" w:color="auto" w:fill="auto"/>
        <w:tabs>
          <w:tab w:pos="928" w:val="left"/>
        </w:tabs>
        <w:bidi w:val="0"/>
        <w:spacing w:before="0" w:after="0" w:line="470" w:lineRule="exact"/>
        <w:ind w:left="0" w:right="0" w:firstLine="440"/>
        <w:jc w:val="both"/>
      </w:pPr>
      <w:bookmarkStart w:id="872" w:name="bookmark872"/>
      <w:r>
        <w:rPr>
          <w:b/>
          <w:bCs/>
          <w:color w:val="000000"/>
          <w:spacing w:val="0"/>
          <w:w w:val="100"/>
          <w:position w:val="0"/>
        </w:rPr>
        <w:t>（</w:t>
      </w:r>
      <w:bookmarkEnd w:id="872"/>
      <w:r>
        <w:rPr>
          <w:b/>
          <w:bCs/>
          <w:color w:val="000000"/>
          <w:spacing w:val="0"/>
          <w:w w:val="100"/>
          <w:position w:val="0"/>
        </w:rPr>
        <w:t>3）</w:t>
        <w:tab/>
        <w:t>不同类别存货可变现净值的确定依据</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资产负债表日，存货应当按照成本与可变现净值孰低计量。当存货成本高于其可变现净值的，应当计 提存货跌价准备。可变现净值，是指在日常活动中，存货的估计售价减去至完工时估计将要发生的成本、 估计的销售费用以及相关税费后的金额。</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计提存货跌价准备后，如果以前减记存货价值的影响因素已经消失，导致存货的可变现净值高于其账 面价值的，在原已计提的存货跌价准备金额内予以转回，转回的金额计入当期损益。</w:t>
      </w:r>
    </w:p>
    <w:p>
      <w:pPr>
        <w:pStyle w:val="Style10"/>
        <w:keepNext w:val="0"/>
        <w:keepLines w:val="0"/>
        <w:widowControl w:val="0"/>
        <w:shd w:val="clear" w:color="auto" w:fill="auto"/>
        <w:tabs>
          <w:tab w:pos="928" w:val="left"/>
        </w:tabs>
        <w:bidi w:val="0"/>
        <w:spacing w:before="0" w:after="0" w:line="470" w:lineRule="exact"/>
        <w:ind w:left="0" w:right="0" w:firstLine="440"/>
        <w:jc w:val="both"/>
      </w:pPr>
      <w:bookmarkStart w:id="873" w:name="bookmark873"/>
      <w:r>
        <w:rPr>
          <w:b/>
          <w:bCs/>
          <w:color w:val="000000"/>
          <w:spacing w:val="0"/>
          <w:w w:val="100"/>
          <w:position w:val="0"/>
        </w:rPr>
        <w:t>（</w:t>
      </w:r>
      <w:bookmarkEnd w:id="873"/>
      <w:r>
        <w:rPr>
          <w:b/>
          <w:bCs/>
          <w:color w:val="000000"/>
          <w:spacing w:val="0"/>
          <w:w w:val="100"/>
          <w:position w:val="0"/>
        </w:rPr>
        <w:t>4）</w:t>
        <w:tab/>
        <w:t>存货的盘存制度</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采用永续盘存制。</w:t>
      </w:r>
    </w:p>
    <w:p>
      <w:pPr>
        <w:pStyle w:val="Style10"/>
        <w:keepNext w:val="0"/>
        <w:keepLines w:val="0"/>
        <w:widowControl w:val="0"/>
        <w:shd w:val="clear" w:color="auto" w:fill="auto"/>
        <w:tabs>
          <w:tab w:pos="928" w:val="left"/>
        </w:tabs>
        <w:bidi w:val="0"/>
        <w:spacing w:before="0" w:after="0" w:line="470" w:lineRule="exact"/>
        <w:ind w:left="0" w:right="0" w:firstLine="440"/>
        <w:jc w:val="both"/>
      </w:pPr>
      <w:bookmarkStart w:id="874" w:name="bookmark874"/>
      <w:r>
        <w:rPr>
          <w:b/>
          <w:bCs/>
          <w:color w:val="000000"/>
          <w:spacing w:val="0"/>
          <w:w w:val="100"/>
          <w:position w:val="0"/>
        </w:rPr>
        <w:t>（</w:t>
      </w:r>
      <w:bookmarkEnd w:id="874"/>
      <w:r>
        <w:rPr>
          <w:b/>
          <w:bCs/>
          <w:color w:val="000000"/>
          <w:spacing w:val="0"/>
          <w:w w:val="100"/>
          <w:position w:val="0"/>
        </w:rPr>
        <w:t>5）</w:t>
        <w:tab/>
        <w:t>低值易耗品和包装物的摊销方法</w:t>
      </w:r>
    </w:p>
    <w:p>
      <w:pPr>
        <w:pStyle w:val="Style10"/>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低值易耗品和包装物采用一次转销法摊销。</w:t>
      </w:r>
    </w:p>
    <w:p>
      <w:pPr>
        <w:pStyle w:val="Style28"/>
        <w:keepNext/>
        <w:keepLines/>
        <w:widowControl w:val="0"/>
        <w:shd w:val="clear" w:color="auto" w:fill="auto"/>
        <w:bidi w:val="0"/>
        <w:spacing w:before="0" w:after="0" w:line="480" w:lineRule="auto"/>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75"/>
      <w:bookmarkEnd w:id="876"/>
      <w:bookmarkEnd w:id="878"/>
    </w:p>
    <w:p>
      <w:pPr>
        <w:pStyle w:val="Style28"/>
        <w:keepNext/>
        <w:keepLines/>
        <w:widowControl w:val="0"/>
        <w:shd w:val="clear" w:color="auto" w:fill="auto"/>
        <w:tabs>
          <w:tab w:pos="928" w:val="left"/>
        </w:tabs>
        <w:bidi w:val="0"/>
        <w:spacing w:before="0" w:after="0" w:line="466" w:lineRule="exact"/>
        <w:ind w:left="0" w:right="0" w:firstLine="440"/>
        <w:jc w:val="both"/>
      </w:pPr>
      <w:bookmarkStart w:id="875" w:name="bookmark875"/>
      <w:bookmarkStart w:id="876" w:name="bookmark876"/>
      <w:bookmarkStart w:id="879" w:name="bookmark879"/>
      <w:r>
        <w:rPr>
          <w:color w:val="000000"/>
          <w:spacing w:val="0"/>
          <w:w w:val="100"/>
          <w:position w:val="0"/>
        </w:rPr>
        <w:t>（</w:t>
      </w:r>
      <w:bookmarkEnd w:id="879"/>
      <w:r>
        <w:rPr>
          <w:color w:val="000000"/>
          <w:spacing w:val="0"/>
          <w:w w:val="100"/>
          <w:position w:val="0"/>
        </w:rPr>
        <w:t>1）</w:t>
        <w:tab/>
        <w:t>合同资产的确认方法及标准</w:t>
      </w:r>
      <w:bookmarkEnd w:id="875"/>
      <w:bookmarkEnd w:id="876"/>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本公司根据履行履约义务与客户付款之间的关系在资产负债表中列示合同资产或合同负债。本公司已 向客户转让商品或提供服务而有权收取对价的权利（且该权利取决于时间流逝之外的其他因素）列示为合 同资产。同一合同下的合同资产和合同负债以净额列示。本公司拥有的、无条件（仅取决于时间流逝）向 客户收取对价的权利作为应收款项单独列示。</w:t>
      </w:r>
    </w:p>
    <w:p>
      <w:pPr>
        <w:pStyle w:val="Style10"/>
        <w:keepNext w:val="0"/>
        <w:keepLines w:val="0"/>
        <w:widowControl w:val="0"/>
        <w:shd w:val="clear" w:color="auto" w:fill="auto"/>
        <w:tabs>
          <w:tab w:pos="928" w:val="left"/>
        </w:tabs>
        <w:bidi w:val="0"/>
        <w:spacing w:before="0" w:after="0" w:line="466" w:lineRule="exact"/>
        <w:ind w:left="0" w:right="0" w:firstLine="440"/>
        <w:jc w:val="both"/>
      </w:pPr>
      <w:bookmarkStart w:id="880" w:name="bookmark880"/>
      <w:r>
        <w:rPr>
          <w:b/>
          <w:bCs/>
          <w:color w:val="000000"/>
          <w:spacing w:val="0"/>
          <w:w w:val="100"/>
          <w:position w:val="0"/>
        </w:rPr>
        <w:t>（</w:t>
      </w:r>
      <w:bookmarkEnd w:id="880"/>
      <w:r>
        <w:rPr>
          <w:b/>
          <w:bCs/>
          <w:color w:val="000000"/>
          <w:spacing w:val="0"/>
          <w:w w:val="100"/>
          <w:position w:val="0"/>
        </w:rPr>
        <w:t>2）</w:t>
        <w:tab/>
        <w:t>合同资产预期信用损失的确定方法及会计处理方法</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合同资产的预期信用损失的确定方法及会计处理方法详见本附注五重要会计政策及估计变更10、金融 资产减值的测试方法及会计处理方法。</w:t>
      </w:r>
    </w:p>
    <w:p>
      <w:pPr>
        <w:pStyle w:val="Style28"/>
        <w:keepNext/>
        <w:keepLines/>
        <w:widowControl w:val="0"/>
        <w:shd w:val="clear" w:color="auto" w:fill="auto"/>
        <w:bidi w:val="0"/>
        <w:spacing w:before="0" w:after="220" w:line="240" w:lineRule="auto"/>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81"/>
      <w:bookmarkEnd w:id="882"/>
      <w:bookmarkEnd w:id="884"/>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合同成本包括合同履约成本与合同取得成本。</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本公司为履行合同而发生的成本，不属于存货、固定资产或无形资产等相关准则规范范围的，在满足 下列条件时作为合同履约成本确认为一项资产：</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•该成本与一份当前或预期取得的合同直接相关。</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•该成本增加了本公司未来用于履行履约义务的资源。</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•该成本预期能够收回。</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本公司为取得合同发生的增量成本预期能够收回的，作为合同取得成本确认为一项资产。</w:t>
      </w:r>
    </w:p>
    <w:p>
      <w:pPr>
        <w:pStyle w:val="Style10"/>
        <w:keepNext w:val="0"/>
        <w:keepLines w:val="0"/>
        <w:widowControl w:val="0"/>
        <w:shd w:val="clear" w:color="auto" w:fill="auto"/>
        <w:bidi w:val="0"/>
        <w:spacing w:before="0" w:after="0" w:line="509" w:lineRule="exact"/>
        <w:ind w:left="0" w:right="0" w:firstLine="440"/>
        <w:jc w:val="both"/>
      </w:pPr>
      <w:r>
        <w:rPr>
          <w:color w:val="000000"/>
          <w:spacing w:val="0"/>
          <w:w w:val="100"/>
          <w:position w:val="0"/>
        </w:rPr>
        <w:t>与合同成本有关的资产采用与该资产相关的商品或服务收入确认相同的基础进行摊销；但是对于合同 取得成本摊销期限未超过一年的，本公司在发生时将其计入当期损益。</w:t>
      </w:r>
    </w:p>
    <w:p>
      <w:pPr>
        <w:pStyle w:val="Style10"/>
        <w:keepNext w:val="0"/>
        <w:keepLines w:val="0"/>
        <w:widowControl w:val="0"/>
        <w:shd w:val="clear" w:color="auto" w:fill="auto"/>
        <w:bidi w:val="0"/>
        <w:spacing w:before="0" w:after="0" w:line="494" w:lineRule="exact"/>
        <w:ind w:left="0" w:right="0" w:firstLine="440"/>
        <w:jc w:val="both"/>
      </w:pPr>
      <w:r>
        <w:rPr>
          <w:color w:val="000000"/>
          <w:spacing w:val="0"/>
          <w:w w:val="100"/>
          <w:position w:val="0"/>
        </w:rPr>
        <w:t>与合同成本有关的资产，其账面价值高于下列两项的差额的，本公司对超出部分计提减值准备，并确 认为资产减值损失：</w:t>
      </w:r>
    </w:p>
    <w:p>
      <w:pPr>
        <w:pStyle w:val="Style10"/>
        <w:keepNext w:val="0"/>
        <w:keepLines w:val="0"/>
        <w:widowControl w:val="0"/>
        <w:shd w:val="clear" w:color="auto" w:fill="auto"/>
        <w:tabs>
          <w:tab w:pos="923" w:val="left"/>
        </w:tabs>
        <w:bidi w:val="0"/>
        <w:spacing w:before="0" w:after="0" w:line="473" w:lineRule="exact"/>
        <w:ind w:left="0" w:right="0" w:firstLine="440"/>
        <w:jc w:val="both"/>
      </w:pPr>
      <w:bookmarkStart w:id="885" w:name="bookmark885"/>
      <w:r>
        <w:rPr>
          <w:color w:val="000000"/>
          <w:spacing w:val="0"/>
          <w:w w:val="100"/>
          <w:position w:val="0"/>
        </w:rPr>
        <w:t>（</w:t>
      </w:r>
      <w:bookmarkEnd w:id="885"/>
      <w:r>
        <w:rPr>
          <w:color w:val="000000"/>
          <w:spacing w:val="0"/>
          <w:w w:val="100"/>
          <w:position w:val="0"/>
        </w:rPr>
        <w:t>1）</w:t>
        <w:tab/>
        <w:t>因转让与该资产相关的商品或服务预期能够取得的剩余对价；</w:t>
      </w:r>
    </w:p>
    <w:p>
      <w:pPr>
        <w:pStyle w:val="Style10"/>
        <w:keepNext w:val="0"/>
        <w:keepLines w:val="0"/>
        <w:widowControl w:val="0"/>
        <w:shd w:val="clear" w:color="auto" w:fill="auto"/>
        <w:tabs>
          <w:tab w:pos="923" w:val="left"/>
        </w:tabs>
        <w:bidi w:val="0"/>
        <w:spacing w:before="0" w:after="0" w:line="473" w:lineRule="exact"/>
        <w:ind w:left="0" w:right="0" w:firstLine="440"/>
        <w:jc w:val="left"/>
      </w:pPr>
      <w:bookmarkStart w:id="886" w:name="bookmark886"/>
      <w:r>
        <w:rPr>
          <w:color w:val="000000"/>
          <w:spacing w:val="0"/>
          <w:w w:val="100"/>
          <w:position w:val="0"/>
        </w:rPr>
        <w:t>（</w:t>
      </w:r>
      <w:bookmarkEnd w:id="886"/>
      <w:r>
        <w:rPr>
          <w:color w:val="000000"/>
          <w:spacing w:val="0"/>
          <w:w w:val="100"/>
          <w:position w:val="0"/>
        </w:rPr>
        <w:t>2）</w:t>
        <w:tab/>
        <w:t>为转让该相关商品或服务估计将要发生的成本。</w:t>
      </w:r>
    </w:p>
    <w:p>
      <w:pPr>
        <w:pStyle w:val="Style10"/>
        <w:keepNext w:val="0"/>
        <w:keepLines w:val="0"/>
        <w:widowControl w:val="0"/>
        <w:shd w:val="clear" w:color="auto" w:fill="auto"/>
        <w:bidi w:val="0"/>
        <w:spacing w:before="0" w:after="420" w:line="473" w:lineRule="exact"/>
        <w:ind w:left="0" w:right="0" w:firstLine="440"/>
        <w:jc w:val="both"/>
      </w:pPr>
      <w:r>
        <w:rPr>
          <w:color w:val="000000"/>
          <w:spacing w:val="0"/>
          <w:w w:val="100"/>
          <w:position w:val="0"/>
        </w:rPr>
        <w:t>以前期间减值的因素之后发生变化，使得前述差额高于该资产账面价值的，本公司转回原已计提的减 值准备，并计入当期损益，但转回后的资产账面价值不超过假定不计提减值准备情况下该资产在转回日的 账面价值。</w:t>
      </w:r>
    </w:p>
    <w:p>
      <w:pPr>
        <w:pStyle w:val="Style28"/>
        <w:keepNext/>
        <w:keepLines/>
        <w:widowControl w:val="0"/>
        <w:shd w:val="clear" w:color="auto" w:fill="auto"/>
        <w:bidi w:val="0"/>
        <w:spacing w:before="0" w:after="0" w:line="492" w:lineRule="auto"/>
        <w:ind w:left="0" w:right="0" w:firstLine="0"/>
        <w:jc w:val="both"/>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bookmarkEnd w:id="889"/>
      <w:r>
        <w:rPr>
          <w:rFonts w:ascii="Times New Roman" w:eastAsia="Times New Roman" w:hAnsi="Times New Roman" w:cs="Times New Roman"/>
          <w:color w:val="000000"/>
          <w:spacing w:val="0"/>
          <w:w w:val="100"/>
          <w:position w:val="0"/>
        </w:rPr>
        <w:t>8</w:t>
      </w:r>
      <w:r>
        <w:rPr>
          <w:color w:val="000000"/>
          <w:spacing w:val="0"/>
          <w:w w:val="100"/>
          <w:position w:val="0"/>
        </w:rPr>
        <w:t>、长期股权投资</w:t>
      </w:r>
      <w:bookmarkEnd w:id="887"/>
      <w:bookmarkEnd w:id="888"/>
      <w:bookmarkEnd w:id="890"/>
    </w:p>
    <w:p>
      <w:pPr>
        <w:pStyle w:val="Style28"/>
        <w:keepNext/>
        <w:keepLines/>
        <w:widowControl w:val="0"/>
        <w:shd w:val="clear" w:color="auto" w:fill="auto"/>
        <w:tabs>
          <w:tab w:pos="928" w:val="left"/>
        </w:tabs>
        <w:bidi w:val="0"/>
        <w:spacing w:before="0" w:after="0" w:line="469" w:lineRule="exact"/>
        <w:ind w:left="0" w:right="0" w:firstLine="440"/>
        <w:jc w:val="both"/>
      </w:pPr>
      <w:bookmarkStart w:id="887" w:name="bookmark887"/>
      <w:bookmarkStart w:id="888" w:name="bookmark888"/>
      <w:bookmarkStart w:id="891" w:name="bookmark891"/>
      <w:r>
        <w:rPr>
          <w:color w:val="000000"/>
          <w:spacing w:val="0"/>
          <w:w w:val="100"/>
          <w:position w:val="0"/>
        </w:rPr>
        <w:t>（</w:t>
      </w:r>
      <w:bookmarkEnd w:id="891"/>
      <w:r>
        <w:rPr>
          <w:color w:val="000000"/>
          <w:spacing w:val="0"/>
          <w:w w:val="100"/>
          <w:position w:val="0"/>
        </w:rPr>
        <w:t>1）</w:t>
        <w:tab/>
        <w:t>共同控制、重大影响的判断标准</w:t>
      </w:r>
      <w:bookmarkEnd w:id="887"/>
      <w:bookmarkEnd w:id="888"/>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重大影响，是指对被投资单位的财务和经营决策有参与决策的权力，但并不能够控制或者与其他方一 起共同控制这些政策的制定。本公司能够对被投资单位施加重大影响的，被投资单位为本公司联营企业。</w:t>
      </w:r>
    </w:p>
    <w:p>
      <w:pPr>
        <w:pStyle w:val="Style10"/>
        <w:keepNext w:val="0"/>
        <w:keepLines w:val="0"/>
        <w:widowControl w:val="0"/>
        <w:shd w:val="clear" w:color="auto" w:fill="auto"/>
        <w:tabs>
          <w:tab w:pos="928" w:val="left"/>
        </w:tabs>
        <w:bidi w:val="0"/>
        <w:spacing w:before="0" w:after="0" w:line="469" w:lineRule="exact"/>
        <w:ind w:left="0" w:right="0" w:firstLine="440"/>
        <w:jc w:val="both"/>
      </w:pPr>
      <w:bookmarkStart w:id="892" w:name="bookmark892"/>
      <w:r>
        <w:rPr>
          <w:b/>
          <w:bCs/>
          <w:color w:val="000000"/>
          <w:spacing w:val="0"/>
          <w:w w:val="100"/>
          <w:position w:val="0"/>
        </w:rPr>
        <w:t>（</w:t>
      </w:r>
      <w:bookmarkEnd w:id="892"/>
      <w:r>
        <w:rPr>
          <w:b/>
          <w:bCs/>
          <w:color w:val="000000"/>
          <w:spacing w:val="0"/>
          <w:w w:val="100"/>
          <w:position w:val="0"/>
        </w:rPr>
        <w:t>2）</w:t>
        <w:tab/>
        <w:t>初始投资成本的确定</w:t>
      </w:r>
    </w:p>
    <w:p>
      <w:pPr>
        <w:pStyle w:val="Style10"/>
        <w:keepNext w:val="0"/>
        <w:keepLines w:val="0"/>
        <w:widowControl w:val="0"/>
        <w:shd w:val="clear" w:color="auto" w:fill="auto"/>
        <w:bidi w:val="0"/>
        <w:spacing w:before="0" w:after="0" w:line="469" w:lineRule="exact"/>
        <w:ind w:left="0" w:right="0" w:firstLine="440"/>
        <w:jc w:val="both"/>
      </w:pPr>
      <w:bookmarkStart w:id="893" w:name="bookmark893"/>
      <w:r>
        <w:rPr>
          <w:color w:val="000000"/>
          <w:spacing w:val="0"/>
          <w:w w:val="100"/>
          <w:position w:val="0"/>
        </w:rPr>
        <w:t>1</w:t>
      </w:r>
      <w:bookmarkEnd w:id="893"/>
      <w:r>
        <w:rPr>
          <w:color w:val="000000"/>
          <w:spacing w:val="0"/>
          <w:w w:val="100"/>
          <w:position w:val="0"/>
        </w:rPr>
        <w:t>）企业合并形成的长期股权投资</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对于同一控制下的企业合并形成的对子公司的长期股权投资，在合并日按照取得被合并方所有者权益 在最终控制方合并财务报表中的账面价值的份额作为长期股权投资的初始投资成本。长期股权投资初始投 </w:t>
      </w:r>
      <w:r>
        <w:rPr>
          <w:color w:val="000000"/>
          <w:spacing w:val="0"/>
          <w:w w:val="100"/>
          <w:position w:val="0"/>
        </w:rPr>
        <w:t>资成本与支付对价账面价值之间的差额，调整资本公积中的股本溢价；资本公积中的股本溢价不足冲减时， 调整留存收益。因追加投资等原因能够对同一控制下的被投资单位实施控制的，按上述原则确认的长期股 权投资的初始投资成本与达到合并前的长期股权投资账面价值加上合并日进一步取得股份新支付对价的 账面价值之和的差额，调整股本溢价，股本溢价不足冲减的，冲减留存收益。</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对于非同一控制下的企业合并形成的对子公司的长期股权投资，按照购买日确定的合并成本作为长期 股权投资的初始投资成本。因追加投资等原因能够对非同一控制下的被投资单位实施控制的，按照原持有 的股权投资账面价值加上新增投资成本之和作为初始投资成本。</w:t>
      </w:r>
    </w:p>
    <w:p>
      <w:pPr>
        <w:pStyle w:val="Style10"/>
        <w:keepNext w:val="0"/>
        <w:keepLines w:val="0"/>
        <w:widowControl w:val="0"/>
        <w:shd w:val="clear" w:color="auto" w:fill="auto"/>
        <w:bidi w:val="0"/>
        <w:spacing w:before="0" w:after="0" w:line="469" w:lineRule="exact"/>
        <w:ind w:left="0" w:right="0" w:firstLine="440"/>
        <w:jc w:val="both"/>
      </w:pPr>
      <w:bookmarkStart w:id="894" w:name="bookmark894"/>
      <w:r>
        <w:rPr>
          <w:color w:val="000000"/>
          <w:spacing w:val="0"/>
          <w:w w:val="100"/>
          <w:position w:val="0"/>
        </w:rPr>
        <w:t>2</w:t>
      </w:r>
      <w:bookmarkEnd w:id="894"/>
      <w:r>
        <w:rPr>
          <w:color w:val="000000"/>
          <w:spacing w:val="0"/>
          <w:w w:val="100"/>
          <w:position w:val="0"/>
        </w:rPr>
        <w:t>）通过企业合并以外的其他方式取得的长期股权投资</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10"/>
        <w:keepNext w:val="0"/>
        <w:keepLines w:val="0"/>
        <w:widowControl w:val="0"/>
        <w:shd w:val="clear" w:color="auto" w:fill="auto"/>
        <w:bidi w:val="0"/>
        <w:spacing w:before="0" w:after="0" w:line="469" w:lineRule="exact"/>
        <w:ind w:left="0" w:right="0" w:firstLine="440"/>
        <w:jc w:val="both"/>
      </w:pPr>
      <w:bookmarkStart w:id="895" w:name="bookmark895"/>
      <w:r>
        <w:rPr>
          <w:b/>
          <w:bCs/>
          <w:color w:val="000000"/>
          <w:spacing w:val="0"/>
          <w:w w:val="100"/>
          <w:position w:val="0"/>
        </w:rPr>
        <w:t>（</w:t>
      </w:r>
      <w:bookmarkEnd w:id="895"/>
      <w:r>
        <w:rPr>
          <w:b/>
          <w:bCs/>
          <w:color w:val="000000"/>
          <w:spacing w:val="0"/>
          <w:w w:val="100"/>
          <w:position w:val="0"/>
        </w:rPr>
        <w:t>3）后续计量及损益确认方法</w:t>
      </w:r>
    </w:p>
    <w:p>
      <w:pPr>
        <w:pStyle w:val="Style10"/>
        <w:keepNext w:val="0"/>
        <w:keepLines w:val="0"/>
        <w:widowControl w:val="0"/>
        <w:shd w:val="clear" w:color="auto" w:fill="auto"/>
        <w:tabs>
          <w:tab w:pos="794" w:val="left"/>
        </w:tabs>
        <w:bidi w:val="0"/>
        <w:spacing w:before="0" w:after="0" w:line="469" w:lineRule="exact"/>
        <w:ind w:left="0" w:right="0" w:firstLine="440"/>
        <w:jc w:val="both"/>
      </w:pPr>
      <w:bookmarkStart w:id="896" w:name="bookmark896"/>
      <w:r>
        <w:rPr>
          <w:color w:val="000000"/>
          <w:spacing w:val="0"/>
          <w:w w:val="100"/>
          <w:position w:val="0"/>
        </w:rPr>
        <w:t>1</w:t>
      </w:r>
      <w:bookmarkEnd w:id="896"/>
      <w:r>
        <w:rPr>
          <w:color w:val="000000"/>
          <w:spacing w:val="0"/>
          <w:w w:val="100"/>
          <w:position w:val="0"/>
        </w:rPr>
        <w:t>）</w:t>
        <w:tab/>
        <w:t>成本法核算的长期股权投资</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公司对子公司的长期股权投资，采用成本法核算，除非投资符合持有待售的条件。除取得投资时实际 支付的价款或对价中包含的已宣告但尚未发放的现金股利或利润外，公司按照享有被投资单位宣告发放的 现金股利或利润确认当期投资收益。</w:t>
      </w:r>
    </w:p>
    <w:p>
      <w:pPr>
        <w:pStyle w:val="Style10"/>
        <w:keepNext w:val="0"/>
        <w:keepLines w:val="0"/>
        <w:widowControl w:val="0"/>
        <w:shd w:val="clear" w:color="auto" w:fill="auto"/>
        <w:tabs>
          <w:tab w:pos="808" w:val="left"/>
        </w:tabs>
        <w:bidi w:val="0"/>
        <w:spacing w:before="0" w:after="0" w:line="469" w:lineRule="exact"/>
        <w:ind w:left="0" w:right="0" w:firstLine="440"/>
        <w:jc w:val="both"/>
      </w:pPr>
      <w:bookmarkStart w:id="897" w:name="bookmark897"/>
      <w:r>
        <w:rPr>
          <w:color w:val="000000"/>
          <w:spacing w:val="0"/>
          <w:w w:val="100"/>
          <w:position w:val="0"/>
        </w:rPr>
        <w:t>2</w:t>
      </w:r>
      <w:bookmarkEnd w:id="897"/>
      <w:r>
        <w:rPr>
          <w:color w:val="000000"/>
          <w:spacing w:val="0"/>
          <w:w w:val="100"/>
          <w:position w:val="0"/>
        </w:rPr>
        <w:t>）</w:t>
        <w:tab/>
        <w:t>权益法核算的长期股权投资</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享有被投资单位可辨认净资产公允价值份额的差额，计入当期损益，同时调整长期股权投资的成本。</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有者权益的其他变动（简称“其他所有者权益变动”），调整长期股权投资的账面价值并计入所有者权益。</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在确认应享有被投资单位净损益、其他综合收益及其他所有者权益变动的份额时，以取得投资时被投 资单位可辨认净资产的公允价值为基础，并按照公司的会计政策及会计期间，对被投资单位的净利润和其 他综合收益等进行调整后确认。</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公司与联营企业、合营企业之间发生的未实现内部交易损益按照应享有的比例计算归属于公司的部 分，予以抵销，在此基础上确认投资收益，但投出或出售的资产构成业务的除外。与被投资单位发生的未 实现内部交易损失，属于资产减值损失的，全额确认。</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公司对合营企业或联营企业发生的净亏损，除负有承担额外损失义务外，以长期股权投资的账面价值 </w:t>
      </w:r>
      <w:r>
        <w:rPr>
          <w:color w:val="000000"/>
          <w:spacing w:val="0"/>
          <w:w w:val="100"/>
          <w:position w:val="0"/>
        </w:rPr>
        <w:t>以及其他实质上构成对合营企业或联营企业净投资的长期权益减记至零为限。合营企业或联营企业以后实 现净利润的，公司在收益分享额弥补未确认的亏损分担额后，恢复确认收益分享额。</w:t>
      </w:r>
    </w:p>
    <w:p>
      <w:pPr>
        <w:pStyle w:val="Style10"/>
        <w:keepNext w:val="0"/>
        <w:keepLines w:val="0"/>
        <w:widowControl w:val="0"/>
        <w:shd w:val="clear" w:color="auto" w:fill="auto"/>
        <w:bidi w:val="0"/>
        <w:spacing w:before="0" w:after="0" w:line="468" w:lineRule="exact"/>
        <w:ind w:left="0" w:right="0" w:firstLine="440"/>
        <w:jc w:val="both"/>
      </w:pPr>
      <w:bookmarkStart w:id="898" w:name="bookmark898"/>
      <w:r>
        <w:rPr>
          <w:color w:val="000000"/>
          <w:spacing w:val="0"/>
          <w:w w:val="100"/>
          <w:position w:val="0"/>
        </w:rPr>
        <w:t>3</w:t>
      </w:r>
      <w:bookmarkEnd w:id="898"/>
      <w:r>
        <w:rPr>
          <w:color w:val="000000"/>
          <w:spacing w:val="0"/>
          <w:w w:val="100"/>
          <w:position w:val="0"/>
        </w:rPr>
        <w:t>）长期股权投资的处置</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处置长期股权投资，其账面价值与实际取得价款的差额，计入当期损益。</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部分处置权益法核算的长期股权投资，剩余股权仍采用权益法核算的，原权益法核算确认的其他综合 收益采用与被投资单位直接处置相关资产或负债相同的基础按相应比例结转，其他所有者权益变动按比例 结转入当期损益。</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因处置股权投资等原因丧失了对被投资单位的共同控制或重大影响的，原股权投资因采用权益法核算 而确认的其他综合收益，在终止采用权益法核算时采用与被投资单位直接处置相关资产或负债相同的基础 进行会计处理，其他所有者权益变动在终止采用权益法核算时全部转入当期损益。</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因处置部分股权投资等原因丧失了对被投资单位控制权的，在编制个别财务报表时，剩余股权能够对 被投资单位实施共同控制或重大影响的，改按权益法核算，并对该剩余股权视同自取得时即采用权益法核 算进行调整，对于取得被投资单位控制权之前确认的其他综合收益采用与被投资单位直接处置相关资产或 负债相同的基础按比例结转，因采用权益法核算确认的其他所有者权益变动按比例结转入当期损益；剩余 股权不能对被投资单位实施共同控制或施加重大影响的，确认为金融资产，其在丧失控制之日的公允价值 与账面价值间的差额计入当期损益，对于取得被投资单位控制权之前确认的其他综合收益和其他所有者权 益变动全部结转。</w:t>
      </w:r>
    </w:p>
    <w:p>
      <w:pPr>
        <w:pStyle w:val="Style1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通过多次交易分步处置对子公司股权投资直至丧失控制权，属于一揽子交易的，各项交易作为一项处 置子公司股权投资并丧失控制权的交易进行会计处理；在丧失控制权之前每一次处置价款与所处置的股权 对应得长期股权投资账面价值之间的差额，在个别财务报表中，先确认为其他综合收益，到丧失控制权时 再一并转人丧失控制权的当期损益。不属于一揽子交易的，对每一项交易分别进行会计处理。</w:t>
      </w:r>
    </w:p>
    <w:p>
      <w:pPr>
        <w:pStyle w:val="Style28"/>
        <w:keepNext/>
        <w:keepLines/>
        <w:widowControl w:val="0"/>
        <w:shd w:val="clear" w:color="auto" w:fill="auto"/>
        <w:bidi w:val="0"/>
        <w:spacing w:before="0" w:after="140" w:line="480" w:lineRule="auto"/>
        <w:ind w:left="0" w:right="0" w:firstLine="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rFonts w:ascii="Times New Roman" w:eastAsia="Times New Roman" w:hAnsi="Times New Roman" w:cs="Times New Roman"/>
          <w:color w:val="000000"/>
          <w:spacing w:val="0"/>
          <w:w w:val="100"/>
          <w:position w:val="0"/>
        </w:rPr>
        <w:t>9</w:t>
      </w:r>
      <w:r>
        <w:rPr>
          <w:color w:val="000000"/>
          <w:spacing w:val="0"/>
          <w:w w:val="100"/>
          <w:position w:val="0"/>
        </w:rPr>
        <w:t>、投资性房地产</w:t>
      </w:r>
      <w:bookmarkEnd w:id="899"/>
      <w:bookmarkEnd w:id="900"/>
      <w:bookmarkEnd w:id="902"/>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投资性房地产计量模式</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成本法计量</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折旧或摊销方法</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与投资性房地产有关的后续支出，在相关的经济利益很可能流入且其成本能够可靠的计量时，计入投 </w:t>
      </w:r>
      <w:r>
        <w:rPr>
          <w:color w:val="000000"/>
          <w:spacing w:val="0"/>
          <w:w w:val="100"/>
          <w:position w:val="0"/>
        </w:rPr>
        <w:t>资性房地产成本；否则，于发生时计入当期损益。</w:t>
      </w:r>
    </w:p>
    <w:p>
      <w:pPr>
        <w:pStyle w:val="Style10"/>
        <w:keepNext w:val="0"/>
        <w:keepLines w:val="0"/>
        <w:widowControl w:val="0"/>
        <w:shd w:val="clear" w:color="auto" w:fill="auto"/>
        <w:bidi w:val="0"/>
        <w:spacing w:before="0" w:after="420" w:line="461" w:lineRule="exact"/>
        <w:ind w:left="0" w:right="0" w:firstLine="440"/>
        <w:jc w:val="both"/>
      </w:pPr>
      <w:r>
        <w:rPr>
          <w:color w:val="000000"/>
          <w:spacing w:val="0"/>
          <w:w w:val="100"/>
          <w:position w:val="0"/>
        </w:rPr>
        <w:t>本公司对现有投资性房地产采用成本模式计量。对按照成本模式计量的投资性房地产一出租用建筑物 采用与本公司固定资产相同的折旧政策，出租用土地使用权按与无形资产相同的摊销政策执行。</w:t>
      </w:r>
    </w:p>
    <w:p>
      <w:pPr>
        <w:pStyle w:val="Style28"/>
        <w:keepNext/>
        <w:keepLines/>
        <w:widowControl w:val="0"/>
        <w:shd w:val="clear" w:color="auto" w:fill="auto"/>
        <w:bidi w:val="0"/>
        <w:spacing w:before="0" w:after="0" w:line="480" w:lineRule="auto"/>
        <w:ind w:left="0" w:right="0" w:firstLine="0"/>
        <w:jc w:val="both"/>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903"/>
      <w:bookmarkEnd w:id="904"/>
      <w:bookmarkEnd w:id="906"/>
    </w:p>
    <w:p>
      <w:pPr>
        <w:pStyle w:val="Style201"/>
        <w:keepNext/>
        <w:keepLines/>
        <w:widowControl w:val="0"/>
        <w:numPr>
          <w:ilvl w:val="0"/>
          <w:numId w:val="23"/>
        </w:numPr>
        <w:shd w:val="clear" w:color="auto" w:fill="auto"/>
        <w:bidi w:val="0"/>
        <w:spacing w:before="0" w:after="220" w:line="466" w:lineRule="exact"/>
        <w:ind w:left="0" w:right="0" w:firstLine="0"/>
        <w:jc w:val="both"/>
      </w:pPr>
      <w:bookmarkStart w:id="907" w:name="bookmark907"/>
      <w:bookmarkStart w:id="908" w:name="bookmark908"/>
      <w:bookmarkStart w:id="909" w:name="bookmark909"/>
      <w:bookmarkStart w:id="910" w:name="bookmark910"/>
      <w:bookmarkEnd w:id="909"/>
      <w:r>
        <w:rPr>
          <w:color w:val="000000"/>
          <w:spacing w:val="0"/>
          <w:w w:val="100"/>
          <w:position w:val="0"/>
        </w:rPr>
        <w:t>确认条件</w:t>
      </w:r>
      <w:bookmarkEnd w:id="907"/>
      <w:bookmarkEnd w:id="908"/>
      <w:bookmarkEnd w:id="910"/>
    </w:p>
    <w:p>
      <w:pPr>
        <w:pStyle w:val="Style10"/>
        <w:keepNext w:val="0"/>
        <w:keepLines w:val="0"/>
        <w:widowControl w:val="0"/>
        <w:numPr>
          <w:ilvl w:val="0"/>
          <w:numId w:val="25"/>
        </w:numPr>
        <w:shd w:val="clear" w:color="auto" w:fill="auto"/>
        <w:tabs>
          <w:tab w:pos="813" w:val="left"/>
        </w:tabs>
        <w:bidi w:val="0"/>
        <w:spacing w:before="0" w:after="0" w:line="466" w:lineRule="exact"/>
        <w:ind w:left="0" w:right="0" w:firstLine="440"/>
        <w:jc w:val="both"/>
      </w:pPr>
      <w:bookmarkStart w:id="911" w:name="bookmark911"/>
      <w:bookmarkEnd w:id="911"/>
      <w:r>
        <w:rPr>
          <w:color w:val="000000"/>
          <w:spacing w:val="0"/>
          <w:w w:val="100"/>
          <w:position w:val="0"/>
        </w:rPr>
        <w:t>固定资产的确认和初始计量</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10"/>
        <w:keepNext w:val="0"/>
        <w:keepLines w:val="0"/>
        <w:widowControl w:val="0"/>
        <w:numPr>
          <w:ilvl w:val="0"/>
          <w:numId w:val="27"/>
        </w:numPr>
        <w:shd w:val="clear" w:color="auto" w:fill="auto"/>
        <w:tabs>
          <w:tab w:pos="760" w:val="left"/>
        </w:tabs>
        <w:bidi w:val="0"/>
        <w:spacing w:before="0" w:after="0" w:line="466" w:lineRule="exact"/>
        <w:ind w:left="0" w:right="0" w:firstLine="440"/>
        <w:jc w:val="both"/>
      </w:pPr>
      <w:bookmarkStart w:id="912" w:name="bookmark912"/>
      <w:bookmarkEnd w:id="912"/>
      <w:r>
        <w:rPr>
          <w:color w:val="000000"/>
          <w:spacing w:val="0"/>
          <w:w w:val="100"/>
          <w:position w:val="0"/>
        </w:rPr>
        <w:t>与该固定资产有关的经济利益很可能流入企业；</w:t>
      </w:r>
    </w:p>
    <w:p>
      <w:pPr>
        <w:pStyle w:val="Style10"/>
        <w:keepNext w:val="0"/>
        <w:keepLines w:val="0"/>
        <w:widowControl w:val="0"/>
        <w:numPr>
          <w:ilvl w:val="0"/>
          <w:numId w:val="27"/>
        </w:numPr>
        <w:shd w:val="clear" w:color="auto" w:fill="auto"/>
        <w:tabs>
          <w:tab w:pos="779" w:val="left"/>
        </w:tabs>
        <w:bidi w:val="0"/>
        <w:spacing w:before="0" w:after="0" w:line="466" w:lineRule="exact"/>
        <w:ind w:left="0" w:right="0" w:firstLine="440"/>
        <w:jc w:val="both"/>
      </w:pPr>
      <w:bookmarkStart w:id="913" w:name="bookmark913"/>
      <w:bookmarkEnd w:id="913"/>
      <w:r>
        <w:rPr>
          <w:color w:val="000000"/>
          <w:spacing w:val="0"/>
          <w:w w:val="100"/>
          <w:position w:val="0"/>
        </w:rPr>
        <w:t>该固定资产的成本能够可靠地计量。</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固定资产按成本(并考虑预计弃置费用因素的影响)进行初始计量。</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与固定资产有关的后续支出，在与其有关的经济利益很可能流入且其成本能够可靠计量时，计入固定 资产成本；对于被替换的部分，终止确认其账面价值；所有其他后续支出于发生时计入当期损益。</w:t>
      </w:r>
    </w:p>
    <w:p>
      <w:pPr>
        <w:pStyle w:val="Style10"/>
        <w:keepNext w:val="0"/>
        <w:keepLines w:val="0"/>
        <w:widowControl w:val="0"/>
        <w:numPr>
          <w:ilvl w:val="0"/>
          <w:numId w:val="25"/>
        </w:numPr>
        <w:shd w:val="clear" w:color="auto" w:fill="auto"/>
        <w:tabs>
          <w:tab w:pos="832" w:val="left"/>
        </w:tabs>
        <w:bidi w:val="0"/>
        <w:spacing w:before="0" w:after="0" w:line="466" w:lineRule="exact"/>
        <w:ind w:left="0" w:right="0" w:firstLine="440"/>
        <w:jc w:val="both"/>
      </w:pPr>
      <w:bookmarkStart w:id="914" w:name="bookmark914"/>
      <w:bookmarkEnd w:id="914"/>
      <w:r>
        <w:rPr>
          <w:color w:val="000000"/>
          <w:spacing w:val="0"/>
          <w:w w:val="100"/>
          <w:position w:val="0"/>
        </w:rPr>
        <w:t>固定资产分类和折旧方法</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固定资产折旧采用年限平均法分类计提，根据固定资产类别、预计使用寿命和预计净残值率确定折旧 率。对计提了减值准备的固定资产，则在未来期间按扣除减值准备后的账面价值及依据尚可使用年限确定 折旧额。如固定资产各组成部分的使用寿命不同或者以不同方式为企业提供经济利益，则选择不同折旧率 或折旧方法，分别计提折旧。</w:t>
      </w:r>
    </w:p>
    <w:p>
      <w:pPr>
        <w:pStyle w:val="Style10"/>
        <w:keepNext w:val="0"/>
        <w:keepLines w:val="0"/>
        <w:widowControl w:val="0"/>
        <w:shd w:val="clear" w:color="auto" w:fill="auto"/>
        <w:bidi w:val="0"/>
        <w:spacing w:before="0" w:after="420" w:line="466" w:lineRule="exact"/>
        <w:ind w:left="0" w:right="0" w:firstLine="440"/>
        <w:jc w:val="left"/>
      </w:pPr>
      <w:r>
        <w:rPr>
          <w:color w:val="000000"/>
          <w:spacing w:val="0"/>
          <w:w w:val="100"/>
          <w:position w:val="0"/>
        </w:rPr>
        <w:t>各类固定资产折旧方法、折旧年限、残值率和年折旧率如下：</w:t>
      </w:r>
    </w:p>
    <w:p>
      <w:pPr>
        <w:pStyle w:val="Style21"/>
        <w:keepNext w:val="0"/>
        <w:keepLines w:val="0"/>
        <w:widowControl w:val="0"/>
        <w:shd w:val="clear" w:color="auto" w:fill="auto"/>
        <w:bidi w:val="0"/>
        <w:spacing w:before="0" w:after="0" w:line="240" w:lineRule="auto"/>
        <w:ind w:left="5" w:right="0" w:firstLine="0"/>
        <w:jc w:val="left"/>
      </w:pPr>
      <w:bookmarkStart w:id="915" w:name="bookmark9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15"/>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9.50%-2.375%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管道沟槽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19.00%-9.50%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31.67%-19.00%</w:t>
            </w:r>
          </w:p>
        </w:tc>
      </w:tr>
    </w:tbl>
    <w:p>
      <w:pPr>
        <w:pStyle w:val="Style21"/>
        <w:keepNext w:val="0"/>
        <w:keepLines w:val="0"/>
        <w:widowControl w:val="0"/>
        <w:shd w:val="clear" w:color="auto" w:fill="auto"/>
        <w:bidi w:val="0"/>
        <w:spacing w:before="0" w:after="0" w:line="240" w:lineRule="auto"/>
        <w:ind w:left="418" w:right="0" w:firstLine="0"/>
        <w:jc w:val="left"/>
      </w:pPr>
      <w:r>
        <w:rPr>
          <w:color w:val="000000"/>
          <w:spacing w:val="0"/>
          <w:w w:val="100"/>
          <w:position w:val="0"/>
        </w:rPr>
        <w:t>固定资产处置</w:t>
      </w:r>
    </w:p>
    <w:p>
      <w:pPr>
        <w:pStyle w:val="Style10"/>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当固定资产被处置、或者预期通过使用或处置不能产生经济利益时，终止确认该固定资产。固定资产 出售、转让、报废或毁损的处置收入扣除其账面价值和相关税费后的金额计入当期损益。</w:t>
      </w:r>
    </w:p>
    <w:p>
      <w:pPr>
        <w:pStyle w:val="Style28"/>
        <w:keepNext/>
        <w:keepLines/>
        <w:widowControl w:val="0"/>
        <w:shd w:val="clear" w:color="auto" w:fill="auto"/>
        <w:tabs>
          <w:tab w:pos="483" w:val="left"/>
        </w:tabs>
        <w:bidi w:val="0"/>
        <w:spacing w:before="0" w:after="0" w:line="48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1</w:t>
      </w:r>
      <w:r>
        <w:rPr>
          <w:color w:val="000000"/>
          <w:spacing w:val="0"/>
          <w:w w:val="100"/>
          <w:position w:val="0"/>
        </w:rPr>
        <w:t>、</w:t>
        <w:tab/>
        <w:t>在建工程</w:t>
      </w:r>
      <w:bookmarkEnd w:id="916"/>
      <w:bookmarkEnd w:id="917"/>
      <w:bookmarkEnd w:id="919"/>
    </w:p>
    <w:p>
      <w:pPr>
        <w:pStyle w:val="Style10"/>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在建工程按实际发生的成本计量。实际成本包括建筑成本、安装成本、符合资本化条件的借款费用以 及其他为使在建工程达到预定可使用状态前所发生的必要支出。在建工程在达到预定可使用状态时，转入 固定资产并自次月起开始计提折旧。</w:t>
      </w:r>
    </w:p>
    <w:p>
      <w:pPr>
        <w:pStyle w:val="Style28"/>
        <w:keepNext/>
        <w:keepLines/>
        <w:widowControl w:val="0"/>
        <w:shd w:val="clear" w:color="auto" w:fill="auto"/>
        <w:tabs>
          <w:tab w:pos="483" w:val="left"/>
        </w:tabs>
        <w:bidi w:val="0"/>
        <w:spacing w:before="0" w:after="0" w:line="48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bookmarkEnd w:id="922"/>
      <w:r>
        <w:rPr>
          <w:rFonts w:ascii="Times New Roman" w:eastAsia="Times New Roman" w:hAnsi="Times New Roman" w:cs="Times New Roman"/>
          <w:color w:val="000000"/>
          <w:spacing w:val="0"/>
          <w:w w:val="100"/>
          <w:position w:val="0"/>
        </w:rPr>
        <w:t>2</w:t>
      </w:r>
      <w:r>
        <w:rPr>
          <w:color w:val="000000"/>
          <w:spacing w:val="0"/>
          <w:w w:val="100"/>
          <w:position w:val="0"/>
        </w:rPr>
        <w:t>、</w:t>
        <w:tab/>
        <w:t>借款费用</w:t>
      </w:r>
      <w:bookmarkEnd w:id="920"/>
      <w:bookmarkEnd w:id="921"/>
      <w:bookmarkEnd w:id="923"/>
    </w:p>
    <w:p>
      <w:pPr>
        <w:pStyle w:val="Style28"/>
        <w:keepNext/>
        <w:keepLines/>
        <w:widowControl w:val="0"/>
        <w:shd w:val="clear" w:color="auto" w:fill="auto"/>
        <w:tabs>
          <w:tab w:pos="928" w:val="left"/>
        </w:tabs>
        <w:bidi w:val="0"/>
        <w:spacing w:before="0" w:after="0" w:line="468" w:lineRule="exact"/>
        <w:ind w:left="0" w:right="0" w:firstLine="440"/>
        <w:jc w:val="left"/>
      </w:pPr>
      <w:bookmarkStart w:id="920" w:name="bookmark920"/>
      <w:bookmarkStart w:id="921" w:name="bookmark921"/>
      <w:bookmarkStart w:id="924" w:name="bookmark924"/>
      <w:r>
        <w:rPr>
          <w:color w:val="000000"/>
          <w:spacing w:val="0"/>
          <w:w w:val="100"/>
          <w:position w:val="0"/>
        </w:rPr>
        <w:t>（</w:t>
      </w:r>
      <w:bookmarkEnd w:id="924"/>
      <w:r>
        <w:rPr>
          <w:color w:val="000000"/>
          <w:spacing w:val="0"/>
          <w:w w:val="100"/>
          <w:position w:val="0"/>
        </w:rPr>
        <w:t>1）</w:t>
        <w:tab/>
        <w:t>借款费用资本化的确认原则</w:t>
      </w:r>
      <w:bookmarkEnd w:id="920"/>
      <w:bookmarkEnd w:id="921"/>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10"/>
        <w:keepNext w:val="0"/>
        <w:keepLines w:val="0"/>
        <w:widowControl w:val="0"/>
        <w:shd w:val="clear" w:color="auto" w:fill="auto"/>
        <w:tabs>
          <w:tab w:pos="928" w:val="left"/>
        </w:tabs>
        <w:bidi w:val="0"/>
        <w:spacing w:before="0" w:after="0" w:line="468" w:lineRule="exact"/>
        <w:ind w:left="0" w:right="0" w:firstLine="440"/>
        <w:jc w:val="left"/>
      </w:pPr>
      <w:bookmarkStart w:id="925" w:name="bookmark925"/>
      <w:r>
        <w:rPr>
          <w:b/>
          <w:bCs/>
          <w:color w:val="000000"/>
          <w:spacing w:val="0"/>
          <w:w w:val="100"/>
          <w:position w:val="0"/>
        </w:rPr>
        <w:t>（</w:t>
      </w:r>
      <w:bookmarkEnd w:id="925"/>
      <w:r>
        <w:rPr>
          <w:b/>
          <w:bCs/>
          <w:color w:val="000000"/>
          <w:spacing w:val="0"/>
          <w:w w:val="100"/>
          <w:position w:val="0"/>
        </w:rPr>
        <w:t>2）</w:t>
        <w:tab/>
        <w:t>借款费用资本化期间</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借款费用同时满足下列条件时开始资本化：</w:t>
      </w:r>
    </w:p>
    <w:p>
      <w:pPr>
        <w:pStyle w:val="Style10"/>
        <w:keepNext w:val="0"/>
        <w:keepLines w:val="0"/>
        <w:widowControl w:val="0"/>
        <w:shd w:val="clear" w:color="auto" w:fill="auto"/>
        <w:tabs>
          <w:tab w:pos="812" w:val="left"/>
        </w:tabs>
        <w:bidi w:val="0"/>
        <w:spacing w:before="0" w:after="0" w:line="468" w:lineRule="exact"/>
        <w:ind w:left="0" w:right="0" w:firstLine="440"/>
        <w:jc w:val="both"/>
      </w:pPr>
      <w:bookmarkStart w:id="926" w:name="bookmark926"/>
      <w:r>
        <w:rPr>
          <w:b/>
          <w:bCs/>
          <w:color w:val="000000"/>
          <w:spacing w:val="0"/>
          <w:w w:val="100"/>
          <w:position w:val="0"/>
        </w:rPr>
        <w:t>1</w:t>
      </w:r>
      <w:bookmarkEnd w:id="926"/>
      <w:r>
        <w:rPr>
          <w:color w:val="000000"/>
          <w:spacing w:val="0"/>
          <w:w w:val="100"/>
          <w:position w:val="0"/>
        </w:rPr>
        <w:t>）</w:t>
        <w:tab/>
        <w:t>资产支出已经发生，资产支出包括为购建或者生产符合资本化条件的资产而以支付现金、转移非 现金资产或者承担带息债务形式发生的支出；</w:t>
      </w:r>
    </w:p>
    <w:p>
      <w:pPr>
        <w:pStyle w:val="Style10"/>
        <w:keepNext w:val="0"/>
        <w:keepLines w:val="0"/>
        <w:widowControl w:val="0"/>
        <w:shd w:val="clear" w:color="auto" w:fill="auto"/>
        <w:tabs>
          <w:tab w:pos="832" w:val="left"/>
        </w:tabs>
        <w:bidi w:val="0"/>
        <w:spacing w:before="0" w:after="0" w:line="468" w:lineRule="exact"/>
        <w:ind w:left="0" w:right="0" w:firstLine="440"/>
        <w:jc w:val="both"/>
      </w:pPr>
      <w:bookmarkStart w:id="927" w:name="bookmark927"/>
      <w:r>
        <w:rPr>
          <w:b/>
          <w:bCs/>
          <w:color w:val="000000"/>
          <w:spacing w:val="0"/>
          <w:w w:val="100"/>
          <w:position w:val="0"/>
        </w:rPr>
        <w:t>2</w:t>
      </w:r>
      <w:bookmarkEnd w:id="927"/>
      <w:r>
        <w:rPr>
          <w:color w:val="000000"/>
          <w:spacing w:val="0"/>
          <w:w w:val="100"/>
          <w:position w:val="0"/>
        </w:rPr>
        <w:t>）</w:t>
        <w:tab/>
        <w:t>借款费用已经发生；</w:t>
      </w:r>
    </w:p>
    <w:p>
      <w:pPr>
        <w:pStyle w:val="Style10"/>
        <w:keepNext w:val="0"/>
        <w:keepLines w:val="0"/>
        <w:widowControl w:val="0"/>
        <w:shd w:val="clear" w:color="auto" w:fill="auto"/>
        <w:tabs>
          <w:tab w:pos="832" w:val="left"/>
        </w:tabs>
        <w:bidi w:val="0"/>
        <w:spacing w:before="0" w:after="0" w:line="468" w:lineRule="exact"/>
        <w:ind w:left="0" w:right="0" w:firstLine="440"/>
        <w:jc w:val="both"/>
      </w:pPr>
      <w:bookmarkStart w:id="928" w:name="bookmark928"/>
      <w:r>
        <w:rPr>
          <w:b/>
          <w:bCs/>
          <w:color w:val="000000"/>
          <w:spacing w:val="0"/>
          <w:w w:val="100"/>
          <w:position w:val="0"/>
        </w:rPr>
        <w:t>3</w:t>
      </w:r>
      <w:bookmarkEnd w:id="928"/>
      <w:r>
        <w:rPr>
          <w:color w:val="000000"/>
          <w:spacing w:val="0"/>
          <w:w w:val="100"/>
          <w:position w:val="0"/>
        </w:rPr>
        <w:t>）</w:t>
        <w:tab/>
        <w:t>为使资产达到预定可使用或者可销售状态所必要的购建或者生产活动已经开始。</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10"/>
        <w:keepNext w:val="0"/>
        <w:keepLines w:val="0"/>
        <w:widowControl w:val="0"/>
        <w:shd w:val="clear" w:color="auto" w:fill="auto"/>
        <w:tabs>
          <w:tab w:pos="928" w:val="left"/>
        </w:tabs>
        <w:bidi w:val="0"/>
        <w:spacing w:before="0" w:after="0" w:line="468" w:lineRule="exact"/>
        <w:ind w:left="0" w:right="0" w:firstLine="440"/>
        <w:jc w:val="both"/>
      </w:pPr>
      <w:bookmarkStart w:id="929" w:name="bookmark929"/>
      <w:r>
        <w:rPr>
          <w:b/>
          <w:bCs/>
          <w:color w:val="000000"/>
          <w:spacing w:val="0"/>
          <w:w w:val="100"/>
          <w:position w:val="0"/>
        </w:rPr>
        <w:t>（</w:t>
      </w:r>
      <w:bookmarkEnd w:id="929"/>
      <w:r>
        <w:rPr>
          <w:b/>
          <w:bCs/>
          <w:color w:val="000000"/>
          <w:spacing w:val="0"/>
          <w:w w:val="100"/>
          <w:position w:val="0"/>
        </w:rPr>
        <w:t>3）</w:t>
        <w:tab/>
        <w:t>暂停资本化期间</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符合资本化条件的资产在购建或生产过程中发生的非正常中断、且中断时间连续超过3个月的，则借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10"/>
        <w:keepNext w:val="0"/>
        <w:keepLines w:val="0"/>
        <w:widowControl w:val="0"/>
        <w:shd w:val="clear" w:color="auto" w:fill="auto"/>
        <w:tabs>
          <w:tab w:pos="928" w:val="left"/>
        </w:tabs>
        <w:bidi w:val="0"/>
        <w:spacing w:before="0" w:after="0" w:line="468" w:lineRule="exact"/>
        <w:ind w:left="0" w:right="0" w:firstLine="440"/>
        <w:jc w:val="both"/>
      </w:pPr>
      <w:bookmarkStart w:id="930" w:name="bookmark930"/>
      <w:r>
        <w:rPr>
          <w:b/>
          <w:bCs/>
          <w:color w:val="000000"/>
          <w:spacing w:val="0"/>
          <w:w w:val="100"/>
          <w:position w:val="0"/>
        </w:rPr>
        <w:t>（</w:t>
      </w:r>
      <w:bookmarkEnd w:id="930"/>
      <w:r>
        <w:rPr>
          <w:b/>
          <w:bCs/>
          <w:color w:val="000000"/>
          <w:spacing w:val="0"/>
          <w:w w:val="100"/>
          <w:position w:val="0"/>
        </w:rPr>
        <w:t>4）</w:t>
        <w:tab/>
        <w:t>借款费用资本化率、资本化金额的计算方法</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对于为购建或者生产符合资本化条件的资产而借入的专门借款，以专门借款当期实际发生的借款费 </w:t>
      </w:r>
      <w:r>
        <w:rPr>
          <w:color w:val="000000"/>
          <w:spacing w:val="0"/>
          <w:w w:val="100"/>
          <w:position w:val="0"/>
        </w:rPr>
        <w:t>用，减去尚未动用的借款资金存入银行取得的利息收入或进行暂时性投资取得的投资收益后的金额，来确 定借款费用的资本化金额。</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资本化率根据一般借款加权平均实际利率计算确定。</w:t>
      </w:r>
    </w:p>
    <w:p>
      <w:pPr>
        <w:pStyle w:val="Style1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在资本化期间内，外币专门借款本金及利息的汇兑差额，予以资本化，计入符合资本化条件的资产的 成本。除外币专门借款之外的其他外币借款本金及其利息所产生的汇兑差额计入当期损益。</w:t>
      </w:r>
    </w:p>
    <w:p>
      <w:pPr>
        <w:pStyle w:val="Style28"/>
        <w:keepNext/>
        <w:keepLines/>
        <w:widowControl w:val="0"/>
        <w:shd w:val="clear" w:color="auto" w:fill="auto"/>
        <w:tabs>
          <w:tab w:pos="483" w:val="left"/>
        </w:tabs>
        <w:bidi w:val="0"/>
        <w:spacing w:before="0" w:after="0" w:line="492" w:lineRule="auto"/>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3</w:t>
      </w:r>
      <w:r>
        <w:rPr>
          <w:color w:val="000000"/>
          <w:spacing w:val="0"/>
          <w:w w:val="100"/>
          <w:position w:val="0"/>
        </w:rPr>
        <w:t>、</w:t>
        <w:tab/>
        <w:t>使用权资产</w:t>
      </w:r>
      <w:bookmarkEnd w:id="931"/>
      <w:bookmarkEnd w:id="932"/>
      <w:bookmarkEnd w:id="934"/>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在租赁期开始日，本公司对除短期租赁和低价值资产租赁以外的租赁确认使用权资产。使用权资产按 照成本进行初始计量。该成本包括：</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租赁负债的初始计量金额；</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在租赁期开始日或之前支付的租赁付款额，存在租赁激励的，扣除已享受的租赁激励相关金额；</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本公司发生的初始直接费用；</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本公司为拆卸及移除租赁资产、复原租赁资产所在场地或将租赁资产恢复至租赁条款约定状态预计将 发生的成本，但不包括属于为生产存货而发生的成本。</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本公司后续采用直线法对使用权资产计提折旧。对能够合理确定租赁期届满时取得租赁资产所有权 的，本公司在租赁资产剩余使用寿命内计提折旧；否则，租赁资产在租赁期与租赁资产剩余使用寿命两者 孰短的期间内计提折旧。</w:t>
      </w:r>
    </w:p>
    <w:p>
      <w:pPr>
        <w:pStyle w:val="Style10"/>
        <w:keepNext w:val="0"/>
        <w:keepLines w:val="0"/>
        <w:widowControl w:val="0"/>
        <w:shd w:val="clear" w:color="auto" w:fill="auto"/>
        <w:bidi w:val="0"/>
        <w:spacing w:before="0" w:after="420" w:line="472" w:lineRule="exact"/>
        <w:ind w:left="0" w:right="0" w:firstLine="440"/>
        <w:jc w:val="both"/>
      </w:pPr>
      <w:r>
        <w:rPr>
          <w:color w:val="000000"/>
          <w:spacing w:val="0"/>
          <w:w w:val="100"/>
          <w:position w:val="0"/>
        </w:rPr>
        <w:t>本公司按照本附注五、重要会计政策及会计估计25、长期资产减值所述原则来确定使用权资产是否已 发生减值，并对已识别的减值损失进行会计处理。</w:t>
      </w:r>
    </w:p>
    <w:p>
      <w:pPr>
        <w:pStyle w:val="Style28"/>
        <w:keepNext/>
        <w:keepLines/>
        <w:widowControl w:val="0"/>
        <w:shd w:val="clear" w:color="auto" w:fill="auto"/>
        <w:tabs>
          <w:tab w:pos="483" w:val="left"/>
        </w:tabs>
        <w:bidi w:val="0"/>
        <w:spacing w:before="0" w:after="0" w:line="492"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bookmarkEnd w:id="937"/>
      <w:r>
        <w:rPr>
          <w:rFonts w:ascii="Times New Roman" w:eastAsia="Times New Roman" w:hAnsi="Times New Roman" w:cs="Times New Roman"/>
          <w:color w:val="000000"/>
          <w:spacing w:val="0"/>
          <w:w w:val="100"/>
          <w:position w:val="0"/>
        </w:rPr>
        <w:t>4</w:t>
      </w:r>
      <w:r>
        <w:rPr>
          <w:color w:val="000000"/>
          <w:spacing w:val="0"/>
          <w:w w:val="100"/>
          <w:position w:val="0"/>
        </w:rPr>
        <w:t>、</w:t>
        <w:tab/>
        <w:t>无形资产</w:t>
      </w:r>
      <w:bookmarkEnd w:id="935"/>
      <w:bookmarkEnd w:id="936"/>
      <w:bookmarkEnd w:id="938"/>
    </w:p>
    <w:p>
      <w:pPr>
        <w:pStyle w:val="Style201"/>
        <w:keepNext/>
        <w:keepLines/>
        <w:widowControl w:val="0"/>
        <w:numPr>
          <w:ilvl w:val="0"/>
          <w:numId w:val="29"/>
        </w:numPr>
        <w:shd w:val="clear" w:color="auto" w:fill="auto"/>
        <w:bidi w:val="0"/>
        <w:spacing w:before="0" w:after="200" w:line="472" w:lineRule="exact"/>
        <w:ind w:left="0" w:right="0" w:firstLine="0"/>
        <w:jc w:val="left"/>
      </w:pPr>
      <w:bookmarkStart w:id="939" w:name="bookmark939"/>
      <w:bookmarkStart w:id="940" w:name="bookmark940"/>
      <w:bookmarkStart w:id="941" w:name="bookmark941"/>
      <w:bookmarkStart w:id="942" w:name="bookmark942"/>
      <w:bookmarkEnd w:id="941"/>
      <w:r>
        <w:rPr>
          <w:color w:val="000000"/>
          <w:spacing w:val="0"/>
          <w:w w:val="100"/>
          <w:position w:val="0"/>
        </w:rPr>
        <w:t>计价方法、使用寿命、减值测试</w:t>
      </w:r>
      <w:bookmarkEnd w:id="939"/>
      <w:bookmarkEnd w:id="940"/>
      <w:bookmarkEnd w:id="942"/>
    </w:p>
    <w:p>
      <w:pPr>
        <w:pStyle w:val="Style201"/>
        <w:keepNext/>
        <w:keepLines/>
        <w:widowControl w:val="0"/>
        <w:numPr>
          <w:ilvl w:val="0"/>
          <w:numId w:val="31"/>
        </w:numPr>
        <w:shd w:val="clear" w:color="auto" w:fill="auto"/>
        <w:bidi w:val="0"/>
        <w:spacing w:before="0" w:after="0" w:line="475" w:lineRule="exact"/>
        <w:ind w:left="0" w:right="0" w:firstLine="440"/>
        <w:jc w:val="both"/>
      </w:pPr>
      <w:bookmarkStart w:id="939" w:name="bookmark939"/>
      <w:bookmarkStart w:id="940" w:name="bookmark940"/>
      <w:bookmarkStart w:id="943" w:name="bookmark943"/>
      <w:bookmarkEnd w:id="943"/>
      <w:r>
        <w:rPr>
          <w:color w:val="000000"/>
          <w:spacing w:val="0"/>
          <w:w w:val="100"/>
          <w:position w:val="0"/>
        </w:rPr>
        <w:t>无形资产的计价方法</w:t>
      </w:r>
      <w:bookmarkEnd w:id="939"/>
      <w:bookmarkEnd w:id="940"/>
    </w:p>
    <w:p>
      <w:pPr>
        <w:pStyle w:val="Style201"/>
        <w:keepNext/>
        <w:keepLines/>
        <w:widowControl w:val="0"/>
        <w:numPr>
          <w:ilvl w:val="0"/>
          <w:numId w:val="33"/>
        </w:numPr>
        <w:shd w:val="clear" w:color="auto" w:fill="auto"/>
        <w:tabs>
          <w:tab w:pos="784" w:val="left"/>
        </w:tabs>
        <w:bidi w:val="0"/>
        <w:spacing w:before="0" w:after="0" w:line="475" w:lineRule="exact"/>
        <w:ind w:left="0" w:right="0" w:firstLine="440"/>
        <w:jc w:val="both"/>
      </w:pPr>
      <w:bookmarkStart w:id="939" w:name="bookmark939"/>
      <w:bookmarkStart w:id="940" w:name="bookmark940"/>
      <w:bookmarkStart w:id="944" w:name="bookmark944"/>
      <w:bookmarkEnd w:id="944"/>
      <w:r>
        <w:rPr>
          <w:color w:val="000000"/>
          <w:spacing w:val="0"/>
          <w:w w:val="100"/>
          <w:position w:val="0"/>
        </w:rPr>
        <w:t>公司取得无形资产时按成本进行初始计量</w:t>
      </w:r>
      <w:bookmarkEnd w:id="939"/>
      <w:bookmarkEnd w:id="940"/>
    </w:p>
    <w:p>
      <w:pPr>
        <w:pStyle w:val="Style1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外购无形资产的成本，包括购买价款、相关税费以及直接归属于使该项资产达到预定用途所发生的其 他支出。</w:t>
      </w:r>
    </w:p>
    <w:p>
      <w:pPr>
        <w:pStyle w:val="Style10"/>
        <w:keepNext w:val="0"/>
        <w:keepLines w:val="0"/>
        <w:widowControl w:val="0"/>
        <w:numPr>
          <w:ilvl w:val="0"/>
          <w:numId w:val="33"/>
        </w:numPr>
        <w:shd w:val="clear" w:color="auto" w:fill="auto"/>
        <w:tabs>
          <w:tab w:pos="789" w:val="left"/>
        </w:tabs>
        <w:bidi w:val="0"/>
        <w:spacing w:before="0" w:after="420" w:line="475" w:lineRule="exact"/>
        <w:ind w:left="0" w:right="0" w:firstLine="440"/>
        <w:jc w:val="both"/>
      </w:pPr>
      <w:bookmarkStart w:id="945" w:name="bookmark945"/>
      <w:bookmarkEnd w:id="945"/>
      <w:r>
        <w:rPr>
          <w:b/>
          <w:bCs/>
          <w:color w:val="000000"/>
          <w:spacing w:val="0"/>
          <w:w w:val="100"/>
          <w:position w:val="0"/>
        </w:rPr>
        <w:t>后续计量</w:t>
      </w:r>
    </w:p>
    <w:p>
      <w:pPr>
        <w:pStyle w:val="Style10"/>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在取得无形资产时分析判断其使用寿命。</w:t>
      </w:r>
    </w:p>
    <w:p>
      <w:pPr>
        <w:pStyle w:val="Style10"/>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对于使用寿命有限的无形资产，在为企业带来经济利益的期限内摊销；无法预见无形资产为企业带来</w:t>
      </w:r>
    </w:p>
    <w:p>
      <w:pPr>
        <w:pStyle w:val="Style10"/>
        <w:keepNext w:val="0"/>
        <w:keepLines w:val="0"/>
        <w:widowControl w:val="0"/>
        <w:shd w:val="clear" w:color="auto" w:fill="auto"/>
        <w:bidi w:val="0"/>
        <w:spacing w:before="0" w:after="220" w:line="240" w:lineRule="auto"/>
        <w:ind w:left="0" w:right="0" w:firstLine="0"/>
        <w:jc w:val="both"/>
      </w:pPr>
      <w:r>
        <w:rPr>
          <w:color w:val="000000"/>
          <w:spacing w:val="0"/>
          <w:w w:val="100"/>
          <w:position w:val="0"/>
        </w:rPr>
        <w:t>经济利益期限的，视为使用寿命不确定的无形资产，不予摊销。</w:t>
      </w:r>
    </w:p>
    <w:p>
      <w:pPr>
        <w:pStyle w:val="Style10"/>
        <w:keepNext w:val="0"/>
        <w:keepLines w:val="0"/>
        <w:widowControl w:val="0"/>
        <w:shd w:val="clear" w:color="auto" w:fill="auto"/>
        <w:bidi w:val="0"/>
        <w:spacing w:before="0" w:after="120" w:line="240" w:lineRule="auto"/>
        <w:ind w:left="0" w:right="0" w:firstLine="440"/>
        <w:jc w:val="both"/>
      </w:pPr>
      <w:bookmarkStart w:id="946" w:name="bookmark946"/>
      <w:r>
        <w:rPr>
          <w:b/>
          <w:bCs/>
          <w:color w:val="000000"/>
          <w:spacing w:val="0"/>
          <w:w w:val="100"/>
          <w:position w:val="0"/>
        </w:rPr>
        <w:t>2</w:t>
      </w:r>
      <w:bookmarkEnd w:id="946"/>
      <w:r>
        <w:rPr>
          <w:b/>
          <w:bCs/>
          <w:color w:val="000000"/>
          <w:spacing w:val="0"/>
          <w:w w:val="100"/>
          <w:position w:val="0"/>
        </w:rPr>
        <w:t>）使用寿命有限的无形资产的使用寿命估计情况</w:t>
      </w:r>
    </w:p>
    <w:tbl>
      <w:tblPr>
        <w:tblOverlap w:val="never"/>
        <w:jc w:val="center"/>
        <w:tblLayout w:type="fixed"/>
      </w:tblPr>
      <w:tblGrid>
        <w:gridCol w:w="2496"/>
        <w:gridCol w:w="2491"/>
        <w:gridCol w:w="2501"/>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预计使用寿命（年）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摊销方法</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平均年限法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平均年限法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平均年限法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平均年限法</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特许经营权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平均年限法</w:t>
            </w:r>
          </w:p>
        </w:tc>
      </w:tr>
    </w:tbl>
    <w:p>
      <w:pPr>
        <w:pStyle w:val="Style10"/>
        <w:keepNext w:val="0"/>
        <w:keepLines w:val="0"/>
        <w:widowControl w:val="0"/>
        <w:shd w:val="clear" w:color="auto" w:fill="auto"/>
        <w:bidi w:val="0"/>
        <w:spacing w:before="0" w:after="0" w:line="469" w:lineRule="exact"/>
        <w:ind w:left="0" w:right="0" w:firstLine="440"/>
        <w:jc w:val="both"/>
      </w:pPr>
      <w:bookmarkStart w:id="947" w:name="bookmark947"/>
      <w:r>
        <w:rPr>
          <w:b/>
          <w:bCs/>
          <w:color w:val="000000"/>
          <w:spacing w:val="0"/>
          <w:w w:val="100"/>
          <w:position w:val="0"/>
        </w:rPr>
        <w:t>3</w:t>
      </w:r>
      <w:bookmarkEnd w:id="947"/>
      <w:r>
        <w:rPr>
          <w:b/>
          <w:bCs/>
          <w:color w:val="000000"/>
          <w:spacing w:val="0"/>
          <w:w w:val="100"/>
          <w:position w:val="0"/>
        </w:rPr>
        <w:t>）使用寿命不确定的无形资产的判断依据以及对其使用寿命进行复核的程序</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本公司将无法预见该资产为公司带来经济利益的期限，或使用期限不确定的无形资产确定为使用寿命 不确定的无形资产。使用寿命不确定的判断依据为：来源于合同性权利或其他法定权利，但合同规定或法 律规定无明确使用年限；综合同行业情况或相关专家论证等，仍无法判断无形资产为公司带来经济利益的 期限。</w:t>
      </w:r>
    </w:p>
    <w:p>
      <w:pPr>
        <w:pStyle w:val="Style1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每年年末，对使用寿命不确定的无形资产的使用寿命进行复核，主要采取自下而上的方式，由无形资 产使用相关部门进行基础复核，评价使用寿命不确定判断依据是否存在变化等。</w:t>
      </w:r>
    </w:p>
    <w:p>
      <w:pPr>
        <w:pStyle w:val="Style201"/>
        <w:keepNext/>
        <w:keepLines/>
        <w:widowControl w:val="0"/>
        <w:shd w:val="clear" w:color="auto" w:fill="auto"/>
        <w:bidi w:val="0"/>
        <w:spacing w:before="0" w:after="220" w:line="469" w:lineRule="exact"/>
        <w:ind w:left="0" w:right="0" w:firstLine="0"/>
        <w:jc w:val="both"/>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48"/>
      <w:bookmarkEnd w:id="949"/>
      <w:bookmarkEnd w:id="951"/>
    </w:p>
    <w:p>
      <w:pPr>
        <w:pStyle w:val="Style201"/>
        <w:keepNext/>
        <w:keepLines/>
        <w:widowControl w:val="0"/>
        <w:shd w:val="clear" w:color="auto" w:fill="auto"/>
        <w:tabs>
          <w:tab w:pos="818" w:val="left"/>
        </w:tabs>
        <w:bidi w:val="0"/>
        <w:spacing w:before="0" w:after="0" w:line="469" w:lineRule="exact"/>
        <w:ind w:left="0" w:right="0" w:firstLine="440"/>
        <w:jc w:val="both"/>
      </w:pPr>
      <w:bookmarkStart w:id="948" w:name="bookmark948"/>
      <w:bookmarkStart w:id="949" w:name="bookmark949"/>
      <w:bookmarkStart w:id="952" w:name="bookmark952"/>
      <w:r>
        <w:rPr>
          <w:color w:val="000000"/>
          <w:spacing w:val="0"/>
          <w:w w:val="100"/>
          <w:position w:val="0"/>
        </w:rPr>
        <w:t>1</w:t>
      </w:r>
      <w:bookmarkEnd w:id="952"/>
      <w:r>
        <w:rPr>
          <w:color w:val="000000"/>
          <w:spacing w:val="0"/>
          <w:w w:val="100"/>
          <w:position w:val="0"/>
        </w:rPr>
        <w:t>）</w:t>
        <w:tab/>
        <w:t>划分研究阶段和开发阶段的具体标准</w:t>
      </w:r>
      <w:bookmarkEnd w:id="948"/>
      <w:bookmarkEnd w:id="949"/>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公司内部研究开发项目的支出分为研究阶段支出和开发阶段支出。</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10"/>
        <w:keepNext w:val="0"/>
        <w:keepLines w:val="0"/>
        <w:widowControl w:val="0"/>
        <w:shd w:val="clear" w:color="auto" w:fill="auto"/>
        <w:tabs>
          <w:tab w:pos="832" w:val="left"/>
        </w:tabs>
        <w:bidi w:val="0"/>
        <w:spacing w:before="0" w:after="0" w:line="469" w:lineRule="exact"/>
        <w:ind w:left="0" w:right="0" w:firstLine="440"/>
        <w:jc w:val="both"/>
      </w:pPr>
      <w:bookmarkStart w:id="953" w:name="bookmark953"/>
      <w:r>
        <w:rPr>
          <w:b/>
          <w:bCs/>
          <w:color w:val="000000"/>
          <w:spacing w:val="0"/>
          <w:w w:val="100"/>
          <w:position w:val="0"/>
        </w:rPr>
        <w:t>2</w:t>
      </w:r>
      <w:bookmarkEnd w:id="953"/>
      <w:r>
        <w:rPr>
          <w:b/>
          <w:bCs/>
          <w:color w:val="000000"/>
          <w:spacing w:val="0"/>
          <w:w w:val="100"/>
          <w:position w:val="0"/>
        </w:rPr>
        <w:t>）</w:t>
        <w:tab/>
        <w:t>开发阶段支出资本化的具体条件</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研究阶段的支出，于发生时计入当期损益。开发阶段的支出同时满足下列条件的，确认为无形资产， 不能满足下述条件的开发阶段的支出计入当期损益：</w:t>
      </w:r>
    </w:p>
    <w:p>
      <w:pPr>
        <w:pStyle w:val="Style10"/>
        <w:keepNext w:val="0"/>
        <w:keepLines w:val="0"/>
        <w:widowControl w:val="0"/>
        <w:numPr>
          <w:ilvl w:val="0"/>
          <w:numId w:val="35"/>
        </w:numPr>
        <w:shd w:val="clear" w:color="auto" w:fill="auto"/>
        <w:tabs>
          <w:tab w:pos="774" w:val="left"/>
        </w:tabs>
        <w:bidi w:val="0"/>
        <w:spacing w:before="0" w:after="0" w:line="469" w:lineRule="exact"/>
        <w:ind w:left="0" w:right="0" w:firstLine="440"/>
        <w:jc w:val="both"/>
      </w:pPr>
      <w:bookmarkStart w:id="954" w:name="bookmark954"/>
      <w:bookmarkEnd w:id="954"/>
      <w:r>
        <w:rPr>
          <w:color w:val="000000"/>
          <w:spacing w:val="0"/>
          <w:w w:val="100"/>
          <w:position w:val="0"/>
        </w:rPr>
        <w:t>完成该无形资产以使其能够使用或出售在技术上具有可行性；</w:t>
      </w:r>
    </w:p>
    <w:p>
      <w:pPr>
        <w:pStyle w:val="Style10"/>
        <w:keepNext w:val="0"/>
        <w:keepLines w:val="0"/>
        <w:widowControl w:val="0"/>
        <w:numPr>
          <w:ilvl w:val="0"/>
          <w:numId w:val="35"/>
        </w:numPr>
        <w:shd w:val="clear" w:color="auto" w:fill="auto"/>
        <w:tabs>
          <w:tab w:pos="779" w:val="left"/>
        </w:tabs>
        <w:bidi w:val="0"/>
        <w:spacing w:before="0" w:after="0" w:line="469" w:lineRule="exact"/>
        <w:ind w:left="0" w:right="0" w:firstLine="440"/>
        <w:jc w:val="both"/>
      </w:pPr>
      <w:bookmarkStart w:id="955" w:name="bookmark955"/>
      <w:bookmarkEnd w:id="955"/>
      <w:r>
        <w:rPr>
          <w:color w:val="000000"/>
          <w:spacing w:val="0"/>
          <w:w w:val="100"/>
          <w:position w:val="0"/>
        </w:rPr>
        <w:t>具有完成该无形资产并使用或出售的意图；</w:t>
      </w:r>
    </w:p>
    <w:p>
      <w:pPr>
        <w:pStyle w:val="Style10"/>
        <w:keepNext w:val="0"/>
        <w:keepLines w:val="0"/>
        <w:widowControl w:val="0"/>
        <w:numPr>
          <w:ilvl w:val="0"/>
          <w:numId w:val="35"/>
        </w:numPr>
        <w:shd w:val="clear" w:color="auto" w:fill="auto"/>
        <w:tabs>
          <w:tab w:pos="762" w:val="left"/>
        </w:tabs>
        <w:bidi w:val="0"/>
        <w:spacing w:before="0" w:after="220" w:line="469" w:lineRule="exact"/>
        <w:ind w:left="0" w:right="0" w:firstLine="440"/>
        <w:jc w:val="both"/>
      </w:pPr>
      <w:bookmarkStart w:id="956" w:name="bookmark956"/>
      <w:bookmarkEnd w:id="956"/>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10"/>
        <w:keepNext w:val="0"/>
        <w:keepLines w:val="0"/>
        <w:widowControl w:val="0"/>
        <w:numPr>
          <w:ilvl w:val="0"/>
          <w:numId w:val="35"/>
        </w:numPr>
        <w:shd w:val="clear" w:color="auto" w:fill="auto"/>
        <w:tabs>
          <w:tab w:pos="736" w:val="left"/>
        </w:tabs>
        <w:bidi w:val="0"/>
        <w:spacing w:before="0" w:after="0" w:line="485" w:lineRule="exact"/>
        <w:ind w:left="0" w:right="0" w:firstLine="440"/>
        <w:jc w:val="both"/>
      </w:pPr>
      <w:bookmarkStart w:id="957" w:name="bookmark957"/>
      <w:bookmarkEnd w:id="957"/>
      <w:r>
        <w:rPr>
          <w:color w:val="000000"/>
          <w:spacing w:val="0"/>
          <w:w w:val="100"/>
          <w:position w:val="0"/>
        </w:rPr>
        <w:t>有足够的技术、财务资源和其他资源支持，以完成该无形资产的开发，并有能力使用或出售该无形 资产；</w:t>
      </w:r>
    </w:p>
    <w:p>
      <w:pPr>
        <w:pStyle w:val="Style10"/>
        <w:keepNext w:val="0"/>
        <w:keepLines w:val="0"/>
        <w:widowControl w:val="0"/>
        <w:numPr>
          <w:ilvl w:val="0"/>
          <w:numId w:val="35"/>
        </w:numPr>
        <w:shd w:val="clear" w:color="auto" w:fill="auto"/>
        <w:tabs>
          <w:tab w:pos="763" w:val="left"/>
        </w:tabs>
        <w:bidi w:val="0"/>
        <w:spacing w:before="0" w:after="0" w:line="468" w:lineRule="exact"/>
        <w:ind w:left="0" w:right="0" w:firstLine="440"/>
        <w:jc w:val="both"/>
      </w:pPr>
      <w:bookmarkStart w:id="958" w:name="bookmark958"/>
      <w:bookmarkEnd w:id="958"/>
      <w:r>
        <w:rPr>
          <w:color w:val="000000"/>
          <w:spacing w:val="0"/>
          <w:w w:val="100"/>
          <w:position w:val="0"/>
        </w:rPr>
        <w:t>归属于该无形资产开发阶段的支出能够可靠地计量。</w:t>
      </w:r>
    </w:p>
    <w:p>
      <w:pPr>
        <w:pStyle w:val="Style1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无法区分研究阶段支出和开发阶段支出的，将发生的研发支出全部计入当期损益。</w:t>
      </w:r>
    </w:p>
    <w:p>
      <w:pPr>
        <w:pStyle w:val="Style28"/>
        <w:keepNext/>
        <w:keepLines/>
        <w:widowControl w:val="0"/>
        <w:shd w:val="clear" w:color="auto" w:fill="auto"/>
        <w:tabs>
          <w:tab w:pos="477" w:val="left"/>
        </w:tabs>
        <w:bidi w:val="0"/>
        <w:spacing w:before="0" w:after="0" w:line="480" w:lineRule="auto"/>
        <w:ind w:left="0" w:right="0" w:firstLine="0"/>
        <w:jc w:val="both"/>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bookmarkEnd w:id="961"/>
      <w:r>
        <w:rPr>
          <w:rFonts w:ascii="Times New Roman" w:eastAsia="Times New Roman" w:hAnsi="Times New Roman" w:cs="Times New Roman"/>
          <w:color w:val="000000"/>
          <w:spacing w:val="0"/>
          <w:w w:val="100"/>
          <w:position w:val="0"/>
        </w:rPr>
        <w:t>5</w:t>
      </w:r>
      <w:r>
        <w:rPr>
          <w:color w:val="000000"/>
          <w:spacing w:val="0"/>
          <w:w w:val="100"/>
          <w:position w:val="0"/>
        </w:rPr>
        <w:t>、</w:t>
        <w:tab/>
        <w:t>长期资产减值</w:t>
      </w:r>
      <w:bookmarkEnd w:id="959"/>
      <w:bookmarkEnd w:id="960"/>
      <w:bookmarkEnd w:id="962"/>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长期股权投资、采用成本模式计量的投资性房地产、固定资产、在建工程、使用权资产、使用寿命有 限的无形资产、油气资产等长期资产，于资产负债表日存在减值迹象的，进行减值测试。减值测试结果表 明资产的可收回金额低于其账面价值的，按其差额计提减值准备并计入减值损失。可收回金额为资产的公 允价值减去处置费用后的净额与资产预计未来现金流量的现值两者之间的较高者。资产减值准备按单项资 产为基础计算并确认，如果难以对单项资产的可收回金额进行估计的，以该资产所属的资产组确定资产组 的可收回金额。资产组是能够独立产生现金流入的最小资产组合。</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对于因企业合并形成的商誉、使用寿命不确定的无形资产、尚未达到可使用状态的无形资产，无论是 否存在减值迹象，至少在每年年度终了进行减值测试。</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至相关的资产组；难以分摊至相关的资产组的，将其分摊至相关的资产组组合。相关的资产组或者资产组 组合，是能够从企业合并的协同效应中受益的资产组或者资产组组合。</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面价值相比较，确认相应的减值损失。然后对包含商誉的资产组或者资产组组合进行减值测试，比较其账 面价值与可收回金额，如可收回金额低于账面价值的，减值损失金额首先抵减分摊至资产组或者资产组组 合中商誉的账面价值，再根据资产组或者资产组组合中除商誉之外的其他各项资产的账面价值所占比重， 按比例抵减其他各项资产的账面价值。</w:t>
      </w:r>
    </w:p>
    <w:p>
      <w:pPr>
        <w:pStyle w:val="Style1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上述资产减值损失一经确认，在以后会计期间不予转回。</w:t>
      </w:r>
    </w:p>
    <w:p>
      <w:pPr>
        <w:pStyle w:val="Style28"/>
        <w:keepNext/>
        <w:keepLines/>
        <w:widowControl w:val="0"/>
        <w:shd w:val="clear" w:color="auto" w:fill="auto"/>
        <w:tabs>
          <w:tab w:pos="477" w:val="left"/>
        </w:tabs>
        <w:bidi w:val="0"/>
        <w:spacing w:before="0" w:after="0" w:line="480" w:lineRule="auto"/>
        <w:ind w:left="0" w:right="0" w:firstLine="0"/>
        <w:jc w:val="both"/>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bookmarkEnd w:id="965"/>
      <w:r>
        <w:rPr>
          <w:rFonts w:ascii="Times New Roman" w:eastAsia="Times New Roman" w:hAnsi="Times New Roman" w:cs="Times New Roman"/>
          <w:color w:val="000000"/>
          <w:spacing w:val="0"/>
          <w:w w:val="100"/>
          <w:position w:val="0"/>
        </w:rPr>
        <w:t>6</w:t>
      </w:r>
      <w:r>
        <w:rPr>
          <w:color w:val="000000"/>
          <w:spacing w:val="0"/>
          <w:w w:val="100"/>
          <w:position w:val="0"/>
        </w:rPr>
        <w:t>、</w:t>
        <w:tab/>
        <w:t>长期待摊费用</w:t>
      </w:r>
      <w:bookmarkEnd w:id="963"/>
      <w:bookmarkEnd w:id="964"/>
      <w:bookmarkEnd w:id="966"/>
    </w:p>
    <w:p>
      <w:pPr>
        <w:pStyle w:val="Style1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长期待摊费用为已经发生但应由本期和以后各期负担的分摊期限在一年以上的各项费用。</w:t>
      </w:r>
    </w:p>
    <w:p>
      <w:pPr>
        <w:pStyle w:val="Style28"/>
        <w:keepNext/>
        <w:keepLines/>
        <w:widowControl w:val="0"/>
        <w:shd w:val="clear" w:color="auto" w:fill="auto"/>
        <w:tabs>
          <w:tab w:pos="477" w:val="left"/>
        </w:tabs>
        <w:bidi w:val="0"/>
        <w:spacing w:before="0" w:after="0" w:line="480" w:lineRule="auto"/>
        <w:ind w:left="0" w:right="0" w:firstLine="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2</w:t>
      </w:r>
      <w:bookmarkEnd w:id="969"/>
      <w:r>
        <w:rPr>
          <w:rFonts w:ascii="Times New Roman" w:eastAsia="Times New Roman" w:hAnsi="Times New Roman" w:cs="Times New Roman"/>
          <w:color w:val="000000"/>
          <w:spacing w:val="0"/>
          <w:w w:val="100"/>
          <w:position w:val="0"/>
        </w:rPr>
        <w:t>7</w:t>
      </w:r>
      <w:r>
        <w:rPr>
          <w:color w:val="000000"/>
          <w:spacing w:val="0"/>
          <w:w w:val="100"/>
          <w:position w:val="0"/>
        </w:rPr>
        <w:t>、</w:t>
        <w:tab/>
        <w:t>合同负债</w:t>
      </w:r>
      <w:bookmarkEnd w:id="967"/>
      <w:bookmarkEnd w:id="968"/>
      <w:bookmarkEnd w:id="970"/>
    </w:p>
    <w:p>
      <w:pPr>
        <w:pStyle w:val="Style1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 xml:space="preserve">本公司根据履行履约义务与客户付款之间的关系在资产负债表中列示合同资产或合同负债。本公司已 </w:t>
      </w:r>
      <w:r>
        <w:rPr>
          <w:color w:val="000000"/>
          <w:spacing w:val="0"/>
          <w:w w:val="100"/>
          <w:position w:val="0"/>
        </w:rPr>
        <w:t>收或应收客户对价而应向客户转让商品或提供服务的义务列示为合同负债。同一合同下的合同资产和合同 负债以净额列示。</w:t>
      </w:r>
    </w:p>
    <w:p>
      <w:pPr>
        <w:pStyle w:val="Style28"/>
        <w:keepNext/>
        <w:keepLines/>
        <w:widowControl w:val="0"/>
        <w:shd w:val="clear" w:color="auto" w:fill="auto"/>
        <w:bidi w:val="0"/>
        <w:spacing w:before="0" w:after="0" w:line="480" w:lineRule="auto"/>
        <w:ind w:left="0" w:right="0" w:firstLine="0"/>
        <w:jc w:val="both"/>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rFonts w:ascii="Times New Roman" w:eastAsia="Times New Roman" w:hAnsi="Times New Roman" w:cs="Times New Roman"/>
          <w:color w:val="000000"/>
          <w:spacing w:val="0"/>
          <w:w w:val="100"/>
          <w:position w:val="0"/>
        </w:rPr>
        <w:t>8</w:t>
      </w:r>
      <w:r>
        <w:rPr>
          <w:color w:val="000000"/>
          <w:spacing w:val="0"/>
          <w:w w:val="100"/>
          <w:position w:val="0"/>
        </w:rPr>
        <w:t>、职工薪酬</w:t>
      </w:r>
      <w:bookmarkEnd w:id="971"/>
      <w:bookmarkEnd w:id="972"/>
      <w:bookmarkEnd w:id="974"/>
    </w:p>
    <w:p>
      <w:pPr>
        <w:pStyle w:val="Style201"/>
        <w:keepNext/>
        <w:keepLines/>
        <w:widowControl w:val="0"/>
        <w:shd w:val="clear" w:color="auto" w:fill="auto"/>
        <w:tabs>
          <w:tab w:pos="493" w:val="left"/>
        </w:tabs>
        <w:bidi w:val="0"/>
        <w:spacing w:before="0" w:after="220" w:line="468" w:lineRule="exact"/>
        <w:ind w:left="0" w:right="0" w:firstLine="0"/>
        <w:jc w:val="both"/>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75"/>
      <w:bookmarkEnd w:id="976"/>
      <w:bookmarkEnd w:id="978"/>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1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本公司发生的职工福利费，在实际发生时根据实际发生额计入当期损益或相关资产成本，其中，非货 币性福利按照公允价值计量。</w:t>
      </w:r>
    </w:p>
    <w:p>
      <w:pPr>
        <w:pStyle w:val="Style201"/>
        <w:keepNext/>
        <w:keepLines/>
        <w:widowControl w:val="0"/>
        <w:shd w:val="clear" w:color="auto" w:fill="auto"/>
        <w:tabs>
          <w:tab w:pos="493" w:val="left"/>
        </w:tabs>
        <w:bidi w:val="0"/>
        <w:spacing w:before="0" w:after="220" w:line="468" w:lineRule="exact"/>
        <w:ind w:left="0" w:right="0" w:firstLine="0"/>
        <w:jc w:val="both"/>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79"/>
      <w:bookmarkEnd w:id="980"/>
      <w:bookmarkEnd w:id="982"/>
    </w:p>
    <w:p>
      <w:pPr>
        <w:pStyle w:val="Style10"/>
        <w:keepNext w:val="0"/>
        <w:keepLines w:val="0"/>
        <w:widowControl w:val="0"/>
        <w:shd w:val="clear" w:color="auto" w:fill="auto"/>
        <w:tabs>
          <w:tab w:pos="813" w:val="left"/>
        </w:tabs>
        <w:bidi w:val="0"/>
        <w:spacing w:before="0" w:after="0" w:line="468" w:lineRule="exact"/>
        <w:ind w:left="0" w:right="0" w:firstLine="440"/>
        <w:jc w:val="both"/>
      </w:pPr>
      <w:bookmarkStart w:id="983" w:name="bookmark983"/>
      <w:r>
        <w:rPr>
          <w:color w:val="000000"/>
          <w:spacing w:val="0"/>
          <w:w w:val="100"/>
          <w:position w:val="0"/>
        </w:rPr>
        <w:t>1</w:t>
      </w:r>
      <w:bookmarkEnd w:id="983"/>
      <w:r>
        <w:rPr>
          <w:color w:val="000000"/>
          <w:spacing w:val="0"/>
          <w:w w:val="100"/>
          <w:position w:val="0"/>
        </w:rPr>
        <w:t>）</w:t>
        <w:tab/>
        <w:t>设定提存计划</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 此外，本公司还参与了由国家相关部门批准的企业年金计划/补充养老保险基金。本公司按职工工资总额 的一定比例向年金计划/当地社会保险机构缴费，相应支出计入当期损益或相关资产成本。</w:t>
      </w:r>
    </w:p>
    <w:p>
      <w:pPr>
        <w:pStyle w:val="Style10"/>
        <w:keepNext w:val="0"/>
        <w:keepLines w:val="0"/>
        <w:widowControl w:val="0"/>
        <w:shd w:val="clear" w:color="auto" w:fill="auto"/>
        <w:tabs>
          <w:tab w:pos="827" w:val="left"/>
        </w:tabs>
        <w:bidi w:val="0"/>
        <w:spacing w:before="0" w:after="0" w:line="468" w:lineRule="exact"/>
        <w:ind w:left="0" w:right="0" w:firstLine="440"/>
        <w:jc w:val="both"/>
      </w:pPr>
      <w:bookmarkStart w:id="984" w:name="bookmark984"/>
      <w:r>
        <w:rPr>
          <w:color w:val="000000"/>
          <w:spacing w:val="0"/>
          <w:w w:val="100"/>
          <w:position w:val="0"/>
        </w:rPr>
        <w:t>2</w:t>
      </w:r>
      <w:bookmarkEnd w:id="984"/>
      <w:r>
        <w:rPr>
          <w:color w:val="000000"/>
          <w:spacing w:val="0"/>
          <w:w w:val="100"/>
          <w:position w:val="0"/>
        </w:rPr>
        <w:t>）</w:t>
        <w:tab/>
        <w:t>设定受益计划</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设定受益计划产生的服务成本和设定受益计划净负债或净资产的利息净额计入当期损益或相关资产 成本；重新计量设定受益计划净负债或净资产所产生的变动计入其他综合收益，并且在后续会计期间不转 </w:t>
      </w:r>
      <w:r>
        <w:rPr>
          <w:color w:val="000000"/>
          <w:spacing w:val="0"/>
          <w:w w:val="100"/>
          <w:position w:val="0"/>
        </w:rPr>
        <w:t>回至损益，在原设定受益计划终止时在权益范围内将原计入其他综合收益的部分全部结转至未分配利润。</w:t>
      </w:r>
    </w:p>
    <w:p>
      <w:pPr>
        <w:pStyle w:val="Style1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在设定受益计划结算时，按在结算日确定的设定受益计划义务现值和结算价格两者的差额，确认结算 利得或损失。</w:t>
      </w:r>
    </w:p>
    <w:p>
      <w:pPr>
        <w:pStyle w:val="Style201"/>
        <w:keepNext/>
        <w:keepLines/>
        <w:widowControl w:val="0"/>
        <w:shd w:val="clear" w:color="auto" w:fill="auto"/>
        <w:tabs>
          <w:tab w:pos="493" w:val="left"/>
        </w:tabs>
        <w:bidi w:val="0"/>
        <w:spacing w:before="0" w:after="200" w:line="472" w:lineRule="exact"/>
        <w:ind w:left="0" w:right="0" w:firstLine="0"/>
        <w:jc w:val="both"/>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85"/>
      <w:bookmarkEnd w:id="986"/>
      <w:bookmarkEnd w:id="988"/>
    </w:p>
    <w:p>
      <w:pPr>
        <w:pStyle w:val="Style1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本公司向职工提供辞退福利的，在下列两者孰早日确认辞退福利产生的职工薪酬负债，并计入当期损 益：公司不能单方面撤回因解除劳动关系计划或裁减建议所提供的辞退福利时；公司确认与涉及支付辞退 福利的重组相关的成本或费用时。</w:t>
      </w:r>
    </w:p>
    <w:p>
      <w:pPr>
        <w:pStyle w:val="Style201"/>
        <w:keepNext/>
        <w:keepLines/>
        <w:widowControl w:val="0"/>
        <w:shd w:val="clear" w:color="auto" w:fill="auto"/>
        <w:tabs>
          <w:tab w:pos="493" w:val="left"/>
        </w:tabs>
        <w:bidi w:val="0"/>
        <w:spacing w:before="0" w:after="200" w:line="472" w:lineRule="exact"/>
        <w:ind w:left="0" w:right="0" w:firstLine="0"/>
        <w:jc w:val="both"/>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89"/>
      <w:bookmarkEnd w:id="990"/>
      <w:bookmarkEnd w:id="992"/>
    </w:p>
    <w:p>
      <w:pPr>
        <w:pStyle w:val="Style10"/>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本公司向职工提供的其他长期职工福利，符合设定提存计划条件的，应当按照有关设定提存计划的规 定进行处理；除此外，根据设定受益计划的有关规定，确认和计量其他长期职工福利净负债或净资产。</w:t>
      </w:r>
    </w:p>
    <w:p>
      <w:pPr>
        <w:pStyle w:val="Style28"/>
        <w:keepNext/>
        <w:keepLines/>
        <w:widowControl w:val="0"/>
        <w:shd w:val="clear" w:color="auto" w:fill="auto"/>
        <w:bidi w:val="0"/>
        <w:spacing w:before="0" w:after="0" w:line="492" w:lineRule="auto"/>
        <w:ind w:left="0" w:right="0" w:firstLine="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bookmarkEnd w:id="995"/>
      <w:r>
        <w:rPr>
          <w:rFonts w:ascii="Times New Roman" w:eastAsia="Times New Roman" w:hAnsi="Times New Roman" w:cs="Times New Roman"/>
          <w:color w:val="000000"/>
          <w:spacing w:val="0"/>
          <w:w w:val="100"/>
          <w:position w:val="0"/>
        </w:rPr>
        <w:t>9</w:t>
      </w:r>
      <w:r>
        <w:rPr>
          <w:color w:val="000000"/>
          <w:spacing w:val="0"/>
          <w:w w:val="100"/>
          <w:position w:val="0"/>
        </w:rPr>
        <w:t>、租赁负债</w:t>
      </w:r>
      <w:bookmarkEnd w:id="993"/>
      <w:bookmarkEnd w:id="994"/>
      <w:bookmarkEnd w:id="996"/>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在租赁期开始日，本公司对除短期租赁和低价值资产租赁以外的租赁确认租赁负债。租赁负债按照尚 未支付的租赁付款额的现值进行初始计量。租赁付款额包括：</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固定付款额（包括实质固定付款额），存在租赁激励的，扣除租赁激励相关金额；</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取决于指数或比率的可变租赁付款额；</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根据公司提供的担保余值预计应支付的款项；</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购买选择权的行权价格，前提是公司合理确定将行使该选择权；</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行使终止租赁选择权需支付的款项，前提是租赁期反映出公司将行使终止租赁选择权。</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本公司采用租赁内含利率作为折现率，但如果无法合理确定租赁内含利率的，则采用本公司的增量借 款利率作为折现率。</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本公司按照固定的周期性利率计算租赁负债在租赁期内各期间的利息费用，并计入当期损益或相关资 产成本。</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未纳入租赁负债计量的可变租赁付款额在实际发生时计入当期损益或相关资产成本。</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在租赁期开始日后，发生下列情形的，本公司重新计量租赁负债，并调整相应的使用权资产，若使用 权资产的账面价值已调减至零，但租赁负债仍需进一步调减的，将差额计入当期损益：</w:t>
      </w:r>
    </w:p>
    <w:p>
      <w:pPr>
        <w:pStyle w:val="Style10"/>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当购买选择权、续租选择权或终止选择权的评估结果发生变化，或前述选择权的实际行权情况与原评 估结果不一致的，本公司按变动后租赁付款额和修订后的折现率计算的现值重新计量租赁负债；</w:t>
      </w:r>
    </w:p>
    <w:p>
      <w:pPr>
        <w:pStyle w:val="Style1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当实质固定付款额发生变动、担保余值预计的应付金额发生变动或用于确定租赁付款额的指数或比率 发生变动，本公司按照变动后的租赁付款额和原折现率计算的现值重新计量租赁负债。但是，租赁付款额 的变动源自浮动利率变动的，使用修订后的折现率计算现值。</w:t>
      </w:r>
    </w:p>
    <w:p>
      <w:pPr>
        <w:pStyle w:val="Style28"/>
        <w:keepNext/>
        <w:keepLines/>
        <w:widowControl w:val="0"/>
        <w:shd w:val="clear" w:color="auto" w:fill="auto"/>
        <w:tabs>
          <w:tab w:pos="483" w:val="left"/>
        </w:tabs>
        <w:bidi w:val="0"/>
        <w:spacing w:before="0" w:after="0" w:line="48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000"/>
      <w:bookmarkEnd w:id="997"/>
      <w:bookmarkEnd w:id="998"/>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与或有事项相关的义务同时满足下列条件时，本公司将其确认为预计负债：</w:t>
      </w:r>
    </w:p>
    <w:p>
      <w:pPr>
        <w:pStyle w:val="Style10"/>
        <w:keepNext w:val="0"/>
        <w:keepLines w:val="0"/>
        <w:widowControl w:val="0"/>
        <w:shd w:val="clear" w:color="auto" w:fill="auto"/>
        <w:tabs>
          <w:tab w:pos="923" w:val="left"/>
        </w:tabs>
        <w:bidi w:val="0"/>
        <w:spacing w:before="0" w:after="0" w:line="468" w:lineRule="exact"/>
        <w:ind w:left="0" w:right="0" w:firstLine="440"/>
        <w:jc w:val="left"/>
      </w:pPr>
      <w:bookmarkStart w:id="1001" w:name="bookmark1001"/>
      <w:r>
        <w:rPr>
          <w:color w:val="000000"/>
          <w:spacing w:val="0"/>
          <w:w w:val="100"/>
          <w:position w:val="0"/>
        </w:rPr>
        <w:t>（</w:t>
      </w:r>
      <w:bookmarkEnd w:id="1001"/>
      <w:r>
        <w:rPr>
          <w:color w:val="000000"/>
          <w:spacing w:val="0"/>
          <w:w w:val="100"/>
          <w:position w:val="0"/>
        </w:rPr>
        <w:t>1）</w:t>
        <w:tab/>
        <w:t>该义务是本公司承担的现时义务；</w:t>
      </w:r>
    </w:p>
    <w:p>
      <w:pPr>
        <w:pStyle w:val="Style10"/>
        <w:keepNext w:val="0"/>
        <w:keepLines w:val="0"/>
        <w:widowControl w:val="0"/>
        <w:shd w:val="clear" w:color="auto" w:fill="auto"/>
        <w:tabs>
          <w:tab w:pos="923" w:val="left"/>
        </w:tabs>
        <w:bidi w:val="0"/>
        <w:spacing w:before="0" w:after="0" w:line="468" w:lineRule="exact"/>
        <w:ind w:left="0" w:right="0" w:firstLine="440"/>
        <w:jc w:val="left"/>
      </w:pPr>
      <w:bookmarkStart w:id="1002" w:name="bookmark1002"/>
      <w:r>
        <w:rPr>
          <w:color w:val="000000"/>
          <w:spacing w:val="0"/>
          <w:w w:val="100"/>
          <w:position w:val="0"/>
        </w:rPr>
        <w:t>（</w:t>
      </w:r>
      <w:bookmarkEnd w:id="1002"/>
      <w:r>
        <w:rPr>
          <w:color w:val="000000"/>
          <w:spacing w:val="0"/>
          <w:w w:val="100"/>
          <w:position w:val="0"/>
        </w:rPr>
        <w:t>2）</w:t>
        <w:tab/>
        <w:t>履行该义务很可能导致经济利益流出本公司；</w:t>
      </w:r>
    </w:p>
    <w:p>
      <w:pPr>
        <w:pStyle w:val="Style10"/>
        <w:keepNext w:val="0"/>
        <w:keepLines w:val="0"/>
        <w:widowControl w:val="0"/>
        <w:shd w:val="clear" w:color="auto" w:fill="auto"/>
        <w:tabs>
          <w:tab w:pos="923" w:val="left"/>
        </w:tabs>
        <w:bidi w:val="0"/>
        <w:spacing w:before="0" w:after="0" w:line="468" w:lineRule="exact"/>
        <w:ind w:left="0" w:right="0" w:firstLine="440"/>
        <w:jc w:val="left"/>
      </w:pPr>
      <w:bookmarkStart w:id="1003" w:name="bookmark1003"/>
      <w:r>
        <w:rPr>
          <w:color w:val="000000"/>
          <w:spacing w:val="0"/>
          <w:w w:val="100"/>
          <w:position w:val="0"/>
        </w:rPr>
        <w:t>（</w:t>
      </w:r>
      <w:bookmarkEnd w:id="1003"/>
      <w:r>
        <w:rPr>
          <w:color w:val="000000"/>
          <w:spacing w:val="0"/>
          <w:w w:val="100"/>
          <w:position w:val="0"/>
        </w:rPr>
        <w:t>3）</w:t>
        <w:tab/>
        <w:t>该义务的金额能够可靠地计量。</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预计负债按履行相关现时义务所需的支出的最佳估计数进行初始计量。</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在确定最佳估计数时，综合考虑与或有事项有关的风险、不确定性和货币时间价值等因素。对于货币 时间价值影响重大的，通过对相关未来现金流出进行折现后确定最佳估计数。</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所需支出存在一个连续范围，且该范围内各种结果发生的可能性相同的，最佳估计数按照该范围内的 中间值确定；在其他情况下，最佳估计数分别下列情况处理：</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•或有事项涉及单个项目的，按照最可能发生金额确定。</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•或有事项涉及多个项目的，按照各种可能结果及相关概率计算确定。</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清偿预计负债所需支出全部或部分预期由第三方补偿的，补偿金额在基本确定能够收到时，作为资产 单独确认，确认的补偿金额不超过预计负债的账面价值。</w:t>
      </w:r>
    </w:p>
    <w:p>
      <w:pPr>
        <w:pStyle w:val="Style1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本公司在资产负债表日对预计负债的账面价值进行复核，有确凿证据表明该账面价值不能反映当前最 佳估计数的，按照当前最佳估计数对该账面价值进行调整。</w:t>
      </w:r>
    </w:p>
    <w:p>
      <w:pPr>
        <w:pStyle w:val="Style28"/>
        <w:keepNext/>
        <w:keepLines/>
        <w:widowControl w:val="0"/>
        <w:shd w:val="clear" w:color="auto" w:fill="auto"/>
        <w:tabs>
          <w:tab w:pos="483" w:val="left"/>
        </w:tabs>
        <w:bidi w:val="0"/>
        <w:spacing w:before="0" w:after="0" w:line="480" w:lineRule="auto"/>
        <w:ind w:left="0" w:right="0" w:firstLine="0"/>
        <w:jc w:val="both"/>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3</w:t>
      </w:r>
      <w:bookmarkEnd w:id="1006"/>
      <w:r>
        <w:rPr>
          <w:rFonts w:ascii="Times New Roman" w:eastAsia="Times New Roman" w:hAnsi="Times New Roman" w:cs="Times New Roman"/>
          <w:color w:val="000000"/>
          <w:spacing w:val="0"/>
          <w:w w:val="100"/>
          <w:position w:val="0"/>
        </w:rPr>
        <w:t>1</w:t>
      </w:r>
      <w:r>
        <w:rPr>
          <w:color w:val="000000"/>
          <w:spacing w:val="0"/>
          <w:w w:val="100"/>
          <w:position w:val="0"/>
        </w:rPr>
        <w:t>、</w:t>
        <w:tab/>
        <w:t>股份支付</w:t>
      </w:r>
      <w:bookmarkEnd w:id="1004"/>
      <w:bookmarkEnd w:id="1005"/>
      <w:bookmarkEnd w:id="1007"/>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本公司的股份支付是为了获取职工或其他方提供服务而授予权益工具或者承担以权益工具为基础确 定的负债的交易。本公司的股份支付分为以权益结算的股份支付和以现金结算的股份支付。</w:t>
      </w:r>
    </w:p>
    <w:p>
      <w:pPr>
        <w:pStyle w:val="Style10"/>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（1）以权益结算的股份支付及权益工具</w:t>
      </w:r>
    </w:p>
    <w:p>
      <w:pPr>
        <w:pStyle w:val="Style10"/>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以权益结算的股份支付换取职工提供服务的，以授予职工权益工具的公允价值计量。对于授予后立即 可行权的股份支付交易，在授予日按照权益工具的公允价值计入相关成本或费用，相应增加资本公积。对 于授予后完成等待期内的服务或达到规定业绩条件才可行权的股份支付交易，在等待期内每个资产负债表 日，本公司根据对可行权权益工具数量的最佳估计，按照授予日公允价值，将当期取得的服务计入相关成 本或费用，相应增加资本公积。</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在等待期内，如果取消了授予的权益工具，则本公司对取消所授予的权益性工具作为加速行权处理， 将剩余等待期内应确认的金额立即计入当期损益，同时确认资本公积。但是，如果授予新的权益工具，并 在新权益工具授予日认定所授予的新权益工具是用于替代被取消的权益工具的，则以与处理原权益工具条 款和条件修改相同的方式，对所授予的替代权益工具进行处理。</w:t>
      </w:r>
    </w:p>
    <w:p>
      <w:pPr>
        <w:pStyle w:val="Style10"/>
        <w:keepNext w:val="0"/>
        <w:keepLines w:val="0"/>
        <w:widowControl w:val="0"/>
        <w:shd w:val="clear" w:color="auto" w:fill="auto"/>
        <w:bidi w:val="0"/>
        <w:spacing w:before="0" w:after="0" w:line="468" w:lineRule="exact"/>
        <w:ind w:left="0" w:right="0" w:firstLine="440"/>
        <w:jc w:val="both"/>
      </w:pPr>
      <w:bookmarkStart w:id="1008" w:name="bookmark1008"/>
      <w:r>
        <w:rPr>
          <w:b/>
          <w:bCs/>
          <w:color w:val="000000"/>
          <w:spacing w:val="0"/>
          <w:w w:val="100"/>
          <w:position w:val="0"/>
        </w:rPr>
        <w:t>（</w:t>
      </w:r>
      <w:bookmarkEnd w:id="1008"/>
      <w:r>
        <w:rPr>
          <w:b/>
          <w:bCs/>
          <w:color w:val="000000"/>
          <w:spacing w:val="0"/>
          <w:w w:val="100"/>
          <w:position w:val="0"/>
        </w:rPr>
        <w:t>2）以现金结算的股份支付及权益工具</w:t>
      </w:r>
    </w:p>
    <w:p>
      <w:pPr>
        <w:pStyle w:val="Style1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以现金结算的股份支付，按照本公司承担的以股份或其他权益工具为基础计算确定的负债的公允价值 计量。授予后立即可行权的股份支付交易，本公司在授予日按照承担负债的公允价值计入相关成本或费用， 相应增加负债。对于授予后完成等待期内的服务或达到规定业绩条件才可行权的股份支付交易，在等待期 内的每个资产负债表日，本公司以对可行权情况的最佳估计为基础，按照本公司承担负债的公允价值，将 当期取得的服务计入相关成本或费用，并相应计入负债。在相关负债结算前的每个资产负债表日以及结算 日，对负债的公允价值重新计量，其变动计入当期损益。</w:t>
      </w:r>
    </w:p>
    <w:p>
      <w:pPr>
        <w:pStyle w:val="Style28"/>
        <w:keepNext/>
        <w:keepLines/>
        <w:widowControl w:val="0"/>
        <w:shd w:val="clear" w:color="auto" w:fill="auto"/>
        <w:bidi w:val="0"/>
        <w:spacing w:before="0" w:after="160" w:line="48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3</w:t>
      </w:r>
      <w:bookmarkEnd w:id="1011"/>
      <w:r>
        <w:rPr>
          <w:rFonts w:ascii="Times New Roman" w:eastAsia="Times New Roman" w:hAnsi="Times New Roman" w:cs="Times New Roman"/>
          <w:color w:val="000000"/>
          <w:spacing w:val="0"/>
          <w:w w:val="100"/>
          <w:position w:val="0"/>
        </w:rPr>
        <w:t>2</w:t>
      </w:r>
      <w:r>
        <w:rPr>
          <w:color w:val="000000"/>
          <w:spacing w:val="0"/>
          <w:w w:val="100"/>
          <w:position w:val="0"/>
        </w:rPr>
        <w:t>、收入</w:t>
      </w:r>
      <w:bookmarkEnd w:id="1009"/>
      <w:bookmarkEnd w:id="1010"/>
      <w:bookmarkEnd w:id="1012"/>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收入确认和计量所采用的会计政策</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本公司在履行了合同中的履约义务，即在客户取得相关商品或服务控制权时确认收入。取得相关商品 或服务控制权，是指能够主导该商品或服务的使用并从中获得几乎全部的经济利益。</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单独售价的相对比例，将交易价格分摊至各单项履约义务。本公司按照分摊至各单项履约义务的交易价格 计量收入。</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交易价格是指本公司因向客户转让商品或服务而预期有权收取的对价金额，不包括代第三方收取的款 项以及预期将退还给客户的款项。本公司根据合同条款，结合其以往的习惯做法确定交易价格，并在确定 交易价格时，考虑可变对价、合同中存在的重大融资成分、非现金对价、应付客户对价等因素的影响。本 公司以不超过在相关不确定性消除时累计已确认收入极可能不会发生重大转回的金额确定包含可变对价 的交易价格。合同中存在重大融资成分的，本公司按照假定客户在取得商品或服务控制权时即以现金支付 的应付金额确定交易价格，并在合同期间内采用实际利率法摊销该交易价格与合同对价之间的差额。</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满足下列条件之一的，属于在某一时段内履行履约义务，否则，属于在某一时点履行履约义务：</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•客户在本公司履约的同时即取得并消耗本公司履约所带来的经济利益。</w:t>
      </w:r>
    </w:p>
    <w:p>
      <w:pPr>
        <w:pStyle w:val="Style10"/>
        <w:keepNext w:val="0"/>
        <w:keepLines w:val="0"/>
        <w:widowControl w:val="0"/>
        <w:shd w:val="clear" w:color="auto" w:fill="auto"/>
        <w:bidi w:val="0"/>
        <w:spacing w:before="0" w:after="80" w:line="467" w:lineRule="exact"/>
        <w:ind w:left="0" w:right="0" w:firstLine="440"/>
        <w:jc w:val="both"/>
      </w:pPr>
      <w:r>
        <w:rPr>
          <w:color w:val="000000"/>
          <w:spacing w:val="0"/>
          <w:w w:val="100"/>
          <w:position w:val="0"/>
        </w:rPr>
        <w:t>•客户能够控制本公司履约过程中在建的商品。</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•本公司履约过程中所产出的商品具有不可替代用途，且本公司在整个合同期内有权就累计至今已完 成的履约部分收取款项。</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能合理确定的除外。本公司考虑商品或服务的性质，采用产出法或投入法确定履约进度。当履约进度不能 合理确定时，已经发生的成本预计能够得到补偿的，本公司按照已经发生的成本金额确认收入，直到履约 进度能够合理确定为止。</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对于在某一时点履行的履约义务，本公司在客户取得相关商品或服务控制权时点确认收入。在判断客 户是否已取得商品或服务控制权时，本公司考虑下列迹象：</w:t>
      </w:r>
    </w:p>
    <w:p>
      <w:pPr>
        <w:pStyle w:val="Style1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•本公司就该商品或服务享有现时收款权利，即客户就该商品或服务负有现时付款义务。</w:t>
      </w:r>
    </w:p>
    <w:p>
      <w:pPr>
        <w:pStyle w:val="Style1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•本公司已将该商品的法定所有权转移给客户，即客户已拥有该商品的法定所有权。</w:t>
      </w:r>
    </w:p>
    <w:p>
      <w:pPr>
        <w:pStyle w:val="Style1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•本公司已将该商品实物转移给客户，即客户已实物占有该商品。</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•本公司已将该商品所有权上的主要风险和报酬转移给客户，即客户已取得该商品所有权上的主要风 险和报酬。</w:t>
      </w:r>
    </w:p>
    <w:p>
      <w:pPr>
        <w:pStyle w:val="Style10"/>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•客户已接受该商品或服务等。</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同类业务采用不同经营模式导致收入确认会计政策存在差异的情况</w:t>
      </w:r>
    </w:p>
    <w:p>
      <w:pPr>
        <w:pStyle w:val="Style28"/>
        <w:keepNext/>
        <w:keepLines/>
        <w:widowControl w:val="0"/>
        <w:shd w:val="clear" w:color="auto" w:fill="auto"/>
        <w:bidi w:val="0"/>
        <w:spacing w:before="0" w:after="0" w:line="480" w:lineRule="auto"/>
        <w:ind w:left="0" w:right="0" w:firstLine="0"/>
        <w:jc w:val="both"/>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013"/>
      <w:bookmarkEnd w:id="1014"/>
      <w:bookmarkEnd w:id="1016"/>
    </w:p>
    <w:p>
      <w:pPr>
        <w:pStyle w:val="Style28"/>
        <w:keepNext/>
        <w:keepLines/>
        <w:widowControl w:val="0"/>
        <w:shd w:val="clear" w:color="auto" w:fill="auto"/>
        <w:tabs>
          <w:tab w:pos="928" w:val="left"/>
        </w:tabs>
        <w:bidi w:val="0"/>
        <w:spacing w:before="0" w:after="0" w:line="468" w:lineRule="exact"/>
        <w:ind w:left="0" w:right="0" w:firstLine="440"/>
        <w:jc w:val="both"/>
      </w:pPr>
      <w:bookmarkStart w:id="1013" w:name="bookmark1013"/>
      <w:bookmarkStart w:id="1014" w:name="bookmark1014"/>
      <w:bookmarkStart w:id="1017" w:name="bookmark1017"/>
      <w:r>
        <w:rPr>
          <w:color w:val="000000"/>
          <w:spacing w:val="0"/>
          <w:w w:val="100"/>
          <w:position w:val="0"/>
        </w:rPr>
        <w:t>（</w:t>
      </w:r>
      <w:bookmarkEnd w:id="1017"/>
      <w:r>
        <w:rPr>
          <w:color w:val="000000"/>
          <w:spacing w:val="0"/>
          <w:w w:val="100"/>
          <w:position w:val="0"/>
        </w:rPr>
        <w:t>1）</w:t>
        <w:tab/>
        <w:t>类型</w:t>
      </w:r>
      <w:bookmarkEnd w:id="1013"/>
      <w:bookmarkEnd w:id="1014"/>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政府补助，是本公司从政府无偿取得的货币性资产或非货币性资产，分为与资产相关的政府补助和与 收益相关的政府补助。</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10"/>
        <w:keepNext w:val="0"/>
        <w:keepLines w:val="0"/>
        <w:widowControl w:val="0"/>
        <w:shd w:val="clear" w:color="auto" w:fill="auto"/>
        <w:tabs>
          <w:tab w:pos="928" w:val="left"/>
        </w:tabs>
        <w:bidi w:val="0"/>
        <w:spacing w:before="0" w:after="0" w:line="468" w:lineRule="exact"/>
        <w:ind w:left="0" w:right="0" w:firstLine="440"/>
        <w:jc w:val="left"/>
      </w:pPr>
      <w:bookmarkStart w:id="1018" w:name="bookmark1018"/>
      <w:r>
        <w:rPr>
          <w:b/>
          <w:bCs/>
          <w:color w:val="000000"/>
          <w:spacing w:val="0"/>
          <w:w w:val="100"/>
          <w:position w:val="0"/>
        </w:rPr>
        <w:t>（</w:t>
      </w:r>
      <w:bookmarkEnd w:id="1018"/>
      <w:r>
        <w:rPr>
          <w:b/>
          <w:bCs/>
          <w:color w:val="000000"/>
          <w:spacing w:val="0"/>
          <w:w w:val="100"/>
          <w:position w:val="0"/>
        </w:rPr>
        <w:t>2）</w:t>
        <w:tab/>
        <w:t>确认时点</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政府补助在本公司能够满足其所附的条件并且能够收到时，予以确认。</w:t>
      </w:r>
    </w:p>
    <w:p>
      <w:pPr>
        <w:pStyle w:val="Style10"/>
        <w:keepNext w:val="0"/>
        <w:keepLines w:val="0"/>
        <w:widowControl w:val="0"/>
        <w:shd w:val="clear" w:color="auto" w:fill="auto"/>
        <w:tabs>
          <w:tab w:pos="928" w:val="left"/>
        </w:tabs>
        <w:bidi w:val="0"/>
        <w:spacing w:before="0" w:after="0" w:line="468" w:lineRule="exact"/>
        <w:ind w:left="0" w:right="0" w:firstLine="440"/>
        <w:jc w:val="both"/>
      </w:pPr>
      <w:bookmarkStart w:id="1019" w:name="bookmark1019"/>
      <w:r>
        <w:rPr>
          <w:b/>
          <w:bCs/>
          <w:color w:val="000000"/>
          <w:spacing w:val="0"/>
          <w:w w:val="100"/>
          <w:position w:val="0"/>
        </w:rPr>
        <w:t>（</w:t>
      </w:r>
      <w:bookmarkEnd w:id="1019"/>
      <w:r>
        <w:rPr>
          <w:b/>
          <w:bCs/>
          <w:color w:val="000000"/>
          <w:spacing w:val="0"/>
          <w:w w:val="100"/>
          <w:position w:val="0"/>
        </w:rPr>
        <w:t>3）</w:t>
        <w:tab/>
        <w:t>会计处理</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与收益相关的政府补助，用于补偿本公司以后期间的相关成本费用或损失的，确认为递延收益，并在 确认相关成本费用或损失的期间，计入当期损益（与本公司日常活动相关的，计入其他收益；与本公司日 </w:t>
      </w:r>
      <w:r>
        <w:rPr>
          <w:color w:val="000000"/>
          <w:spacing w:val="0"/>
          <w:w w:val="100"/>
          <w:position w:val="0"/>
        </w:rPr>
        <w:t>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本公司取得的政策性优惠贷款贴息，区分以下两种情况，分别进行会计处理：</w:t>
      </w:r>
    </w:p>
    <w:p>
      <w:pPr>
        <w:pStyle w:val="Style10"/>
        <w:keepNext w:val="0"/>
        <w:keepLines w:val="0"/>
        <w:widowControl w:val="0"/>
        <w:shd w:val="clear" w:color="auto" w:fill="auto"/>
        <w:tabs>
          <w:tab w:pos="805" w:val="left"/>
        </w:tabs>
        <w:bidi w:val="0"/>
        <w:spacing w:before="0" w:after="0" w:line="469" w:lineRule="exact"/>
        <w:ind w:left="0" w:right="0" w:firstLine="440"/>
        <w:jc w:val="both"/>
      </w:pPr>
      <w:bookmarkStart w:id="1020" w:name="bookmark1020"/>
      <w:r>
        <w:rPr>
          <w:b/>
          <w:bCs/>
          <w:color w:val="000000"/>
          <w:spacing w:val="0"/>
          <w:w w:val="100"/>
          <w:position w:val="0"/>
        </w:rPr>
        <w:t>1</w:t>
      </w:r>
      <w:bookmarkEnd w:id="1020"/>
      <w:r>
        <w:rPr>
          <w:color w:val="000000"/>
          <w:spacing w:val="0"/>
          <w:w w:val="100"/>
          <w:position w:val="0"/>
        </w:rPr>
        <w:t>）</w:t>
        <w:tab/>
        <w:t>财政将贴息资金拨付给贷款银行，由贷款银行以政策性优惠利率向本公司提供贷款的，本公司以 实际收到的借款金额作为借款的入账价值，按照借款本金和该政策性优惠利率计算相关借款费用。</w:t>
      </w:r>
    </w:p>
    <w:p>
      <w:pPr>
        <w:pStyle w:val="Style10"/>
        <w:keepNext w:val="0"/>
        <w:keepLines w:val="0"/>
        <w:widowControl w:val="0"/>
        <w:shd w:val="clear" w:color="auto" w:fill="auto"/>
        <w:tabs>
          <w:tab w:pos="832" w:val="left"/>
        </w:tabs>
        <w:bidi w:val="0"/>
        <w:spacing w:before="0" w:after="420" w:line="469" w:lineRule="exact"/>
        <w:ind w:left="0" w:right="0" w:firstLine="440"/>
        <w:jc w:val="left"/>
      </w:pPr>
      <w:bookmarkStart w:id="1021" w:name="bookmark1021"/>
      <w:r>
        <w:rPr>
          <w:b/>
          <w:bCs/>
          <w:color w:val="000000"/>
          <w:spacing w:val="0"/>
          <w:w w:val="100"/>
          <w:position w:val="0"/>
        </w:rPr>
        <w:t>2</w:t>
      </w:r>
      <w:bookmarkEnd w:id="1021"/>
      <w:r>
        <w:rPr>
          <w:color w:val="000000"/>
          <w:spacing w:val="0"/>
          <w:w w:val="100"/>
          <w:position w:val="0"/>
        </w:rPr>
        <w:t>）</w:t>
        <w:tab/>
        <w:t>财政将贴息资金直接拨付给本公司的，本公司将对应的贴息冲减相关借款费用。</w:t>
      </w:r>
    </w:p>
    <w:p>
      <w:pPr>
        <w:pStyle w:val="Style28"/>
        <w:keepNext/>
        <w:keepLines/>
        <w:widowControl w:val="0"/>
        <w:shd w:val="clear" w:color="auto" w:fill="auto"/>
        <w:bidi w:val="0"/>
        <w:spacing w:before="0" w:after="0" w:line="480" w:lineRule="auto"/>
        <w:ind w:left="0" w:right="0" w:firstLine="0"/>
        <w:jc w:val="both"/>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3</w:t>
      </w:r>
      <w:bookmarkEnd w:id="1024"/>
      <w:r>
        <w:rPr>
          <w:rFonts w:ascii="Times New Roman" w:eastAsia="Times New Roman" w:hAnsi="Times New Roman" w:cs="Times New Roman"/>
          <w:color w:val="000000"/>
          <w:spacing w:val="0"/>
          <w:w w:val="100"/>
          <w:position w:val="0"/>
        </w:rPr>
        <w:t>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22"/>
      <w:bookmarkEnd w:id="1023"/>
      <w:bookmarkEnd w:id="1025"/>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所得税包括当期所得税和递延所得税。除因企业合并和直接计入所有者权益（包括其他综合收益）的交 易或者事项产生的所得税外，本公司将当期所得税和递延所得税计入当期损益。</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递延所得税资产和递延所得税负债根据资产和负债的计税基础与其账面价值的差额（暂时性差异）计 算确认。</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对于应纳税暂时性差异，除特殊情况外，确认递延所得税负债。</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不确认递延所得税资产或递延所得税负债的特殊情况包括：</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•商誉的初始确认；</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•既不是企业合并、发生时也不影响会计利润和应纳税所得额（或可抵扣亏损）的交易或事项。</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对与子公司、联营企业及合营企业投资相关的应纳税暂时性差异，确认递延所得税负债，除非本公司 能够控制该暂时性差异转回的时间且该暂时性差异在可预见的未来很可能不会转回。对与子公司、联营企 业及合营企业投资相关的可抵扣暂时性差异，当该暂时性差异在可预见的未来很可能转回且未来很可能获 得用来抵扣可抵扣暂时性差异的应纳税所得额时，确认递延所得税资产。</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资产负债表日，本公司对递延所得税资产的账面价值进行复核。如果未来期间很可能无法获得足够的 应纳税所得额用以抵扣递延所得税资产的利益，则减记递延所得税资产的账面价值。在很可能获得足够的 应纳税所得额时，减记的金额予以转回。</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当拥有以净额结算的法定权利，且意图以净额结算或取得资产、清偿负债同时进行时，当期所得税资 </w:t>
      </w:r>
      <w:r>
        <w:rPr>
          <w:color w:val="000000"/>
          <w:spacing w:val="0"/>
          <w:w w:val="100"/>
          <w:position w:val="0"/>
        </w:rPr>
        <w:t>产及当期所得税负债以抵销后的净额列报。</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资产负债表日，递延所得税资产及递延所得税负债在同时满足以下条件时以抵销后的净额列示：</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•纳税主体拥有以净额结算当期所得税资产及当期所得税负债的法定权利；</w:t>
      </w:r>
    </w:p>
    <w:p>
      <w:pPr>
        <w:pStyle w:val="Style1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•递延所得税资产及递延所得税负债是与同一税收征管部门对同一纳税主体征收的所得税相关或者是 对不同的纳税主体相关，但在未来每一具有重要性的递延所得税资产及负债转回的期间内，涉及的纳税主 体意图以净额结算当期所得税资产和负债或是同时取得资产、清偿负债。</w:t>
      </w:r>
    </w:p>
    <w:p>
      <w:pPr>
        <w:pStyle w:val="Style28"/>
        <w:keepNext/>
        <w:keepLines/>
        <w:widowControl w:val="0"/>
        <w:shd w:val="clear" w:color="auto" w:fill="auto"/>
        <w:bidi w:val="0"/>
        <w:spacing w:before="0" w:after="0" w:line="480" w:lineRule="auto"/>
        <w:ind w:left="0" w:right="0" w:firstLine="0"/>
        <w:jc w:val="both"/>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rFonts w:ascii="Times New Roman" w:eastAsia="Times New Roman" w:hAnsi="Times New Roman" w:cs="Times New Roman"/>
          <w:color w:val="000000"/>
          <w:spacing w:val="0"/>
          <w:w w:val="100"/>
          <w:position w:val="0"/>
        </w:rPr>
        <w:t>5</w:t>
      </w:r>
      <w:r>
        <w:rPr>
          <w:color w:val="000000"/>
          <w:spacing w:val="0"/>
          <w:w w:val="100"/>
          <w:position w:val="0"/>
        </w:rPr>
        <w:t>、租赁</w:t>
      </w:r>
      <w:bookmarkEnd w:id="1026"/>
      <w:bookmarkEnd w:id="1027"/>
      <w:bookmarkEnd w:id="1029"/>
    </w:p>
    <w:p>
      <w:pPr>
        <w:pStyle w:val="Style201"/>
        <w:keepNext/>
        <w:keepLines/>
        <w:widowControl w:val="0"/>
        <w:shd w:val="clear" w:color="auto" w:fill="auto"/>
        <w:bidi w:val="0"/>
        <w:spacing w:before="0" w:after="220" w:line="468" w:lineRule="exact"/>
        <w:ind w:left="0" w:right="0" w:firstLine="0"/>
        <w:jc w:val="both"/>
      </w:pPr>
      <w:bookmarkStart w:id="1030" w:name="bookmark1030"/>
      <w:bookmarkStart w:id="1031" w:name="bookmark1031"/>
      <w:bookmarkStart w:id="1032" w:name="bookmark10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30"/>
      <w:bookmarkEnd w:id="1031"/>
      <w:bookmarkEnd w:id="1032"/>
    </w:p>
    <w:p>
      <w:pPr>
        <w:pStyle w:val="Style201"/>
        <w:keepNext/>
        <w:keepLines/>
        <w:widowControl w:val="0"/>
        <w:shd w:val="clear" w:color="auto" w:fill="auto"/>
        <w:bidi w:val="0"/>
        <w:spacing w:before="0" w:after="0" w:line="468" w:lineRule="exact"/>
        <w:ind w:left="0" w:right="0" w:firstLine="440"/>
        <w:jc w:val="both"/>
      </w:pPr>
      <w:bookmarkStart w:id="1030" w:name="bookmark1030"/>
      <w:bookmarkStart w:id="1031" w:name="bookmark1031"/>
      <w:r>
        <w:rPr>
          <w:color w:val="000000"/>
          <w:spacing w:val="0"/>
          <w:w w:val="100"/>
          <w:position w:val="0"/>
        </w:rPr>
        <w:t>租赁的识别</w:t>
      </w:r>
      <w:bookmarkEnd w:id="1030"/>
      <w:bookmarkEnd w:id="1031"/>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租赁，是指在一定期间内，出租人将资产的使用权让与承租人以获取对价的合同。在合同开始日，本 公司评估合同是否为租赁或者包含租赁。如果合同中一方让渡了在一定期间内控制一项或多项已识别资产 使用的权利以换取对价，则该合同为租赁或者包含租赁。</w:t>
      </w:r>
    </w:p>
    <w:p>
      <w:pPr>
        <w:pStyle w:val="Style10"/>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单独租赁的识别</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合同中同时包含多项单独租赁的，本公司将合同予以分拆，并分别各项单独租赁进行会计处理。合同 中同时包含租赁和非租赁部分的，承租人和出租人将租赁和非租赁部分进行分拆。</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对于由新冠肺炎疫情直接引发的、就现有租赁合同达成的租金减免、延期支付等租金减让，同时满足 下列条件的，本公司对所有租赁选择采用简化方法，不评估是否发生租赁变更，也不重新评估租赁分类：</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减让后的租赁对价较减让前减少或基本不变，其中，租赁对价未折现或按减让前折现率折现均可；</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减让仅针对202</w:t>
      </w:r>
      <w:r>
        <w:rPr>
          <w:b/>
          <w:bCs/>
          <w:color w:val="000000"/>
          <w:spacing w:val="0"/>
          <w:w w:val="100"/>
          <w:position w:val="0"/>
        </w:rPr>
        <w:t>2</w:t>
      </w:r>
      <w:r>
        <w:rPr>
          <w:color w:val="000000"/>
          <w:spacing w:val="0"/>
          <w:w w:val="100"/>
          <w:position w:val="0"/>
        </w:rPr>
        <w:t>年6月30日前的应付租赁付款额，202</w:t>
      </w:r>
      <w:r>
        <w:rPr>
          <w:b/>
          <w:bCs/>
          <w:color w:val="000000"/>
          <w:spacing w:val="0"/>
          <w:w w:val="100"/>
          <w:position w:val="0"/>
        </w:rPr>
        <w:t>2</w:t>
      </w:r>
      <w:r>
        <w:rPr>
          <w:color w:val="000000"/>
          <w:spacing w:val="0"/>
          <w:w w:val="100"/>
          <w:position w:val="0"/>
        </w:rPr>
        <w:t>年6月30日后应付租赁付款额增加不影响满足该 条件，202</w:t>
      </w:r>
      <w:r>
        <w:rPr>
          <w:b/>
          <w:bCs/>
          <w:color w:val="000000"/>
          <w:spacing w:val="0"/>
          <w:w w:val="100"/>
          <w:position w:val="0"/>
        </w:rPr>
        <w:t>2</w:t>
      </w:r>
      <w:r>
        <w:rPr>
          <w:color w:val="000000"/>
          <w:spacing w:val="0"/>
          <w:w w:val="100"/>
          <w:position w:val="0"/>
        </w:rPr>
        <w:t>年6月30日后应付租赁付款额减少不满足该条件；</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综合考虑定性和定量因素后认定租赁的其他条款和条件无重大变化。</w:t>
      </w:r>
    </w:p>
    <w:p>
      <w:pPr>
        <w:pStyle w:val="Style10"/>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1）本公司作为承租人</w:t>
      </w:r>
    </w:p>
    <w:p>
      <w:pPr>
        <w:pStyle w:val="Style10"/>
        <w:keepNext w:val="0"/>
        <w:keepLines w:val="0"/>
        <w:widowControl w:val="0"/>
        <w:numPr>
          <w:ilvl w:val="0"/>
          <w:numId w:val="37"/>
        </w:numPr>
        <w:shd w:val="clear" w:color="auto" w:fill="auto"/>
        <w:tabs>
          <w:tab w:pos="774" w:val="left"/>
        </w:tabs>
        <w:bidi w:val="0"/>
        <w:spacing w:before="0" w:after="0" w:line="468" w:lineRule="exact"/>
        <w:ind w:left="0" w:right="0" w:firstLine="440"/>
        <w:jc w:val="both"/>
      </w:pPr>
      <w:bookmarkStart w:id="1033" w:name="bookmark1033"/>
      <w:bookmarkEnd w:id="1033"/>
      <w:r>
        <w:rPr>
          <w:color w:val="000000"/>
          <w:spacing w:val="0"/>
          <w:w w:val="100"/>
          <w:position w:val="0"/>
        </w:rPr>
        <w:t>使用权资产及租赁负债</w:t>
      </w:r>
    </w:p>
    <w:p>
      <w:pPr>
        <w:pStyle w:val="Style10"/>
        <w:keepNext w:val="0"/>
        <w:keepLines w:val="0"/>
        <w:widowControl w:val="0"/>
        <w:shd w:val="clear" w:color="auto" w:fill="auto"/>
        <w:bidi w:val="0"/>
        <w:spacing w:before="0" w:after="0" w:line="499" w:lineRule="exact"/>
        <w:ind w:left="0" w:right="0" w:firstLine="440"/>
        <w:jc w:val="both"/>
      </w:pPr>
      <w:r>
        <w:rPr>
          <w:color w:val="000000"/>
          <w:spacing w:val="0"/>
          <w:w w:val="100"/>
          <w:position w:val="0"/>
        </w:rPr>
        <w:t>本集团作为承租人的一般会计处理见附注五、重要会计政策及会计估计23、使用权资产和29、租赁负 债。</w:t>
      </w:r>
    </w:p>
    <w:p>
      <w:pPr>
        <w:pStyle w:val="Style10"/>
        <w:keepNext w:val="0"/>
        <w:keepLines w:val="0"/>
        <w:widowControl w:val="0"/>
        <w:numPr>
          <w:ilvl w:val="0"/>
          <w:numId w:val="37"/>
        </w:numPr>
        <w:shd w:val="clear" w:color="auto" w:fill="auto"/>
        <w:tabs>
          <w:tab w:pos="779" w:val="left"/>
        </w:tabs>
        <w:bidi w:val="0"/>
        <w:spacing w:before="0" w:after="0" w:line="475" w:lineRule="exact"/>
        <w:ind w:left="0" w:right="0" w:firstLine="440"/>
        <w:jc w:val="both"/>
      </w:pPr>
      <w:bookmarkStart w:id="1034" w:name="bookmark1034"/>
      <w:bookmarkEnd w:id="1034"/>
      <w:r>
        <w:rPr>
          <w:color w:val="000000"/>
          <w:spacing w:val="0"/>
          <w:w w:val="100"/>
          <w:position w:val="0"/>
        </w:rPr>
        <w:t>短期租赁和低价值资产租赁</w:t>
      </w:r>
    </w:p>
    <w:p>
      <w:pPr>
        <w:pStyle w:val="Style10"/>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本公司选择对短期租赁和低价值资产租赁不确认使用权资产和租赁负债，并将相关的租赁付款额在租 赁期内各个期间按照直线法计入当期损益或相关资产成本。短期租赁，是指在租赁期开始日，租赁期不超</w:t>
      </w:r>
    </w:p>
    <w:p>
      <w:pPr>
        <w:pStyle w:val="Style10"/>
        <w:keepNext w:val="0"/>
        <w:keepLines w:val="0"/>
        <w:widowControl w:val="0"/>
        <w:shd w:val="clear" w:color="auto" w:fill="auto"/>
        <w:bidi w:val="0"/>
        <w:spacing w:before="0" w:after="0" w:line="471" w:lineRule="exact"/>
        <w:ind w:left="0" w:right="0" w:firstLine="0"/>
        <w:jc w:val="left"/>
      </w:pPr>
      <w:r>
        <w:rPr>
          <w:color w:val="000000"/>
          <w:spacing w:val="0"/>
          <w:w w:val="100"/>
          <w:position w:val="0"/>
        </w:rPr>
        <w:t>过12个月且不包含购买选择权的租赁。低价值资产租赁，是指单项租赁资产为全新资产时价值较低的租赁。 公司转租或预期转租租赁资产的，原租赁不属于低价值资产租赁。</w:t>
      </w:r>
    </w:p>
    <w:p>
      <w:pPr>
        <w:pStyle w:val="Style10"/>
        <w:keepNext w:val="0"/>
        <w:keepLines w:val="0"/>
        <w:widowControl w:val="0"/>
        <w:numPr>
          <w:ilvl w:val="0"/>
          <w:numId w:val="39"/>
        </w:numPr>
        <w:shd w:val="clear" w:color="auto" w:fill="auto"/>
        <w:bidi w:val="0"/>
        <w:spacing w:before="0" w:after="0" w:line="471" w:lineRule="exact"/>
        <w:ind w:left="0" w:right="0" w:firstLine="440"/>
        <w:jc w:val="both"/>
      </w:pPr>
      <w:bookmarkStart w:id="1035" w:name="bookmark1035"/>
      <w:bookmarkEnd w:id="1035"/>
      <w:r>
        <w:rPr>
          <w:color w:val="000000"/>
          <w:spacing w:val="0"/>
          <w:w w:val="100"/>
          <w:position w:val="0"/>
        </w:rPr>
        <w:t>租赁变更</w:t>
      </w:r>
    </w:p>
    <w:p>
      <w:pPr>
        <w:pStyle w:val="Style1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租赁发生变更且同时符合下列条件的，公司将该租赁变更作为一项单独租赁进行会计处理：</w:t>
      </w:r>
    </w:p>
    <w:p>
      <w:pPr>
        <w:pStyle w:val="Style10"/>
        <w:keepNext w:val="0"/>
        <w:keepLines w:val="0"/>
        <w:widowControl w:val="0"/>
        <w:shd w:val="clear" w:color="auto" w:fill="auto"/>
        <w:bidi w:val="0"/>
        <w:spacing w:before="0" w:after="0" w:line="471" w:lineRule="exact"/>
        <w:ind w:left="0" w:right="0" w:firstLine="440"/>
        <w:jc w:val="left"/>
      </w:pPr>
      <w:r>
        <w:rPr>
          <w:b/>
          <w:bCs/>
          <w:color w:val="000000"/>
          <w:spacing w:val="0"/>
          <w:w w:val="100"/>
          <w:position w:val="0"/>
        </w:rPr>
        <w:t>•</w:t>
      </w:r>
      <w:r>
        <w:rPr>
          <w:color w:val="000000"/>
          <w:spacing w:val="0"/>
          <w:w w:val="100"/>
          <w:position w:val="0"/>
        </w:rPr>
        <w:t>该租赁变更通过增加一项或多项租赁资产的使用权而扩大了租赁范围；</w:t>
      </w:r>
    </w:p>
    <w:p>
      <w:pPr>
        <w:pStyle w:val="Style10"/>
        <w:keepNext w:val="0"/>
        <w:keepLines w:val="0"/>
        <w:widowControl w:val="0"/>
        <w:shd w:val="clear" w:color="auto" w:fill="auto"/>
        <w:bidi w:val="0"/>
        <w:spacing w:before="0" w:after="0" w:line="471" w:lineRule="exact"/>
        <w:ind w:left="0" w:right="0" w:firstLine="440"/>
        <w:jc w:val="left"/>
      </w:pPr>
      <w:r>
        <w:rPr>
          <w:b/>
          <w:bCs/>
          <w:color w:val="000000"/>
          <w:spacing w:val="0"/>
          <w:w w:val="100"/>
          <w:position w:val="0"/>
        </w:rPr>
        <w:t>•</w:t>
      </w:r>
      <w:r>
        <w:rPr>
          <w:color w:val="000000"/>
          <w:spacing w:val="0"/>
          <w:w w:val="100"/>
          <w:position w:val="0"/>
        </w:rPr>
        <w:t>增加的对价与租赁范围扩大部分的单独价格按该合同情况调整后的金额相当。</w:t>
      </w:r>
    </w:p>
    <w:p>
      <w:pPr>
        <w:pStyle w:val="Style1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租赁变更未作为一项单独租赁进行会计处理的，在租赁变更生效日，公司重新分摊变更后合同的对价， 重新确定租赁期，并按照变更后租赁付款额和修订后的折现率计算的现值重新计量租赁负债。</w:t>
      </w:r>
    </w:p>
    <w:p>
      <w:pPr>
        <w:pStyle w:val="Style1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租赁变更导致租赁范围缩小或租赁期缩短的，本公司相应调减使用权资产的账面价值，并将部分终止 或完全终止租赁的相关利得或损失计入当期损益。</w:t>
      </w:r>
    </w:p>
    <w:p>
      <w:pPr>
        <w:pStyle w:val="Style1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其他租赁变更导致租赁负债重新计量的，本公司相应调整使用权资产的账面价值。</w:t>
      </w:r>
    </w:p>
    <w:p>
      <w:pPr>
        <w:pStyle w:val="Style10"/>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2）本公司作为出租人</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在租赁开始日，本公司将租赁分为融资租赁和经营租赁。融资租赁，是指无论所有权最终是否转移， 但实质上转移了与租赁资产所有权有关的几乎全部风险和报酬的租赁。经营租赁，是指除融资租赁以外的 其他租赁。本公司作为转租出租人时，基于原租赁产生的使用权资产对转租赁进行分类。</w:t>
      </w:r>
    </w:p>
    <w:p>
      <w:pPr>
        <w:pStyle w:val="Style10"/>
        <w:keepNext w:val="0"/>
        <w:keepLines w:val="0"/>
        <w:widowControl w:val="0"/>
        <w:numPr>
          <w:ilvl w:val="0"/>
          <w:numId w:val="41"/>
        </w:numPr>
        <w:shd w:val="clear" w:color="auto" w:fill="auto"/>
        <w:tabs>
          <w:tab w:pos="774" w:val="left"/>
        </w:tabs>
        <w:bidi w:val="0"/>
        <w:spacing w:before="0" w:after="0" w:line="471" w:lineRule="exact"/>
        <w:ind w:left="0" w:right="0" w:firstLine="440"/>
        <w:jc w:val="both"/>
      </w:pPr>
      <w:bookmarkStart w:id="1036" w:name="bookmark1036"/>
      <w:bookmarkEnd w:id="1036"/>
      <w:r>
        <w:rPr>
          <w:color w:val="000000"/>
          <w:spacing w:val="0"/>
          <w:w w:val="100"/>
          <w:position w:val="0"/>
        </w:rPr>
        <w:t>经营租赁会计处理</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经营租赁的租赁收款额在租赁期内各个期间按照直线法确认为租金收入。本公司将发生的与经营租赁 有关的初始直接费用予以资本化，在租赁期内按照与租金收入确认相同的基础分摊计入当期损益。未计入 租赁收款额的可变租赁付款额在实际发生时计入当期损益。经营租赁发生变更的，公司自变更生效日起将 其作为一项新租赁进行会计处理，与变更前租赁有关的预收或应收租赁收款额视为新租赁的收款额。</w:t>
      </w:r>
    </w:p>
    <w:p>
      <w:pPr>
        <w:pStyle w:val="Style10"/>
        <w:keepNext w:val="0"/>
        <w:keepLines w:val="0"/>
        <w:widowControl w:val="0"/>
        <w:numPr>
          <w:ilvl w:val="0"/>
          <w:numId w:val="41"/>
        </w:numPr>
        <w:shd w:val="clear" w:color="auto" w:fill="auto"/>
        <w:tabs>
          <w:tab w:pos="779" w:val="left"/>
        </w:tabs>
        <w:bidi w:val="0"/>
        <w:spacing w:before="0" w:after="0" w:line="471" w:lineRule="exact"/>
        <w:ind w:left="0" w:right="0" w:firstLine="440"/>
        <w:jc w:val="both"/>
      </w:pPr>
      <w:bookmarkStart w:id="1037" w:name="bookmark1037"/>
      <w:bookmarkEnd w:id="1037"/>
      <w:r>
        <w:rPr>
          <w:color w:val="000000"/>
          <w:spacing w:val="0"/>
          <w:w w:val="100"/>
          <w:position w:val="0"/>
        </w:rPr>
        <w:t>融资租赁会计处理</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在租赁开始日，本公司对融资租赁确认应收融资租赁款，并终止确认融资租赁资产。本公司对应收融 资租赁款进行初始计量时，将租赁投资净额作为应收融资租赁款的入账价值。租赁投资净额为未担保余值 和租赁期开始日尚未收到的租赁收款额按照租赁内含利率折现的现值之和。</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本公司按照固定的周期性利率计算并确认租赁期内各个期间的利息收入。应收融资租赁款的终止确认 和减值按照本附注五、重要会计政策及会计估计10、金融工具进行会计处理。</w:t>
      </w:r>
    </w:p>
    <w:p>
      <w:pPr>
        <w:pStyle w:val="Style1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未纳入租赁投资净额计量的可变租赁付款额在实际发生时计入当期损益。</w:t>
      </w:r>
    </w:p>
    <w:p>
      <w:pPr>
        <w:pStyle w:val="Style1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融资租赁发生变更且同时符合下列条件的，本公司将该变更作为一项单独租赁进行会计处理：</w:t>
      </w:r>
    </w:p>
    <w:p>
      <w:pPr>
        <w:pStyle w:val="Style10"/>
        <w:keepNext w:val="0"/>
        <w:keepLines w:val="0"/>
        <w:widowControl w:val="0"/>
        <w:shd w:val="clear" w:color="auto" w:fill="auto"/>
        <w:bidi w:val="0"/>
        <w:spacing w:before="0" w:after="0" w:line="471" w:lineRule="exact"/>
        <w:ind w:left="0" w:right="0" w:firstLine="440"/>
        <w:jc w:val="left"/>
      </w:pPr>
      <w:r>
        <w:rPr>
          <w:b/>
          <w:bCs/>
          <w:color w:val="000000"/>
          <w:spacing w:val="0"/>
          <w:w w:val="100"/>
          <w:position w:val="0"/>
        </w:rPr>
        <w:t>•</w:t>
      </w:r>
      <w:r>
        <w:rPr>
          <w:color w:val="000000"/>
          <w:spacing w:val="0"/>
          <w:w w:val="100"/>
          <w:position w:val="0"/>
        </w:rPr>
        <w:t>该变更通过增加一项或多项租赁资产的使用权而扩大了租赁范围；</w:t>
      </w:r>
    </w:p>
    <w:p>
      <w:pPr>
        <w:pStyle w:val="Style10"/>
        <w:keepNext w:val="0"/>
        <w:keepLines w:val="0"/>
        <w:widowControl w:val="0"/>
        <w:shd w:val="clear" w:color="auto" w:fill="auto"/>
        <w:bidi w:val="0"/>
        <w:spacing w:before="0" w:after="0" w:line="471" w:lineRule="exact"/>
        <w:ind w:left="0" w:right="0" w:firstLine="440"/>
        <w:jc w:val="left"/>
      </w:pPr>
      <w:r>
        <w:rPr>
          <w:b/>
          <w:bCs/>
          <w:color w:val="000000"/>
          <w:spacing w:val="0"/>
          <w:w w:val="100"/>
          <w:position w:val="0"/>
        </w:rPr>
        <w:t>•</w:t>
      </w:r>
      <w:r>
        <w:rPr>
          <w:color w:val="000000"/>
          <w:spacing w:val="0"/>
          <w:w w:val="100"/>
          <w:position w:val="0"/>
        </w:rPr>
        <w:t>增加的对价与租赁范围扩大部分的单独价格按该合同情况调整后的金额相当。</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融资租赁的变更未作为一项单独租赁进行会计处理的，本公司分别下列情形对变更后的租赁进行处 理：</w:t>
      </w:r>
    </w:p>
    <w:p>
      <w:pPr>
        <w:pStyle w:val="Style10"/>
        <w:keepNext w:val="0"/>
        <w:keepLines w:val="0"/>
        <w:widowControl w:val="0"/>
        <w:shd w:val="clear" w:color="auto" w:fill="auto"/>
        <w:bidi w:val="0"/>
        <w:spacing w:before="0" w:after="0" w:line="466" w:lineRule="exact"/>
        <w:ind w:left="0" w:right="0" w:firstLine="440"/>
        <w:jc w:val="both"/>
      </w:pPr>
      <w:r>
        <w:rPr>
          <w:b/>
          <w:bCs/>
          <w:color w:val="000000"/>
          <w:spacing w:val="0"/>
          <w:w w:val="100"/>
          <w:position w:val="0"/>
        </w:rPr>
        <w:t>•</w:t>
      </w:r>
      <w:r>
        <w:rPr>
          <w:color w:val="000000"/>
          <w:spacing w:val="0"/>
          <w:w w:val="100"/>
          <w:position w:val="0"/>
        </w:rPr>
        <w:t>假如变更在租赁开始日生效，该租赁会被分类为经营租赁的，本公司自租赁变更生效日开始将其作为 一项新租赁进行会计处理，并以租赁变更生效日前的租赁投资净额作为租赁资产的账面价值；</w:t>
      </w:r>
    </w:p>
    <w:p>
      <w:pPr>
        <w:pStyle w:val="Style10"/>
        <w:keepNext w:val="0"/>
        <w:keepLines w:val="0"/>
        <w:widowControl w:val="0"/>
        <w:shd w:val="clear" w:color="auto" w:fill="auto"/>
        <w:bidi w:val="0"/>
        <w:spacing w:before="0" w:after="420" w:line="466" w:lineRule="exact"/>
        <w:ind w:left="0" w:right="0" w:firstLine="440"/>
        <w:jc w:val="both"/>
      </w:pPr>
      <w:r>
        <w:rPr>
          <w:b/>
          <w:bCs/>
          <w:color w:val="000000"/>
          <w:spacing w:val="0"/>
          <w:w w:val="100"/>
          <w:position w:val="0"/>
        </w:rPr>
        <w:t>•</w:t>
      </w:r>
      <w:r>
        <w:rPr>
          <w:color w:val="000000"/>
          <w:spacing w:val="0"/>
          <w:w w:val="100"/>
          <w:position w:val="0"/>
        </w:rPr>
        <w:t>假如变更在租赁开始日生效，该租赁会被分类为融资租赁的，本公司按照本附注五、重要会计政策及 会计估计10、金融工具关于修改或重新议定合同的政策进行会计处理。</w:t>
      </w:r>
    </w:p>
    <w:p>
      <w:pPr>
        <w:pStyle w:val="Style28"/>
        <w:keepNext/>
        <w:keepLines/>
        <w:widowControl w:val="0"/>
        <w:shd w:val="clear" w:color="auto" w:fill="auto"/>
        <w:bidi w:val="0"/>
        <w:spacing w:before="0" w:after="0" w:line="48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3</w:t>
      </w:r>
      <w:bookmarkEnd w:id="1040"/>
      <w:r>
        <w:rPr>
          <w:rFonts w:ascii="Times New Roman" w:eastAsia="Times New Roman" w:hAnsi="Times New Roman" w:cs="Times New Roman"/>
          <w:color w:val="000000"/>
          <w:spacing w:val="0"/>
          <w:w w:val="100"/>
          <w:position w:val="0"/>
        </w:rPr>
        <w:t>6</w:t>
      </w:r>
      <w:r>
        <w:rPr>
          <w:color w:val="000000"/>
          <w:spacing w:val="0"/>
          <w:w w:val="100"/>
          <w:position w:val="0"/>
        </w:rPr>
        <w:t>、重要会计政策和会计估计变更</w:t>
      </w:r>
      <w:bookmarkEnd w:id="1038"/>
      <w:bookmarkEnd w:id="1039"/>
      <w:bookmarkEnd w:id="1041"/>
    </w:p>
    <w:p>
      <w:pPr>
        <w:pStyle w:val="Style201"/>
        <w:keepNext/>
        <w:keepLines/>
        <w:widowControl w:val="0"/>
        <w:shd w:val="clear" w:color="auto" w:fill="auto"/>
        <w:bidi w:val="0"/>
        <w:spacing w:before="0" w:line="466" w:lineRule="exact"/>
        <w:ind w:left="0" w:right="0" w:firstLine="0"/>
        <w:jc w:val="left"/>
      </w:pPr>
      <w:bookmarkStart w:id="1042" w:name="bookmark1042"/>
      <w:bookmarkStart w:id="1043" w:name="bookmark1043"/>
      <w:bookmarkStart w:id="1044" w:name="bookmark10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42"/>
      <w:bookmarkEnd w:id="1043"/>
      <w:bookmarkEnd w:id="1044"/>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5587"/>
        <w:gridCol w:w="2880"/>
        <w:gridCol w:w="11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国家财政部于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日颁布了《关于修订印发</w:t>
            </w:r>
            <w:r>
              <w:rPr>
                <w:color w:val="000000"/>
                <w:spacing w:val="0"/>
                <w:w w:val="100"/>
                <w:position w:val="0"/>
                <w:sz w:val="18"/>
                <w:szCs w:val="18"/>
              </w:rPr>
              <w:t>〈</w:t>
            </w:r>
            <w:r>
              <w:rPr>
                <w:color w:val="000000"/>
                <w:spacing w:val="0"/>
                <w:w w:val="100"/>
                <w:position w:val="0"/>
                <w:sz w:val="18"/>
                <w:szCs w:val="18"/>
              </w:rPr>
              <w:t>企业会计准 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租赁</w:t>
            </w:r>
            <w:r>
              <w:rPr>
                <w:color w:val="000000"/>
                <w:spacing w:val="0"/>
                <w:w w:val="100"/>
                <w:position w:val="0"/>
                <w:sz w:val="18"/>
                <w:szCs w:val="18"/>
              </w:rPr>
              <w:t>〉</w:t>
            </w:r>
            <w:r>
              <w:rPr>
                <w:color w:val="000000"/>
                <w:spacing w:val="0"/>
                <w:w w:val="100"/>
                <w:position w:val="0"/>
                <w:sz w:val="18"/>
                <w:szCs w:val="18"/>
              </w:rPr>
              <w:t>的通知》（以下简称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），要求在境内外 同时上市的企业以及在境外上市并采用国际财务报告准则或企业会 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日起施行；其他执行 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日起施行。根据新租赁准则的 要求，公司决定自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日起执行新的租赁准则，对原采用 的相关会计政策进行相应变更。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日，召 开第五届董事会第十五次会议及 第五届监事会第十次会议，审议通 过了《关于会计政策变更的议案》，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日起执行修 订后的准则，对会计政策相关内容 进行调整。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对财务报 表的影响 见下表。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将</w:t>
            </w:r>
            <w:r>
              <w:rPr>
                <w:rFonts w:ascii="Times New Roman" w:eastAsia="Times New Roman" w:hAnsi="Times New Roman" w:cs="Times New Roman"/>
                <w:color w:val="000000"/>
                <w:spacing w:val="0"/>
                <w:w w:val="100"/>
                <w:position w:val="0"/>
                <w:sz w:val="18"/>
                <w:szCs w:val="18"/>
              </w:rPr>
              <w:t>PPP</w:t>
            </w:r>
            <w:r>
              <w:rPr>
                <w:color w:val="000000"/>
                <w:spacing w:val="0"/>
                <w:w w:val="100"/>
                <w:position w:val="0"/>
                <w:sz w:val="18"/>
                <w:szCs w:val="18"/>
              </w:rPr>
              <w:t>项目预计负债核算方法从</w:t>
            </w:r>
            <w:r>
              <w:rPr>
                <w:rFonts w:ascii="Times New Roman" w:eastAsia="Times New Roman" w:hAnsi="Times New Roman" w:cs="Times New Roman"/>
                <w:color w:val="000000"/>
                <w:spacing w:val="0"/>
                <w:w w:val="100"/>
                <w:position w:val="0"/>
                <w:sz w:val="18"/>
                <w:szCs w:val="18"/>
              </w:rPr>
              <w:t>PPP</w:t>
            </w:r>
            <w:r>
              <w:rPr>
                <w:color w:val="000000"/>
                <w:spacing w:val="0"/>
                <w:w w:val="100"/>
                <w:position w:val="0"/>
                <w:sz w:val="18"/>
                <w:szCs w:val="18"/>
              </w:rPr>
              <w:t>资产达到预定可使用状态时将 未来重置支出一次性确认并计入资产原值后在运营期内摊销，调整为 按照《企业会计准则解释第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号》在运营期内逐期计提并计入成本 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对财务报 表的影响 见下表。</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月，财政部发布了《企业会计准则解释第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号》（财会</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号）（以下简称“解释第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号”），“关于资金集中管理相 关列报”内容自公布之日起施行。本公司自规定之日起开始执行。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0"/>
        <w:keepNext w:val="0"/>
        <w:keepLines w:val="0"/>
        <w:widowControl w:val="0"/>
        <w:shd w:val="clear" w:color="auto" w:fill="auto"/>
        <w:bidi w:val="0"/>
        <w:spacing w:before="0" w:after="220" w:line="240" w:lineRule="auto"/>
        <w:ind w:left="0" w:right="0" w:firstLine="440"/>
        <w:jc w:val="both"/>
      </w:pPr>
      <w:r>
        <w:rPr>
          <w:b/>
          <w:bCs/>
          <w:color w:val="000000"/>
          <w:spacing w:val="0"/>
          <w:w w:val="100"/>
          <w:position w:val="0"/>
        </w:rPr>
        <w:t>1</w:t>
      </w:r>
      <w:r>
        <w:rPr>
          <w:color w:val="000000"/>
          <w:spacing w:val="0"/>
          <w:w w:val="100"/>
          <w:position w:val="0"/>
        </w:rPr>
        <w:t>）执行《企业会计准则第21号</w:t>
      </w:r>
      <w:r>
        <w:rPr>
          <w:color w:val="000000"/>
          <w:spacing w:val="0"/>
          <w:w w:val="100"/>
          <w:position w:val="0"/>
        </w:rPr>
        <w:t>一一</w:t>
      </w:r>
      <w:r>
        <w:rPr>
          <w:color w:val="000000"/>
          <w:spacing w:val="0"/>
          <w:w w:val="100"/>
          <w:position w:val="0"/>
        </w:rPr>
        <w:t>租赁》（2018年修订）</w:t>
      </w:r>
    </w:p>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rPr>
        <w:t>财政部于2018年度修订了《企业会计准则第21号</w:t>
      </w:r>
      <w:r>
        <w:rPr>
          <w:color w:val="000000"/>
          <w:spacing w:val="0"/>
          <w:w w:val="100"/>
          <w:position w:val="0"/>
        </w:rPr>
        <w:t>一一</w:t>
      </w:r>
      <w:r>
        <w:rPr>
          <w:color w:val="000000"/>
          <w:spacing w:val="0"/>
          <w:w w:val="100"/>
          <w:position w:val="0"/>
        </w:rPr>
        <w:t xml:space="preserve">租赁》（简称“新租赁准则”）。本公司自2021年1 </w:t>
      </w:r>
      <w:r>
        <w:rPr>
          <w:color w:val="000000"/>
          <w:spacing w:val="0"/>
          <w:w w:val="100"/>
          <w:position w:val="0"/>
        </w:rPr>
        <w:t>月1日起执行新租赁准则。根据修订后的准则，对于首次执行日前已存在的合同，公司选择在首次执行日 不重新评估其是否为租赁或者包含租赁。</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本公司作为承租人</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本公司选择根据首次执行新租赁准则的累积影响数，调整首次执行新租赁准则当年年初留存收益及财 务报表其他相关项目金额，不调整可比期间信息。</w:t>
      </w:r>
    </w:p>
    <w:p>
      <w:pPr>
        <w:pStyle w:val="Style10"/>
        <w:keepNext w:val="0"/>
        <w:keepLines w:val="0"/>
        <w:widowControl w:val="0"/>
        <w:shd w:val="clear" w:color="auto" w:fill="auto"/>
        <w:bidi w:val="0"/>
        <w:spacing w:before="0" w:after="160" w:line="470" w:lineRule="exact"/>
        <w:ind w:left="0" w:right="0" w:firstLine="440"/>
        <w:jc w:val="both"/>
      </w:pPr>
      <w:r>
        <w:rPr>
          <w:color w:val="000000"/>
          <w:spacing w:val="0"/>
          <w:w w:val="100"/>
          <w:position w:val="0"/>
        </w:rPr>
        <w:t>对于首次执行日前已存在的经营租赁，本公司在首次执行日根据剩余租赁付款额按首次执行日本公司 的增量借款利率折现的现值计量租赁负债，并根据每项租赁选择以下两种方法之一计量使用权资产：</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假设自租赁期开始日即采用新租赁准则的账面价值，采用首次执行日的本公司的增量借款利率作为折 现率。</w:t>
      </w:r>
    </w:p>
    <w:p>
      <w:pPr>
        <w:pStyle w:val="Style1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与租赁负债相等的金额，并根据预付租金进行必要调整。</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对于首次执行日前的经营租赁，本公司在应用上述方法的同时根据每项租赁选择采用下列一项或多项 简化处理：</w:t>
      </w:r>
    </w:p>
    <w:p>
      <w:pPr>
        <w:pStyle w:val="Style10"/>
        <w:keepNext w:val="0"/>
        <w:keepLines w:val="0"/>
        <w:widowControl w:val="0"/>
        <w:numPr>
          <w:ilvl w:val="0"/>
          <w:numId w:val="43"/>
        </w:numPr>
        <w:shd w:val="clear" w:color="auto" w:fill="auto"/>
        <w:tabs>
          <w:tab w:pos="760" w:val="left"/>
        </w:tabs>
        <w:bidi w:val="0"/>
        <w:spacing w:before="0" w:after="0" w:line="466" w:lineRule="exact"/>
        <w:ind w:left="0" w:right="0" w:firstLine="440"/>
        <w:jc w:val="left"/>
      </w:pPr>
      <w:bookmarkStart w:id="1045" w:name="bookmark1045"/>
      <w:bookmarkEnd w:id="1045"/>
      <w:r>
        <w:rPr>
          <w:color w:val="000000"/>
          <w:spacing w:val="0"/>
          <w:w w:val="100"/>
          <w:position w:val="0"/>
        </w:rPr>
        <w:t>将于首次执行日后</w:t>
      </w:r>
      <w:r>
        <w:rPr>
          <w:b/>
          <w:bCs/>
          <w:color w:val="000000"/>
          <w:spacing w:val="0"/>
          <w:w w:val="100"/>
          <w:position w:val="0"/>
        </w:rPr>
        <w:t>12</w:t>
      </w:r>
      <w:r>
        <w:rPr>
          <w:color w:val="000000"/>
          <w:spacing w:val="0"/>
          <w:w w:val="100"/>
          <w:position w:val="0"/>
        </w:rPr>
        <w:t>个月内完成的租赁作为短期租赁处理；</w:t>
      </w:r>
    </w:p>
    <w:p>
      <w:pPr>
        <w:pStyle w:val="Style10"/>
        <w:keepNext w:val="0"/>
        <w:keepLines w:val="0"/>
        <w:widowControl w:val="0"/>
        <w:numPr>
          <w:ilvl w:val="0"/>
          <w:numId w:val="43"/>
        </w:numPr>
        <w:shd w:val="clear" w:color="auto" w:fill="auto"/>
        <w:tabs>
          <w:tab w:pos="779" w:val="left"/>
        </w:tabs>
        <w:bidi w:val="0"/>
        <w:spacing w:before="0" w:after="0" w:line="466" w:lineRule="exact"/>
        <w:ind w:left="0" w:right="0" w:firstLine="440"/>
        <w:jc w:val="left"/>
      </w:pPr>
      <w:bookmarkStart w:id="1046" w:name="bookmark1046"/>
      <w:bookmarkEnd w:id="1046"/>
      <w:r>
        <w:rPr>
          <w:color w:val="000000"/>
          <w:spacing w:val="0"/>
          <w:w w:val="100"/>
          <w:position w:val="0"/>
        </w:rPr>
        <w:t>计量租赁负债时，具有相似特征的租赁采用同一折现率；</w:t>
      </w:r>
    </w:p>
    <w:p>
      <w:pPr>
        <w:pStyle w:val="Style10"/>
        <w:keepNext w:val="0"/>
        <w:keepLines w:val="0"/>
        <w:widowControl w:val="0"/>
        <w:numPr>
          <w:ilvl w:val="0"/>
          <w:numId w:val="43"/>
        </w:numPr>
        <w:shd w:val="clear" w:color="auto" w:fill="auto"/>
        <w:tabs>
          <w:tab w:pos="779" w:val="left"/>
        </w:tabs>
        <w:bidi w:val="0"/>
        <w:spacing w:before="0" w:after="0" w:line="466" w:lineRule="exact"/>
        <w:ind w:left="0" w:right="0" w:firstLine="440"/>
        <w:jc w:val="left"/>
      </w:pPr>
      <w:bookmarkStart w:id="1047" w:name="bookmark1047"/>
      <w:bookmarkEnd w:id="1047"/>
      <w:r>
        <w:rPr>
          <w:color w:val="000000"/>
          <w:spacing w:val="0"/>
          <w:w w:val="100"/>
          <w:position w:val="0"/>
        </w:rPr>
        <w:t>使用权资产的计量不包含初始直接费用；</w:t>
      </w:r>
    </w:p>
    <w:p>
      <w:pPr>
        <w:pStyle w:val="Style10"/>
        <w:keepNext w:val="0"/>
        <w:keepLines w:val="0"/>
        <w:widowControl w:val="0"/>
        <w:numPr>
          <w:ilvl w:val="0"/>
          <w:numId w:val="43"/>
        </w:numPr>
        <w:shd w:val="clear" w:color="auto" w:fill="auto"/>
        <w:tabs>
          <w:tab w:pos="762" w:val="left"/>
        </w:tabs>
        <w:bidi w:val="0"/>
        <w:spacing w:before="0" w:after="0" w:line="466" w:lineRule="exact"/>
        <w:ind w:left="0" w:right="0" w:firstLine="440"/>
        <w:jc w:val="both"/>
      </w:pPr>
      <w:bookmarkStart w:id="1048" w:name="bookmark1048"/>
      <w:bookmarkEnd w:id="1048"/>
      <w:r>
        <w:rPr>
          <w:color w:val="000000"/>
          <w:spacing w:val="0"/>
          <w:w w:val="100"/>
          <w:position w:val="0"/>
        </w:rPr>
        <w:t>存在续租选择权或终止租赁选择权的，根据首次执行日前选择权的实际行使及其他最新情况确定租 赁期；</w:t>
      </w:r>
    </w:p>
    <w:p>
      <w:pPr>
        <w:pStyle w:val="Style10"/>
        <w:keepNext w:val="0"/>
        <w:keepLines w:val="0"/>
        <w:widowControl w:val="0"/>
        <w:numPr>
          <w:ilvl w:val="0"/>
          <w:numId w:val="43"/>
        </w:numPr>
        <w:shd w:val="clear" w:color="auto" w:fill="auto"/>
        <w:tabs>
          <w:tab w:pos="757" w:val="left"/>
        </w:tabs>
        <w:bidi w:val="0"/>
        <w:spacing w:before="0" w:after="0" w:line="466" w:lineRule="exact"/>
        <w:ind w:left="0" w:right="0" w:firstLine="440"/>
        <w:jc w:val="both"/>
      </w:pPr>
      <w:bookmarkStart w:id="1049" w:name="bookmark1049"/>
      <w:bookmarkEnd w:id="1049"/>
      <w:r>
        <w:rPr>
          <w:color w:val="000000"/>
          <w:spacing w:val="0"/>
          <w:w w:val="100"/>
          <w:position w:val="0"/>
        </w:rPr>
        <w:t>作为使用权资产减值测试的替代，按照本附注“三、（二十四）预计负债”评估包含租赁的合同在 首次执行日前是否为亏损合同，并根据首次执行日前计入资产负债表的亏损准备金额调整使用权资产；</w:t>
      </w:r>
    </w:p>
    <w:p>
      <w:pPr>
        <w:pStyle w:val="Style10"/>
        <w:keepNext w:val="0"/>
        <w:keepLines w:val="0"/>
        <w:widowControl w:val="0"/>
        <w:numPr>
          <w:ilvl w:val="0"/>
          <w:numId w:val="43"/>
        </w:numPr>
        <w:shd w:val="clear" w:color="auto" w:fill="auto"/>
        <w:tabs>
          <w:tab w:pos="757" w:val="left"/>
        </w:tabs>
        <w:bidi w:val="0"/>
        <w:spacing w:before="0" w:after="0" w:line="466" w:lineRule="exact"/>
        <w:ind w:left="0" w:right="0" w:firstLine="440"/>
        <w:jc w:val="both"/>
      </w:pPr>
      <w:bookmarkStart w:id="1050" w:name="bookmark1050"/>
      <w:bookmarkEnd w:id="1050"/>
      <w:r>
        <w:rPr>
          <w:color w:val="000000"/>
          <w:spacing w:val="0"/>
          <w:w w:val="100"/>
          <w:position w:val="0"/>
        </w:rPr>
        <w:t>首次执行日之前发生的租赁变更，不进行追溯调整，根据租赁变更的最终安排，按照新租赁准则进 行会计处理。</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对于首次执行日前已存在的融资租赁，本公司在首次执行日按照融资租入资产和应付融资租赁款的原 账面价值，分别计量使用权资产和租赁负债。</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本公司作为出租人</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对于首次执行日前划分为经营租赁且在首次执行日后仍存续的转租赁，本公司在首次执行日基于原租 赁和转租赁的剩余合同期限和条款进行重新评估，并按照新租赁准则的规定进行分类。重分类为融资租赁 的，本公司将其作为一项新的融资租赁进行会计处理。</w:t>
      </w:r>
    </w:p>
    <w:p>
      <w:pPr>
        <w:pStyle w:val="Style1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 xml:space="preserve">除转租赁外，本公司无需对其作为出租人的租赁按照新租赁准则进行调整。本公司自首次执行日起按 </w:t>
      </w:r>
      <w:r>
        <w:rPr>
          <w:color w:val="000000"/>
          <w:spacing w:val="0"/>
          <w:w w:val="100"/>
          <w:position w:val="0"/>
        </w:rPr>
        <w:t>照新租赁准则进行会计处理。</w:t>
      </w:r>
    </w:p>
    <w:p>
      <w:pPr>
        <w:pStyle w:val="Style10"/>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本公司执行新租赁准则对财务报表的主要影响如下:</w:t>
      </w:r>
    </w:p>
    <w:tbl>
      <w:tblPr>
        <w:tblOverlap w:val="never"/>
        <w:jc w:val="center"/>
        <w:tblLayout w:type="fixed"/>
      </w:tblPr>
      <w:tblGrid>
        <w:gridCol w:w="2189"/>
        <w:gridCol w:w="2731"/>
        <w:gridCol w:w="1104"/>
        <w:gridCol w:w="1411"/>
        <w:gridCol w:w="2218"/>
      </w:tblGrid>
      <w:tr>
        <w:trPr>
          <w:trHeight w:val="35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会计政策变更的内容和原因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受影响的报表 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w:t>
            </w:r>
            <w:r>
              <w:rPr>
                <w:color w:val="000000"/>
                <w:spacing w:val="0"/>
                <w:w w:val="100"/>
                <w:position w:val="0"/>
                <w:sz w:val="18"/>
                <w:szCs w:val="18"/>
              </w:rPr>
              <w:t>2021</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1</w:t>
            </w:r>
            <w:r>
              <w:rPr>
                <w:color w:val="000000"/>
                <w:spacing w:val="0"/>
                <w:w w:val="100"/>
                <w:position w:val="0"/>
                <w:sz w:val="18"/>
                <w:szCs w:val="18"/>
              </w:rPr>
              <w:t>日余额的影响金额</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w:t>
            </w:r>
          </w:p>
        </w:tc>
      </w:tr>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公司作为承租人对于首次执 行日前已存在的经营租赁的 调整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本公司于</w:t>
            </w:r>
            <w:r>
              <w:rPr>
                <w:color w:val="000000"/>
                <w:spacing w:val="0"/>
                <w:w w:val="100"/>
                <w:position w:val="0"/>
                <w:sz w:val="18"/>
                <w:szCs w:val="18"/>
              </w:rPr>
              <w:t>2021</w:t>
            </w:r>
            <w:r>
              <w:rPr>
                <w:color w:val="000000"/>
                <w:spacing w:val="0"/>
                <w:w w:val="100"/>
                <w:position w:val="0"/>
                <w:sz w:val="18"/>
                <w:szCs w:val="18"/>
              </w:rPr>
              <w:t>年</w:t>
            </w:r>
            <w:r>
              <w:rPr>
                <w:color w:val="000000"/>
                <w:spacing w:val="0"/>
                <w:w w:val="100"/>
                <w:position w:val="0"/>
                <w:sz w:val="18"/>
                <w:szCs w:val="18"/>
              </w:rPr>
              <w:t>08</w:t>
            </w:r>
            <w:r>
              <w:rPr>
                <w:color w:val="000000"/>
                <w:spacing w:val="0"/>
                <w:w w:val="100"/>
                <w:position w:val="0"/>
                <w:sz w:val="18"/>
                <w:szCs w:val="18"/>
              </w:rPr>
              <w:t>月</w:t>
            </w:r>
            <w:r>
              <w:rPr>
                <w:color w:val="000000"/>
                <w:spacing w:val="0"/>
                <w:w w:val="100"/>
                <w:position w:val="0"/>
                <w:sz w:val="18"/>
                <w:szCs w:val="18"/>
              </w:rPr>
              <w:t>26</w:t>
            </w:r>
            <w:r>
              <w:rPr>
                <w:color w:val="000000"/>
                <w:spacing w:val="0"/>
                <w:w w:val="100"/>
                <w:position w:val="0"/>
                <w:sz w:val="18"/>
                <w:szCs w:val="18"/>
              </w:rPr>
              <w:t>日，召开第 五届董事会第十五次会议及第五届 监事会第十次会议，审议通过了《关 于执行新租赁准则并变更相关会计 政策的议案》，公司于</w:t>
            </w:r>
            <w:r>
              <w:rPr>
                <w:color w:val="000000"/>
                <w:spacing w:val="0"/>
                <w:w w:val="100"/>
                <w:position w:val="0"/>
                <w:sz w:val="18"/>
                <w:szCs w:val="18"/>
              </w:rPr>
              <w:t>2021</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 xml:space="preserve">1 </w:t>
            </w:r>
            <w:r>
              <w:rPr>
                <w:color w:val="000000"/>
                <w:spacing w:val="0"/>
                <w:w w:val="100"/>
                <w:position w:val="0"/>
                <w:sz w:val="18"/>
                <w:szCs w:val="18"/>
              </w:rPr>
              <w:t>日起执行修订后的准则，对会计政 策相关内容进行调整。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4,730,856.41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3,404,471.05</w:t>
            </w:r>
          </w:p>
        </w:tc>
        <w:tc>
          <w:tcPr>
            <w:tcBorders>
              <w:top w:val="single" w:sz="4"/>
              <w:left w:val="single" w:sz="4"/>
              <w:right w:val="single" w:sz="4"/>
            </w:tcBorders>
            <w:shd w:val="clear" w:color="auto" w:fill="FFFFFF"/>
            <w:vAlign w:val="top"/>
          </w:tcPr>
          <w:p>
            <w:pPr>
              <w:widowControl w:val="0"/>
              <w:rPr>
                <w:sz w:val="10"/>
                <w:szCs w:val="10"/>
              </w:rPr>
            </w:pPr>
          </w:p>
        </w:tc>
      </w:tr>
      <w:tr>
        <w:trPr>
          <w:trHeight w:val="153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一年内到期的 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1,326,385.36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0"/>
        <w:keepNext w:val="0"/>
        <w:keepLines w:val="0"/>
        <w:widowControl w:val="0"/>
        <w:shd w:val="clear" w:color="auto" w:fill="auto"/>
        <w:bidi w:val="0"/>
        <w:spacing w:before="0" w:after="0" w:line="473" w:lineRule="exact"/>
        <w:ind w:left="0" w:right="0" w:firstLine="440"/>
        <w:jc w:val="both"/>
      </w:pPr>
      <w:r>
        <w:rPr>
          <w:b/>
          <w:bCs/>
          <w:color w:val="000000"/>
          <w:spacing w:val="0"/>
          <w:w w:val="100"/>
          <w:position w:val="0"/>
        </w:rPr>
        <w:t>2</w:t>
      </w:r>
      <w:r>
        <w:rPr>
          <w:color w:val="000000"/>
          <w:spacing w:val="0"/>
          <w:w w:val="100"/>
          <w:position w:val="0"/>
        </w:rPr>
        <w:t>）执行《企业会计准则解释第14号》</w:t>
      </w:r>
    </w:p>
    <w:p>
      <w:pPr>
        <w:pStyle w:val="Style1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 xml:space="preserve">财政部于2021年2月2日发布了《企业会计准则解释第14号》（财会〔2021） </w:t>
      </w:r>
      <w:r>
        <w:rPr>
          <w:b/>
          <w:bCs/>
          <w:color w:val="000000"/>
          <w:spacing w:val="0"/>
          <w:w w:val="100"/>
          <w:position w:val="0"/>
        </w:rPr>
        <w:t>1</w:t>
      </w:r>
      <w:r>
        <w:rPr>
          <w:color w:val="000000"/>
          <w:spacing w:val="0"/>
          <w:w w:val="100"/>
          <w:position w:val="0"/>
        </w:rPr>
        <w:t>号，以下简称“解释第14 号”），自公布之日起施行。2021年1月1日至施行日新增的有关业务，根据解释第14号进行调整。</w:t>
      </w:r>
    </w:p>
    <w:p>
      <w:pPr>
        <w:pStyle w:val="Style1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a.</w:t>
      </w:r>
      <w:r>
        <w:rPr>
          <w:color w:val="000000"/>
          <w:spacing w:val="0"/>
          <w:w w:val="100"/>
          <w:position w:val="0"/>
        </w:rPr>
        <w:t>政府和社会资本合作</w:t>
      </w:r>
      <w:r>
        <w:rPr>
          <w:color w:val="000000"/>
          <w:spacing w:val="0"/>
          <w:w w:val="100"/>
          <w:position w:val="0"/>
        </w:rPr>
        <w:t>（PPP）</w:t>
      </w:r>
      <w:r>
        <w:rPr>
          <w:color w:val="000000"/>
          <w:spacing w:val="0"/>
          <w:w w:val="100"/>
          <w:position w:val="0"/>
        </w:rPr>
        <w:t>项目合同</w:t>
      </w:r>
    </w:p>
    <w:p>
      <w:pPr>
        <w:pStyle w:val="Style10"/>
        <w:keepNext w:val="0"/>
        <w:keepLines w:val="0"/>
        <w:widowControl w:val="0"/>
        <w:shd w:val="clear" w:color="auto" w:fill="auto"/>
        <w:bidi w:val="0"/>
        <w:spacing w:before="0" w:after="100" w:line="473" w:lineRule="exact"/>
        <w:ind w:left="0" w:right="0" w:firstLine="440"/>
        <w:jc w:val="both"/>
      </w:pPr>
      <w:r>
        <w:rPr>
          <w:color w:val="000000"/>
          <w:spacing w:val="0"/>
          <w:w w:val="100"/>
          <w:position w:val="0"/>
        </w:rPr>
        <w:t>解释第14号适用于同时符合该解释所述“双特征”和“双控制”的</w:t>
      </w:r>
      <w:r>
        <w:rPr>
          <w:color w:val="000000"/>
          <w:spacing w:val="0"/>
          <w:w w:val="100"/>
          <w:position w:val="0"/>
        </w:rPr>
        <w:t>PPP</w:t>
      </w:r>
      <w:r>
        <w:rPr>
          <w:color w:val="000000"/>
          <w:spacing w:val="0"/>
          <w:w w:val="100"/>
          <w:position w:val="0"/>
        </w:rPr>
        <w:t>项目合同，对于2020年12月31 日前开始实施且至施行日尚未完成的有关</w:t>
      </w:r>
      <w:r>
        <w:rPr>
          <w:color w:val="000000"/>
          <w:spacing w:val="0"/>
          <w:w w:val="100"/>
          <w:position w:val="0"/>
        </w:rPr>
        <w:t>PPP</w:t>
      </w:r>
      <w:r>
        <w:rPr>
          <w:color w:val="000000"/>
          <w:spacing w:val="0"/>
          <w:w w:val="100"/>
          <w:position w:val="0"/>
        </w:rPr>
        <w:t>项目合同应进行追溯调整，追溯调整不切实可行的，从可追 溯调整的最早期间期初开始应用，累计影响数调整施行日当年年年初留存收益以及财务报表其他相关项 目，对可比期间信息不予调整。本公司执行该规定的主要影响如下：</w:t>
      </w:r>
    </w:p>
    <w:tbl>
      <w:tblPr>
        <w:tblOverlap w:val="never"/>
        <w:jc w:val="center"/>
        <w:tblLayout w:type="fixed"/>
      </w:tblPr>
      <w:tblGrid>
        <w:gridCol w:w="4704"/>
        <w:gridCol w:w="1843"/>
        <w:gridCol w:w="1699"/>
        <w:gridCol w:w="1430"/>
      </w:tblGrid>
      <w:tr>
        <w:trPr>
          <w:trHeight w:val="35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受影响的报表项目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w:t>
            </w:r>
            <w:r>
              <w:rPr>
                <w:color w:val="000000"/>
                <w:spacing w:val="0"/>
                <w:w w:val="100"/>
                <w:position w:val="0"/>
                <w:sz w:val="18"/>
                <w:szCs w:val="18"/>
              </w:rPr>
              <w:t>2021</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1</w:t>
            </w:r>
            <w:r>
              <w:rPr>
                <w:color w:val="000000"/>
                <w:spacing w:val="0"/>
                <w:w w:val="100"/>
                <w:position w:val="0"/>
                <w:sz w:val="18"/>
                <w:szCs w:val="18"/>
              </w:rPr>
              <w:t>日余额的影响金额</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w:t>
            </w:r>
          </w:p>
        </w:tc>
      </w:tr>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将</w:t>
            </w:r>
            <w:r>
              <w:rPr>
                <w:color w:val="000000"/>
                <w:spacing w:val="0"/>
                <w:w w:val="100"/>
                <w:position w:val="0"/>
                <w:sz w:val="18"/>
                <w:szCs w:val="18"/>
              </w:rPr>
              <w:t>P PP</w:t>
            </w:r>
            <w:r>
              <w:rPr>
                <w:color w:val="000000"/>
                <w:spacing w:val="0"/>
                <w:w w:val="100"/>
                <w:position w:val="0"/>
                <w:sz w:val="18"/>
                <w:szCs w:val="18"/>
              </w:rPr>
              <w:t>项目预计负债核算方法从</w:t>
            </w:r>
            <w:r>
              <w:rPr>
                <w:color w:val="000000"/>
                <w:spacing w:val="0"/>
                <w:w w:val="100"/>
                <w:position w:val="0"/>
                <w:sz w:val="18"/>
                <w:szCs w:val="18"/>
              </w:rPr>
              <w:t>PPP</w:t>
            </w:r>
            <w:r>
              <w:rPr>
                <w:color w:val="000000"/>
                <w:spacing w:val="0"/>
                <w:w w:val="100"/>
                <w:position w:val="0"/>
                <w:sz w:val="18"/>
                <w:szCs w:val="18"/>
              </w:rPr>
              <w:t>资产达到预定可使用状 态时将未来重置支出一次性确认并计入资产原值后在运营 期内摊销，调整为按照《企业会计准则解释第</w:t>
            </w:r>
            <w:r>
              <w:rPr>
                <w:color w:val="000000"/>
                <w:spacing w:val="0"/>
                <w:w w:val="100"/>
                <w:position w:val="0"/>
                <w:sz w:val="18"/>
                <w:szCs w:val="18"/>
              </w:rPr>
              <w:t>14</w:t>
            </w:r>
            <w:r>
              <w:rPr>
                <w:color w:val="000000"/>
                <w:spacing w:val="0"/>
                <w:w w:val="100"/>
                <w:position w:val="0"/>
                <w:sz w:val="18"/>
                <w:szCs w:val="18"/>
              </w:rPr>
              <w:t>号》在运营 期内逐期计提并计入成本费用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无形资产净值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31,400,865.17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5,452,389.65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22,759,322.95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11,866,514.96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885</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871.43</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545.48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0"/>
        <w:keepNext w:val="0"/>
        <w:keepLines w:val="0"/>
        <w:widowControl w:val="0"/>
        <w:shd w:val="clear" w:color="auto" w:fill="auto"/>
        <w:bidi w:val="0"/>
        <w:spacing w:before="0" w:after="0" w:line="485" w:lineRule="exact"/>
        <w:ind w:left="0" w:right="0" w:firstLine="440"/>
        <w:jc w:val="both"/>
      </w:pPr>
      <w:r>
        <w:rPr>
          <w:color w:val="000000"/>
          <w:spacing w:val="0"/>
          <w:w w:val="100"/>
          <w:position w:val="0"/>
        </w:rPr>
        <w:t>b.</w:t>
      </w:r>
      <w:r>
        <w:rPr>
          <w:color w:val="000000"/>
          <w:spacing w:val="0"/>
          <w:w w:val="100"/>
          <w:position w:val="0"/>
        </w:rPr>
        <w:t>基准利率改革</w:t>
      </w:r>
    </w:p>
    <w:p>
      <w:pPr>
        <w:pStyle w:val="Style10"/>
        <w:keepNext w:val="0"/>
        <w:keepLines w:val="0"/>
        <w:widowControl w:val="0"/>
        <w:shd w:val="clear" w:color="auto" w:fill="auto"/>
        <w:bidi w:val="0"/>
        <w:spacing w:before="0" w:after="0" w:line="485" w:lineRule="exact"/>
        <w:ind w:left="0" w:right="0" w:firstLine="440"/>
        <w:jc w:val="both"/>
      </w:pPr>
      <w:r>
        <w:rPr>
          <w:color w:val="000000"/>
          <w:spacing w:val="0"/>
          <w:w w:val="100"/>
          <w:position w:val="0"/>
        </w:rPr>
        <w:t>解释第14号对基准利率改革导致金融工具合同和租赁合同相关现金流量的确定基础发生变更的情形 作出了简化会计处理规定。</w:t>
      </w:r>
    </w:p>
    <w:p>
      <w:pPr>
        <w:pStyle w:val="Style1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根据该解释的规定，2020年12月31日前发生的基准利率改革相关业务，应当进行追溯调整，追溯调整 不切实可行的除外，无需调整前期比较财务报表数据。在该解释施行日，金融资产、金融负债等原账面价 值与新账面价值之间的差额，计入该解释施行日所在年度报告期间的期初留存收益或其他综合收益。执行 该规定未对本公司财务状况和经营成果产生重大影响。</w:t>
      </w:r>
    </w:p>
    <w:p>
      <w:pPr>
        <w:pStyle w:val="Style10"/>
        <w:keepNext w:val="0"/>
        <w:keepLines w:val="0"/>
        <w:widowControl w:val="0"/>
        <w:shd w:val="clear" w:color="auto" w:fill="auto"/>
        <w:bidi w:val="0"/>
        <w:spacing w:before="0" w:after="0" w:line="470" w:lineRule="exact"/>
        <w:ind w:left="0" w:right="0" w:firstLine="440"/>
        <w:jc w:val="both"/>
      </w:pPr>
      <w:bookmarkStart w:id="1051" w:name="bookmark1051"/>
      <w:r>
        <w:rPr>
          <w:color w:val="000000"/>
          <w:spacing w:val="0"/>
          <w:w w:val="100"/>
          <w:position w:val="0"/>
        </w:rPr>
        <w:t>3</w:t>
      </w:r>
      <w:bookmarkEnd w:id="1051"/>
      <w:r>
        <w:rPr>
          <w:color w:val="000000"/>
          <w:spacing w:val="0"/>
          <w:w w:val="100"/>
          <w:position w:val="0"/>
        </w:rPr>
        <w:t>）执行《企业会计准则解释第15号》关于资金集中管理相关列报</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财政部于2021年12月30日发布了《企业会计准则解释第15号》（财会〔2021） 35号，以下简称“解释 第15号”），“关于资金集中管理相关列报”内容自公布之日起施行，可比期间的财务报表数据相应调整。</w:t>
      </w:r>
    </w:p>
    <w:p>
      <w:pPr>
        <w:pStyle w:val="Style1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解释第15号就企业通过内部结算中心、财务公司等对母公司及成员单位资金实行集中统一管理涉及的 余额应如何在资产负债表中进行列报与披露作出了明确规定。执行该规定未对本公司财务状况和经营成果 产生重大影响。</w:t>
      </w:r>
    </w:p>
    <w:p>
      <w:pPr>
        <w:pStyle w:val="Style201"/>
        <w:keepNext/>
        <w:keepLines/>
        <w:widowControl w:val="0"/>
        <w:shd w:val="clear" w:color="auto" w:fill="auto"/>
        <w:bidi w:val="0"/>
        <w:spacing w:before="0" w:line="474" w:lineRule="exact"/>
        <w:ind w:left="0" w:right="0" w:firstLine="0"/>
        <w:jc w:val="left"/>
      </w:pPr>
      <w:bookmarkStart w:id="1052" w:name="bookmark1052"/>
      <w:bookmarkStart w:id="1053" w:name="bookmark1053"/>
      <w:bookmarkStart w:id="1054" w:name="bookmark10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52"/>
      <w:bookmarkEnd w:id="1053"/>
      <w:bookmarkEnd w:id="1054"/>
    </w:p>
    <w:p>
      <w:pPr>
        <w:pStyle w:val="Style24"/>
        <w:keepNext w:val="0"/>
        <w:keepLines w:val="0"/>
        <w:widowControl w:val="0"/>
        <w:shd w:val="clear" w:color="auto" w:fill="auto"/>
        <w:bidi w:val="0"/>
        <w:spacing w:before="0" w:after="200" w:line="240" w:lineRule="auto"/>
        <w:ind w:left="0" w:right="0" w:firstLine="0"/>
        <w:jc w:val="both"/>
      </w:pPr>
      <w:r>
        <w:rPr>
          <w:color w:val="000000"/>
          <w:spacing w:val="0"/>
          <w:w w:val="100"/>
          <w:position w:val="0"/>
        </w:rPr>
        <w:t>口适用”不适用</w:t>
      </w:r>
      <w:r>
        <w:br w:type="page"/>
      </w:r>
    </w:p>
    <w:p>
      <w:pPr>
        <w:pStyle w:val="Style201"/>
        <w:keepNext/>
        <w:keepLines/>
        <w:widowControl w:val="0"/>
        <w:shd w:val="clear" w:color="auto" w:fill="auto"/>
        <w:tabs>
          <w:tab w:pos="493" w:val="left"/>
        </w:tabs>
        <w:bidi w:val="0"/>
        <w:spacing w:before="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shd w:val="clear" w:color="auto" w:fill="FFFFFF"/>
        </w:rPr>
        <w:t>（</w:t>
      </w:r>
      <w:bookmarkEnd w:id="1057"/>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55"/>
      <w:bookmarkEnd w:id="1056"/>
      <w:bookmarkEnd w:id="105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1,347,225,775.69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1,347,225,775.69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6,959,875.36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6,959,875.36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568,776,964.50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568,776,964.50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15,224,608.60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15,224,608.60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52,159,266.36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52,159,266.36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25,373,545.17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25,373,545.17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227,541,938.19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227,541,938.19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133,545,861.61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133,545,861.61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8"/>
                <w:szCs w:val="18"/>
              </w:rPr>
            </w:pPr>
            <w:r>
              <w:rPr>
                <w:color w:val="000000"/>
                <w:spacing w:val="0"/>
                <w:w w:val="100"/>
                <w:position w:val="0"/>
                <w:sz w:val="18"/>
                <w:szCs w:val="18"/>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44,182,848.62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44,182,848.62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2,420,990,684.10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2,420,990,684.10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126,999,283.79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126,999,283.79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58,100,001.00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58,100,001.00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307,113,496.91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307,113,496.91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1,025,479,184.61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1,025,479,184.61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488,074,250.73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488,074,250.73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4,730,856.41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4,730,856.41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592,535,454.63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561,134,589.46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-31,400,865.17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124,654,012.10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124,654,012.10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12,252,035.54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12,252,035.54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79,549,641.69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74,097,252.04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-5,452,389.65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16,584,764.42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16,584,764.42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2,831,342,125.42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2,799,219,727.01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-32,122,398.41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5,252,332,809.52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5,220,210,411.11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-32,122,398.41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335,457,195.78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335,457,195.78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6,365,158.27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6,365,158.27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503,756,310.57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503,756,310.57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710,081.31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710,081.31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311,239,887.87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311,239,887.87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65,951,053.78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65,951,053.78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21,443,221.56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21,443,221.56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143,620,411.50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143,620,411.50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14,099,574.39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15,425,959.75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1,326,385.36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5,971,457.30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5,971,457.30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1,408,614,352.33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1,409,940,737.69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1,326,385.36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676,869,959.14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676,869,959.14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3,404,471.05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3,404,471.05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8,679,668.36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8,679,668.36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31,561,191.14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8,801,868.19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-22,759,322.95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1,001,247,308.26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1,001,247,308.26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18,665,050.23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6,798,535.27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-11,866,514.96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1,737,023,177.13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1,705,801,810.27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-31,221,366.86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3,145,637,529.46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3,115,742,547.96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-29,894,981.50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293,022,806.00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293,022,806.00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613,016,574.32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613,016,574.32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-237,338.83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-237,338.83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58,114,623.55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58,114,623.55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595,092,730.85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593,206,859.42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-1,885,871.43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1,559,009,395.89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1,557,123,524.46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-1,885,871.43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547,685,884.17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547,344,338.69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-341,545.48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2,106,695,280.06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2,104,467,863.15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-2,227,416.91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5,252,332,809.52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5,220,210,411.11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-32,122,398.41</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母公司资产负债表</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732,186,793.06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732,186,793.06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360,730.13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360,730.13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234,033,740.83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234,033,740.83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10,567,317.75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10,567,317.75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6,714,658.20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6,714,658.20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177,970,121.55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177,970,121.55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69,636,360.73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69,636,360.73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2,434,804.80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2,434,804.80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rPr>
                <w:sz w:val="18"/>
                <w:szCs w:val="18"/>
              </w:rPr>
            </w:pPr>
            <w:r>
              <w:rPr>
                <w:color w:val="000000"/>
                <w:spacing w:val="0"/>
                <w:w w:val="100"/>
                <w:position w:val="0"/>
                <w:sz w:val="18"/>
                <w:szCs w:val="18"/>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381,603.51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381,603.51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1,234,286,130.56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1,234,286,130.56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1,721,772,314.93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1,721,772,314.93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54,900,001.00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54,900,001.00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222,292,757.92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222,292,757.92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123,109,956.08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123,109,956.08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84,458,200.35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84,458,200.35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57,320,611.85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57,320,611.85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8,805,385.05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8,805,385.05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5,473,935.97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5,473,935.97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4,244,616.35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4,244,616.35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2,282,377,779.50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2,282,377,779.50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3,516,663,910.06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3,516,663,910.06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250,300,361.11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250,300,361.11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119,437,363.08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119,437,363.08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2,217,507.22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2,217,507.22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9,772,390.37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9,772,390.37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16,621,389.29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16,621,389.29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4,786,815.99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4,786,815.99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1,342,612,841.16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1,342,612,841.16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400,548.17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874,202.63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874,202.63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1,747,023,419.02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1,747,023,419.02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324,927,017.25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324,927,017.25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8,171,739.95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8,171,739.95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333,098,757.20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333,098,757.20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2,080,122,176.22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2,080,122,176.22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293,022,806.00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293,022,806.00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673,989,573.04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673,989,573.04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58,114,623.55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58,114,623.55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411,414,731.25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411,414,731.25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1,436,541,733.84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1,436,541,733.84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3,516,663,910.06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3,516,663,910.06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01"/>
        <w:keepNext/>
        <w:keepLines/>
        <w:widowControl w:val="0"/>
        <w:numPr>
          <w:ilvl w:val="0"/>
          <w:numId w:val="45"/>
        </w:numPr>
        <w:shd w:val="clear" w:color="auto" w:fill="auto"/>
        <w:tabs>
          <w:tab w:pos="493" w:val="left"/>
        </w:tabs>
        <w:bidi w:val="0"/>
        <w:spacing w:before="0" w:line="240" w:lineRule="auto"/>
        <w:ind w:left="0" w:right="0" w:firstLine="0"/>
        <w:jc w:val="left"/>
      </w:pPr>
      <w:bookmarkStart w:id="1059" w:name="bookmark1059"/>
      <w:bookmarkStart w:id="1060" w:name="bookmark1060"/>
      <w:bookmarkStart w:id="1061" w:name="bookmark1061"/>
      <w:bookmarkStart w:id="1062" w:name="bookmark1062"/>
      <w:bookmarkEnd w:id="1061"/>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59"/>
      <w:bookmarkEnd w:id="1060"/>
      <w:bookmarkEnd w:id="106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30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sz w:val="24"/>
          <w:szCs w:val="24"/>
        </w:rPr>
        <w:t>六</w:t>
      </w:r>
      <w:bookmarkEnd w:id="1065"/>
      <w:r>
        <w:rPr>
          <w:color w:val="000000"/>
          <w:spacing w:val="0"/>
          <w:w w:val="100"/>
          <w:position w:val="0"/>
          <w:sz w:val="24"/>
          <w:szCs w:val="24"/>
        </w:rPr>
        <w:t>、税项</w:t>
      </w:r>
      <w:bookmarkEnd w:id="1063"/>
      <w:bookmarkEnd w:id="1064"/>
      <w:bookmarkEnd w:id="1066"/>
    </w:p>
    <w:p>
      <w:pPr>
        <w:pStyle w:val="Style28"/>
        <w:keepNext/>
        <w:keepLines/>
        <w:widowControl w:val="0"/>
        <w:shd w:val="clear" w:color="auto" w:fill="auto"/>
        <w:bidi w:val="0"/>
        <w:spacing w:before="0" w:after="300" w:line="240" w:lineRule="auto"/>
        <w:ind w:left="0" w:right="0" w:firstLine="0"/>
        <w:jc w:val="left"/>
      </w:pPr>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67"/>
      <w:bookmarkEnd w:id="1068"/>
      <w:bookmarkEnd w:id="1069"/>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销售货物或者提供应税劳务增值额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xml:space="preserve">或 </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实际缴纳增值税额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xml:space="preserve">或 </w:t>
            </w: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实际缴纳增值税额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实际缴纳增值税额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存在不同企业所得税税率纳税主体的，披露情况说明</w:t>
      </w:r>
    </w:p>
    <w:p>
      <w:pPr>
        <w:widowControl w:val="0"/>
        <w:spacing w:after="99" w:line="1" w:lineRule="exact"/>
      </w:pPr>
    </w:p>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汉威科技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炜盛科技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汉威智慧安全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沈阳金建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鞍山易兴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嘉园环保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上海嘉园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福建恒嘉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雪城软件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汉威智能仪表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广东龙泉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苏州能斯达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沈阳汉威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智威宇讯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德析检测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高新供水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高新热力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畅威物联网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威果科技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上海中威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bl>
    <w:p>
      <w:pPr>
        <w:widowControl w:val="0"/>
        <w:spacing w:after="99" w:line="1" w:lineRule="exact"/>
      </w:pPr>
    </w:p>
    <w:p>
      <w:pPr>
        <w:pStyle w:val="Style28"/>
        <w:keepNext/>
        <w:keepLines/>
        <w:widowControl w:val="0"/>
        <w:shd w:val="clear" w:color="auto" w:fill="auto"/>
        <w:bidi w:val="0"/>
        <w:spacing w:before="0" w:after="220" w:line="463" w:lineRule="exact"/>
        <w:ind w:left="0" w:right="0" w:firstLine="0"/>
        <w:jc w:val="left"/>
      </w:pPr>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70"/>
      <w:bookmarkEnd w:id="1071"/>
      <w:bookmarkEnd w:id="1072"/>
    </w:p>
    <w:p>
      <w:pPr>
        <w:pStyle w:val="Style10"/>
        <w:keepNext w:val="0"/>
        <w:keepLines w:val="0"/>
        <w:widowControl w:val="0"/>
        <w:shd w:val="clear" w:color="auto" w:fill="auto"/>
        <w:bidi w:val="0"/>
        <w:spacing w:before="0" w:after="0" w:line="463" w:lineRule="exact"/>
        <w:ind w:left="0" w:right="0" w:firstLine="440"/>
        <w:jc w:val="left"/>
      </w:pPr>
      <w:r>
        <w:rPr>
          <w:color w:val="000000"/>
          <w:spacing w:val="0"/>
          <w:w w:val="100"/>
          <w:position w:val="0"/>
        </w:rPr>
        <w:t>（1）所得税税收优惠</w:t>
      </w:r>
    </w:p>
    <w:p>
      <w:pPr>
        <w:pStyle w:val="Style10"/>
        <w:keepNext w:val="0"/>
        <w:keepLines w:val="0"/>
        <w:widowControl w:val="0"/>
        <w:shd w:val="clear" w:color="auto" w:fill="auto"/>
        <w:bidi w:val="0"/>
        <w:spacing w:before="0" w:after="160" w:line="463" w:lineRule="exact"/>
        <w:ind w:left="0" w:right="0" w:firstLine="440"/>
        <w:jc w:val="both"/>
      </w:pPr>
      <w:r>
        <w:rPr>
          <w:color w:val="000000"/>
          <w:spacing w:val="0"/>
          <w:w w:val="100"/>
          <w:position w:val="0"/>
        </w:rPr>
        <w:t>经相关部门批复认定为高新技术企业的公司，包括本公司及子公司，根据《中华人民共和国企业所得 税法》及《关于高新技术企业</w:t>
      </w:r>
      <w:r>
        <w:rPr>
          <w:b/>
          <w:bCs/>
          <w:color w:val="000000"/>
          <w:spacing w:val="0"/>
          <w:w w:val="100"/>
          <w:position w:val="0"/>
        </w:rPr>
        <w:t>2008</w:t>
      </w:r>
      <w:r>
        <w:rPr>
          <w:color w:val="000000"/>
          <w:spacing w:val="0"/>
          <w:w w:val="100"/>
          <w:position w:val="0"/>
        </w:rPr>
        <w:t>年度缴纳企业所得税问题的通知》（国税（</w:t>
      </w:r>
      <w:r>
        <w:rPr>
          <w:b/>
          <w:bCs/>
          <w:color w:val="000000"/>
          <w:spacing w:val="0"/>
          <w:w w:val="100"/>
          <w:position w:val="0"/>
        </w:rPr>
        <w:t>2008</w:t>
      </w:r>
      <w:r>
        <w:rPr>
          <w:color w:val="000000"/>
          <w:spacing w:val="0"/>
          <w:w w:val="100"/>
          <w:position w:val="0"/>
        </w:rPr>
        <w:t>）</w:t>
      </w:r>
      <w:r>
        <w:rPr>
          <w:b/>
          <w:bCs/>
          <w:color w:val="000000"/>
          <w:spacing w:val="0"/>
          <w:w w:val="100"/>
          <w:position w:val="0"/>
        </w:rPr>
        <w:t>985</w:t>
      </w:r>
      <w:r>
        <w:rPr>
          <w:color w:val="000000"/>
          <w:spacing w:val="0"/>
          <w:w w:val="100"/>
          <w:position w:val="0"/>
        </w:rPr>
        <w:t>号）有关规定，本 年度适用</w:t>
      </w:r>
      <w:r>
        <w:rPr>
          <w:b/>
          <w:bCs/>
          <w:color w:val="000000"/>
          <w:spacing w:val="0"/>
          <w:w w:val="100"/>
          <w:position w:val="0"/>
        </w:rPr>
        <w:t>15%</w:t>
      </w:r>
      <w:r>
        <w:rPr>
          <w:color w:val="000000"/>
          <w:spacing w:val="0"/>
          <w:w w:val="100"/>
          <w:position w:val="0"/>
        </w:rPr>
        <w:t>的所得税优惠税率。</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根据《财政部税务总局关于实施小微企业普惠性税收减免政策的通知》（财税[2019]13号），自2019年 1月1日至2021年12月31日，对小型微利企业年应纳税所得额不超过100万元的部分，减按25%计入应纳税所 得额，按20%的税率缴纳企业所得税；对年应纳税所得额超过100万元但不超过300万元的部分，减按50%计 入应纳税所得额，按20%的税率缴纳企业所得税。</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根据《财政部税务总局关于实施小微企业和个体工商户所得税优惠政策的公告》（财政部税务总局公 告2021年第12号），自2021年1月1日至2022年12月31日，对小型微利企业年应纳税所得额不超过</w:t>
      </w:r>
      <w:r>
        <w:rPr>
          <w:b/>
          <w:bCs/>
          <w:color w:val="000000"/>
          <w:spacing w:val="0"/>
          <w:w w:val="100"/>
          <w:position w:val="0"/>
        </w:rPr>
        <w:t>100</w:t>
      </w:r>
      <w:r>
        <w:rPr>
          <w:color w:val="000000"/>
          <w:spacing w:val="0"/>
          <w:w w:val="100"/>
          <w:position w:val="0"/>
        </w:rPr>
        <w:t>万元的 部分，在《财政部税务总局关于实施小微企业普惠性税收减免政策的通知》（财税〔</w:t>
      </w:r>
      <w:r>
        <w:rPr>
          <w:b/>
          <w:bCs/>
          <w:color w:val="000000"/>
          <w:spacing w:val="0"/>
          <w:w w:val="100"/>
          <w:position w:val="0"/>
        </w:rPr>
        <w:t>2019</w:t>
      </w:r>
      <w:r>
        <w:rPr>
          <w:color w:val="000000"/>
          <w:spacing w:val="0"/>
          <w:w w:val="100"/>
          <w:position w:val="0"/>
        </w:rPr>
        <w:t xml:space="preserve">） </w:t>
      </w:r>
      <w:r>
        <w:rPr>
          <w:b/>
          <w:bCs/>
          <w:color w:val="000000"/>
          <w:spacing w:val="0"/>
          <w:w w:val="100"/>
          <w:position w:val="0"/>
        </w:rPr>
        <w:t>13</w:t>
      </w:r>
      <w:r>
        <w:rPr>
          <w:color w:val="000000"/>
          <w:spacing w:val="0"/>
          <w:w w:val="100"/>
          <w:position w:val="0"/>
        </w:rPr>
        <w:t>号）第二条 规定的优惠政策基础上，再减半征收企业所得税。</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w:t>
      </w:r>
      <w:r>
        <w:rPr>
          <w:b/>
          <w:bCs/>
          <w:color w:val="000000"/>
          <w:spacing w:val="0"/>
          <w:w w:val="100"/>
          <w:position w:val="0"/>
        </w:rPr>
        <w:t>2</w:t>
      </w:r>
      <w:r>
        <w:rPr>
          <w:color w:val="000000"/>
          <w:spacing w:val="0"/>
          <w:w w:val="100"/>
          <w:position w:val="0"/>
        </w:rPr>
        <w:t>）增值税税收优惠</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本公司根据“财税（</w:t>
      </w:r>
      <w:r>
        <w:rPr>
          <w:b/>
          <w:bCs/>
          <w:color w:val="000000"/>
          <w:spacing w:val="0"/>
          <w:w w:val="100"/>
          <w:position w:val="0"/>
        </w:rPr>
        <w:t>2011</w:t>
      </w:r>
      <w:r>
        <w:rPr>
          <w:color w:val="000000"/>
          <w:spacing w:val="0"/>
          <w:w w:val="100"/>
          <w:position w:val="0"/>
        </w:rPr>
        <w:t xml:space="preserve">） </w:t>
      </w:r>
      <w:r>
        <w:rPr>
          <w:b/>
          <w:bCs/>
          <w:color w:val="000000"/>
          <w:spacing w:val="0"/>
          <w:w w:val="100"/>
          <w:position w:val="0"/>
        </w:rPr>
        <w:t>100</w:t>
      </w:r>
      <w:r>
        <w:rPr>
          <w:color w:val="000000"/>
          <w:spacing w:val="0"/>
          <w:w w:val="100"/>
          <w:position w:val="0"/>
        </w:rPr>
        <w:t>号《财政部、国家税务总局关于软件产品增值税政策的通知》“的规定， 自</w:t>
      </w:r>
      <w:r>
        <w:rPr>
          <w:b/>
          <w:bCs/>
          <w:color w:val="000000"/>
          <w:spacing w:val="0"/>
          <w:w w:val="100"/>
          <w:position w:val="0"/>
        </w:rPr>
        <w:t>2011</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日起对增值税一般纳税人销售其自行开发生产的软件产品，对其增值税实际税负超过</w:t>
      </w:r>
      <w:r>
        <w:rPr>
          <w:b/>
          <w:bCs/>
          <w:color w:val="000000"/>
          <w:spacing w:val="0"/>
          <w:w w:val="100"/>
          <w:position w:val="0"/>
        </w:rPr>
        <w:t>3%</w:t>
      </w:r>
      <w:r>
        <w:rPr>
          <w:color w:val="000000"/>
          <w:spacing w:val="0"/>
          <w:w w:val="100"/>
          <w:position w:val="0"/>
        </w:rPr>
        <w:t>的部 分实行即征即退政策。</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子公司东山嘉园根据“财税</w:t>
      </w:r>
      <w:r>
        <w:rPr>
          <w:b/>
          <w:bCs/>
          <w:color w:val="000000"/>
          <w:spacing w:val="0"/>
          <w:w w:val="100"/>
          <w:position w:val="0"/>
        </w:rPr>
        <w:t>[2015]78</w:t>
      </w:r>
      <w:r>
        <w:rPr>
          <w:color w:val="000000"/>
          <w:spacing w:val="0"/>
          <w:w w:val="100"/>
          <w:position w:val="0"/>
        </w:rPr>
        <w:t>号</w:t>
      </w:r>
      <w:r>
        <w:rPr>
          <w:b/>
          <w:bCs/>
          <w:color w:val="000000"/>
          <w:spacing w:val="0"/>
          <w:w w:val="100"/>
          <w:position w:val="0"/>
        </w:rPr>
        <w:t>-</w:t>
      </w:r>
      <w:r>
        <w:rPr>
          <w:color w:val="000000"/>
          <w:spacing w:val="0"/>
          <w:w w:val="100"/>
          <w:position w:val="0"/>
        </w:rPr>
        <w:t>关于印发《资源综合利用产品和劳务增值税优惠目录》的通知” 的规定，对污水处理劳务按照</w:t>
      </w:r>
      <w:r>
        <w:rPr>
          <w:b/>
          <w:bCs/>
          <w:color w:val="000000"/>
          <w:spacing w:val="0"/>
          <w:w w:val="100"/>
          <w:position w:val="0"/>
        </w:rPr>
        <w:t>70%</w:t>
      </w:r>
      <w:r>
        <w:rPr>
          <w:color w:val="000000"/>
          <w:spacing w:val="0"/>
          <w:w w:val="100"/>
          <w:position w:val="0"/>
        </w:rPr>
        <w:t>享受增值税即征即退政策。</w:t>
      </w:r>
    </w:p>
    <w:p>
      <w:pPr>
        <w:pStyle w:val="Style10"/>
        <w:keepNext w:val="0"/>
        <w:keepLines w:val="0"/>
        <w:widowControl w:val="0"/>
        <w:shd w:val="clear" w:color="auto" w:fill="auto"/>
        <w:bidi w:val="0"/>
        <w:spacing w:before="0" w:after="440" w:line="471" w:lineRule="exact"/>
        <w:ind w:left="0" w:right="0" w:firstLine="440"/>
        <w:jc w:val="both"/>
      </w:pPr>
      <w:r>
        <w:rPr>
          <w:color w:val="000000"/>
          <w:spacing w:val="0"/>
          <w:w w:val="100"/>
          <w:position w:val="0"/>
        </w:rPr>
        <w:t>子公司合肥嘉园根据“财税</w:t>
      </w:r>
      <w:r>
        <w:rPr>
          <w:color w:val="000000"/>
          <w:spacing w:val="0"/>
          <w:w w:val="100"/>
          <w:position w:val="0"/>
        </w:rPr>
        <w:t xml:space="preserve">[2015] </w:t>
      </w:r>
      <w:r>
        <w:rPr>
          <w:color w:val="000000"/>
          <w:spacing w:val="0"/>
          <w:w w:val="100"/>
          <w:position w:val="0"/>
        </w:rPr>
        <w:t>78号</w:t>
      </w:r>
      <w:r>
        <w:rPr>
          <w:b/>
          <w:bCs/>
          <w:color w:val="000000"/>
          <w:spacing w:val="0"/>
          <w:w w:val="100"/>
          <w:position w:val="0"/>
        </w:rPr>
        <w:t>-</w:t>
      </w:r>
      <w:r>
        <w:rPr>
          <w:color w:val="000000"/>
          <w:spacing w:val="0"/>
          <w:w w:val="100"/>
          <w:position w:val="0"/>
        </w:rPr>
        <w:t>关于印发《资源综合利用产品和劳务增值税优惠目录》的通知” 的规定，对垃圾处理厂渗透（滤）液按照50%享受增值税即征即退政策。</w:t>
      </w:r>
    </w:p>
    <w:p>
      <w:pPr>
        <w:pStyle w:val="Style19"/>
        <w:keepNext/>
        <w:keepLines/>
        <w:widowControl w:val="0"/>
        <w:shd w:val="clear" w:color="auto" w:fill="auto"/>
        <w:bidi w:val="0"/>
        <w:spacing w:before="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sz w:val="24"/>
          <w:szCs w:val="24"/>
        </w:rPr>
        <w:t>七</w:t>
      </w:r>
      <w:bookmarkEnd w:id="1075"/>
      <w:r>
        <w:rPr>
          <w:color w:val="000000"/>
          <w:spacing w:val="0"/>
          <w:w w:val="100"/>
          <w:position w:val="0"/>
          <w:sz w:val="24"/>
          <w:szCs w:val="24"/>
        </w:rPr>
        <w:t>、合并财务报表项目注释</w:t>
      </w:r>
      <w:bookmarkEnd w:id="1073"/>
      <w:bookmarkEnd w:id="1074"/>
      <w:bookmarkEnd w:id="1076"/>
    </w:p>
    <w:p>
      <w:pPr>
        <w:pStyle w:val="Style28"/>
        <w:keepNext/>
        <w:keepLines/>
        <w:widowControl w:val="0"/>
        <w:shd w:val="clear" w:color="auto" w:fill="auto"/>
        <w:bidi w:val="0"/>
        <w:spacing w:before="0" w:after="120" w:line="492" w:lineRule="auto"/>
        <w:ind w:left="0" w:right="0" w:firstLine="0"/>
        <w:jc w:val="left"/>
      </w:pPr>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77"/>
      <w:bookmarkEnd w:id="1078"/>
      <w:bookmarkEnd w:id="1079"/>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164,548.61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210,999.16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1,399,716,985.20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1,333,549,044.96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15,544,337.95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13,465,731.57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1,415,425,871.76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1,347,225,775.69</w:t>
            </w:r>
          </w:p>
        </w:tc>
      </w:tr>
    </w:tbl>
    <w:p>
      <w:pPr>
        <w:pStyle w:val="Style21"/>
        <w:keepNext w:val="0"/>
        <w:keepLines w:val="0"/>
        <w:widowControl w:val="0"/>
        <w:shd w:val="clear" w:color="auto" w:fill="auto"/>
        <w:bidi w:val="0"/>
        <w:spacing w:before="0" w:after="0" w:line="240" w:lineRule="auto"/>
        <w:ind w:left="0" w:right="0" w:firstLine="0"/>
        <w:jc w:val="left"/>
      </w:pPr>
      <w:bookmarkStart w:id="1080" w:name="bookmark1080"/>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80"/>
    </w:p>
    <w:p>
      <w:pPr>
        <w:widowControl w:val="0"/>
        <w:spacing w:after="3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277"/>
        <w:gridCol w:w="2669"/>
        <w:gridCol w:w="263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以公允价值计量且其变动计入当期损益的金融资产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35,072,088.67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77"/>
        <w:gridCol w:w="2669"/>
        <w:gridCol w:w="263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35,072,088.67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35,072,088.67</w:t>
            </w:r>
            <w:r>
              <w:rPr>
                <w:rFonts w:ascii="Times New Roman" w:eastAsia="Times New Roman" w:hAnsi="Times New Roman" w:cs="Times New Roman"/>
                <w:color w:val="FF0000"/>
                <w:spacing w:val="0"/>
                <w:w w:val="100"/>
                <w:position w:val="0"/>
                <w:sz w:val="18"/>
                <w:szCs w:val="18"/>
                <w:vertAlign w:val="superscript"/>
              </w:rPr>
              <w:t>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交易性金融资产较年初增加</w:t>
      </w:r>
      <w:r>
        <w:rPr>
          <w:rFonts w:ascii="Times New Roman" w:eastAsia="Times New Roman" w:hAnsi="Times New Roman" w:cs="Times New Roman"/>
          <w:color w:val="000000"/>
          <w:spacing w:val="0"/>
          <w:w w:val="100"/>
          <w:position w:val="0"/>
        </w:rPr>
        <w:t>100%</w:t>
      </w:r>
      <w:r>
        <w:rPr>
          <w:color w:val="000000"/>
          <w:spacing w:val="0"/>
          <w:w w:val="100"/>
          <w:position w:val="0"/>
        </w:rPr>
        <w:t>,主要系结构性存款增加所致。</w:t>
      </w:r>
    </w:p>
    <w:p>
      <w:pPr>
        <w:pStyle w:val="Style28"/>
        <w:keepNext/>
        <w:keepLines/>
        <w:widowControl w:val="0"/>
        <w:shd w:val="clear" w:color="auto" w:fill="auto"/>
        <w:bidi w:val="0"/>
        <w:spacing w:before="0" w:after="34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3</w:t>
      </w:r>
      <w:bookmarkEnd w:id="1083"/>
      <w:r>
        <w:rPr>
          <w:color w:val="000000"/>
          <w:spacing w:val="0"/>
          <w:w w:val="100"/>
          <w:position w:val="0"/>
        </w:rPr>
        <w:t>、应收票据</w:t>
      </w:r>
      <w:bookmarkEnd w:id="1081"/>
      <w:bookmarkEnd w:id="1082"/>
      <w:bookmarkEnd w:id="1084"/>
    </w:p>
    <w:p>
      <w:pPr>
        <w:pStyle w:val="Style201"/>
        <w:keepNext/>
        <w:keepLines/>
        <w:widowControl w:val="0"/>
        <w:shd w:val="clear" w:color="auto" w:fill="auto"/>
        <w:bidi w:val="0"/>
        <w:spacing w:before="0" w:after="340" w:line="240" w:lineRule="auto"/>
        <w:ind w:left="0" w:right="0" w:firstLine="0"/>
        <w:jc w:val="left"/>
      </w:pPr>
      <w:bookmarkStart w:id="1085" w:name="bookmark1085"/>
      <w:bookmarkStart w:id="1086" w:name="bookmark1086"/>
      <w:bookmarkStart w:id="1087" w:name="bookmark10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85"/>
      <w:bookmarkEnd w:id="1086"/>
      <w:bookmarkEnd w:id="1087"/>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27,994,327.78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7,272,591.88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-1,357,656.22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-312,716.52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26,636,671.56</w:t>
            </w:r>
            <w:r>
              <w:rPr>
                <w:rFonts w:ascii="Times New Roman" w:eastAsia="Times New Roman" w:hAnsi="Times New Roman" w:cs="Times New Roman"/>
                <w:color w:val="FF0000"/>
                <w:spacing w:val="0"/>
                <w:w w:val="100"/>
                <w:position w:val="0"/>
                <w:sz w:val="18"/>
                <w:szCs w:val="18"/>
                <w:vertAlign w:val="superscript"/>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6,959,875.36</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注：</w:t>
      </w:r>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sz w:val="18"/>
          <w:szCs w:val="18"/>
        </w:rPr>
        <w:t>应收票据较年初增加</w:t>
      </w:r>
      <w:r>
        <w:rPr>
          <w:rFonts w:ascii="Times New Roman" w:eastAsia="Times New Roman" w:hAnsi="Times New Roman" w:cs="Times New Roman"/>
          <w:b w:val="0"/>
          <w:bCs w:val="0"/>
          <w:color w:val="000000"/>
          <w:spacing w:val="0"/>
          <w:w w:val="100"/>
          <w:position w:val="0"/>
          <w:sz w:val="18"/>
          <w:szCs w:val="18"/>
        </w:rPr>
        <w:t>282.72%</w:t>
      </w:r>
      <w:r>
        <w:rPr>
          <w:b w:val="0"/>
          <w:bCs w:val="0"/>
          <w:color w:val="000000"/>
          <w:spacing w:val="0"/>
          <w:w w:val="100"/>
          <w:position w:val="0"/>
          <w:sz w:val="18"/>
          <w:szCs w:val="18"/>
        </w:rPr>
        <w:t>，主要系公司收到的商业承兑汇票增加所致。</w:t>
      </w:r>
    </w:p>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171"/>
        <w:gridCol w:w="1123"/>
        <w:gridCol w:w="797"/>
        <w:gridCol w:w="643"/>
        <w:gridCol w:w="955"/>
        <w:gridCol w:w="710"/>
        <w:gridCol w:w="854"/>
        <w:gridCol w:w="797"/>
        <w:gridCol w:w="778"/>
        <w:gridCol w:w="950"/>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color w:val="000000"/>
                <w:spacing w:val="0"/>
                <w:w w:val="100"/>
                <w:position w:val="0"/>
                <w:sz w:val="18"/>
                <w:szCs w:val="18"/>
              </w:rPr>
              <w:t>账面</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账面价 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按组合计提 坏账准备的 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27,994,327.</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1,357 ,656.</w:t>
            </w:r>
          </w:p>
          <w:p>
            <w:pPr>
              <w:pStyle w:val="Style2"/>
              <w:keepNext w:val="0"/>
              <w:keepLines w:val="0"/>
              <w:widowControl w:val="0"/>
              <w:shd w:val="clear" w:color="auto" w:fill="auto"/>
              <w:bidi w:val="0"/>
              <w:spacing w:before="0" w:after="0" w:line="36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26,63</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6,671.</w:t>
            </w:r>
          </w:p>
          <w:p>
            <w:pPr>
              <w:pStyle w:val="Style2"/>
              <w:keepNext w:val="0"/>
              <w:keepLines w:val="0"/>
              <w:widowControl w:val="0"/>
              <w:shd w:val="clear" w:color="auto" w:fill="auto"/>
              <w:bidi w:val="0"/>
              <w:spacing w:before="0" w:after="8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312,71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6,959,8</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：银行 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：商业 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27,994,327.</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1,357 ,656.</w:t>
            </w:r>
          </w:p>
          <w:p>
            <w:pPr>
              <w:pStyle w:val="Style2"/>
              <w:keepNext w:val="0"/>
              <w:keepLines w:val="0"/>
              <w:widowControl w:val="0"/>
              <w:shd w:val="clear" w:color="auto" w:fill="auto"/>
              <w:bidi w:val="0"/>
              <w:spacing w:before="0" w:after="0" w:line="36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26,63</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6,671.</w:t>
            </w:r>
          </w:p>
          <w:p>
            <w:pPr>
              <w:pStyle w:val="Style2"/>
              <w:keepNext w:val="0"/>
              <w:keepLines w:val="0"/>
              <w:widowControl w:val="0"/>
              <w:shd w:val="clear" w:color="auto" w:fill="auto"/>
              <w:bidi w:val="0"/>
              <w:spacing w:before="0" w:after="8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312,71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6,959,8</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75.36</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27,994,327.</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1,357 ,656.</w:t>
            </w:r>
          </w:p>
          <w:p>
            <w:pPr>
              <w:pStyle w:val="Style2"/>
              <w:keepNext w:val="0"/>
              <w:keepLines w:val="0"/>
              <w:widowControl w:val="0"/>
              <w:shd w:val="clear" w:color="auto" w:fill="auto"/>
              <w:bidi w:val="0"/>
              <w:spacing w:before="0" w:after="0" w:line="36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26,63</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6,671.</w:t>
            </w:r>
          </w:p>
          <w:p>
            <w:pPr>
              <w:pStyle w:val="Style2"/>
              <w:keepNext w:val="0"/>
              <w:keepLines w:val="0"/>
              <w:widowControl w:val="0"/>
              <w:shd w:val="clear" w:color="auto" w:fill="auto"/>
              <w:bidi w:val="0"/>
              <w:spacing w:before="0" w:after="8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312,71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6,959,8</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75.36</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按组合计提坏账准备：</w:t>
      </w:r>
      <w:r>
        <w:rPr>
          <w:rFonts w:ascii="Times New Roman" w:eastAsia="Times New Roman" w:hAnsi="Times New Roman" w:cs="Times New Roman"/>
          <w:b w:val="0"/>
          <w:bCs w:val="0"/>
          <w:color w:val="000000"/>
          <w:spacing w:val="0"/>
          <w:w w:val="100"/>
          <w:position w:val="0"/>
          <w:sz w:val="18"/>
          <w:szCs w:val="18"/>
        </w:rPr>
        <w:t>1,357,656.22</w:t>
      </w:r>
      <w:r>
        <w:rPr>
          <w:b w:val="0"/>
          <w:bCs w:val="0"/>
          <w:color w:val="000000"/>
          <w:spacing w:val="0"/>
          <w:w w:val="100"/>
          <w:position w:val="0"/>
          <w:sz w:val="18"/>
          <w:szCs w:val="18"/>
        </w:rPr>
        <w:t>元</w:t>
      </w:r>
    </w:p>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：银行承兑汇票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27,994,327.78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1,357,656.22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27,994,327.78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1,357,656.22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00" w:line="346" w:lineRule="exact"/>
        <w:ind w:left="0" w:right="0" w:firstLine="0"/>
        <w:jc w:val="left"/>
      </w:pPr>
      <w:r>
        <w:rPr>
          <w:color w:val="000000"/>
          <w:spacing w:val="0"/>
          <w:w w:val="100"/>
          <w:position w:val="0"/>
        </w:rPr>
        <w:t>根据信用风险特征将应收票据划分为若干组合，在组合基础上计算预期信用损失，确定组合的依据如下：</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应收票据组合</w:t>
      </w:r>
      <w:r>
        <w:rPr>
          <w:color w:val="000000"/>
          <w:spacing w:val="0"/>
          <w:w w:val="100"/>
          <w:position w:val="0"/>
        </w:rPr>
        <w:t>1：</w:t>
      </w:r>
      <w:r>
        <w:rPr>
          <w:color w:val="000000"/>
          <w:spacing w:val="0"/>
          <w:w w:val="100"/>
          <w:position w:val="0"/>
        </w:rPr>
        <w:t>银行承兑汇票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应收票据组合</w:t>
      </w:r>
      <w:r>
        <w:rPr>
          <w:color w:val="000000"/>
          <w:spacing w:val="0"/>
          <w:w w:val="100"/>
          <w:position w:val="0"/>
        </w:rPr>
        <w:t>2：</w:t>
      </w:r>
      <w:r>
        <w:rPr>
          <w:color w:val="000000"/>
          <w:spacing w:val="0"/>
          <w:w w:val="100"/>
          <w:position w:val="0"/>
        </w:rPr>
        <w:t>商业承兑汇票</w:t>
      </w:r>
    </w:p>
    <w:p>
      <w:pPr>
        <w:pStyle w:val="Style24"/>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如是按照预期信用损失一般模型计提应收票据坏账准备，请参照其他应收款的披露方式披露坏账准备的相关信息: 口适用”不适用</w:t>
      </w:r>
    </w:p>
    <w:p>
      <w:pPr>
        <w:pStyle w:val="Style201"/>
        <w:keepNext/>
        <w:keepLines/>
        <w:widowControl w:val="0"/>
        <w:shd w:val="clear" w:color="auto" w:fill="auto"/>
        <w:bidi w:val="0"/>
        <w:spacing w:before="0" w:after="260" w:line="240" w:lineRule="auto"/>
        <w:ind w:left="0" w:right="0" w:firstLine="0"/>
        <w:jc w:val="left"/>
      </w:pPr>
      <w:bookmarkStart w:id="1088" w:name="bookmark1088"/>
      <w:bookmarkStart w:id="1089" w:name="bookmark1089"/>
      <w:bookmarkStart w:id="1090" w:name="bookmark10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88"/>
      <w:bookmarkEnd w:id="1089"/>
      <w:bookmarkEnd w:id="1090"/>
    </w:p>
    <w:p>
      <w:pPr>
        <w:pStyle w:val="Style24"/>
        <w:keepNext w:val="0"/>
        <w:keepLines w:val="0"/>
        <w:widowControl w:val="0"/>
        <w:shd w:val="clear" w:color="auto" w:fill="auto"/>
        <w:bidi w:val="0"/>
        <w:spacing w:before="0" w:after="100" w:line="346" w:lineRule="exact"/>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312,716.52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1,044,939.70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1,357,656.22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312,716.52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1,044,939.70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1,357,656.22</w:t>
            </w:r>
          </w:p>
        </w:tc>
      </w:tr>
    </w:tbl>
    <w:p>
      <w:pPr>
        <w:pStyle w:val="Style24"/>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其中本期坏账准备收回或转回金额重要的: 口适用”不适用</w:t>
      </w:r>
    </w:p>
    <w:p>
      <w:pPr>
        <w:pStyle w:val="Style201"/>
        <w:keepNext/>
        <w:keepLines/>
        <w:widowControl w:val="0"/>
        <w:numPr>
          <w:ilvl w:val="0"/>
          <w:numId w:val="47"/>
        </w:numPr>
        <w:shd w:val="clear" w:color="auto" w:fill="auto"/>
        <w:bidi w:val="0"/>
        <w:spacing w:before="0" w:after="360" w:line="240" w:lineRule="auto"/>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期末公司已背书或贴现且在资产负债表日尚未到期的应收票据</w:t>
      </w:r>
      <w:bookmarkEnd w:id="1091"/>
      <w:bookmarkEnd w:id="1092"/>
      <w:bookmarkEnd w:id="1094"/>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5,990,388.01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5,990,388.01</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4</w:t>
      </w:r>
      <w:bookmarkEnd w:id="1097"/>
      <w:r>
        <w:rPr>
          <w:color w:val="000000"/>
          <w:spacing w:val="0"/>
          <w:w w:val="100"/>
          <w:position w:val="0"/>
        </w:rPr>
        <w:t>、应收账款</w:t>
      </w:r>
      <w:bookmarkEnd w:id="1095"/>
      <w:bookmarkEnd w:id="1096"/>
      <w:bookmarkEnd w:id="1098"/>
    </w:p>
    <w:p>
      <w:pPr>
        <w:pStyle w:val="Style201"/>
        <w:keepNext/>
        <w:keepLines/>
        <w:widowControl w:val="0"/>
        <w:shd w:val="clear" w:color="auto" w:fill="auto"/>
        <w:bidi w:val="0"/>
        <w:spacing w:before="0" w:after="360" w:line="240" w:lineRule="auto"/>
        <w:ind w:left="0" w:right="0" w:firstLine="0"/>
        <w:jc w:val="left"/>
      </w:pPr>
      <w:bookmarkStart w:id="1099" w:name="bookmark1099"/>
      <w:bookmarkStart w:id="1100" w:name="bookmark1100"/>
      <w:bookmarkStart w:id="1101" w:name="bookmark11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99"/>
      <w:bookmarkEnd w:id="1100"/>
      <w:bookmarkEnd w:id="1101"/>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按单项计提坏账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1,751,5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1,751,5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1,751,5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1,751,5</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按组合计提坏账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948,09</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0,204.8</w:t>
            </w:r>
          </w:p>
          <w:p>
            <w:pPr>
              <w:pStyle w:val="Style2"/>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99.82</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104,47</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2,452.1</w:t>
            </w:r>
          </w:p>
          <w:p>
            <w:pPr>
              <w:pStyle w:val="Style2"/>
              <w:keepNext w:val="0"/>
              <w:keepLines w:val="0"/>
              <w:widowControl w:val="0"/>
              <w:shd w:val="clear" w:color="auto" w:fill="auto"/>
              <w:bidi w:val="0"/>
              <w:spacing w:before="0" w:after="8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11.02</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843,61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7,752.7</w:t>
            </w:r>
          </w:p>
          <w:p>
            <w:pPr>
              <w:pStyle w:val="Style2"/>
              <w:keepNext w:val="0"/>
              <w:keepLines w:val="0"/>
              <w:widowControl w:val="0"/>
              <w:shd w:val="clear" w:color="auto" w:fill="auto"/>
              <w:bidi w:val="0"/>
              <w:spacing w:before="0" w:after="8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670,76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0,766.0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101,98</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3,801.5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568,776,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964.50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：物联网业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574,02</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4,567.4</w:t>
            </w:r>
          </w:p>
          <w:p>
            <w:pPr>
              <w:pStyle w:val="Style2"/>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60.55</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71,375, 050.23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12.43</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502,64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9,517.2</w:t>
            </w:r>
          </w:p>
          <w:p>
            <w:pPr>
              <w:pStyle w:val="Style2"/>
              <w:keepNext w:val="0"/>
              <w:keepLines w:val="0"/>
              <w:widowControl w:val="0"/>
              <w:shd w:val="clear" w:color="auto" w:fill="auto"/>
              <w:bidi w:val="0"/>
              <w:spacing w:before="0" w:after="8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429,91</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71,518,</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358,400,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890.16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：环保业务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138,28</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5,549.3</w:t>
            </w:r>
          </w:p>
          <w:p>
            <w:pPr>
              <w:pStyle w:val="Style2"/>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14.59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11,527,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8,284.5</w:t>
            </w:r>
          </w:p>
          <w:p>
            <w:pPr>
              <w:pStyle w:val="Style2"/>
              <w:keepNext w:val="0"/>
              <w:keepLines w:val="0"/>
              <w:widowControl w:val="0"/>
              <w:shd w:val="clear" w:color="auto" w:fill="auto"/>
              <w:bidi w:val="0"/>
              <w:spacing w:before="0" w:after="8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10,168,</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87,306,7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：公用事业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235,78</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0,088.0</w:t>
            </w:r>
          </w:p>
          <w:p>
            <w:pPr>
              <w:pStyle w:val="Style2"/>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24.87</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21,570,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214,20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9,950.9</w:t>
            </w:r>
          </w:p>
          <w:p>
            <w:pPr>
              <w:pStyle w:val="Style2"/>
              <w:keepNext w:val="0"/>
              <w:keepLines w:val="0"/>
              <w:widowControl w:val="0"/>
              <w:shd w:val="clear" w:color="auto" w:fill="auto"/>
              <w:bidi w:val="0"/>
              <w:spacing w:before="0" w:after="8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5,944.5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20,296,</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123,069,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318.28</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949,84</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1,749.4</w:t>
            </w:r>
          </w:p>
          <w:p>
            <w:pPr>
              <w:pStyle w:val="Style2"/>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3,996.7</w:t>
            </w:r>
          </w:p>
          <w:p>
            <w:pPr>
              <w:pStyle w:val="Style2"/>
              <w:keepNext w:val="0"/>
              <w:keepLines w:val="0"/>
              <w:widowControl w:val="0"/>
              <w:shd w:val="clear" w:color="auto" w:fill="auto"/>
              <w:bidi w:val="0"/>
              <w:spacing w:before="0" w:after="8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11.18</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843,61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7,752.7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FF0000"/>
                <w:spacing w:val="0"/>
                <w:w w:val="100"/>
                <w:position w:val="0"/>
                <w:sz w:val="18"/>
                <w:szCs w:val="18"/>
                <w:vertAlign w:val="superscript"/>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670,76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0,766.0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101,98</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3,801.5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568,776,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964.50</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应收账款较年初增加</w:t>
      </w:r>
      <w:r>
        <w:rPr>
          <w:rFonts w:ascii="Times New Roman" w:eastAsia="Times New Roman" w:hAnsi="Times New Roman" w:cs="Times New Roman"/>
          <w:color w:val="000000"/>
          <w:spacing w:val="0"/>
          <w:w w:val="100"/>
          <w:position w:val="0"/>
        </w:rPr>
        <w:t>48.32%</w:t>
      </w:r>
      <w:r>
        <w:rPr>
          <w:color w:val="000000"/>
          <w:spacing w:val="0"/>
          <w:w w:val="100"/>
          <w:position w:val="0"/>
        </w:rPr>
        <w:t>,主要系公司业务增长所致。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1,751,544.55</w:t>
      </w:r>
      <w:r>
        <w:rPr>
          <w:color w:val="000000"/>
          <w:spacing w:val="0"/>
          <w:w w:val="100"/>
          <w:position w:val="0"/>
        </w:rPr>
        <w:t>元</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1,751,544.55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1,751,544.55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1,751,544.55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1,751,544.55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按组合计提坏账准备：</w:t>
      </w:r>
      <w:r>
        <w:rPr>
          <w:rFonts w:ascii="Times New Roman" w:eastAsia="Times New Roman" w:hAnsi="Times New Roman" w:cs="Times New Roman"/>
          <w:b w:val="0"/>
          <w:bCs w:val="0"/>
          <w:color w:val="000000"/>
          <w:spacing w:val="0"/>
          <w:w w:val="100"/>
          <w:position w:val="0"/>
          <w:sz w:val="18"/>
          <w:szCs w:val="18"/>
        </w:rPr>
        <w:t>104,472,452.16</w:t>
      </w:r>
      <w:r>
        <w:rPr>
          <w:b w:val="0"/>
          <w:bCs w:val="0"/>
          <w:color w:val="000000"/>
          <w:spacing w:val="0"/>
          <w:w w:val="100"/>
          <w:position w:val="0"/>
          <w:sz w:val="18"/>
          <w:szCs w:val="18"/>
        </w:rPr>
        <w:t>元</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：物联网业务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574,024,567.43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71,375,050.23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：环保业务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138,285,549.35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11,527,264.81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：公用事业业务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235,780,088.08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21,570,137.12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948,090,204.86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104,472,452.16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根据信用风险特征将应收账款划分为若干组合，在组合基础上计算预期信用损失，确定组合的依据如下:</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应收账款组合</w:t>
      </w:r>
      <w:r>
        <w:rPr>
          <w:color w:val="000000"/>
          <w:spacing w:val="0"/>
          <w:w w:val="100"/>
          <w:position w:val="0"/>
        </w:rPr>
        <w:t>1：</w:t>
      </w:r>
      <w:r>
        <w:rPr>
          <w:color w:val="000000"/>
          <w:spacing w:val="0"/>
          <w:w w:val="100"/>
          <w:position w:val="0"/>
        </w:rPr>
        <w:t>物联网业务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应收账款组合</w:t>
      </w:r>
      <w:r>
        <w:rPr>
          <w:color w:val="000000"/>
          <w:spacing w:val="0"/>
          <w:w w:val="100"/>
          <w:position w:val="0"/>
        </w:rPr>
        <w:t>2：</w:t>
      </w:r>
      <w:r>
        <w:rPr>
          <w:color w:val="000000"/>
          <w:spacing w:val="0"/>
          <w:w w:val="100"/>
          <w:position w:val="0"/>
        </w:rPr>
        <w:t>环保业务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应收账款组合</w:t>
      </w:r>
      <w:r>
        <w:rPr>
          <w:color w:val="000000"/>
          <w:spacing w:val="0"/>
          <w:w w:val="100"/>
          <w:position w:val="0"/>
        </w:rPr>
        <w:t>3：</w:t>
      </w:r>
      <w:r>
        <w:rPr>
          <w:color w:val="000000"/>
          <w:spacing w:val="0"/>
          <w:w w:val="100"/>
          <w:position w:val="0"/>
        </w:rPr>
        <w:t>公用事业业务</w:t>
      </w:r>
      <w:r>
        <w:br w:type="page"/>
      </w:r>
    </w:p>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如是按照预期信用损失一般模型计提应收账款坏账准备，请参照其他应收款的披露方式披露坏账准备的相关信息: 口适用”不适用</w:t>
      </w:r>
    </w:p>
    <w:p>
      <w:pPr>
        <w:pStyle w:val="Style24"/>
        <w:keepNext w:val="0"/>
        <w:keepLines w:val="0"/>
        <w:widowControl w:val="0"/>
        <w:shd w:val="clear" w:color="auto" w:fill="auto"/>
        <w:bidi w:val="0"/>
        <w:spacing w:before="0" w:after="120" w:line="346" w:lineRule="exact"/>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658,013,877.95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122,705,108.50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81,717,287.76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87,405,475.20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34,651,858.94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26,331,762.94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26,421,853.32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949,841,749.41</w:t>
            </w:r>
          </w:p>
        </w:tc>
      </w:tr>
    </w:tbl>
    <w:p>
      <w:pPr>
        <w:widowControl w:val="0"/>
        <w:spacing w:after="299" w:line="1" w:lineRule="exact"/>
      </w:pPr>
    </w:p>
    <w:p>
      <w:pPr>
        <w:pStyle w:val="Style201"/>
        <w:keepNext/>
        <w:keepLines/>
        <w:widowControl w:val="0"/>
        <w:shd w:val="clear" w:color="auto" w:fill="auto"/>
        <w:bidi w:val="0"/>
        <w:spacing w:before="0" w:line="240" w:lineRule="auto"/>
        <w:ind w:left="0" w:right="0" w:firstLine="0"/>
        <w:jc w:val="both"/>
      </w:pPr>
      <w:bookmarkStart w:id="1102" w:name="bookmark1102"/>
      <w:bookmarkStart w:id="1103" w:name="bookmark1103"/>
      <w:bookmarkStart w:id="1104" w:name="bookmark11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02"/>
      <w:bookmarkEnd w:id="1103"/>
      <w:bookmarkEnd w:id="1104"/>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本期计提坏账准备情况：</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1,751,544.55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1,751,544.55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71,518,629.99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9,868,619.80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10,012,199.56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71,375,050.23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环保业务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10,168,545.23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5,421,976.08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4,063,256.50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11,527,264.81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公用事业业务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20,296,626.28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1,273,510.84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21,570,137.12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101,983,801.50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18,315,651.27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14,075,456.06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106,223,996.71</w:t>
            </w:r>
          </w:p>
        </w:tc>
      </w:tr>
    </w:tbl>
    <w:p>
      <w:pPr>
        <w:widowControl w:val="0"/>
        <w:spacing w:after="299" w:line="1" w:lineRule="exact"/>
      </w:pPr>
    </w:p>
    <w:p>
      <w:pPr>
        <w:pStyle w:val="Style201"/>
        <w:keepNext/>
        <w:keepLines/>
        <w:widowControl w:val="0"/>
        <w:shd w:val="clear" w:color="auto" w:fill="auto"/>
        <w:bidi w:val="0"/>
        <w:spacing w:before="0" w:line="240" w:lineRule="auto"/>
        <w:ind w:left="0" w:right="0" w:firstLine="0"/>
        <w:jc w:val="both"/>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05"/>
      <w:bookmarkEnd w:id="1106"/>
      <w:bookmarkEnd w:id="1108"/>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罗源县洪洋乡人民政府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1,472,408.00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泰州市远东高科自动化工程有限公司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STX </w:t>
            </w:r>
            <w:r>
              <w:rPr>
                <w:color w:val="000000"/>
                <w:spacing w:val="0"/>
                <w:w w:val="100"/>
                <w:position w:val="0"/>
                <w:sz w:val="18"/>
                <w:szCs w:val="18"/>
              </w:rPr>
              <w:t>（大连）重工有限公司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其他核销合计</w:t>
            </w:r>
            <w:r>
              <w:rPr>
                <w:rFonts w:ascii="Times New Roman" w:eastAsia="Times New Roman" w:hAnsi="Times New Roman" w:cs="Times New Roman"/>
                <w:color w:val="000000"/>
                <w:spacing w:val="0"/>
                <w:w w:val="100"/>
                <w:position w:val="0"/>
                <w:sz w:val="18"/>
                <w:szCs w:val="18"/>
              </w:rPr>
              <w:t>213</w:t>
            </w:r>
            <w:r>
              <w:rPr>
                <w:color w:val="000000"/>
                <w:spacing w:val="0"/>
                <w:w w:val="100"/>
                <w:position w:val="0"/>
                <w:sz w:val="18"/>
                <w:szCs w:val="18"/>
              </w:rPr>
              <w:t>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10,829,048.06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14,075,456.06</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应收账款核销说明：</w:t>
      </w:r>
    </w:p>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账龄超过五年且无法收回，经管理层审批核销。</w:t>
      </w:r>
      <w:r>
        <w:br w:type="page"/>
      </w:r>
    </w:p>
    <w:p>
      <w:pPr>
        <w:pStyle w:val="Style201"/>
        <w:keepNext/>
        <w:keepLines/>
        <w:widowControl w:val="0"/>
        <w:numPr>
          <w:ilvl w:val="0"/>
          <w:numId w:val="47"/>
        </w:numPr>
        <w:shd w:val="clear" w:color="auto" w:fill="auto"/>
        <w:bidi w:val="0"/>
        <w:spacing w:before="0" w:after="360" w:line="240" w:lineRule="auto"/>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按欠款方归集的期末余额前五名的应收账款情况</w:t>
      </w:r>
      <w:bookmarkEnd w:id="1109"/>
      <w:bookmarkEnd w:id="1110"/>
      <w:bookmarkEnd w:id="1112"/>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47,040,331.35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4,160,723.80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29,618,984.40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521,294.13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27,663,516.85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1,377,643.14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17,977,780.06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293,037.81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14,716,081.88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259,003.04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137,016,694.54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both"/>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5</w:t>
      </w:r>
      <w:bookmarkEnd w:id="1115"/>
      <w:r>
        <w:rPr>
          <w:color w:val="000000"/>
          <w:spacing w:val="0"/>
          <w:w w:val="100"/>
          <w:position w:val="0"/>
        </w:rPr>
        <w:t>、应收款项融资</w:t>
      </w:r>
      <w:bookmarkEnd w:id="1113"/>
      <w:bookmarkEnd w:id="1114"/>
      <w:bookmarkEnd w:id="1116"/>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9,572,254.00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15,224,608.60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9,572,254.00</w:t>
            </w:r>
            <w:r>
              <w:rPr>
                <w:rFonts w:ascii="Times New Roman" w:eastAsia="Times New Roman" w:hAnsi="Times New Roman" w:cs="Times New Roman"/>
                <w:color w:val="FF0000"/>
                <w:spacing w:val="0"/>
                <w:w w:val="100"/>
                <w:position w:val="0"/>
                <w:sz w:val="18"/>
                <w:szCs w:val="18"/>
                <w:vertAlign w:val="superscript"/>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15,224,608.60</w:t>
            </w:r>
          </w:p>
        </w:tc>
      </w:tr>
    </w:tbl>
    <w:p>
      <w:pPr>
        <w:widowControl w:val="0"/>
        <w:spacing w:after="5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应收款项融资较年初减少</w:t>
      </w:r>
      <w:r>
        <w:rPr>
          <w:rFonts w:ascii="Times New Roman" w:eastAsia="Times New Roman" w:hAnsi="Times New Roman" w:cs="Times New Roman"/>
          <w:color w:val="000000"/>
          <w:spacing w:val="0"/>
          <w:w w:val="100"/>
          <w:position w:val="0"/>
        </w:rPr>
        <w:t>37.13%</w:t>
      </w:r>
      <w:r>
        <w:rPr>
          <w:color w:val="000000"/>
          <w:spacing w:val="0"/>
          <w:w w:val="100"/>
          <w:position w:val="0"/>
        </w:rPr>
        <w:t>，主要系公司收到的银行承兑汇票贴现及背书转让所致。</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应收款项融资本期增减变动及公允价值变动情况</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0"/>
        <w:keepNext w:val="0"/>
        <w:keepLines w:val="0"/>
        <w:widowControl w:val="0"/>
        <w:shd w:val="clear" w:color="auto" w:fill="auto"/>
        <w:bidi w:val="0"/>
        <w:spacing w:before="0" w:after="60" w:line="461" w:lineRule="exact"/>
        <w:ind w:left="0" w:right="0" w:firstLine="440"/>
        <w:jc w:val="both"/>
      </w:pPr>
      <w:r>
        <w:rPr>
          <w:color w:val="000000"/>
          <w:spacing w:val="0"/>
          <w:w w:val="100"/>
          <w:position w:val="0"/>
        </w:rPr>
        <w:t xml:space="preserve">公司持有票据具有收取现金流量和出售的双重目的形成的应收款项融资，由于票据期限较短，账面价 值代表了对公允价值的最佳估计，以账面价值作为其公允价值，本期未发生变化。应收款项融资本期较上 期减少5, 652, </w:t>
      </w:r>
      <w:r>
        <w:rPr>
          <w:color w:val="000000"/>
          <w:spacing w:val="0"/>
          <w:w w:val="100"/>
          <w:position w:val="0"/>
        </w:rPr>
        <w:t xml:space="preserve">354. </w:t>
      </w:r>
      <w:r>
        <w:rPr>
          <w:color w:val="000000"/>
          <w:spacing w:val="0"/>
          <w:w w:val="100"/>
          <w:position w:val="0"/>
        </w:rPr>
        <w:t>60元。</w:t>
      </w:r>
    </w:p>
    <w:p>
      <w:pPr>
        <w:pStyle w:val="Style2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 口适用”不适用</w:t>
      </w:r>
    </w:p>
    <w:p>
      <w:pPr>
        <w:pStyle w:val="Style28"/>
        <w:keepNext/>
        <w:keepLines/>
        <w:widowControl w:val="0"/>
        <w:shd w:val="clear" w:color="auto" w:fill="auto"/>
        <w:bidi w:val="0"/>
        <w:spacing w:before="0" w:after="0" w:line="48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6</w:t>
      </w:r>
      <w:bookmarkEnd w:id="1119"/>
      <w:r>
        <w:rPr>
          <w:color w:val="000000"/>
          <w:spacing w:val="0"/>
          <w:w w:val="100"/>
          <w:position w:val="0"/>
        </w:rPr>
        <w:t>、预付款项</w:t>
      </w:r>
      <w:bookmarkEnd w:id="1117"/>
      <w:bookmarkEnd w:id="1118"/>
      <w:bookmarkEnd w:id="1120"/>
    </w:p>
    <w:p>
      <w:pPr>
        <w:pStyle w:val="Style201"/>
        <w:keepNext/>
        <w:keepLines/>
        <w:widowControl w:val="0"/>
        <w:shd w:val="clear" w:color="auto" w:fill="auto"/>
        <w:bidi w:val="0"/>
        <w:spacing w:before="0" w:after="360" w:line="461" w:lineRule="exact"/>
        <w:ind w:left="0" w:right="0" w:firstLine="0"/>
        <w:jc w:val="left"/>
      </w:pPr>
      <w:bookmarkStart w:id="1121" w:name="bookmark1121"/>
      <w:bookmarkStart w:id="1122" w:name="bookmark1122"/>
      <w:bookmarkStart w:id="1123" w:name="bookmark11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21"/>
      <w:bookmarkEnd w:id="1122"/>
      <w:bookmarkEnd w:id="1123"/>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71,550,846.10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46,110,737.84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748,992.73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3,123,115.15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462,795.59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1,173,280.98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r>
    </w:tbl>
    <w:p>
      <w:pPr>
        <w:widowControl w:val="0"/>
        <w:spacing w:line="1" w:lineRule="exact"/>
      </w:pPr>
      <w:r>
        <w:br w:type="page"/>
      </w:r>
    </w:p>
    <w:tbl>
      <w:tblPr>
        <w:tblOverlap w:val="never"/>
        <w:jc w:val="center"/>
        <w:tblLayout w:type="fixed"/>
      </w:tblPr>
      <w:tblGrid>
        <w:gridCol w:w="1920"/>
        <w:gridCol w:w="1915"/>
        <w:gridCol w:w="1910"/>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1,023,086.94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1,752,132.39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8"/>
                <w:szCs w:val="8"/>
              </w:rPr>
            </w:pPr>
            <w:r>
              <w:rPr>
                <w:rFonts w:ascii="Times New Roman" w:eastAsia="Times New Roman" w:hAnsi="Times New Roman" w:cs="Times New Roman"/>
                <w:color w:val="000000"/>
                <w:spacing w:val="0"/>
                <w:w w:val="100"/>
                <w:position w:val="0"/>
                <w:sz w:val="18"/>
                <w:szCs w:val="18"/>
              </w:rPr>
              <w:t>73,785,721.36</w:t>
            </w:r>
            <w:r>
              <w:rPr>
                <w:color w:val="FF0000"/>
                <w:spacing w:val="0"/>
                <w:w w:val="100"/>
                <w:position w:val="0"/>
                <w:sz w:val="8"/>
                <w:szCs w:val="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52,159,266.36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预付账款较年初增加</w:t>
      </w:r>
      <w:r>
        <w:rPr>
          <w:rFonts w:ascii="Times New Roman" w:eastAsia="Times New Roman" w:hAnsi="Times New Roman" w:cs="Times New Roman"/>
          <w:color w:val="000000"/>
          <w:spacing w:val="0"/>
          <w:w w:val="100"/>
          <w:position w:val="0"/>
        </w:rPr>
        <w:t>41.46%</w:t>
      </w:r>
      <w:r>
        <w:rPr>
          <w:color w:val="000000"/>
          <w:spacing w:val="0"/>
          <w:w w:val="100"/>
          <w:position w:val="0"/>
        </w:rPr>
        <w:t>,主要系公司业务增长，预付热源费增加所致。</w:t>
      </w:r>
    </w:p>
    <w:p>
      <w:pPr>
        <w:pStyle w:val="Style201"/>
        <w:keepNext/>
        <w:keepLines/>
        <w:widowControl w:val="0"/>
        <w:shd w:val="clear" w:color="auto" w:fill="auto"/>
        <w:bidi w:val="0"/>
        <w:spacing w:before="0" w:after="340" w:line="240" w:lineRule="auto"/>
        <w:ind w:left="0" w:right="0" w:firstLine="0"/>
        <w:jc w:val="both"/>
      </w:pPr>
      <w:bookmarkStart w:id="1124" w:name="bookmark1124"/>
      <w:bookmarkStart w:id="1125" w:name="bookmark1125"/>
      <w:bookmarkStart w:id="1126" w:name="bookmark11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24"/>
      <w:bookmarkEnd w:id="1125"/>
      <w:bookmarkEnd w:id="1126"/>
    </w:p>
    <w:tbl>
      <w:tblPr>
        <w:tblOverlap w:val="never"/>
        <w:jc w:val="center"/>
        <w:tblLayout w:type="fixed"/>
      </w:tblPr>
      <w:tblGrid>
        <w:gridCol w:w="1085"/>
        <w:gridCol w:w="3840"/>
        <w:gridCol w:w="4661"/>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预付对象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占预付款项期末余额合计数的比例(%)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left"/>
              <w:rPr>
                <w:sz w:val="18"/>
                <w:szCs w:val="18"/>
              </w:rPr>
            </w:pPr>
            <w:r>
              <w:rPr>
                <w:rFonts w:ascii="Times New Roman" w:eastAsia="Times New Roman" w:hAnsi="Times New Roman" w:cs="Times New Roman"/>
                <w:color w:val="000000"/>
                <w:spacing w:val="0"/>
                <w:w w:val="100"/>
                <w:position w:val="0"/>
                <w:sz w:val="18"/>
                <w:szCs w:val="18"/>
              </w:rPr>
              <w:t>52,619,133.11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80" w:right="0" w:firstLine="0"/>
              <w:jc w:val="left"/>
              <w:rPr>
                <w:sz w:val="18"/>
                <w:szCs w:val="18"/>
              </w:rPr>
            </w:pPr>
            <w:r>
              <w:rPr>
                <w:rFonts w:ascii="Times New Roman" w:eastAsia="Times New Roman" w:hAnsi="Times New Roman" w:cs="Times New Roman"/>
                <w:color w:val="000000"/>
                <w:spacing w:val="0"/>
                <w:w w:val="100"/>
                <w:position w:val="0"/>
                <w:sz w:val="18"/>
                <w:szCs w:val="18"/>
              </w:rPr>
              <w:t>1,432,153.84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80" w:right="0" w:firstLine="0"/>
              <w:jc w:val="left"/>
              <w:rPr>
                <w:sz w:val="18"/>
                <w:szCs w:val="18"/>
              </w:rPr>
            </w:pPr>
            <w:r>
              <w:rPr>
                <w:rFonts w:ascii="Times New Roman" w:eastAsia="Times New Roman" w:hAnsi="Times New Roman" w:cs="Times New Roman"/>
                <w:color w:val="000000"/>
                <w:spacing w:val="0"/>
                <w:w w:val="100"/>
                <w:position w:val="0"/>
                <w:sz w:val="18"/>
                <w:szCs w:val="18"/>
              </w:rPr>
              <w:t>1,135,901.68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80" w:right="0" w:firstLine="0"/>
              <w:jc w:val="left"/>
              <w:rPr>
                <w:sz w:val="18"/>
                <w:szCs w:val="18"/>
              </w:rPr>
            </w:pPr>
            <w:r>
              <w:rPr>
                <w:rFonts w:ascii="Times New Roman" w:eastAsia="Times New Roman" w:hAnsi="Times New Roman" w:cs="Times New Roman"/>
                <w:color w:val="000000"/>
                <w:spacing w:val="0"/>
                <w:w w:val="100"/>
                <w:position w:val="0"/>
                <w:sz w:val="18"/>
                <w:szCs w:val="18"/>
              </w:rPr>
              <w:t>1,040,000.00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962,500.64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left"/>
              <w:rPr>
                <w:sz w:val="18"/>
                <w:szCs w:val="18"/>
              </w:rPr>
            </w:pPr>
            <w:r>
              <w:rPr>
                <w:rFonts w:ascii="Times New Roman" w:eastAsia="Times New Roman" w:hAnsi="Times New Roman" w:cs="Times New Roman"/>
                <w:color w:val="000000"/>
                <w:spacing w:val="0"/>
                <w:w w:val="100"/>
                <w:position w:val="0"/>
                <w:sz w:val="18"/>
                <w:szCs w:val="18"/>
              </w:rPr>
              <w:t>57,189,689.27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7</w:t>
      </w:r>
      <w:bookmarkEnd w:id="1129"/>
      <w:r>
        <w:rPr>
          <w:color w:val="000000"/>
          <w:spacing w:val="0"/>
          <w:w w:val="100"/>
          <w:position w:val="0"/>
        </w:rPr>
        <w:t>、其他应收款</w:t>
      </w:r>
      <w:bookmarkEnd w:id="1127"/>
      <w:bookmarkEnd w:id="1128"/>
      <w:bookmarkEnd w:id="1130"/>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93,481,167.05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25,373,545.17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93,481,167.05</w:t>
            </w:r>
            <w:r>
              <w:rPr>
                <w:rFonts w:ascii="Times New Roman" w:eastAsia="Times New Roman" w:hAnsi="Times New Roman" w:cs="Times New Roman"/>
                <w:color w:val="FF0000"/>
                <w:spacing w:val="0"/>
                <w:w w:val="100"/>
                <w:position w:val="0"/>
                <w:sz w:val="18"/>
                <w:szCs w:val="18"/>
                <w:vertAlign w:val="superscript"/>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25,373,545.17</w:t>
            </w:r>
          </w:p>
        </w:tc>
      </w:tr>
    </w:tbl>
    <w:p>
      <w:pPr>
        <w:widowControl w:val="0"/>
        <w:spacing w:after="59" w:line="1" w:lineRule="exact"/>
      </w:pP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其他应收款较年初增加</w:t>
      </w:r>
      <w:r>
        <w:rPr>
          <w:rFonts w:ascii="Times New Roman" w:eastAsia="Times New Roman" w:hAnsi="Times New Roman" w:cs="Times New Roman"/>
          <w:color w:val="000000"/>
          <w:spacing w:val="0"/>
          <w:w w:val="100"/>
          <w:position w:val="0"/>
        </w:rPr>
        <w:t>268.42%</w:t>
      </w:r>
      <w:r>
        <w:rPr>
          <w:color w:val="000000"/>
          <w:spacing w:val="0"/>
          <w:w w:val="100"/>
          <w:position w:val="0"/>
        </w:rPr>
        <w:t>，主要系应收政府补助款所致。</w:t>
      </w:r>
    </w:p>
    <w:p>
      <w:pPr>
        <w:pStyle w:val="Style201"/>
        <w:keepNext/>
        <w:keepLines/>
        <w:widowControl w:val="0"/>
        <w:shd w:val="clear" w:color="auto" w:fill="auto"/>
        <w:bidi w:val="0"/>
        <w:spacing w:before="0" w:after="340" w:line="240" w:lineRule="auto"/>
        <w:ind w:left="0" w:right="0" w:firstLine="0"/>
        <w:jc w:val="both"/>
      </w:pPr>
      <w:bookmarkStart w:id="1131" w:name="bookmark1131"/>
      <w:bookmarkStart w:id="1132" w:name="bookmark1132"/>
      <w:bookmarkStart w:id="1133" w:name="bookmark11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31"/>
      <w:bookmarkEnd w:id="1132"/>
      <w:bookmarkEnd w:id="1133"/>
    </w:p>
    <w:p>
      <w:pPr>
        <w:pStyle w:val="Style228"/>
        <w:keepNext/>
        <w:keepLines/>
        <w:widowControl w:val="0"/>
        <w:shd w:val="clear" w:color="auto" w:fill="auto"/>
        <w:bidi w:val="0"/>
        <w:spacing w:before="0" w:after="340" w:line="240" w:lineRule="auto"/>
        <w:ind w:left="0" w:right="0" w:firstLine="0"/>
        <w:jc w:val="both"/>
      </w:pPr>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134"/>
      <w:bookmarkEnd w:id="1135"/>
      <w:bookmarkEnd w:id="1136"/>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59,234,000.00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8,665,408.34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8,199,569.88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押金和保证金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22,922,612.75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19,877,044.22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838,512.01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1,205,123.58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11,518,055.58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3,610,254.62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103,178,588.68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32,891,992.30</w:t>
            </w:r>
          </w:p>
        </w:tc>
      </w:tr>
    </w:tbl>
    <w:p>
      <w:pPr>
        <w:widowControl w:val="0"/>
        <w:spacing w:after="339" w:line="1" w:lineRule="exact"/>
      </w:pPr>
    </w:p>
    <w:p>
      <w:pPr>
        <w:pStyle w:val="Style228"/>
        <w:keepNext/>
        <w:keepLines/>
        <w:widowControl w:val="0"/>
        <w:shd w:val="clear" w:color="auto" w:fill="auto"/>
        <w:bidi w:val="0"/>
        <w:spacing w:before="0" w:after="340" w:line="240" w:lineRule="auto"/>
        <w:ind w:left="0" w:right="0" w:firstLine="0"/>
        <w:jc w:val="both"/>
      </w:pPr>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137"/>
      <w:bookmarkEnd w:id="1138"/>
      <w:bookmarkEnd w:id="1139"/>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651"/>
        <w:gridCol w:w="2098"/>
        <w:gridCol w:w="2102"/>
        <w:gridCol w:w="181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768,440.51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3,245,194.22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3,504,812.40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7,518,447.13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-768,440.51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766,940.51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-304,954.93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304,954.93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1,314,922.64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631,542.66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2,208,974.50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1,314,922.64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4,338,722.46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4,043,776.53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9,697,421.63</w:t>
            </w:r>
          </w:p>
        </w:tc>
      </w:tr>
    </w:tbl>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损失准备本期变动金额重大的账面余额变动情况 口适用”不适用</w:t>
      </w:r>
    </w:p>
    <w:p>
      <w:pPr>
        <w:pStyle w:val="Style24"/>
        <w:keepNext w:val="0"/>
        <w:keepLines w:val="0"/>
        <w:widowControl w:val="0"/>
        <w:shd w:val="clear" w:color="auto" w:fill="auto"/>
        <w:bidi w:val="0"/>
        <w:spacing w:before="0" w:after="120" w:line="346" w:lineRule="exact"/>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85,532,452.47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3,323,332.46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1,788,597.43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12,534,206.32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2,995,606.96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5,709,944.83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3,828,654.53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103,178,588.68</w:t>
            </w:r>
          </w:p>
        </w:tc>
      </w:tr>
    </w:tbl>
    <w:p>
      <w:pPr>
        <w:widowControl w:val="0"/>
        <w:spacing w:after="299" w:line="1" w:lineRule="exact"/>
      </w:pPr>
    </w:p>
    <w:p>
      <w:pPr>
        <w:pStyle w:val="Style228"/>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color w:val="000000"/>
          <w:spacing w:val="0"/>
          <w:w w:val="100"/>
          <w:position w:val="0"/>
        </w:rPr>
        <w:t>）本期计提、收回或转回的坏账准备情况</w:t>
      </w:r>
      <w:bookmarkEnd w:id="1140"/>
      <w:bookmarkEnd w:id="1141"/>
      <w:bookmarkEnd w:id="1143"/>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339"/>
        <w:gridCol w:w="1330"/>
        <w:gridCol w:w="1334"/>
        <w:gridCol w:w="1325"/>
        <w:gridCol w:w="172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280,741.00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-15,619.00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265,122.00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7,237,706.1</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2,224,593.50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9,432,299.63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7,518,447.1</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2,208,974.50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9,697,421.63</w:t>
            </w:r>
          </w:p>
        </w:tc>
      </w:tr>
    </w:tbl>
    <w:p>
      <w:pPr>
        <w:spacing w:lineRule="exact" w:line="1"/>
        <w:rPr>
          <w:sz w:val="2"/>
          <w:szCs w:val="2"/>
        </w:rPr>
      </w:pPr>
      <w:r>
        <w:br w:type="page"/>
      </w:r>
    </w:p>
    <w:p>
      <w:pPr>
        <w:pStyle w:val="Style228"/>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4</w:t>
      </w:r>
      <w:bookmarkEnd w:id="1146"/>
      <w:r>
        <w:rPr>
          <w:color w:val="000000"/>
          <w:spacing w:val="0"/>
          <w:w w:val="100"/>
          <w:position w:val="0"/>
        </w:rPr>
        <w:t>）本期实际核销的其他应收款情况</w:t>
      </w:r>
      <w:bookmarkEnd w:id="1144"/>
      <w:bookmarkEnd w:id="1145"/>
      <w:bookmarkEnd w:id="1147"/>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实际核销的其他应收款项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bl>
    <w:p>
      <w:pPr>
        <w:widowControl w:val="0"/>
        <w:spacing w:after="299" w:line="1" w:lineRule="exact"/>
      </w:pPr>
    </w:p>
    <w:p>
      <w:pPr>
        <w:pStyle w:val="Style228"/>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5</w:t>
      </w:r>
      <w:bookmarkEnd w:id="1150"/>
      <w:r>
        <w:rPr>
          <w:color w:val="000000"/>
          <w:spacing w:val="0"/>
          <w:w w:val="100"/>
          <w:position w:val="0"/>
        </w:rPr>
        <w:t>）按欠款方归集的期末余额前五名的其他应收款情况</w:t>
      </w:r>
      <w:bookmarkEnd w:id="1148"/>
      <w:bookmarkEnd w:id="1149"/>
      <w:bookmarkEnd w:id="1151"/>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598"/>
        <w:gridCol w:w="1594"/>
        <w:gridCol w:w="1598"/>
        <w:gridCol w:w="1594"/>
        <w:gridCol w:w="1594"/>
        <w:gridCol w:w="160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占其他应收款期</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末余额合计数的</w:t>
            </w:r>
          </w:p>
          <w:p>
            <w:pPr>
              <w:pStyle w:val="Style2"/>
              <w:keepNext w:val="0"/>
              <w:keepLines w:val="0"/>
              <w:widowControl w:val="0"/>
              <w:shd w:val="clear" w:color="auto" w:fill="auto"/>
              <w:bidi w:val="0"/>
              <w:spacing w:before="0" w:after="100" w:line="240" w:lineRule="auto"/>
              <w:ind w:left="0" w:right="0" w:firstLine="600"/>
              <w:jc w:val="left"/>
              <w:rPr>
                <w:sz w:val="18"/>
                <w:szCs w:val="18"/>
              </w:rPr>
            </w:pPr>
            <w:r>
              <w:rPr>
                <w:color w:val="000000"/>
                <w:spacing w:val="0"/>
                <w:w w:val="100"/>
                <w:position w:val="0"/>
                <w:sz w:val="18"/>
                <w:szCs w:val="18"/>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59,234,000.00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116,500.00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1,090,000.00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67,654,000.00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3,256,500.00</w:t>
            </w:r>
          </w:p>
        </w:tc>
      </w:tr>
    </w:tbl>
    <w:p>
      <w:pPr>
        <w:widowControl w:val="0"/>
        <w:spacing w:after="299" w:line="1" w:lineRule="exact"/>
      </w:pPr>
    </w:p>
    <w:p>
      <w:pPr>
        <w:pStyle w:val="Style228"/>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6</w:t>
      </w:r>
      <w:bookmarkEnd w:id="1154"/>
      <w:r>
        <w:rPr>
          <w:color w:val="000000"/>
          <w:spacing w:val="0"/>
          <w:w w:val="100"/>
          <w:position w:val="0"/>
        </w:rPr>
        <w:t>）涉及政府补助的应收款项</w:t>
      </w:r>
      <w:bookmarkEnd w:id="1152"/>
      <w:bookmarkEnd w:id="1153"/>
      <w:bookmarkEnd w:id="1155"/>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预计收取的时间、金 额及依据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郑州高新技术产业开 发区管委会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城市基础设施配套费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59,234,000.00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根据历史收款情况， 预计在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日之前收到全部款 项</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59,234,000.00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after="22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8</w:t>
      </w:r>
      <w:bookmarkEnd w:id="1158"/>
      <w:r>
        <w:rPr>
          <w:color w:val="000000"/>
          <w:spacing w:val="0"/>
          <w:w w:val="100"/>
          <w:position w:val="0"/>
        </w:rPr>
        <w:t>、存货</w:t>
      </w:r>
      <w:bookmarkEnd w:id="1156"/>
      <w:bookmarkEnd w:id="1157"/>
      <w:bookmarkEnd w:id="1159"/>
    </w:p>
    <w:p>
      <w:pPr>
        <w:pStyle w:val="Style24"/>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公司是否需要遵守房地产行业的披露要求 否</w:t>
      </w:r>
    </w:p>
    <w:p>
      <w:pPr>
        <w:pStyle w:val="Style201"/>
        <w:keepNext/>
        <w:keepLines/>
        <w:widowControl w:val="0"/>
        <w:shd w:val="clear" w:color="auto" w:fill="auto"/>
        <w:bidi w:val="0"/>
        <w:spacing w:before="0" w:after="360" w:line="240" w:lineRule="auto"/>
        <w:ind w:left="0" w:right="0" w:firstLine="0"/>
        <w:jc w:val="left"/>
      </w:pPr>
      <w:bookmarkStart w:id="1160" w:name="bookmark1160"/>
      <w:bookmarkStart w:id="1161" w:name="bookmark1161"/>
      <w:bookmarkStart w:id="1162" w:name="bookmark11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60"/>
      <w:bookmarkEnd w:id="1161"/>
      <w:bookmarkEnd w:id="1162"/>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存货跌价准备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存货跌价准备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或合同履约成 本减值准备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或合同履约成 本减值准备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146,983,180.85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149,323.26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146,833,857.59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79,607,221.28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588,014.08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79,019,207.20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90,285,432.90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90,285,432.90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76,105,370.62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76,105,370.62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97,984,678.83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606,607.51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97,378,071.32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62,275,357.59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370,006.56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61,905,351.03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8,417,745.60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8,417,745.60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9,704,090.72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9,704,090.72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低值易耗品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2,264,177.80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2,264,177.80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818,236.76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10,318.14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807,918.62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345,935,215.98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755,930.77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345,179,285.21</w:t>
            </w:r>
          </w:p>
          <w:p>
            <w:pPr>
              <w:pStyle w:val="Style2"/>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FF0000"/>
                <w:spacing w:val="0"/>
                <w:w w:val="100"/>
                <w:position w:val="0"/>
                <w:sz w:val="11"/>
                <w:szCs w:val="11"/>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228,510,276.97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968,338.78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227,541,938.19</w:t>
            </w:r>
          </w:p>
        </w:tc>
      </w:tr>
    </w:tbl>
    <w:p>
      <w:pPr>
        <w:pStyle w:val="Style24"/>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存货较年初增加</w:t>
      </w:r>
      <w:r>
        <w:rPr>
          <w:rFonts w:ascii="Times New Roman" w:eastAsia="Times New Roman" w:hAnsi="Times New Roman" w:cs="Times New Roman"/>
          <w:color w:val="000000"/>
          <w:spacing w:val="0"/>
          <w:w w:val="100"/>
          <w:position w:val="0"/>
        </w:rPr>
        <w:t>51.70%</w:t>
      </w:r>
      <w:r>
        <w:rPr>
          <w:color w:val="000000"/>
          <w:spacing w:val="0"/>
          <w:w w:val="100"/>
          <w:position w:val="0"/>
        </w:rPr>
        <w:t>,主要系因公司销售增长且市场环境变化导致部分材料供应紧张，公司适当增加库存储备所 致。</w:t>
      </w:r>
    </w:p>
    <w:p>
      <w:pPr>
        <w:pStyle w:val="Style201"/>
        <w:keepNext/>
        <w:keepLines/>
        <w:widowControl w:val="0"/>
        <w:shd w:val="clear" w:color="auto" w:fill="auto"/>
        <w:bidi w:val="0"/>
        <w:spacing w:before="0" w:after="360" w:line="240" w:lineRule="auto"/>
        <w:ind w:left="0" w:right="0" w:firstLine="0"/>
        <w:jc w:val="left"/>
      </w:pPr>
      <w:bookmarkStart w:id="1163" w:name="bookmark1163"/>
      <w:bookmarkStart w:id="1164" w:name="bookmark1164"/>
      <w:bookmarkStart w:id="1165" w:name="bookmark11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63"/>
      <w:bookmarkEnd w:id="1164"/>
      <w:bookmarkEnd w:id="1165"/>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588,014.08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476,480.82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149,323.26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370,006.56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299,552.90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606,607.51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低值易耗品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10,318.14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968,338.78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337,342.90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549,750.91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755,930.77</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9</w:t>
      </w:r>
      <w:bookmarkEnd w:id="1168"/>
      <w:r>
        <w:rPr>
          <w:color w:val="000000"/>
          <w:spacing w:val="0"/>
          <w:w w:val="100"/>
          <w:position w:val="0"/>
        </w:rPr>
        <w:t>、合同资产</w:t>
      </w:r>
      <w:bookmarkEnd w:id="1166"/>
      <w:bookmarkEnd w:id="1167"/>
      <w:bookmarkEnd w:id="1169"/>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136"/>
        <w:gridCol w:w="1200"/>
        <w:gridCol w:w="1325"/>
        <w:gridCol w:w="1195"/>
        <w:gridCol w:w="1200"/>
        <w:gridCol w:w="1195"/>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10,896,202.8</w:t>
            </w:r>
          </w:p>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541,713.61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10,354,489.2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12,618,073.3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628,380.05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11,989,693.25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环保业务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102,616,504.</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1,744,480.58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100,872,024.</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104,446,065.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1,996,871.34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102,449,194.4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公用事业业务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843,459.00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14,844.88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828,614.12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19,637,177.7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530,203.80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19,106,973.93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114,356,166.</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2,301,039.07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112,055,127.</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136,701,316.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3,155,455.19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133,545,861.6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本期合同资产计提减值准备情况</w:t>
      </w:r>
      <w:r>
        <w:br w:type="page"/>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环保业务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-252,390.76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公用事业业务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-515,358.92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-854,416.12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1</w:t>
      </w:r>
      <w:bookmarkEnd w:id="1172"/>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70"/>
      <w:bookmarkEnd w:id="1171"/>
      <w:bookmarkEnd w:id="1173"/>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待抵扣增值税进项税额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38,988,126.22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40,183,948.96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预交企业所得税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1,647,311.85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3,924,856.49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648,191.62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74,043.17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41,283,629.69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44,182,848.62</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1</w:t>
      </w:r>
      <w:bookmarkEnd w:id="1176"/>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174"/>
      <w:bookmarkEnd w:id="1175"/>
      <w:bookmarkEnd w:id="1177"/>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减值准</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备期末</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其他综</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合收益</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其他权</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计提减</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郑州高 新梧桐 水务有</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52,756,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2,514,3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3,804,9</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51,465,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890.99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52,756,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2,514,3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3,804,9</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51,465,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890.99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泰瑞数</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创科技</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京）有</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64,399, 056.03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1,964,5</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6,450,2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72,813, 830.02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河南中</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盾云安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9,843,7</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335,30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10,179,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073.47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信息科</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技有限</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74,242,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2,299,8</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6,450,2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82,992,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903.49</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126,99</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9,283.7</w:t>
            </w:r>
          </w:p>
          <w:p>
            <w:pPr>
              <w:pStyle w:val="Style2"/>
              <w:keepNext w:val="0"/>
              <w:keepLines w:val="0"/>
              <w:widowControl w:val="0"/>
              <w:shd w:val="clear" w:color="auto" w:fill="auto"/>
              <w:bidi w:val="0"/>
              <w:spacing w:before="0" w:after="8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4,814,1</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6,450,2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134,45</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8,794.4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1</w:t>
      </w:r>
      <w:bookmarkEnd w:id="1180"/>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178"/>
      <w:bookmarkEnd w:id="1179"/>
      <w:bookmarkEnd w:id="1181"/>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河南开云信息技术有限公司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5,000,001.00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郑州易度传感技术有限公司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390,000.00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河南华夏海纳创业投资集团有限公司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国仪投资（深圳）合伙企业（有限合伙）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河南汉威粮安科技有限公司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上海芯物科技有限公司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上海戴维蓝普传感技术有限公司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徐州旭海光电科技有限公司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中水智慧水务科技（北京）有限公司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新疆中泰绿能环保有限公司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天津市迅尔仪表科技有限公司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陕西汉威物联网科技有限公司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78,595,001.00</w:t>
            </w:r>
            <w:r>
              <w:rPr>
                <w:rFonts w:ascii="Times New Roman" w:eastAsia="Times New Roman" w:hAnsi="Times New Roman" w:cs="Times New Roman"/>
                <w:color w:val="FF0000"/>
                <w:spacing w:val="0"/>
                <w:w w:val="100"/>
                <w:position w:val="0"/>
                <w:sz w:val="18"/>
                <w:szCs w:val="18"/>
                <w:vertAlign w:val="superscript"/>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58,100,001.00</w:t>
            </w:r>
          </w:p>
        </w:tc>
      </w:tr>
    </w:tbl>
    <w:p>
      <w:pPr>
        <w:pStyle w:val="Style24"/>
        <w:keepNext w:val="0"/>
        <w:keepLines w:val="0"/>
        <w:widowControl w:val="0"/>
        <w:shd w:val="clear" w:color="auto" w:fill="auto"/>
        <w:bidi w:val="0"/>
        <w:spacing w:before="0" w:after="340" w:line="32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其他权益工具投资较年初增加</w:t>
      </w:r>
      <w:r>
        <w:rPr>
          <w:rFonts w:ascii="Times New Roman" w:eastAsia="Times New Roman" w:hAnsi="Times New Roman" w:cs="Times New Roman"/>
          <w:color w:val="000000"/>
          <w:spacing w:val="0"/>
          <w:w w:val="100"/>
          <w:position w:val="0"/>
        </w:rPr>
        <w:t>35.28%</w:t>
      </w:r>
      <w:r>
        <w:rPr>
          <w:color w:val="000000"/>
          <w:spacing w:val="0"/>
          <w:w w:val="100"/>
          <w:position w:val="0"/>
        </w:rPr>
        <w:t>，主要系公司投资天津市迅尔仪表科技有限公司和陕西汉威物联科技有限公司 所致。</w:t>
      </w:r>
    </w:p>
    <w:p>
      <w:pPr>
        <w:pStyle w:val="Style28"/>
        <w:keepNext/>
        <w:keepLines/>
        <w:widowControl w:val="0"/>
        <w:shd w:val="clear" w:color="auto" w:fill="auto"/>
        <w:bidi w:val="0"/>
        <w:spacing w:before="0" w:after="34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182"/>
      <w:bookmarkEnd w:id="1183"/>
      <w:bookmarkEnd w:id="1185"/>
    </w:p>
    <w:p>
      <w:pPr>
        <w:pStyle w:val="Style201"/>
        <w:keepNext/>
        <w:keepLines/>
        <w:widowControl w:val="0"/>
        <w:shd w:val="clear" w:color="auto" w:fill="auto"/>
        <w:bidi w:val="0"/>
        <w:spacing w:before="0" w:after="240" w:line="240" w:lineRule="auto"/>
        <w:ind w:left="0" w:right="0" w:firstLine="0"/>
        <w:jc w:val="left"/>
      </w:pPr>
      <w:bookmarkStart w:id="1186" w:name="bookmark1186"/>
      <w:bookmarkStart w:id="1187" w:name="bookmark1187"/>
      <w:bookmarkStart w:id="1188" w:name="bookmark11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86"/>
      <w:bookmarkEnd w:id="1187"/>
      <w:bookmarkEnd w:id="1188"/>
    </w:p>
    <w:p>
      <w:pPr>
        <w:pStyle w:val="Style24"/>
        <w:keepNext w:val="0"/>
        <w:keepLines w:val="0"/>
        <w:widowControl w:val="0"/>
        <w:shd w:val="clear" w:color="auto" w:fill="auto"/>
        <w:bidi w:val="0"/>
        <w:spacing w:before="0" w:after="120" w:line="326" w:lineRule="exact"/>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368,993,909.07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368,993,909.07</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11,273,175.36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11,273,175.36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）转回固定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10,940,080.00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10,940,080.00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333,095.36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333,095.36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357,720,733.71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357,720,733.71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61,880,412.16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61,880,412.16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11,107,259.31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11,107,259.31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11,107,259.31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11,107,259.31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2,656,008.44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2,656,008.44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7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）转回固 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2,656,008.44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2,656,008.44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70,331,663.03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70,331,663.03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287,389,070.68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287,389,070.68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307,113,496.91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307,113,496.91</w:t>
            </w:r>
          </w:p>
        </w:tc>
      </w:tr>
    </w:tbl>
    <w:p>
      <w:pPr>
        <w:widowControl w:val="0"/>
        <w:spacing w:after="299" w:line="1" w:lineRule="exact"/>
      </w:pPr>
    </w:p>
    <w:p>
      <w:pPr>
        <w:pStyle w:val="Style201"/>
        <w:keepNext/>
        <w:keepLines/>
        <w:widowControl w:val="0"/>
        <w:shd w:val="clear" w:color="auto" w:fill="auto"/>
        <w:tabs>
          <w:tab w:pos="493" w:val="left"/>
        </w:tabs>
        <w:bidi w:val="0"/>
        <w:spacing w:before="0" w:after="36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89"/>
      <w:bookmarkEnd w:id="1190"/>
      <w:bookmarkEnd w:id="1192"/>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01"/>
        <w:keepNext/>
        <w:keepLines/>
        <w:widowControl w:val="0"/>
        <w:shd w:val="clear" w:color="auto" w:fill="auto"/>
        <w:tabs>
          <w:tab w:pos="493" w:val="left"/>
        </w:tabs>
        <w:bidi w:val="0"/>
        <w:spacing w:before="0" w:after="36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193"/>
      <w:bookmarkEnd w:id="1194"/>
      <w:bookmarkEnd w:id="1196"/>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未办妥产权证书原因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嘉园环保</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13,943,213.34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正在办理中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高新企业加速器产业园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号楼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7,375,017.82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正在办理中</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21,318,231.16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197"/>
      <w:bookmarkEnd w:id="1198"/>
      <w:bookmarkEnd w:id="1200"/>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1,308,212,792.13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1,025,479,184.61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1,308,212,792.13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1,025,479,184.61</w:t>
            </w:r>
          </w:p>
        </w:tc>
      </w:tr>
    </w:tbl>
    <w:p>
      <w:pPr>
        <w:widowControl w:val="0"/>
        <w:spacing w:after="299" w:line="1" w:lineRule="exact"/>
      </w:pPr>
    </w:p>
    <w:p>
      <w:pPr>
        <w:pStyle w:val="Style201"/>
        <w:keepNext/>
        <w:keepLines/>
        <w:widowControl w:val="0"/>
        <w:shd w:val="clear" w:color="auto" w:fill="auto"/>
        <w:bidi w:val="0"/>
        <w:spacing w:before="0" w:after="360" w:line="240" w:lineRule="auto"/>
        <w:ind w:left="0" w:right="0" w:firstLine="0"/>
        <w:jc w:val="left"/>
      </w:pPr>
      <w:bookmarkStart w:id="1201" w:name="bookmark1201"/>
      <w:bookmarkStart w:id="1202" w:name="bookmark1202"/>
      <w:bookmarkStart w:id="1203" w:name="bookmark12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01"/>
      <w:bookmarkEnd w:id="1202"/>
      <w:bookmarkEnd w:id="1203"/>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253"/>
        <w:gridCol w:w="1363"/>
        <w:gridCol w:w="1349"/>
        <w:gridCol w:w="1291"/>
        <w:gridCol w:w="1512"/>
        <w:gridCol w:w="1301"/>
        <w:gridCol w:w="15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管道沟槽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电子设备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一、账面原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341,402,655.36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190,281,017.94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25,799,123.87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812,540,390.84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60,930,996.73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1,430,954,184.74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10,940,080.00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71,589,719.81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1,514,335.33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329,059,128.71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5,879,405.72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418,982,669.57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21,748,935.45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1,133,919.83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5,879,405.72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28,762,261.00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 建工程转入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49,840,784.36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380,415.50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329,059,128.71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379,280,328.57</w:t>
            </w:r>
          </w:p>
        </w:tc>
      </w:tr>
    </w:tbl>
    <w:p>
      <w:pPr>
        <w:widowControl w:val="0"/>
        <w:spacing w:line="1" w:lineRule="exact"/>
      </w:pPr>
      <w:r>
        <w:br w:type="page"/>
      </w:r>
    </w:p>
    <w:tbl>
      <w:tblPr>
        <w:tblOverlap w:val="never"/>
        <w:jc w:val="center"/>
        <w:tblLayout w:type="fixed"/>
      </w:tblPr>
      <w:tblGrid>
        <w:gridCol w:w="1253"/>
        <w:gridCol w:w="1363"/>
        <w:gridCol w:w="1349"/>
        <w:gridCol w:w="1291"/>
        <w:gridCol w:w="1512"/>
        <w:gridCol w:w="1301"/>
        <w:gridCol w:w="151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投资性房地 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10,940,080.00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10,940,080.00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 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1,276,259.15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4,728,422.61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1,966,497.53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1,845,484.34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9,816,663.63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 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1,276,259.15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4,728,422.61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1,966,497.53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1,845,484.34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9,816,663.63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351,066,476.21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257,142,315.14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25,346,961.67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1,141,599,519.55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64,964,918.11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1,840,120,190.68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97,213,362.40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74,488,576.83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15,823,418.58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170,873,167.97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47,076,474.35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405,475,000.13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14,802,783.68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31,310,123.47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2,026,735.12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78,412,395.59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6,235,507.26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132,787,545.12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 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12,146,775.24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31,310,123.47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2,026,735.12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78,412,395.59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6,235,507.26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130,131,536.68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投资性房地 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2,656,008.44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2,656,008.44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 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420,616.36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2,875,728.26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1,243,535.42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1,815,266.66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6,355,146.70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 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420,616.36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2,875,728.26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1,243,535.42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1,815,266.66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6,355,146.70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111,595,529.72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102,922,972.04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16,606,618.28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249,285,563.56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51,496,714.95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531,907,398.55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3"/>
        <w:gridCol w:w="1363"/>
        <w:gridCol w:w="1349"/>
        <w:gridCol w:w="1291"/>
        <w:gridCol w:w="1512"/>
        <w:gridCol w:w="1301"/>
        <w:gridCol w:w="151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239,470,946.49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154,219,343.10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8,740,343.39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892,313,955.99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13,468,203.16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1,308,212,792.13</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 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244,189,292.96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115,792,441.11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9,975,705.29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641,667,222.87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13,854,522.38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1,025,479,184.61</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204"/>
      <w:bookmarkEnd w:id="1205"/>
      <w:bookmarkEnd w:id="1207"/>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358,761,266.68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488,074,250.73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358,761,266.68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488,074,250.73</w:t>
            </w:r>
          </w:p>
        </w:tc>
      </w:tr>
    </w:tbl>
    <w:p>
      <w:pPr>
        <w:widowControl w:val="0"/>
        <w:spacing w:after="299" w:line="1" w:lineRule="exact"/>
      </w:pPr>
    </w:p>
    <w:p>
      <w:pPr>
        <w:pStyle w:val="Style201"/>
        <w:keepNext/>
        <w:keepLines/>
        <w:widowControl w:val="0"/>
        <w:shd w:val="clear" w:color="auto" w:fill="auto"/>
        <w:bidi w:val="0"/>
        <w:spacing w:before="0" w:after="360" w:line="240" w:lineRule="auto"/>
        <w:ind w:left="0" w:right="0" w:firstLine="0"/>
        <w:jc w:val="left"/>
      </w:pPr>
      <w:bookmarkStart w:id="1208" w:name="bookmark1208"/>
      <w:bookmarkStart w:id="1209" w:name="bookmark1209"/>
      <w:bookmarkStart w:id="1210" w:name="bookmark12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08"/>
      <w:bookmarkEnd w:id="1209"/>
      <w:bookmarkEnd w:id="1210"/>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87"/>
        <w:gridCol w:w="1378"/>
        <w:gridCol w:w="1066"/>
        <w:gridCol w:w="1382"/>
        <w:gridCol w:w="1411"/>
        <w:gridCol w:w="960"/>
        <w:gridCol w:w="139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管网及配套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205,880,785.71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205,880,785.71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333,938,104.12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333,938,104.12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物联网三期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113,131,978.33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113,131,978.33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82,891,204.93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82,891,204.93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智慧热力三期项目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24,103,987.67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24,103,987.67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智慧水务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3,152,075.52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3,152,075.52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17,890,000.93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17,890,000.93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高新区第二水厂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15,601,033.53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15,601,033.53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13,440,249.53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13,440,249.53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嘉园环保厂房建设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7,779,255.74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7,779,255.74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7,261,101.32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7,261,101.32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应急抢险抢修基地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3,780,906.14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3,780,906.14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3,496,777.58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3,496,777.58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1,427,800.87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1,427,800.87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9,435,231.71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9,435,231.71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3,625,023.78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3,625,023.78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358,761,266.68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358,761,266.68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488,074,250.73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488,074,250.73</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bookmarkEnd w:id="1213"/>
      <w:r>
        <w:rPr>
          <w:rFonts w:ascii="Times New Roman" w:eastAsia="Times New Roman" w:hAnsi="Times New Roman" w:cs="Times New Roman"/>
          <w:color w:val="000000"/>
          <w:spacing w:val="0"/>
          <w:w w:val="100"/>
          <w:position w:val="0"/>
        </w:rPr>
        <w:t>6</w:t>
      </w:r>
      <w:r>
        <w:rPr>
          <w:color w:val="000000"/>
          <w:spacing w:val="0"/>
          <w:w w:val="100"/>
          <w:position w:val="0"/>
        </w:rPr>
        <w:t>、使用权资产</w:t>
      </w:r>
      <w:bookmarkEnd w:id="1211"/>
      <w:bookmarkEnd w:id="1212"/>
      <w:bookmarkEnd w:id="1214"/>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4,730,856.41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4,730,856.41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13,580,012.64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13,580,012.64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新增租赁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13,580,012.64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13,580,012.64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18,310,869.05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18,310,869.05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3,583,686.33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3,583,686.33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3,583,686.33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3,583,686.33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3,583,686.33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3,583,686.33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14,727,182.72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14,727,182.72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4,730,856.41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4,730,856.41</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使用权资产较年初增加</w:t>
      </w:r>
      <w:r>
        <w:rPr>
          <w:color w:val="000000"/>
          <w:spacing w:val="0"/>
          <w:w w:val="100"/>
          <w:position w:val="0"/>
        </w:rPr>
        <w:t>211.30%，</w:t>
      </w:r>
      <w:r>
        <w:rPr>
          <w:color w:val="000000"/>
          <w:spacing w:val="0"/>
          <w:w w:val="100"/>
          <w:position w:val="0"/>
        </w:rPr>
        <w:t>主要系公司执行新租赁准则，租赁办公场所增加所致。</w:t>
      </w:r>
      <w:r>
        <w:br w:type="page"/>
      </w:r>
    </w:p>
    <w:p>
      <w:pPr>
        <w:pStyle w:val="Style28"/>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1</w:t>
      </w:r>
      <w:bookmarkEnd w:id="1217"/>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215"/>
      <w:bookmarkEnd w:id="1216"/>
      <w:bookmarkEnd w:id="1218"/>
    </w:p>
    <w:p>
      <w:pPr>
        <w:pStyle w:val="Style201"/>
        <w:keepNext/>
        <w:keepLines/>
        <w:widowControl w:val="0"/>
        <w:shd w:val="clear" w:color="auto" w:fill="auto"/>
        <w:bidi w:val="0"/>
        <w:spacing w:before="0" w:after="360" w:line="240" w:lineRule="auto"/>
        <w:ind w:left="0" w:right="0" w:firstLine="0"/>
        <w:jc w:val="left"/>
      </w:pPr>
      <w:bookmarkStart w:id="1219" w:name="bookmark1219"/>
      <w:bookmarkStart w:id="1220" w:name="bookmark1220"/>
      <w:bookmarkStart w:id="1221" w:name="bookmark12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19"/>
      <w:bookmarkEnd w:id="1220"/>
      <w:bookmarkEnd w:id="1221"/>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特许经营权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143,194,686.97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59,357,902.26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23,599,386.92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27,123,129.22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525,886,408.39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779,161,513.76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35,643.56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3,313,747.96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3,349,391.52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6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35,643.56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2,919,260.37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2,954,903.93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⑵内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394,487.59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394,487.59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6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143,194,686.97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59,393,545.82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23,599,386.92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30,436,877.18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525,886,408.39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782,510,905.28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18,968,241.59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51,228,200.70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17,099,343.32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18,704,271.08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112,026,867.61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218,026,924.30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2,905,073.87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1,206,483.71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983,435.83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3,704,067.18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24,520,945.52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33,320,006.11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6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 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2,905,073.87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1,206,483.71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983,435.83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3,704,067.18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24,520,945.52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33,320,006.11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 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6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21,873,315.46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52,434,684.41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18,082,779.15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22,408,338.26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136,547,813.13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251,346,930.41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6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121,321,371.51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6,958,861.41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5,516,607.77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8,028,538.92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389,338,595.26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531,163,974.87</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 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124,226,445.38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8,129,701.56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6,500,043.60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8,418,858.14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413,859,540.78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561,134,589.46</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本期末通过公司内部研发形成的无形资产占无形资产余额的比例</w:t>
      </w:r>
      <w:r>
        <w:rPr>
          <w:rFonts w:ascii="Times New Roman" w:eastAsia="Times New Roman" w:hAnsi="Times New Roman" w:cs="Times New Roman"/>
          <w:b w:val="0"/>
          <w:bCs w:val="0"/>
          <w:color w:val="000000"/>
          <w:spacing w:val="0"/>
          <w:w w:val="100"/>
          <w:position w:val="0"/>
          <w:sz w:val="18"/>
          <w:szCs w:val="18"/>
        </w:rPr>
        <w:t>0.00%</w:t>
      </w:r>
      <w:r>
        <w:rPr>
          <w:b w:val="0"/>
          <w:bCs w:val="0"/>
          <w:color w:val="000000"/>
          <w:spacing w:val="0"/>
          <w:w w:val="100"/>
          <w:position w:val="0"/>
          <w:sz w:val="18"/>
          <w:szCs w:val="18"/>
        </w:rPr>
        <w:t>。</w:t>
      </w:r>
    </w:p>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222"/>
      <w:bookmarkEnd w:id="1223"/>
      <w:bookmarkEnd w:id="1225"/>
    </w:p>
    <w:p>
      <w:pPr>
        <w:pStyle w:val="Style201"/>
        <w:keepNext/>
        <w:keepLines/>
        <w:widowControl w:val="0"/>
        <w:shd w:val="clear" w:color="auto" w:fill="auto"/>
        <w:bidi w:val="0"/>
        <w:spacing w:before="0" w:after="360" w:line="240" w:lineRule="auto"/>
        <w:ind w:left="0" w:right="0" w:firstLine="0"/>
        <w:jc w:val="left"/>
      </w:pPr>
      <w:bookmarkStart w:id="1226" w:name="bookmark1226"/>
      <w:bookmarkStart w:id="1227" w:name="bookmark1227"/>
      <w:bookmarkStart w:id="1228" w:name="bookmark12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26"/>
      <w:bookmarkEnd w:id="1227"/>
      <w:bookmarkEnd w:id="1228"/>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被投资单位名</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称或形成商誉</w:t>
            </w:r>
          </w:p>
          <w:p>
            <w:pPr>
              <w:pStyle w:val="Style2"/>
              <w:keepNext w:val="0"/>
              <w:keepLines w:val="0"/>
              <w:widowControl w:val="0"/>
              <w:shd w:val="clear" w:color="auto" w:fill="auto"/>
              <w:bidi w:val="0"/>
              <w:spacing w:before="0" w:after="100" w:line="240" w:lineRule="auto"/>
              <w:ind w:left="0" w:right="0" w:firstLine="420"/>
              <w:jc w:val="both"/>
              <w:rPr>
                <w:sz w:val="18"/>
                <w:szCs w:val="18"/>
              </w:rPr>
            </w:pPr>
            <w:r>
              <w:rPr>
                <w:color w:val="000000"/>
                <w:spacing w:val="0"/>
                <w:w w:val="100"/>
                <w:position w:val="0"/>
                <w:sz w:val="18"/>
                <w:szCs w:val="18"/>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企业合并形成 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沈阳金建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25,819,827.09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25,819,827.09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上海英吉森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8,089,254.51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8,089,254.51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嘉园环保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222,690,686.33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222,690,686.33</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鞍山易兴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14,419,607.42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14,419,607.42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高新供水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1,131,181.30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1,131,181.30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广东龙泉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16,546,736.87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16,546,736.87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雪城软件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16,485,863.87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16,485,863.87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和阳环境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2,539,079.66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2,539,079.66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德析检测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1,582,761.39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1,582,761.39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百隆工程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35,701,881.83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35,701,881.83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高新热力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62,204,126.28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62,204,126.28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苏州能斯达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6,284,914.80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6,284,914.80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山西腾星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30,349,772.64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30,349,772.64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443,845,693.99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443,845,693.99</w:t>
            </w:r>
          </w:p>
        </w:tc>
      </w:tr>
    </w:tbl>
    <w:p>
      <w:pPr>
        <w:widowControl w:val="0"/>
        <w:spacing w:after="299" w:line="1" w:lineRule="exact"/>
      </w:pPr>
    </w:p>
    <w:p>
      <w:pPr>
        <w:pStyle w:val="Style201"/>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29"/>
      <w:bookmarkEnd w:id="1230"/>
      <w:bookmarkEnd w:id="1231"/>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top"/>
          </w:tcPr>
          <w:p>
            <w:pPr>
              <w:widowControl w:val="0"/>
              <w:rPr>
                <w:sz w:val="10"/>
                <w:szCs w:val="10"/>
              </w:rPr>
            </w:pPr>
          </w:p>
        </w:tc>
      </w:tr>
      <w:tr>
        <w:trPr>
          <w:trHeight w:val="62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称或形成商誉 的事项</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沈阳金建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25,819,827.09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25,819,827.09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上海英吉森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8,089,254.51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8,089,254.51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嘉园环保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222,690,686.33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222,690,686.33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鞍山易兴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14,419,607.42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14,419,607.42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雪城软件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15,238,519.95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15,238,519.95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和阳环境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2,539,079.66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2,539,079.66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百隆工程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4,160,073.30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4,160,073.30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苏州能斯达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6,284,914.80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6,284,914.80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山西腾星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19,949,718.83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19,949,718.83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319,191,681.89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319,191,681.89</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商誉所在资产组或资产组组合的相关信息</w:t>
      </w:r>
    </w:p>
    <w:p>
      <w:pPr>
        <w:pStyle w:val="Style10"/>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公司将商誉在所收购子公司的整体资产与业务确定为一个资产组或资产组组合进行减值测试，其主要 现金流入独立于其他资产或资产组的现金流入，资产组或资产组组合范围包括组成资产组的固定资产、在 建工程、无形资产等长期资产，各资产组或资产组组合与购买日及以前年度商誉减值测试所确认的资产组 一致。</w:t>
      </w:r>
    </w:p>
    <w:p>
      <w:pPr>
        <w:pStyle w:val="Style24"/>
        <w:keepNext w:val="0"/>
        <w:keepLines w:val="0"/>
        <w:widowControl w:val="0"/>
        <w:shd w:val="clear" w:color="auto" w:fill="auto"/>
        <w:bidi w:val="0"/>
        <w:spacing w:before="0" w:after="300"/>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0"/>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公司按照资产组未来预计现金流量和能够反映相关资产组特定风险的税前折现利率计算现值确定资 产组可回收价值以2021年12月31日为基准日进行商誉减值测算。</w:t>
      </w:r>
    </w:p>
    <w:p>
      <w:pPr>
        <w:pStyle w:val="Style10"/>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可收回价值的测算假设、依据及方法：</w:t>
      </w:r>
    </w:p>
    <w:p>
      <w:pPr>
        <w:pStyle w:val="Style10"/>
        <w:keepNext w:val="0"/>
        <w:keepLines w:val="0"/>
        <w:widowControl w:val="0"/>
        <w:shd w:val="clear" w:color="auto" w:fill="auto"/>
        <w:tabs>
          <w:tab w:pos="810" w:val="left"/>
        </w:tabs>
        <w:bidi w:val="0"/>
        <w:spacing w:before="0" w:after="0" w:line="464" w:lineRule="exact"/>
        <w:ind w:left="0" w:right="0" w:firstLine="440"/>
        <w:jc w:val="both"/>
      </w:pPr>
      <w:bookmarkStart w:id="1232" w:name="bookmark1232"/>
      <w:r>
        <w:rPr>
          <w:color w:val="000000"/>
          <w:spacing w:val="0"/>
          <w:w w:val="100"/>
          <w:position w:val="0"/>
        </w:rPr>
        <w:t>1</w:t>
      </w:r>
      <w:bookmarkEnd w:id="1232"/>
      <w:r>
        <w:rPr>
          <w:color w:val="000000"/>
          <w:spacing w:val="0"/>
          <w:w w:val="100"/>
          <w:position w:val="0"/>
        </w:rPr>
        <w:t>）</w:t>
        <w:tab/>
        <w:t>资产持续经营假设：资产持续经营假设是指测算时需根据资产组按目前的用途和使用的方式、规 模、频度、环境等情况继续使用，或者在有所改变的基础上使用，相应确定测算方法、参数和依据；</w:t>
      </w:r>
    </w:p>
    <w:p>
      <w:pPr>
        <w:pStyle w:val="Style10"/>
        <w:keepNext w:val="0"/>
        <w:keepLines w:val="0"/>
        <w:widowControl w:val="0"/>
        <w:shd w:val="clear" w:color="auto" w:fill="auto"/>
        <w:tabs>
          <w:tab w:pos="827" w:val="left"/>
        </w:tabs>
        <w:bidi w:val="0"/>
        <w:spacing w:before="0" w:after="0" w:line="464" w:lineRule="exact"/>
        <w:ind w:left="0" w:right="0" w:firstLine="440"/>
        <w:jc w:val="left"/>
      </w:pPr>
      <w:bookmarkStart w:id="1233" w:name="bookmark1233"/>
      <w:r>
        <w:rPr>
          <w:color w:val="000000"/>
          <w:spacing w:val="0"/>
          <w:w w:val="100"/>
          <w:position w:val="0"/>
        </w:rPr>
        <w:t>2</w:t>
      </w:r>
      <w:bookmarkEnd w:id="1233"/>
      <w:r>
        <w:rPr>
          <w:color w:val="000000"/>
          <w:spacing w:val="0"/>
          <w:w w:val="100"/>
          <w:position w:val="0"/>
        </w:rPr>
        <w:t>）</w:t>
        <w:tab/>
        <w:t>国家现行的宏观经济、金融以及产业等政策不发生重大变化；</w:t>
      </w:r>
    </w:p>
    <w:p>
      <w:pPr>
        <w:pStyle w:val="Style10"/>
        <w:keepNext w:val="0"/>
        <w:keepLines w:val="0"/>
        <w:widowControl w:val="0"/>
        <w:shd w:val="clear" w:color="auto" w:fill="auto"/>
        <w:tabs>
          <w:tab w:pos="827" w:val="left"/>
        </w:tabs>
        <w:bidi w:val="0"/>
        <w:spacing w:before="0" w:after="0" w:line="464" w:lineRule="exact"/>
        <w:ind w:left="0" w:right="0" w:firstLine="440"/>
        <w:jc w:val="left"/>
      </w:pPr>
      <w:bookmarkStart w:id="1234" w:name="bookmark1234"/>
      <w:r>
        <w:rPr>
          <w:color w:val="000000"/>
          <w:spacing w:val="0"/>
          <w:w w:val="100"/>
          <w:position w:val="0"/>
        </w:rPr>
        <w:t>3</w:t>
      </w:r>
      <w:bookmarkEnd w:id="1234"/>
      <w:r>
        <w:rPr>
          <w:color w:val="000000"/>
          <w:spacing w:val="0"/>
          <w:w w:val="100"/>
          <w:position w:val="0"/>
        </w:rPr>
        <w:t>）</w:t>
        <w:tab/>
        <w:t>社会经济环境以及所执行的税赋、税率等政策无重大变化；</w:t>
      </w:r>
    </w:p>
    <w:p>
      <w:pPr>
        <w:pStyle w:val="Style10"/>
        <w:keepNext w:val="0"/>
        <w:keepLines w:val="0"/>
        <w:widowControl w:val="0"/>
        <w:shd w:val="clear" w:color="auto" w:fill="auto"/>
        <w:tabs>
          <w:tab w:pos="827" w:val="left"/>
        </w:tabs>
        <w:bidi w:val="0"/>
        <w:spacing w:before="0" w:after="0" w:line="464" w:lineRule="exact"/>
        <w:ind w:left="0" w:right="0" w:firstLine="440"/>
        <w:jc w:val="left"/>
      </w:pPr>
      <w:bookmarkStart w:id="1235" w:name="bookmark1235"/>
      <w:r>
        <w:rPr>
          <w:color w:val="000000"/>
          <w:spacing w:val="0"/>
          <w:w w:val="100"/>
          <w:position w:val="0"/>
        </w:rPr>
        <w:t>4</w:t>
      </w:r>
      <w:bookmarkEnd w:id="1235"/>
      <w:r>
        <w:rPr>
          <w:color w:val="000000"/>
          <w:spacing w:val="0"/>
          <w:w w:val="100"/>
          <w:position w:val="0"/>
        </w:rPr>
        <w:t>）</w:t>
        <w:tab/>
        <w:t>未来的经营管理班子尽职，并继续保持现有的经营管理模式持续经营；</w:t>
      </w:r>
    </w:p>
    <w:p>
      <w:pPr>
        <w:pStyle w:val="Style10"/>
        <w:keepNext w:val="0"/>
        <w:keepLines w:val="0"/>
        <w:widowControl w:val="0"/>
        <w:shd w:val="clear" w:color="auto" w:fill="auto"/>
        <w:tabs>
          <w:tab w:pos="810" w:val="left"/>
        </w:tabs>
        <w:bidi w:val="0"/>
        <w:spacing w:before="0" w:after="0" w:line="464" w:lineRule="exact"/>
        <w:ind w:left="0" w:right="0" w:firstLine="440"/>
        <w:jc w:val="both"/>
      </w:pPr>
      <w:bookmarkStart w:id="1236" w:name="bookmark1236"/>
      <w:r>
        <w:rPr>
          <w:color w:val="000000"/>
          <w:spacing w:val="0"/>
          <w:w w:val="100"/>
          <w:position w:val="0"/>
        </w:rPr>
        <w:t>5</w:t>
      </w:r>
      <w:bookmarkEnd w:id="1236"/>
      <w:r>
        <w:rPr>
          <w:color w:val="000000"/>
          <w:spacing w:val="0"/>
          <w:w w:val="100"/>
          <w:position w:val="0"/>
        </w:rPr>
        <w:t>）</w:t>
        <w:tab/>
        <w:t>测算对象的未来经营期内涉及的主营业务、收入与成本的构成以及经营策略等仍保持其最近几年 的状态持续，而不发生较大变化。不考虑未来可能由于主要经营管理团队的经营管理策略变化以及商业环 境变化等导致的主营业务状况的变化所带来的损益；</w:t>
      </w:r>
    </w:p>
    <w:p>
      <w:pPr>
        <w:pStyle w:val="Style10"/>
        <w:keepNext w:val="0"/>
        <w:keepLines w:val="0"/>
        <w:widowControl w:val="0"/>
        <w:shd w:val="clear" w:color="auto" w:fill="auto"/>
        <w:tabs>
          <w:tab w:pos="392" w:val="left"/>
        </w:tabs>
        <w:bidi w:val="0"/>
        <w:spacing w:before="0" w:after="220" w:line="464" w:lineRule="exact"/>
        <w:ind w:left="0" w:right="0" w:firstLine="440"/>
        <w:jc w:val="both"/>
      </w:pPr>
      <w:bookmarkStart w:id="1237" w:name="bookmark1237"/>
      <w:r>
        <w:rPr>
          <w:color w:val="000000"/>
          <w:spacing w:val="0"/>
          <w:w w:val="100"/>
          <w:position w:val="0"/>
        </w:rPr>
        <w:t>6</w:t>
      </w:r>
      <w:bookmarkEnd w:id="1237"/>
      <w:r>
        <w:rPr>
          <w:color w:val="000000"/>
          <w:spacing w:val="0"/>
          <w:w w:val="100"/>
          <w:position w:val="0"/>
        </w:rPr>
        <w:t>）</w:t>
        <w:tab/>
        <w:t xml:space="preserve">在未来的经营期内，测算对象的营业和管理等各项期间费用不会在现有基础上发生大幅的变化， </w:t>
      </w:r>
      <w:r>
        <w:rPr>
          <w:color w:val="000000"/>
          <w:spacing w:val="0"/>
          <w:w w:val="100"/>
          <w:position w:val="0"/>
        </w:rPr>
        <w:t>仍将保持其最近几年的变化趋势，并随经营规模的变化而同步变动；</w:t>
      </w:r>
    </w:p>
    <w:p>
      <w:pPr>
        <w:pStyle w:val="Style10"/>
        <w:keepNext w:val="0"/>
        <w:keepLines w:val="0"/>
        <w:widowControl w:val="0"/>
        <w:shd w:val="clear" w:color="auto" w:fill="auto"/>
        <w:bidi w:val="0"/>
        <w:spacing w:before="0" w:after="220" w:line="240" w:lineRule="auto"/>
        <w:ind w:left="0" w:right="0" w:firstLine="440"/>
        <w:jc w:val="left"/>
      </w:pPr>
      <w:bookmarkStart w:id="1238" w:name="bookmark1238"/>
      <w:r>
        <w:rPr>
          <w:color w:val="000000"/>
          <w:spacing w:val="0"/>
          <w:w w:val="100"/>
          <w:position w:val="0"/>
        </w:rPr>
        <w:t>7</w:t>
      </w:r>
      <w:bookmarkEnd w:id="1238"/>
      <w:r>
        <w:rPr>
          <w:color w:val="000000"/>
          <w:spacing w:val="0"/>
          <w:w w:val="100"/>
          <w:position w:val="0"/>
        </w:rPr>
        <w:t>）假设含商誉资产组的基础资料和财务资料真实、准确、完整。</w:t>
      </w:r>
    </w:p>
    <w:p>
      <w:pPr>
        <w:pStyle w:val="Style10"/>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关键参数信息：</w:t>
      </w:r>
    </w:p>
    <w:tbl>
      <w:tblPr>
        <w:tblOverlap w:val="never"/>
        <w:jc w:val="center"/>
        <w:tblLayout w:type="fixed"/>
      </w:tblPr>
      <w:tblGrid>
        <w:gridCol w:w="1210"/>
        <w:gridCol w:w="960"/>
        <w:gridCol w:w="1109"/>
        <w:gridCol w:w="1171"/>
        <w:gridCol w:w="2683"/>
        <w:gridCol w:w="2496"/>
      </w:tblGrid>
      <w:tr>
        <w:trPr>
          <w:trHeight w:val="35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资产组或资产 组组合名称</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关键参数</w:t>
            </w:r>
          </w:p>
        </w:tc>
      </w:tr>
      <w:tr>
        <w:trPr>
          <w:trHeight w:val="6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预测期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预测期增长率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稳定期增长率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按加权平均资本成本</w:t>
            </w:r>
            <w:r>
              <w:rPr>
                <w:rFonts w:ascii="Times New Roman" w:eastAsia="Times New Roman" w:hAnsi="Times New Roman" w:cs="Times New Roman"/>
                <w:color w:val="000000"/>
                <w:spacing w:val="0"/>
                <w:w w:val="100"/>
                <w:position w:val="0"/>
                <w:sz w:val="18"/>
                <w:szCs w:val="18"/>
              </w:rPr>
              <w:t>WACC</w:t>
            </w:r>
            <w:r>
              <w:rPr>
                <w:color w:val="000000"/>
                <w:spacing w:val="0"/>
                <w:w w:val="100"/>
                <w:position w:val="0"/>
                <w:sz w:val="18"/>
                <w:szCs w:val="18"/>
              </w:rPr>
              <w:t>计 算的折现率</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高新供水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根据预测收入、成本、费用计算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广东龙泉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根据预测收入、成本、费用计算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雪城软件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根据预测收入、成本、费用计算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德析检测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根据预测收入、成本、费用计算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百隆工程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根据预测收入、成本、费用计算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高新热力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根据预测收入、成本、费用计算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13.82%</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山西腾星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根据预测收入、成本、费用计算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13.78%</w:t>
            </w:r>
          </w:p>
        </w:tc>
      </w:tr>
    </w:tbl>
    <w:p>
      <w:pPr>
        <w:pStyle w:val="Style10"/>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注：公司根据各资产组已经签订的合同、协议、发展规划、历年经营趋势和市场竞争等因素综合分析， 结合在建项目、已中标未开工项目、预计中标项目情况以及考虑行业特性、行业发展前景、行业竞争的激 烈程度及企业所处市场地位等综合因素，对预测日未来</w:t>
      </w:r>
      <w:r>
        <w:rPr>
          <w:color w:val="000000"/>
          <w:spacing w:val="0"/>
          <w:w w:val="100"/>
          <w:position w:val="0"/>
        </w:rPr>
        <w:t>2022-2026</w:t>
      </w:r>
      <w:r>
        <w:rPr>
          <w:color w:val="000000"/>
          <w:spacing w:val="0"/>
          <w:w w:val="100"/>
          <w:position w:val="0"/>
        </w:rPr>
        <w:t>年的收入、成本、费用等进行预测。</w:t>
      </w:r>
    </w:p>
    <w:p>
      <w:pPr>
        <w:pStyle w:val="Style10"/>
        <w:keepNext w:val="0"/>
        <w:keepLines w:val="0"/>
        <w:widowControl w:val="0"/>
        <w:shd w:val="clear" w:color="auto" w:fill="auto"/>
        <w:tabs>
          <w:tab w:pos="813" w:val="left"/>
        </w:tabs>
        <w:bidi w:val="0"/>
        <w:spacing w:before="0" w:after="220" w:line="240" w:lineRule="auto"/>
        <w:ind w:left="0" w:right="0" w:firstLine="440"/>
        <w:jc w:val="both"/>
      </w:pPr>
      <w:bookmarkStart w:id="1239" w:name="bookmark1239"/>
      <w:r>
        <w:rPr>
          <w:color w:val="000000"/>
          <w:spacing w:val="0"/>
          <w:w w:val="100"/>
          <w:position w:val="0"/>
        </w:rPr>
        <w:t>1</w:t>
      </w:r>
      <w:bookmarkEnd w:id="1239"/>
      <w:r>
        <w:rPr>
          <w:color w:val="000000"/>
          <w:spacing w:val="0"/>
          <w:w w:val="100"/>
          <w:position w:val="0"/>
        </w:rPr>
        <w:t>）</w:t>
        <w:tab/>
        <w:t>高新供水主要从事供水和供水工程，5年预测期增长率为0%、3.00%、3.00%、3.00%、</w:t>
      </w:r>
      <w:r>
        <w:rPr>
          <w:color w:val="000000"/>
          <w:spacing w:val="0"/>
          <w:w w:val="100"/>
          <w:position w:val="0"/>
        </w:rPr>
        <w:t xml:space="preserve">3. </w:t>
      </w:r>
      <w:r>
        <w:rPr>
          <w:color w:val="000000"/>
          <w:spacing w:val="0"/>
          <w:w w:val="100"/>
          <w:position w:val="0"/>
        </w:rPr>
        <w:t>00%；</w:t>
      </w:r>
    </w:p>
    <w:p>
      <w:pPr>
        <w:pStyle w:val="Style10"/>
        <w:keepNext w:val="0"/>
        <w:keepLines w:val="0"/>
        <w:widowControl w:val="0"/>
        <w:shd w:val="clear" w:color="auto" w:fill="auto"/>
        <w:tabs>
          <w:tab w:pos="827" w:val="left"/>
        </w:tabs>
        <w:bidi w:val="0"/>
        <w:spacing w:before="0" w:after="220" w:line="240" w:lineRule="auto"/>
        <w:ind w:left="0" w:right="0" w:firstLine="440"/>
        <w:jc w:val="both"/>
      </w:pPr>
      <w:bookmarkStart w:id="1240" w:name="bookmark1240"/>
      <w:r>
        <w:rPr>
          <w:color w:val="000000"/>
          <w:spacing w:val="0"/>
          <w:w w:val="100"/>
          <w:position w:val="0"/>
        </w:rPr>
        <w:t>2</w:t>
      </w:r>
      <w:bookmarkEnd w:id="1240"/>
      <w:r>
        <w:rPr>
          <w:color w:val="000000"/>
          <w:spacing w:val="0"/>
          <w:w w:val="100"/>
          <w:position w:val="0"/>
        </w:rPr>
        <w:t>）</w:t>
        <w:tab/>
        <w:t>广东龙泉主要从事技术服务及供水管网探漏，5年预测期增长率为15%、20.00%、20.00%、15.00%、</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20.00%；</w:t>
      </w:r>
    </w:p>
    <w:p>
      <w:pPr>
        <w:pStyle w:val="Style10"/>
        <w:keepNext w:val="0"/>
        <w:keepLines w:val="0"/>
        <w:widowControl w:val="0"/>
        <w:shd w:val="clear" w:color="auto" w:fill="auto"/>
        <w:tabs>
          <w:tab w:pos="827" w:val="left"/>
        </w:tabs>
        <w:bidi w:val="0"/>
        <w:spacing w:before="0" w:after="220" w:line="240" w:lineRule="auto"/>
        <w:ind w:left="0" w:right="0" w:firstLine="440"/>
        <w:jc w:val="both"/>
      </w:pPr>
      <w:bookmarkStart w:id="1241" w:name="bookmark1241"/>
      <w:r>
        <w:rPr>
          <w:color w:val="000000"/>
          <w:spacing w:val="0"/>
          <w:w w:val="100"/>
          <w:position w:val="0"/>
        </w:rPr>
        <w:t>3</w:t>
      </w:r>
      <w:bookmarkEnd w:id="1241"/>
      <w:r>
        <w:rPr>
          <w:color w:val="000000"/>
          <w:spacing w:val="0"/>
          <w:w w:val="100"/>
          <w:position w:val="0"/>
        </w:rPr>
        <w:t>）</w:t>
        <w:tab/>
        <w:t>雪城软件主要从事软件产品及集成服务，5年预测期增长率为</w:t>
      </w:r>
      <w:r>
        <w:rPr>
          <w:color w:val="000000"/>
          <w:spacing w:val="0"/>
          <w:w w:val="100"/>
          <w:position w:val="0"/>
        </w:rPr>
        <w:t xml:space="preserve">5. </w:t>
      </w:r>
      <w:r>
        <w:rPr>
          <w:color w:val="000000"/>
          <w:spacing w:val="0"/>
          <w:w w:val="100"/>
          <w:position w:val="0"/>
        </w:rPr>
        <w:t xml:space="preserve">00%, </w:t>
      </w:r>
      <w:r>
        <w:rPr>
          <w:color w:val="000000"/>
          <w:spacing w:val="0"/>
          <w:w w:val="100"/>
          <w:position w:val="0"/>
        </w:rPr>
        <w:t xml:space="preserve">5. </w:t>
      </w:r>
      <w:r>
        <w:rPr>
          <w:color w:val="000000"/>
          <w:spacing w:val="0"/>
          <w:w w:val="100"/>
          <w:position w:val="0"/>
        </w:rPr>
        <w:t xml:space="preserve">00%, </w:t>
      </w:r>
      <w:r>
        <w:rPr>
          <w:color w:val="000000"/>
          <w:spacing w:val="0"/>
          <w:w w:val="100"/>
          <w:position w:val="0"/>
        </w:rPr>
        <w:t xml:space="preserve">5. </w:t>
      </w:r>
      <w:r>
        <w:rPr>
          <w:color w:val="000000"/>
          <w:spacing w:val="0"/>
          <w:w w:val="100"/>
          <w:position w:val="0"/>
        </w:rPr>
        <w:t xml:space="preserve">00%, </w:t>
      </w:r>
      <w:r>
        <w:rPr>
          <w:color w:val="000000"/>
          <w:spacing w:val="0"/>
          <w:w w:val="100"/>
          <w:position w:val="0"/>
        </w:rPr>
        <w:t xml:space="preserve">5. </w:t>
      </w:r>
      <w:r>
        <w:rPr>
          <w:color w:val="000000"/>
          <w:spacing w:val="0"/>
          <w:w w:val="100"/>
          <w:position w:val="0"/>
        </w:rPr>
        <w:t xml:space="preserve">00%, </w:t>
      </w:r>
      <w:r>
        <w:rPr>
          <w:color w:val="000000"/>
          <w:spacing w:val="0"/>
          <w:w w:val="100"/>
          <w:position w:val="0"/>
        </w:rPr>
        <w:t xml:space="preserve">5. </w:t>
      </w:r>
      <w:r>
        <w:rPr>
          <w:color w:val="000000"/>
          <w:spacing w:val="0"/>
          <w:w w:val="100"/>
          <w:position w:val="0"/>
        </w:rPr>
        <w:t>00%；</w:t>
      </w:r>
    </w:p>
    <w:p>
      <w:pPr>
        <w:pStyle w:val="Style10"/>
        <w:keepNext w:val="0"/>
        <w:keepLines w:val="0"/>
        <w:widowControl w:val="0"/>
        <w:shd w:val="clear" w:color="auto" w:fill="auto"/>
        <w:tabs>
          <w:tab w:pos="827" w:val="left"/>
        </w:tabs>
        <w:bidi w:val="0"/>
        <w:spacing w:before="0" w:after="220" w:line="240" w:lineRule="auto"/>
        <w:ind w:left="0" w:right="0" w:firstLine="440"/>
        <w:jc w:val="left"/>
      </w:pPr>
      <w:bookmarkStart w:id="1242" w:name="bookmark1242"/>
      <w:r>
        <w:rPr>
          <w:color w:val="000000"/>
          <w:spacing w:val="0"/>
          <w:w w:val="100"/>
          <w:position w:val="0"/>
        </w:rPr>
        <w:t>4</w:t>
      </w:r>
      <w:bookmarkEnd w:id="1242"/>
      <w:r>
        <w:rPr>
          <w:color w:val="000000"/>
          <w:spacing w:val="0"/>
          <w:w w:val="100"/>
          <w:position w:val="0"/>
        </w:rPr>
        <w:t>）</w:t>
        <w:tab/>
        <w:t>德析检测主要从事环境检测，5年预测期增长率为20.00%、15.00%、15.00%、15.00%、</w:t>
      </w:r>
      <w:r>
        <w:rPr>
          <w:color w:val="000000"/>
          <w:spacing w:val="0"/>
          <w:w w:val="100"/>
          <w:position w:val="0"/>
        </w:rPr>
        <w:t xml:space="preserve">15. </w:t>
      </w:r>
      <w:r>
        <w:rPr>
          <w:color w:val="000000"/>
          <w:spacing w:val="0"/>
          <w:w w:val="100"/>
          <w:position w:val="0"/>
        </w:rPr>
        <w:t>00%；</w:t>
      </w:r>
    </w:p>
    <w:p>
      <w:pPr>
        <w:pStyle w:val="Style10"/>
        <w:keepNext w:val="0"/>
        <w:keepLines w:val="0"/>
        <w:widowControl w:val="0"/>
        <w:shd w:val="clear" w:color="auto" w:fill="auto"/>
        <w:tabs>
          <w:tab w:pos="827" w:val="left"/>
        </w:tabs>
        <w:bidi w:val="0"/>
        <w:spacing w:before="0" w:after="220" w:line="240" w:lineRule="auto"/>
        <w:ind w:left="0" w:right="0" w:firstLine="440"/>
        <w:jc w:val="left"/>
      </w:pPr>
      <w:bookmarkStart w:id="1243" w:name="bookmark1243"/>
      <w:r>
        <w:rPr>
          <w:color w:val="000000"/>
          <w:spacing w:val="0"/>
          <w:w w:val="100"/>
          <w:position w:val="0"/>
        </w:rPr>
        <w:t>5</w:t>
      </w:r>
      <w:bookmarkEnd w:id="1243"/>
      <w:r>
        <w:rPr>
          <w:color w:val="000000"/>
          <w:spacing w:val="0"/>
          <w:w w:val="100"/>
          <w:position w:val="0"/>
        </w:rPr>
        <w:t>）</w:t>
        <w:tab/>
        <w:t>百隆工程主要从事建筑工程，5年预测期增长率为0.00%、3.00%、3.00%、3.00%、0.00%；</w:t>
      </w:r>
    </w:p>
    <w:p>
      <w:pPr>
        <w:pStyle w:val="Style10"/>
        <w:keepNext w:val="0"/>
        <w:keepLines w:val="0"/>
        <w:widowControl w:val="0"/>
        <w:shd w:val="clear" w:color="auto" w:fill="auto"/>
        <w:tabs>
          <w:tab w:pos="827" w:val="left"/>
        </w:tabs>
        <w:bidi w:val="0"/>
        <w:spacing w:before="0" w:after="220" w:line="240" w:lineRule="auto"/>
        <w:ind w:left="0" w:right="0" w:firstLine="440"/>
        <w:jc w:val="left"/>
      </w:pPr>
      <w:bookmarkStart w:id="1244" w:name="bookmark1244"/>
      <w:r>
        <w:rPr>
          <w:color w:val="000000"/>
          <w:spacing w:val="0"/>
          <w:w w:val="100"/>
          <w:position w:val="0"/>
        </w:rPr>
        <w:t>6</w:t>
      </w:r>
      <w:bookmarkEnd w:id="1244"/>
      <w:r>
        <w:rPr>
          <w:color w:val="000000"/>
          <w:spacing w:val="0"/>
          <w:w w:val="100"/>
          <w:position w:val="0"/>
        </w:rPr>
        <w:t>）</w:t>
        <w:tab/>
        <w:t>高新热力主要从事供热和供热工程，5年预测期增长率为;-11.00%、0.00%、0.00%、0.00%、0.00%。</w:t>
      </w:r>
    </w:p>
    <w:p>
      <w:pPr>
        <w:pStyle w:val="Style10"/>
        <w:keepNext w:val="0"/>
        <w:keepLines w:val="0"/>
        <w:widowControl w:val="0"/>
        <w:shd w:val="clear" w:color="auto" w:fill="auto"/>
        <w:tabs>
          <w:tab w:pos="827" w:val="left"/>
        </w:tabs>
        <w:bidi w:val="0"/>
        <w:spacing w:before="0" w:after="440" w:line="240" w:lineRule="auto"/>
        <w:ind w:left="0" w:right="0" w:firstLine="440"/>
        <w:jc w:val="left"/>
      </w:pPr>
      <w:bookmarkStart w:id="1245" w:name="bookmark1245"/>
      <w:r>
        <w:rPr>
          <w:color w:val="000000"/>
          <w:spacing w:val="0"/>
          <w:w w:val="100"/>
          <w:position w:val="0"/>
        </w:rPr>
        <w:t>7</w:t>
      </w:r>
      <w:bookmarkEnd w:id="1245"/>
      <w:r>
        <w:rPr>
          <w:color w:val="000000"/>
          <w:spacing w:val="0"/>
          <w:w w:val="100"/>
          <w:position w:val="0"/>
        </w:rPr>
        <w:t>）</w:t>
        <w:tab/>
        <w:t>山西腾星主要从事传感器研发及销售，5年预测期增长率为</w:t>
      </w:r>
      <w:r>
        <w:rPr>
          <w:color w:val="000000"/>
          <w:spacing w:val="0"/>
          <w:w w:val="100"/>
          <w:position w:val="0"/>
        </w:rPr>
        <w:t xml:space="preserve">25. 00%、20. 00%、20. 00%、20. </w:t>
      </w:r>
      <w:r>
        <w:rPr>
          <w:color w:val="000000"/>
          <w:spacing w:val="0"/>
          <w:w w:val="100"/>
          <w:position w:val="0"/>
        </w:rPr>
        <w:t>00%、20. 00%。</w:t>
      </w:r>
    </w:p>
    <w:p>
      <w:pPr>
        <w:pStyle w:val="Style28"/>
        <w:keepNext/>
        <w:keepLines/>
        <w:widowControl w:val="0"/>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246"/>
      <w:bookmarkEnd w:id="1247"/>
      <w:bookmarkEnd w:id="124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9,038,106.19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9,790,229.74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4,595,373.21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14,232,962.72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3,213,929.35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3,129,322.02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1,481,726.12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4,861,525.25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12,252,035.54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12,919,551.76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6,077,099.33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19,094,487.97</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长期待摊费用较年初增加</w:t>
      </w:r>
      <w:r>
        <w:rPr>
          <w:color w:val="000000"/>
          <w:spacing w:val="0"/>
          <w:w w:val="100"/>
          <w:position w:val="0"/>
        </w:rPr>
        <w:t xml:space="preserve">55. </w:t>
      </w:r>
      <w:r>
        <w:rPr>
          <w:color w:val="000000"/>
          <w:spacing w:val="0"/>
          <w:w w:val="100"/>
          <w:position w:val="0"/>
        </w:rPr>
        <w:t>85%，</w:t>
      </w:r>
      <w:r>
        <w:rPr>
          <w:color w:val="000000"/>
          <w:spacing w:val="0"/>
          <w:w w:val="100"/>
          <w:position w:val="0"/>
        </w:rPr>
        <w:t>主要系公司待摊装修费增加所致。</w:t>
      </w:r>
    </w:p>
    <w:p>
      <w:pPr>
        <w:pStyle w:val="Style28"/>
        <w:keepNext/>
        <w:keepLines/>
        <w:widowControl w:val="0"/>
        <w:shd w:val="clear" w:color="auto" w:fill="auto"/>
        <w:bidi w:val="0"/>
        <w:spacing w:before="0" w:after="32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50"/>
      <w:bookmarkEnd w:id="1251"/>
      <w:bookmarkEnd w:id="1253"/>
    </w:p>
    <w:p>
      <w:pPr>
        <w:pStyle w:val="Style201"/>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54"/>
      <w:bookmarkEnd w:id="1255"/>
      <w:bookmarkEnd w:id="1256"/>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119,153,563.04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19,277,935.09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113,420,370.44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18,150,424.54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68,088,933.28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10,318,026.99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61,629,637.29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9,524,330.34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261,918,451.34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39,287,767.70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296,422,170.65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44,463,325.60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2,411,371.68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539,749.77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7,690,756.08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1,949,538.88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64,217.87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9,632.68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10,057,844.01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1,547,705.49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348,415.78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462,042,797.00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71,051,552.59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479,227,152.33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74,097,252.04</w:t>
            </w:r>
          </w:p>
        </w:tc>
      </w:tr>
    </w:tbl>
    <w:p>
      <w:pPr>
        <w:widowControl w:val="0"/>
        <w:spacing w:after="319" w:line="1" w:lineRule="exact"/>
      </w:pPr>
    </w:p>
    <w:p>
      <w:pPr>
        <w:pStyle w:val="Style201"/>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57"/>
      <w:bookmarkEnd w:id="1258"/>
      <w:bookmarkEnd w:id="1259"/>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递延所得税负债</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BOT</w:t>
            </w:r>
            <w:r>
              <w:rPr>
                <w:color w:val="000000"/>
                <w:spacing w:val="0"/>
                <w:w w:val="100"/>
                <w:position w:val="0"/>
                <w:sz w:val="18"/>
                <w:szCs w:val="18"/>
              </w:rPr>
              <w:t>特许经营权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收购股权固定资产评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20,986,328.04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3,571,330.46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23,359,967.13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3,964,219.56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收购股权投资性房地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1,498,017.00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374,504.25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1,857,541.08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464,385.27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收购股权无形资产评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8,937,230.30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2,054,644.69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10,466,357.84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2,369,930.44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31,458,388.23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6,008,912.68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35,683,866.05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6,798,535.27</w:t>
            </w:r>
          </w:p>
        </w:tc>
      </w:tr>
    </w:tbl>
    <w:p>
      <w:pPr>
        <w:widowControl w:val="0"/>
        <w:spacing w:after="319" w:line="1" w:lineRule="exact"/>
      </w:pPr>
    </w:p>
    <w:p>
      <w:pPr>
        <w:pStyle w:val="Style201"/>
        <w:keepNext/>
        <w:keepLines/>
        <w:widowControl w:val="0"/>
        <w:numPr>
          <w:ilvl w:val="0"/>
          <w:numId w:val="49"/>
        </w:numPr>
        <w:shd w:val="clear" w:color="auto" w:fill="auto"/>
        <w:bidi w:val="0"/>
        <w:spacing w:before="0" w:after="360" w:line="240" w:lineRule="auto"/>
        <w:ind w:left="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未确认递延所得税资产明细</w:t>
      </w:r>
      <w:bookmarkEnd w:id="1260"/>
      <w:bookmarkEnd w:id="1261"/>
      <w:bookmarkEnd w:id="1263"/>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334,491,681.89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334,491,681.89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279,371,727.56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263,571,551.91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613,863,409.45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598,063,233.80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264"/>
      <w:bookmarkEnd w:id="1265"/>
      <w:bookmarkEnd w:id="1267"/>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877"/>
        <w:gridCol w:w="1560"/>
        <w:gridCol w:w="1152"/>
        <w:gridCol w:w="1277"/>
        <w:gridCol w:w="1306"/>
        <w:gridCol w:w="1109"/>
        <w:gridCol w:w="130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7,537,457.61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374,091.35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7,163,366.26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5,725,880.84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222,811.17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5,503,069.67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BOT</w:t>
            </w:r>
            <w:r>
              <w:rPr>
                <w:color w:val="000000"/>
                <w:spacing w:val="0"/>
                <w:w w:val="100"/>
                <w:position w:val="0"/>
                <w:sz w:val="18"/>
                <w:szCs w:val="18"/>
              </w:rPr>
              <w:t>运营维护保证金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5,507,078.40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5,507,078.40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5,507,078.40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5,507,078.40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预付长期资产款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8,774,972.31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8,774,972.31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4,244,616.35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4,244,616.35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1,330,000.00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23,149,508.32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374,091.35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22,775,416.97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16,807,575.59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222,811.17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16,584,764.42</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其他非流动资产较年初增加</w:t>
      </w:r>
      <w:r>
        <w:rPr>
          <w:color w:val="000000"/>
          <w:spacing w:val="0"/>
          <w:w w:val="100"/>
          <w:position w:val="0"/>
        </w:rPr>
        <w:t xml:space="preserve">37. </w:t>
      </w:r>
      <w:r>
        <w:rPr>
          <w:color w:val="000000"/>
          <w:spacing w:val="0"/>
          <w:w w:val="100"/>
          <w:position w:val="0"/>
        </w:rPr>
        <w:t>33%，</w:t>
      </w:r>
      <w:r>
        <w:rPr>
          <w:color w:val="000000"/>
          <w:spacing w:val="0"/>
          <w:w w:val="100"/>
          <w:position w:val="0"/>
        </w:rPr>
        <w:t>主要系公司预付长期资产款增加所致。</w:t>
      </w:r>
    </w:p>
    <w:p>
      <w:pPr>
        <w:pStyle w:val="Style28"/>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268"/>
      <w:bookmarkEnd w:id="1269"/>
      <w:bookmarkEnd w:id="1271"/>
    </w:p>
    <w:p>
      <w:pPr>
        <w:pStyle w:val="Style201"/>
        <w:keepNext/>
        <w:keepLines/>
        <w:widowControl w:val="0"/>
        <w:shd w:val="clear" w:color="auto" w:fill="auto"/>
        <w:bidi w:val="0"/>
        <w:spacing w:before="0" w:after="360" w:line="240" w:lineRule="auto"/>
        <w:ind w:left="0" w:right="0" w:firstLine="0"/>
        <w:jc w:val="left"/>
      </w:pPr>
      <w:bookmarkStart w:id="1272" w:name="bookmark1272"/>
      <w:bookmarkStart w:id="1273" w:name="bookmark1273"/>
      <w:bookmarkStart w:id="1274" w:name="bookmark12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72"/>
      <w:bookmarkEnd w:id="1273"/>
      <w:bookmarkEnd w:id="1274"/>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46,577,646.53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82,152,930.56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5,007,638.89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65,396,150.34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253,304,265.22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未终止确认的商业承兑汇票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1,312,890.87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118,294,326.63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335,457,195.78</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短期借款分类的说明：</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短期借款较年初减少</w:t>
      </w:r>
      <w:r>
        <w:rPr>
          <w:color w:val="000000"/>
          <w:spacing w:val="0"/>
          <w:w w:val="100"/>
          <w:position w:val="0"/>
        </w:rPr>
        <w:t xml:space="preserve">64. </w:t>
      </w:r>
      <w:r>
        <w:rPr>
          <w:color w:val="000000"/>
          <w:spacing w:val="0"/>
          <w:w w:val="100"/>
          <w:position w:val="0"/>
        </w:rPr>
        <w:t>74%，</w:t>
      </w:r>
      <w:r>
        <w:rPr>
          <w:color w:val="000000"/>
          <w:spacing w:val="0"/>
          <w:w w:val="100"/>
          <w:position w:val="0"/>
        </w:rPr>
        <w:t>主要系公司归还借款所致。</w:t>
      </w:r>
    </w:p>
    <w:p>
      <w:pPr>
        <w:pStyle w:val="Style28"/>
        <w:keepNext/>
        <w:keepLines/>
        <w:widowControl w:val="0"/>
        <w:shd w:val="clear" w:color="auto" w:fill="auto"/>
        <w:bidi w:val="0"/>
        <w:spacing w:before="0" w:after="34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w:t>
      </w:r>
      <w:bookmarkEnd w:id="1277"/>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275"/>
      <w:bookmarkEnd w:id="1276"/>
      <w:bookmarkEnd w:id="1278"/>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3,409,204.38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6,365,158.27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8"/>
                <w:szCs w:val="8"/>
              </w:rPr>
            </w:pPr>
            <w:r>
              <w:rPr>
                <w:rFonts w:ascii="Times New Roman" w:eastAsia="Times New Roman" w:hAnsi="Times New Roman" w:cs="Times New Roman"/>
                <w:color w:val="000000"/>
                <w:spacing w:val="0"/>
                <w:w w:val="100"/>
                <w:position w:val="0"/>
                <w:sz w:val="18"/>
                <w:szCs w:val="18"/>
              </w:rPr>
              <w:t>3,409,204.38</w:t>
            </w:r>
            <w:r>
              <w:rPr>
                <w:color w:val="FF0000"/>
                <w:spacing w:val="0"/>
                <w:w w:val="100"/>
                <w:position w:val="0"/>
                <w:sz w:val="8"/>
                <w:szCs w:val="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6,365,158.27</w:t>
            </w:r>
          </w:p>
        </w:tc>
      </w:tr>
    </w:tbl>
    <w:p>
      <w:pPr>
        <w:pStyle w:val="Style24"/>
        <w:keepNext w:val="0"/>
        <w:keepLines w:val="0"/>
        <w:widowControl w:val="0"/>
        <w:shd w:val="clear" w:color="auto" w:fill="auto"/>
        <w:bidi w:val="0"/>
        <w:spacing w:before="0" w:after="340" w:line="36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应付票据较年初减少</w:t>
      </w:r>
      <w:r>
        <w:rPr>
          <w:rFonts w:ascii="Times New Roman" w:eastAsia="Times New Roman" w:hAnsi="Times New Roman" w:cs="Times New Roman"/>
          <w:color w:val="000000"/>
          <w:spacing w:val="0"/>
          <w:w w:val="100"/>
          <w:position w:val="0"/>
        </w:rPr>
        <w:t>46.44%</w:t>
      </w:r>
      <w:r>
        <w:rPr>
          <w:color w:val="000000"/>
          <w:spacing w:val="0"/>
          <w:w w:val="100"/>
          <w:position w:val="0"/>
        </w:rPr>
        <w:t>，主要系公司应付票据到期归还所致。 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keepLines/>
        <w:widowControl w:val="0"/>
        <w:shd w:val="clear" w:color="auto" w:fill="auto"/>
        <w:bidi w:val="0"/>
        <w:spacing w:before="0" w:after="34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bookmarkEnd w:id="1281"/>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279"/>
      <w:bookmarkEnd w:id="1280"/>
      <w:bookmarkEnd w:id="1282"/>
    </w:p>
    <w:p>
      <w:pPr>
        <w:pStyle w:val="Style201"/>
        <w:keepNext/>
        <w:keepLines/>
        <w:widowControl w:val="0"/>
        <w:shd w:val="clear" w:color="auto" w:fill="auto"/>
        <w:bidi w:val="0"/>
        <w:spacing w:before="0" w:after="340" w:line="240" w:lineRule="auto"/>
        <w:ind w:left="0" w:right="0" w:firstLine="0"/>
        <w:jc w:val="left"/>
      </w:pPr>
      <w:bookmarkStart w:id="1283" w:name="bookmark1283"/>
      <w:bookmarkStart w:id="1284" w:name="bookmark1284"/>
      <w:bookmarkStart w:id="1285" w:name="bookmark12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83"/>
      <w:bookmarkEnd w:id="1284"/>
      <w:bookmarkEnd w:id="1285"/>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535,622,857.68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373,951,080.23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125,652,102.04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129,805,230.34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661,274,959.72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503,756,310.57</w:t>
            </w:r>
          </w:p>
        </w:tc>
      </w:tr>
    </w:tbl>
    <w:p>
      <w:pPr>
        <w:widowControl w:val="0"/>
        <w:spacing w:after="339" w:line="1" w:lineRule="exact"/>
      </w:pPr>
    </w:p>
    <w:p>
      <w:pPr>
        <w:pStyle w:val="Style201"/>
        <w:keepNext/>
        <w:keepLines/>
        <w:widowControl w:val="0"/>
        <w:shd w:val="clear" w:color="auto" w:fill="auto"/>
        <w:bidi w:val="0"/>
        <w:spacing w:before="0" w:after="340" w:line="240" w:lineRule="auto"/>
        <w:ind w:left="0" w:right="0" w:firstLine="0"/>
        <w:jc w:val="left"/>
      </w:pPr>
      <w:bookmarkStart w:id="1286" w:name="bookmark1286"/>
      <w:bookmarkStart w:id="1287" w:name="bookmark1287"/>
      <w:bookmarkStart w:id="1288" w:name="bookmark12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86"/>
      <w:bookmarkEnd w:id="1287"/>
      <w:bookmarkEnd w:id="1288"/>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开封市豪德人力资源有限公司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9,703,038.40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濮阳市中信建设工程有限公司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7,621,976.94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河南紫通建筑工程有限公司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5,513,775.81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尚未结算</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22,838,791.15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应付账款较年初增加</w:t>
      </w:r>
      <w:r>
        <w:rPr>
          <w:color w:val="000000"/>
          <w:spacing w:val="0"/>
          <w:w w:val="100"/>
          <w:position w:val="0"/>
        </w:rPr>
        <w:t>31.27%，</w:t>
      </w:r>
      <w:r>
        <w:rPr>
          <w:color w:val="000000"/>
          <w:spacing w:val="0"/>
          <w:w w:val="100"/>
          <w:position w:val="0"/>
        </w:rPr>
        <w:t>主要系采购额增加及期末应付未结算货款增加所致。</w:t>
      </w:r>
      <w:r>
        <w:br w:type="page"/>
      </w:r>
    </w:p>
    <w:p>
      <w:pPr>
        <w:pStyle w:val="Style28"/>
        <w:keepNext/>
        <w:keepLines/>
        <w:widowControl w:val="0"/>
        <w:shd w:val="clear" w:color="auto" w:fill="auto"/>
        <w:bidi w:val="0"/>
        <w:spacing w:before="0" w:after="340" w:line="240" w:lineRule="auto"/>
        <w:ind w:left="0" w:right="0" w:firstLine="0"/>
        <w:jc w:val="both"/>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bookmarkEnd w:id="1291"/>
      <w:r>
        <w:rPr>
          <w:rFonts w:ascii="Times New Roman" w:eastAsia="Times New Roman" w:hAnsi="Times New Roman" w:cs="Times New Roman"/>
          <w:color w:val="000000"/>
          <w:spacing w:val="0"/>
          <w:w w:val="100"/>
          <w:position w:val="0"/>
        </w:rPr>
        <w:t>5</w:t>
      </w:r>
      <w:r>
        <w:rPr>
          <w:color w:val="000000"/>
          <w:spacing w:val="0"/>
          <w:w w:val="100"/>
          <w:position w:val="0"/>
        </w:rPr>
        <w:t>、预收款项</w:t>
      </w:r>
      <w:bookmarkEnd w:id="1289"/>
      <w:bookmarkEnd w:id="1290"/>
      <w:bookmarkEnd w:id="1292"/>
    </w:p>
    <w:p>
      <w:pPr>
        <w:pStyle w:val="Style201"/>
        <w:keepNext/>
        <w:keepLines/>
        <w:widowControl w:val="0"/>
        <w:shd w:val="clear" w:color="auto" w:fill="auto"/>
        <w:bidi w:val="0"/>
        <w:spacing w:before="0" w:after="340" w:line="240" w:lineRule="auto"/>
        <w:ind w:left="0" w:right="0" w:firstLine="0"/>
        <w:jc w:val="both"/>
      </w:pPr>
      <w:bookmarkStart w:id="1293" w:name="bookmark1293"/>
      <w:bookmarkStart w:id="1294" w:name="bookmark1294"/>
      <w:bookmarkStart w:id="1295" w:name="bookmark12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93"/>
      <w:bookmarkEnd w:id="1294"/>
      <w:bookmarkEnd w:id="1295"/>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1,576,203.30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710,081.31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1,576,203.30</w:t>
            </w:r>
            <w:r>
              <w:rPr>
                <w:rFonts w:ascii="Times New Roman" w:eastAsia="Times New Roman" w:hAnsi="Times New Roman" w:cs="Times New Roman"/>
                <w:color w:val="FF0000"/>
                <w:spacing w:val="0"/>
                <w:w w:val="100"/>
                <w:position w:val="0"/>
                <w:sz w:val="18"/>
                <w:szCs w:val="18"/>
                <w:vertAlign w:val="superscript"/>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710,081.31</w:t>
            </w:r>
          </w:p>
        </w:tc>
      </w:tr>
    </w:tbl>
    <w:p>
      <w:pPr>
        <w:widowControl w:val="0"/>
        <w:spacing w:after="59" w:line="1" w:lineRule="exact"/>
      </w:pP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预收账款较年初增加</w:t>
      </w:r>
      <w:r>
        <w:rPr>
          <w:rFonts w:ascii="Times New Roman" w:eastAsia="Times New Roman" w:hAnsi="Times New Roman" w:cs="Times New Roman"/>
          <w:color w:val="000000"/>
          <w:spacing w:val="0"/>
          <w:w w:val="100"/>
          <w:position w:val="0"/>
        </w:rPr>
        <w:t>121.98%</w:t>
      </w:r>
      <w:r>
        <w:rPr>
          <w:color w:val="000000"/>
          <w:spacing w:val="0"/>
          <w:w w:val="100"/>
          <w:position w:val="0"/>
        </w:rPr>
        <w:t>，主要系公司预收房租款增加所致。</w:t>
      </w:r>
    </w:p>
    <w:p>
      <w:pPr>
        <w:pStyle w:val="Style28"/>
        <w:keepNext/>
        <w:keepLines/>
        <w:widowControl w:val="0"/>
        <w:shd w:val="clear" w:color="auto" w:fill="auto"/>
        <w:bidi w:val="0"/>
        <w:spacing w:before="0" w:after="340" w:line="240" w:lineRule="auto"/>
        <w:ind w:left="0" w:right="0" w:firstLine="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w:t>
      </w:r>
      <w:bookmarkEnd w:id="1298"/>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296"/>
      <w:bookmarkEnd w:id="1297"/>
      <w:bookmarkEnd w:id="1299"/>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42,572,649.01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42,655,810.24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环保业务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12,206,113.32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5,741,253.15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公用事业业务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175,955,880.26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262,842,824.48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230,734,642.59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311,239,887.87</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2</w:t>
      </w:r>
      <w:bookmarkEnd w:id="1302"/>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00"/>
      <w:bookmarkEnd w:id="1301"/>
      <w:bookmarkEnd w:id="1303"/>
    </w:p>
    <w:p>
      <w:pPr>
        <w:pStyle w:val="Style201"/>
        <w:keepNext/>
        <w:keepLines/>
        <w:widowControl w:val="0"/>
        <w:shd w:val="clear" w:color="auto" w:fill="auto"/>
        <w:bidi w:val="0"/>
        <w:spacing w:before="0" w:after="340" w:line="240" w:lineRule="auto"/>
        <w:ind w:left="0" w:right="0" w:firstLine="0"/>
        <w:jc w:val="both"/>
      </w:pPr>
      <w:bookmarkStart w:id="1304" w:name="bookmark1304"/>
      <w:bookmarkStart w:id="1305" w:name="bookmark1305"/>
      <w:bookmarkStart w:id="1306" w:name="bookmark13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04"/>
      <w:bookmarkEnd w:id="1305"/>
      <w:bookmarkEnd w:id="1306"/>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014"/>
        <w:gridCol w:w="1714"/>
        <w:gridCol w:w="1661"/>
        <w:gridCol w:w="1651"/>
        <w:gridCol w:w="154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65,947,669.74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387,825,999.21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383,261,160.77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70,512,508.18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3,384.04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20,587,604.08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20,482,672.29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108,315.83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129,852.00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65,951,053.78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408,543,455.29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403,873,685.06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70,620,824.01</w:t>
            </w:r>
          </w:p>
        </w:tc>
      </w:tr>
    </w:tbl>
    <w:p>
      <w:pPr>
        <w:widowControl w:val="0"/>
        <w:spacing w:after="339" w:line="1" w:lineRule="exact"/>
      </w:pPr>
    </w:p>
    <w:p>
      <w:pPr>
        <w:pStyle w:val="Style201"/>
        <w:keepNext/>
        <w:keepLines/>
        <w:widowControl w:val="0"/>
        <w:shd w:val="clear" w:color="auto" w:fill="auto"/>
        <w:bidi w:val="0"/>
        <w:spacing w:before="0" w:after="340" w:line="240" w:lineRule="auto"/>
        <w:ind w:left="0" w:right="0" w:firstLine="0"/>
        <w:jc w:val="both"/>
      </w:pPr>
      <w:bookmarkStart w:id="1307" w:name="bookmark1307"/>
      <w:bookmarkStart w:id="1308" w:name="bookmark1308"/>
      <w:bookmarkStart w:id="1309" w:name="bookmark13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07"/>
      <w:bookmarkEnd w:id="1308"/>
      <w:bookmarkEnd w:id="1309"/>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400"/>
        <w:gridCol w:w="143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65,262,573.50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347,347,802.48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342,459,793.60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70,150,582.38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37,485.00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15,957,878.36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15,950,865.86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38,071.60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11,883,479.97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11,854,606.76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66,944.81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其中：医疗保险费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35,130.40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10,259,307.57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10,231,177.91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63,260.06</w:t>
            </w:r>
          </w:p>
        </w:tc>
      </w:tr>
    </w:tbl>
    <w:p>
      <w:pPr>
        <w:widowControl w:val="0"/>
        <w:spacing w:line="1" w:lineRule="exact"/>
      </w:pPr>
      <w:r>
        <w:br w:type="page"/>
      </w:r>
    </w:p>
    <w:tbl>
      <w:tblPr>
        <w:tblOverlap w:val="never"/>
        <w:jc w:val="center"/>
        <w:tblLayout w:type="fixed"/>
      </w:tblPr>
      <w:tblGrid>
        <w:gridCol w:w="2400"/>
        <w:gridCol w:w="143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609,731.71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609,033.78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1,626.73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1,014,440.69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1,014,395.07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2,058.02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8,606,615.89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8,596,322.89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583,722.64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4,030,222.51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4,399,571.66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214,373.49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65,947,669.74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387,825,999.21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383,261,160.77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70,512,508.18</w:t>
            </w:r>
          </w:p>
        </w:tc>
      </w:tr>
    </w:tbl>
    <w:p>
      <w:pPr>
        <w:widowControl w:val="0"/>
        <w:spacing w:after="299" w:line="1" w:lineRule="exact"/>
      </w:pPr>
    </w:p>
    <w:p>
      <w:pPr>
        <w:pStyle w:val="Style201"/>
        <w:keepNext/>
        <w:keepLines/>
        <w:widowControl w:val="0"/>
        <w:numPr>
          <w:ilvl w:val="0"/>
          <w:numId w:val="51"/>
        </w:numPr>
        <w:shd w:val="clear" w:color="auto" w:fill="auto"/>
        <w:bidi w:val="0"/>
        <w:spacing w:before="0" w:after="1080" w:line="240" w:lineRule="auto"/>
        <w:ind w:left="0" w:right="0" w:firstLine="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设定提存计划列示</w:t>
      </w:r>
      <w:bookmarkEnd w:id="1310"/>
      <w:bookmarkEnd w:id="1311"/>
      <w:bookmarkEnd w:id="1313"/>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3,384.04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19,652,617.84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19,551,332.80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104,669.08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934,986.24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931,339.49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3,646.75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3,384.04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20,587,604.08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20,482,672.29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108,315.83</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both"/>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bookmarkEnd w:id="1316"/>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14"/>
      <w:bookmarkEnd w:id="1315"/>
      <w:bookmarkEnd w:id="1317"/>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22,164,848.96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10,150,054.14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24,106,605.72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7,014,162.61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1,164,591.95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1,001,805.18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1,075,975.96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620,828.64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2,252,630.28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1,571,476.86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578,754.77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557,731.44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957,574.17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453,074.22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379,023.53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74,088.47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52,680,005.34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21,443,221.56</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应交税费较年初增加</w:t>
      </w:r>
      <w:r>
        <w:rPr>
          <w:color w:val="000000"/>
          <w:spacing w:val="0"/>
          <w:w w:val="100"/>
          <w:position w:val="0"/>
        </w:rPr>
        <w:t xml:space="preserve">145. </w:t>
      </w:r>
      <w:r>
        <w:rPr>
          <w:color w:val="000000"/>
          <w:spacing w:val="0"/>
          <w:w w:val="100"/>
          <w:position w:val="0"/>
        </w:rPr>
        <w:t>67%，</w:t>
      </w:r>
      <w:r>
        <w:rPr>
          <w:color w:val="000000"/>
          <w:spacing w:val="0"/>
          <w:w w:val="100"/>
          <w:position w:val="0"/>
        </w:rPr>
        <w:t>主要系公司应交增值税和企业所得税增加所致。</w:t>
      </w:r>
    </w:p>
    <w:p>
      <w:pPr>
        <w:pStyle w:val="Style28"/>
        <w:keepNext/>
        <w:keepLines/>
        <w:widowControl w:val="0"/>
        <w:shd w:val="clear" w:color="auto" w:fill="auto"/>
        <w:bidi w:val="0"/>
        <w:spacing w:before="0" w:line="240" w:lineRule="auto"/>
        <w:ind w:left="0" w:right="0" w:firstLine="0"/>
        <w:jc w:val="both"/>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bookmarkEnd w:id="1320"/>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318"/>
      <w:bookmarkEnd w:id="1319"/>
      <w:bookmarkEnd w:id="1321"/>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160,047,454.98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143,620,411.50</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160,047,454.98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143,620,411.50</w:t>
            </w:r>
          </w:p>
        </w:tc>
      </w:tr>
    </w:tbl>
    <w:p>
      <w:pPr>
        <w:widowControl w:val="0"/>
        <w:spacing w:after="299" w:line="1" w:lineRule="exact"/>
      </w:pPr>
    </w:p>
    <w:p>
      <w:pPr>
        <w:pStyle w:val="Style201"/>
        <w:keepNext/>
        <w:keepLines/>
        <w:widowControl w:val="0"/>
        <w:shd w:val="clear" w:color="auto" w:fill="auto"/>
        <w:bidi w:val="0"/>
        <w:spacing w:before="0" w:after="300" w:line="240" w:lineRule="auto"/>
        <w:ind w:left="0" w:right="0" w:firstLine="0"/>
        <w:jc w:val="left"/>
      </w:pPr>
      <w:bookmarkStart w:id="1322" w:name="bookmark1322"/>
      <w:bookmarkStart w:id="1323" w:name="bookmark1323"/>
      <w:bookmarkStart w:id="1324" w:name="bookmark13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22"/>
      <w:bookmarkEnd w:id="1323"/>
      <w:bookmarkEnd w:id="1324"/>
    </w:p>
    <w:p>
      <w:pPr>
        <w:pStyle w:val="Style228"/>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25"/>
      <w:bookmarkEnd w:id="1326"/>
      <w:bookmarkEnd w:id="1327"/>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128,536,118.04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120,052,114.77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押金和保证金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14,963,230.76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11,701,555.92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15,800,112.90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11,102,619.14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747,993.28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764,121.67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160,047,454.98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143,620,411.50</w:t>
            </w:r>
          </w:p>
        </w:tc>
      </w:tr>
    </w:tbl>
    <w:p>
      <w:pPr>
        <w:widowControl w:val="0"/>
        <w:spacing w:after="299" w:line="1" w:lineRule="exact"/>
      </w:pPr>
    </w:p>
    <w:p>
      <w:pPr>
        <w:pStyle w:val="Style228"/>
        <w:keepNext/>
        <w:keepLines/>
        <w:widowControl w:val="0"/>
        <w:shd w:val="clear" w:color="auto" w:fill="auto"/>
        <w:bidi w:val="0"/>
        <w:spacing w:before="0" w:line="240" w:lineRule="auto"/>
        <w:ind w:left="0" w:right="0" w:firstLine="0"/>
        <w:jc w:val="left"/>
      </w:pPr>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28"/>
      <w:bookmarkEnd w:id="1329"/>
      <w:bookmarkEnd w:id="1330"/>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郑州高新区管委会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113,473,264.80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政府款项</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113,473,264.80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3</w:t>
      </w:r>
      <w:bookmarkEnd w:id="1333"/>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331"/>
      <w:bookmarkEnd w:id="1332"/>
      <w:bookmarkEnd w:id="1334"/>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43,528,043.42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14,075,073.29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4,472,511.11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1,326,385.36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825,573.71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24,501.10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48,826,128.24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15,425,959.75</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一年内到期的非流动负债较年初增加</w:t>
      </w:r>
      <w:r>
        <w:rPr>
          <w:color w:val="000000"/>
          <w:spacing w:val="0"/>
          <w:w w:val="100"/>
          <w:position w:val="0"/>
        </w:rPr>
        <w:t xml:space="preserve">216. </w:t>
      </w:r>
      <w:r>
        <w:rPr>
          <w:color w:val="000000"/>
          <w:spacing w:val="0"/>
          <w:w w:val="100"/>
          <w:position w:val="0"/>
        </w:rPr>
        <w:t>52%，</w:t>
      </w:r>
      <w:r>
        <w:rPr>
          <w:color w:val="000000"/>
          <w:spacing w:val="0"/>
          <w:w w:val="100"/>
          <w:position w:val="0"/>
        </w:rPr>
        <w:t>主要系公司一年内到期的长期借款增加所致。</w:t>
      </w:r>
    </w:p>
    <w:p>
      <w:pPr>
        <w:pStyle w:val="Style28"/>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3</w:t>
      </w:r>
      <w:bookmarkEnd w:id="1337"/>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335"/>
      <w:bookmarkEnd w:id="1336"/>
      <w:bookmarkEnd w:id="1338"/>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未终止确认的商业承兑汇票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4,677,497.14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待转销项税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6,703,488.52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5,971,457.30</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11,380,985.66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5,971,457.30</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其他流动负债较年初增加</w:t>
      </w:r>
      <w:r>
        <w:rPr>
          <w:color w:val="000000"/>
          <w:spacing w:val="0"/>
          <w:w w:val="100"/>
          <w:position w:val="0"/>
        </w:rPr>
        <w:t xml:space="preserve">90. </w:t>
      </w:r>
      <w:r>
        <w:rPr>
          <w:color w:val="000000"/>
          <w:spacing w:val="0"/>
          <w:w w:val="100"/>
          <w:position w:val="0"/>
        </w:rPr>
        <w:t>59%，</w:t>
      </w:r>
      <w:r>
        <w:rPr>
          <w:color w:val="000000"/>
          <w:spacing w:val="0"/>
          <w:w w:val="100"/>
          <w:position w:val="0"/>
        </w:rPr>
        <w:t>主要系未终止确认的商业承兑汇票增加所致。</w:t>
      </w:r>
    </w:p>
    <w:p>
      <w:pPr>
        <w:pStyle w:val="Style28"/>
        <w:keepNext/>
        <w:keepLines/>
        <w:widowControl w:val="0"/>
        <w:shd w:val="clear" w:color="auto" w:fill="auto"/>
        <w:bidi w:val="0"/>
        <w:spacing w:before="0" w:after="34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3</w:t>
      </w:r>
      <w:bookmarkEnd w:id="1341"/>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339"/>
      <w:bookmarkEnd w:id="1340"/>
      <w:bookmarkEnd w:id="1342"/>
    </w:p>
    <w:p>
      <w:pPr>
        <w:pStyle w:val="Style201"/>
        <w:keepNext/>
        <w:keepLines/>
        <w:widowControl w:val="0"/>
        <w:shd w:val="clear" w:color="auto" w:fill="auto"/>
        <w:bidi w:val="0"/>
        <w:spacing w:before="0" w:after="340" w:line="240" w:lineRule="auto"/>
        <w:ind w:left="0" w:right="0" w:firstLine="0"/>
        <w:jc w:val="left"/>
      </w:pPr>
      <w:bookmarkStart w:id="1343" w:name="bookmark1343"/>
      <w:bookmarkStart w:id="1344" w:name="bookmark1344"/>
      <w:bookmarkStart w:id="1345" w:name="bookmark13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43"/>
      <w:bookmarkEnd w:id="1344"/>
      <w:bookmarkEnd w:id="1345"/>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341,845,478.25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351,942,941.89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324,927,017.25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526,845,478.25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676,869,959.14</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3</w:t>
      </w:r>
      <w:bookmarkEnd w:id="1348"/>
      <w:r>
        <w:rPr>
          <w:rFonts w:ascii="Times New Roman" w:eastAsia="Times New Roman" w:hAnsi="Times New Roman" w:cs="Times New Roman"/>
          <w:color w:val="000000"/>
          <w:spacing w:val="0"/>
          <w:w w:val="100"/>
          <w:position w:val="0"/>
        </w:rPr>
        <w:t>3</w:t>
      </w:r>
      <w:r>
        <w:rPr>
          <w:color w:val="000000"/>
          <w:spacing w:val="0"/>
          <w:w w:val="100"/>
          <w:position w:val="0"/>
        </w:rPr>
        <w:t>、租赁负债</w:t>
      </w:r>
      <w:bookmarkEnd w:id="1346"/>
      <w:bookmarkEnd w:id="1347"/>
      <w:bookmarkEnd w:id="1349"/>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16,153,780.88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4,730,856.41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-1,128,287.07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-4,472,511.11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-1,326,385.36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10,552,982.70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3,404,471.05</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租赁负债较年初增加</w:t>
      </w:r>
      <w:r>
        <w:rPr>
          <w:color w:val="000000"/>
          <w:spacing w:val="0"/>
          <w:w w:val="100"/>
          <w:position w:val="0"/>
        </w:rPr>
        <w:t>209.97%，</w:t>
      </w:r>
      <w:r>
        <w:rPr>
          <w:color w:val="000000"/>
          <w:spacing w:val="0"/>
          <w:w w:val="100"/>
          <w:position w:val="0"/>
        </w:rPr>
        <w:t>主要系公司执行新租赁准则，租赁办公场所增加所致。</w:t>
      </w:r>
    </w:p>
    <w:p>
      <w:pPr>
        <w:pStyle w:val="Style28"/>
        <w:keepNext/>
        <w:keepLines/>
        <w:widowControl w:val="0"/>
        <w:shd w:val="clear" w:color="auto" w:fill="auto"/>
        <w:bidi w:val="0"/>
        <w:spacing w:before="0" w:after="34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3</w:t>
      </w:r>
      <w:bookmarkEnd w:id="1352"/>
      <w:r>
        <w:rPr>
          <w:rFonts w:ascii="Times New Roman" w:eastAsia="Times New Roman" w:hAnsi="Times New Roman" w:cs="Times New Roman"/>
          <w:color w:val="000000"/>
          <w:spacing w:val="0"/>
          <w:w w:val="100"/>
          <w:position w:val="0"/>
        </w:rPr>
        <w:t>4</w:t>
      </w:r>
      <w:r>
        <w:rPr>
          <w:color w:val="000000"/>
          <w:spacing w:val="0"/>
          <w:w w:val="100"/>
          <w:position w:val="0"/>
        </w:rPr>
        <w:t>、长期应付职工薪酬</w:t>
      </w:r>
      <w:bookmarkEnd w:id="1350"/>
      <w:bookmarkEnd w:id="1351"/>
      <w:bookmarkEnd w:id="1353"/>
    </w:p>
    <w:p>
      <w:pPr>
        <w:pStyle w:val="Style201"/>
        <w:keepNext/>
        <w:keepLines/>
        <w:widowControl w:val="0"/>
        <w:shd w:val="clear" w:color="auto" w:fill="auto"/>
        <w:bidi w:val="0"/>
        <w:spacing w:before="0" w:after="340" w:line="240" w:lineRule="auto"/>
        <w:ind w:left="0" w:right="0" w:firstLine="0"/>
        <w:jc w:val="left"/>
      </w:pPr>
      <w:bookmarkStart w:id="1354" w:name="bookmark1354"/>
      <w:bookmarkStart w:id="1355" w:name="bookmark1355"/>
      <w:bookmarkStart w:id="1356" w:name="bookmark13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354"/>
      <w:bookmarkEnd w:id="1355"/>
      <w:bookmarkEnd w:id="1356"/>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设定受益计划净负债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8,495,915.06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8,679,668.36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8,495,915.06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8,679,668.36</w:t>
            </w:r>
          </w:p>
        </w:tc>
      </w:tr>
    </w:tbl>
    <w:p>
      <w:pPr>
        <w:widowControl w:val="0"/>
        <w:spacing w:after="339" w:line="1" w:lineRule="exact"/>
      </w:pPr>
    </w:p>
    <w:p>
      <w:pPr>
        <w:pStyle w:val="Style201"/>
        <w:keepNext/>
        <w:keepLines/>
        <w:widowControl w:val="0"/>
        <w:shd w:val="clear" w:color="auto" w:fill="auto"/>
        <w:bidi w:val="0"/>
        <w:spacing w:before="0" w:after="340" w:line="240" w:lineRule="auto"/>
        <w:ind w:left="0" w:right="0" w:firstLine="0"/>
        <w:jc w:val="left"/>
      </w:pPr>
      <w:bookmarkStart w:id="1357" w:name="bookmark1357"/>
      <w:bookmarkStart w:id="1358" w:name="bookmark1358"/>
      <w:bookmarkStart w:id="1359" w:name="bookmark13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357"/>
      <w:bookmarkEnd w:id="1358"/>
      <w:bookmarkEnd w:id="1359"/>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8,679,668.36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10,295,318.20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二、计入当期损益的设定受益成本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1,045,913.26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-543,161.09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当期服务成本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-1,030,132.97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利息净额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226,442.82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486,971.88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1,229,666.56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1,072,488.75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已支付的福利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1,229,666.56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1,072,488.75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8,495,915.06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8,679,668.36</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计划资产:</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8,679,668.36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10,295,318.20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二、计入当期损益的设定受益成本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1,045,913.26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-543,161.09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1,229,666.56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1,072,488.75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8,495,915.06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8,679,668.36</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设定受益计划净负债（净资产）</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8,679,668.36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10,295,318.20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二、计入当期损益的设定受益成本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1,045,913.26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-543,161.09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1,229,666.56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1,072,488.75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8,495,915.06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8,679,668.36</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设定受益计划的内容及与之相关风险、对公司未来现金流量、时间和不确定性的影响说明:</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设定收益计划为由于历史原因形成的，公司按照郑州高新技术产业开发区热力公司文件郑开热司字 </w:t>
      </w:r>
      <w:r>
        <w:rPr>
          <w:b/>
          <w:bCs/>
          <w:color w:val="000000"/>
          <w:spacing w:val="0"/>
          <w:w w:val="100"/>
          <w:position w:val="0"/>
        </w:rPr>
        <w:t>[2006]08</w:t>
      </w:r>
      <w:r>
        <w:rPr>
          <w:color w:val="000000"/>
          <w:spacing w:val="0"/>
          <w:w w:val="100"/>
          <w:position w:val="0"/>
        </w:rPr>
        <w:t>号《郑州高新技术产业开发区热力公司内部退养制度》的规定给予内退职工一定金额的薪酬补贴。</w:t>
      </w:r>
    </w:p>
    <w:p>
      <w:pPr>
        <w:pStyle w:val="Style1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该计划主要涉及利率风险及福利水平增长风险，利率风险指计算计划福利义务现值时所采用的折现率 的选取依据是银行间债券市场的国债到期收益率，银行间债券市场的国债到期收益率的下降会产生精算损 失;福利水平增长风险指计算计划福利义务现值时所采用的各项福利增长率假设的选取依据是各项福利的 历史增长率水平和公司管理层对各项福利增长率的长期预期，若实际福利增长率水平高于精算假设，会产 生精算损失。</w:t>
      </w:r>
    </w:p>
    <w:p>
      <w:pPr>
        <w:pStyle w:val="Style1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该计划对公司未来现金流量、时间和不确定性不存在重大影响。</w:t>
      </w:r>
    </w:p>
    <w:p>
      <w:pPr>
        <w:pStyle w:val="Style10"/>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设定受益计划重大精算假设：</w:t>
      </w:r>
    </w:p>
    <w:tbl>
      <w:tblPr>
        <w:tblOverlap w:val="never"/>
        <w:jc w:val="center"/>
        <w:tblLayout w:type="fixed"/>
      </w:tblPr>
      <w:tblGrid>
        <w:gridCol w:w="4181"/>
        <w:gridCol w:w="546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精算假设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确定标准</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折现率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同期银行间债券市场的国债到期收益率</w:t>
            </w:r>
          </w:p>
        </w:tc>
      </w:tr>
    </w:tbl>
    <w:p>
      <w:pPr>
        <w:widowControl w:val="0"/>
        <w:spacing w:line="1" w:lineRule="exact"/>
      </w:pPr>
      <w:r>
        <w:br w:type="page"/>
      </w:r>
    </w:p>
    <w:tbl>
      <w:tblPr>
        <w:tblOverlap w:val="never"/>
        <w:jc w:val="center"/>
        <w:tblLayout w:type="fixed"/>
      </w:tblPr>
      <w:tblGrid>
        <w:gridCol w:w="4186"/>
        <w:gridCol w:w="546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离职率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福利增长率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正式退休年龄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男：干部</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岁、工人</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岁，女：干部</w:t>
            </w:r>
            <w:r>
              <w:rPr>
                <w:rFonts w:ascii="Times New Roman" w:eastAsia="Times New Roman" w:hAnsi="Times New Roman" w:cs="Times New Roman"/>
                <w:color w:val="000000"/>
                <w:spacing w:val="0"/>
                <w:w w:val="100"/>
                <w:position w:val="0"/>
                <w:sz w:val="18"/>
                <w:szCs w:val="18"/>
              </w:rPr>
              <w:t>55</w:t>
            </w:r>
            <w:r>
              <w:rPr>
                <w:color w:val="000000"/>
                <w:spacing w:val="0"/>
                <w:w w:val="100"/>
                <w:position w:val="0"/>
                <w:sz w:val="18"/>
                <w:szCs w:val="18"/>
              </w:rPr>
              <w:t>岁、工人</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岁</w:t>
            </w:r>
          </w:p>
        </w:tc>
      </w:tr>
    </w:tbl>
    <w:p>
      <w:pPr>
        <w:widowControl w:val="0"/>
        <w:spacing w:after="99" w:line="1" w:lineRule="exact"/>
      </w:pPr>
    </w:p>
    <w:p>
      <w:pPr>
        <w:pStyle w:val="Style10"/>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设定受益计划重大精算假设及敏感性分析结果说明:</w:t>
      </w:r>
    </w:p>
    <w:tbl>
      <w:tblPr>
        <w:tblOverlap w:val="never"/>
        <w:jc w:val="center"/>
        <w:tblLayout w:type="fixed"/>
      </w:tblPr>
      <w:tblGrid>
        <w:gridCol w:w="1747"/>
        <w:gridCol w:w="3058"/>
        <w:gridCol w:w="488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精算假设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对计划福利义务现值的影响（元）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对计划福利义务现值的影响（</w:t>
            </w:r>
            <w:r>
              <w:rPr>
                <w:color w:val="000000"/>
                <w:spacing w:val="0"/>
                <w:w w:val="100"/>
                <w:position w:val="0"/>
                <w:sz w:val="18"/>
                <w:szCs w:val="18"/>
              </w:rPr>
              <w:t>％</w:t>
            </w: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折现率</w:t>
            </w: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-116,559.03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折现率</w:t>
            </w: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119,241.13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3</w:t>
      </w:r>
      <w:bookmarkEnd w:id="1362"/>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1360"/>
      <w:bookmarkEnd w:id="1361"/>
      <w:bookmarkEnd w:id="1363"/>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工程质量维修基金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266,774.62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1,111,112.11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按历史经验测算维修费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恢复性大修费用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2,144,597.06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7,690,756.08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BOT</w:t>
            </w:r>
            <w:r>
              <w:rPr>
                <w:color w:val="000000"/>
                <w:spacing w:val="0"/>
                <w:w w:val="100"/>
                <w:position w:val="0"/>
                <w:sz w:val="18"/>
                <w:szCs w:val="18"/>
              </w:rPr>
              <w:t>合同约定</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2,411,371.68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8,801,868.19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其他说明，包括重要预计负债的相关重要假设、估计说明：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预计负债较年初减少</w:t>
      </w:r>
      <w:r>
        <w:rPr>
          <w:color w:val="000000"/>
          <w:spacing w:val="0"/>
          <w:w w:val="100"/>
          <w:position w:val="0"/>
        </w:rPr>
        <w:t xml:space="preserve">72. </w:t>
      </w:r>
      <w:r>
        <w:rPr>
          <w:color w:val="000000"/>
          <w:spacing w:val="0"/>
          <w:w w:val="100"/>
          <w:position w:val="0"/>
        </w:rPr>
        <w:t>60%，</w:t>
      </w:r>
      <w:r>
        <w:rPr>
          <w:color w:val="000000"/>
          <w:spacing w:val="0"/>
          <w:w w:val="100"/>
          <w:position w:val="0"/>
        </w:rPr>
        <w:t>主要系公司恢复性大修费用减少所致。</w:t>
      </w:r>
    </w:p>
    <w:p>
      <w:pPr>
        <w:pStyle w:val="Style28"/>
        <w:keepNext/>
        <w:keepLines/>
        <w:widowControl w:val="0"/>
        <w:shd w:val="clear" w:color="auto" w:fill="auto"/>
        <w:bidi w:val="0"/>
        <w:spacing w:before="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3</w:t>
      </w:r>
      <w:bookmarkEnd w:id="1366"/>
      <w:r>
        <w:rPr>
          <w:rFonts w:ascii="Times New Roman" w:eastAsia="Times New Roman" w:hAnsi="Times New Roman" w:cs="Times New Roman"/>
          <w:color w:val="000000"/>
          <w:spacing w:val="0"/>
          <w:w w:val="100"/>
          <w:position w:val="0"/>
        </w:rPr>
        <w:t>6</w:t>
      </w:r>
      <w:r>
        <w:rPr>
          <w:color w:val="000000"/>
          <w:spacing w:val="0"/>
          <w:w w:val="100"/>
          <w:position w:val="0"/>
        </w:rPr>
        <w:t>、递延收益</w:t>
      </w:r>
      <w:bookmarkEnd w:id="1364"/>
      <w:bookmarkEnd w:id="1365"/>
      <w:bookmarkEnd w:id="1367"/>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1,001,247,308.26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141,034,454.96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90,303,801.31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1,051,977,961.91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1,001,247,308.26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141,034,454.96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90,303,801.31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1,051,977,961.91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涉及政府补助的项目:</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190"/>
        <w:gridCol w:w="1075"/>
        <w:gridCol w:w="1013"/>
        <w:gridCol w:w="1008"/>
        <w:gridCol w:w="1013"/>
        <w:gridCol w:w="1008"/>
        <w:gridCol w:w="1008"/>
        <w:gridCol w:w="1248"/>
        <w:gridCol w:w="1018"/>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本期新增</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补助金额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本期计入</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营业外收</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本期计入 其他收益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本期冲减 成本费用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与收益 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城市基础设</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施配套费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972,959,52</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140,524,4</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79,903,58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1,033,580,39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与资产相 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能源节约补 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15,659,088.</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1,147,896.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14,511,192.15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与资产相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智能传感器</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工业互联网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与收益相 关</w:t>
            </w: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JY-RTO</w:t>
            </w:r>
            <w:r>
              <w:rPr>
                <w:color w:val="000000"/>
                <w:spacing w:val="0"/>
                <w:w w:val="100"/>
                <w:position w:val="0"/>
                <w:sz w:val="18"/>
                <w:szCs w:val="18"/>
              </w:rPr>
              <w:t>型大</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风量复杂挥</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发性有机气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3,120,000.0</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与资产相 关</w:t>
            </w:r>
          </w:p>
        </w:tc>
      </w:tr>
    </w:tbl>
    <w:p>
      <w:pPr>
        <w:widowControl w:val="0"/>
        <w:spacing w:line="1" w:lineRule="exact"/>
      </w:pPr>
      <w:r>
        <w:br w:type="page"/>
      </w:r>
    </w:p>
    <w:tbl>
      <w:tblPr>
        <w:tblOverlap w:val="never"/>
        <w:jc w:val="center"/>
        <w:tblLayout w:type="fixed"/>
      </w:tblPr>
      <w:tblGrid>
        <w:gridCol w:w="1190"/>
        <w:gridCol w:w="1075"/>
        <w:gridCol w:w="1013"/>
        <w:gridCol w:w="1008"/>
        <w:gridCol w:w="1013"/>
        <w:gridCol w:w="1008"/>
        <w:gridCol w:w="1008"/>
        <w:gridCol w:w="1248"/>
        <w:gridCol w:w="101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体控制项目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国家重点研</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硅基</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MEMS</w:t>
            </w:r>
            <w:r>
              <w:rPr>
                <w:color w:val="000000"/>
                <w:spacing w:val="0"/>
                <w:w w:val="100"/>
                <w:position w:val="0"/>
                <w:sz w:val="18"/>
                <w:szCs w:val="18"/>
              </w:rPr>
              <w:t>红外</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气体传感器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3,884,320.0</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3,276,320.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与收益相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市</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年重 大科技创新 专项款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与收益相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智慧市政管 理系统关键 技术研究及 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87,032.84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81,334.84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与收益相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其他政府补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22,339.95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22,339.95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与收益相 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其他政府补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510,000.0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182,324.0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392,675.92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与资产相 关</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1,001,247,3</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141,034,4</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90,303,80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1,051,977,96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3</w:t>
      </w:r>
      <w:bookmarkEnd w:id="1370"/>
      <w:r>
        <w:rPr>
          <w:rFonts w:ascii="Times New Roman" w:eastAsia="Times New Roman" w:hAnsi="Times New Roman" w:cs="Times New Roman"/>
          <w:color w:val="000000"/>
          <w:spacing w:val="0"/>
          <w:w w:val="100"/>
          <w:position w:val="0"/>
        </w:rPr>
        <w:t>7</w:t>
      </w:r>
      <w:r>
        <w:rPr>
          <w:color w:val="000000"/>
          <w:spacing w:val="0"/>
          <w:w w:val="100"/>
          <w:position w:val="0"/>
        </w:rPr>
        <w:t>、股本</w:t>
      </w:r>
      <w:bookmarkEnd w:id="1368"/>
      <w:bookmarkEnd w:id="1369"/>
      <w:bookmarkEnd w:id="1371"/>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200"/>
        <w:gridCol w:w="1200"/>
        <w:gridCol w:w="1195"/>
        <w:gridCol w:w="1195"/>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293,022,806.</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31,364,349.0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31,364,349.0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324,387,155.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本期非公开发行增加股本</w:t>
      </w:r>
      <w:r>
        <w:rPr>
          <w:color w:val="000000"/>
          <w:spacing w:val="0"/>
          <w:w w:val="100"/>
          <w:position w:val="0"/>
        </w:rPr>
        <w:t xml:space="preserve">31, 364, </w:t>
      </w:r>
      <w:r>
        <w:rPr>
          <w:color w:val="000000"/>
          <w:spacing w:val="0"/>
          <w:w w:val="100"/>
          <w:position w:val="0"/>
        </w:rPr>
        <w:t xml:space="preserve">349. </w:t>
      </w:r>
      <w:r>
        <w:rPr>
          <w:color w:val="000000"/>
          <w:spacing w:val="0"/>
          <w:w w:val="100"/>
          <w:position w:val="0"/>
        </w:rPr>
        <w:t>00</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rFonts w:ascii="Times New Roman" w:eastAsia="Times New Roman" w:hAnsi="Times New Roman" w:cs="Times New Roman"/>
          <w:color w:val="000000"/>
          <w:spacing w:val="0"/>
          <w:w w:val="100"/>
          <w:position w:val="0"/>
        </w:rPr>
        <w:t>8</w:t>
      </w:r>
      <w:r>
        <w:rPr>
          <w:color w:val="000000"/>
          <w:spacing w:val="0"/>
          <w:w w:val="100"/>
          <w:position w:val="0"/>
        </w:rPr>
        <w:t>、资本公积</w:t>
      </w:r>
      <w:bookmarkEnd w:id="1372"/>
      <w:bookmarkEnd w:id="1373"/>
      <w:bookmarkEnd w:id="1375"/>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580,149,457.74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574,009,479.94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1,154,158,937.68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32,867,116.58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16,508,103.95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49,375,220.53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613,016,574.32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590,517,583.89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1,203,534,158.21</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其他说明，包括本期增减变动情况、变动原因说明:</w:t>
      </w:r>
    </w:p>
    <w:p>
      <w:pPr>
        <w:widowControl w:val="0"/>
        <w:spacing w:after="159" w:line="1" w:lineRule="exact"/>
      </w:pPr>
    </w:p>
    <w:p>
      <w:pPr>
        <w:pStyle w:val="Style10"/>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（1）股本溢价本年增加金额为</w:t>
      </w:r>
      <w:r>
        <w:rPr>
          <w:b/>
          <w:bCs/>
          <w:color w:val="000000"/>
          <w:spacing w:val="0"/>
          <w:w w:val="100"/>
          <w:position w:val="0"/>
        </w:rPr>
        <w:t>574,009,479.94</w:t>
      </w:r>
      <w:r>
        <w:rPr>
          <w:color w:val="000000"/>
          <w:spacing w:val="0"/>
          <w:w w:val="100"/>
          <w:position w:val="0"/>
        </w:rPr>
        <w:t xml:space="preserve">元，其中：非公开发行增加559, 455, </w:t>
      </w:r>
      <w:r>
        <w:rPr>
          <w:color w:val="000000"/>
          <w:spacing w:val="0"/>
          <w:w w:val="100"/>
          <w:position w:val="0"/>
        </w:rPr>
        <w:t>114.9</w:t>
      </w:r>
      <w:r>
        <w:rPr>
          <w:color w:val="000000"/>
          <w:spacing w:val="0"/>
          <w:w w:val="100"/>
          <w:position w:val="0"/>
        </w:rPr>
        <w:t>7元；三级子</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公司高新供水同一控制下企业合并二级子公司百隆工程增加</w:t>
      </w:r>
      <w:r>
        <w:rPr>
          <w:color w:val="000000"/>
          <w:spacing w:val="0"/>
          <w:w w:val="100"/>
          <w:position w:val="0"/>
        </w:rPr>
        <w:t>14,041,677.8</w:t>
      </w:r>
      <w:r>
        <w:rPr>
          <w:color w:val="000000"/>
          <w:spacing w:val="0"/>
          <w:w w:val="100"/>
          <w:position w:val="0"/>
        </w:rPr>
        <w:t>2元；子公司汉威智慧安全、威</w:t>
        <w:br w:type="page"/>
      </w:r>
      <w:r>
        <w:rPr>
          <w:color w:val="000000"/>
          <w:spacing w:val="0"/>
          <w:w w:val="100"/>
          <w:position w:val="0"/>
        </w:rPr>
        <w:t xml:space="preserve">果科技、苏州能斯达、中敏传感股东权益比例变动增加512, </w:t>
      </w:r>
      <w:r>
        <w:rPr>
          <w:color w:val="000000"/>
          <w:spacing w:val="0"/>
          <w:w w:val="100"/>
          <w:position w:val="0"/>
        </w:rPr>
        <w:t xml:space="preserve">687. </w:t>
      </w:r>
      <w:r>
        <w:rPr>
          <w:color w:val="000000"/>
          <w:spacing w:val="0"/>
          <w:w w:val="100"/>
          <w:position w:val="0"/>
        </w:rPr>
        <w:t>15元。</w:t>
      </w:r>
    </w:p>
    <w:p>
      <w:pPr>
        <w:pStyle w:val="Style10"/>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(2)其他资本公积本年增加金额为</w:t>
      </w:r>
      <w:r>
        <w:rPr>
          <w:color w:val="000000"/>
          <w:spacing w:val="0"/>
          <w:w w:val="100"/>
          <w:position w:val="0"/>
        </w:rPr>
        <w:t>16,508,103.95</w:t>
      </w:r>
      <w:r>
        <w:rPr>
          <w:color w:val="000000"/>
          <w:spacing w:val="0"/>
          <w:w w:val="100"/>
          <w:position w:val="0"/>
        </w:rPr>
        <w:t xml:space="preserve">元，其中：2021年限制性股票激励计划确认股权激 励费用10, 057, </w:t>
      </w:r>
      <w:r>
        <w:rPr>
          <w:color w:val="000000"/>
          <w:spacing w:val="0"/>
          <w:w w:val="100"/>
          <w:position w:val="0"/>
        </w:rPr>
        <w:t xml:space="preserve">844. </w:t>
      </w:r>
      <w:r>
        <w:rPr>
          <w:color w:val="000000"/>
          <w:spacing w:val="0"/>
          <w:w w:val="100"/>
          <w:position w:val="0"/>
        </w:rPr>
        <w:t xml:space="preserve">01元；权益法核算享有的被投资单位除净利润、利润分配以及其他综合收益以外所有 者权益的其他变动金额6, 450, </w:t>
      </w:r>
      <w:r>
        <w:rPr>
          <w:color w:val="000000"/>
          <w:spacing w:val="0"/>
          <w:w w:val="100"/>
          <w:position w:val="0"/>
        </w:rPr>
        <w:t xml:space="preserve">259. </w:t>
      </w:r>
      <w:r>
        <w:rPr>
          <w:color w:val="000000"/>
          <w:spacing w:val="0"/>
          <w:w w:val="100"/>
          <w:position w:val="0"/>
        </w:rPr>
        <w:t>94元。</w:t>
      </w:r>
    </w:p>
    <w:p>
      <w:pPr>
        <w:pStyle w:val="Style28"/>
        <w:keepNext/>
        <w:keepLines/>
        <w:widowControl w:val="0"/>
        <w:shd w:val="clear" w:color="auto" w:fill="auto"/>
        <w:bidi w:val="0"/>
        <w:spacing w:before="0" w:after="140" w:line="480" w:lineRule="auto"/>
        <w:ind w:left="0" w:right="0" w:firstLine="0"/>
        <w:jc w:val="both"/>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3</w:t>
      </w:r>
      <w:bookmarkEnd w:id="1378"/>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376"/>
      <w:bookmarkEnd w:id="1377"/>
      <w:bookmarkEnd w:id="1379"/>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824"/>
        <w:gridCol w:w="1109"/>
        <w:gridCol w:w="1272"/>
        <w:gridCol w:w="1008"/>
        <w:gridCol w:w="1080"/>
        <w:gridCol w:w="850"/>
        <w:gridCol w:w="854"/>
        <w:gridCol w:w="850"/>
        <w:gridCol w:w="7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期末</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余额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本期所得税 前发生额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rPr>
                <w:sz w:val="18"/>
                <w:szCs w:val="18"/>
              </w:rPr>
            </w:pPr>
            <w:r>
              <w:rPr>
                <w:color w:val="000000"/>
                <w:spacing w:val="0"/>
                <w:w w:val="100"/>
                <w:position w:val="0"/>
                <w:sz w:val="18"/>
                <w:szCs w:val="18"/>
              </w:rPr>
              <w:t>减：前期 计入其他 综合收益 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减：前期计 入其他综 合收益当 期转入留 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税后归 属于母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税后归</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属于少</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二、将重分类进损益 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-237,338.83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-143,617.77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-343,8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640"/>
              <w:jc w:val="left"/>
              <w:rPr>
                <w:sz w:val="18"/>
                <w:szCs w:val="18"/>
              </w:rPr>
            </w:pPr>
            <w:r>
              <w:rPr>
                <w:color w:val="000000"/>
                <w:spacing w:val="0"/>
                <w:w w:val="100"/>
                <w:position w:val="0"/>
                <w:sz w:val="18"/>
                <w:szCs w:val="18"/>
              </w:rPr>
              <w:t>外币财务报 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-237,338.83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-143,617.77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-343,8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17.39</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-237,338.83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-143,617.77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-343,8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17.39</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both"/>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4</w:t>
      </w:r>
      <w:bookmarkEnd w:id="1382"/>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380"/>
      <w:bookmarkEnd w:id="1381"/>
      <w:bookmarkEnd w:id="1383"/>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58,114,623.55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20,329,049.77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78,443,673.32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58,114,623.55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20,329,049.77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78,443,673.32</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both"/>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4</w:t>
      </w:r>
      <w:bookmarkEnd w:id="1386"/>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384"/>
      <w:bookmarkEnd w:id="1385"/>
      <w:bookmarkEnd w:id="1387"/>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595,092,730.85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409,973,966.81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-1,885,871.43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1,117,855.87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593,206,859.42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411,091,822.68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263,186,796.48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205,534,778.34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20,329,049.77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15,087,370.85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应付普通股股利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17,581,368.36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6,446,499.32</w:t>
            </w:r>
          </w:p>
        </w:tc>
      </w:tr>
    </w:tbl>
    <w:p>
      <w:pPr>
        <w:widowControl w:val="0"/>
        <w:spacing w:line="1" w:lineRule="exact"/>
      </w:pPr>
      <w:r>
        <w:br w:type="page"/>
      </w:r>
    </w:p>
    <w:tbl>
      <w:tblPr>
        <w:tblOverlap w:val="never"/>
        <w:jc w:val="center"/>
        <w:tblLayout w:type="fixed"/>
      </w:tblPr>
      <w:tblGrid>
        <w:gridCol w:w="3730"/>
        <w:gridCol w:w="2923"/>
        <w:gridCol w:w="292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818,483,237.77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595,092,730.85</w:t>
            </w:r>
          </w:p>
        </w:tc>
      </w:tr>
    </w:tbl>
    <w:p>
      <w:pPr>
        <w:widowControl w:val="0"/>
        <w:spacing w:after="79" w:line="1" w:lineRule="exact"/>
      </w:pPr>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调整期初未分配利润明细：</w:t>
      </w:r>
    </w:p>
    <w:p>
      <w:pPr>
        <w:pStyle w:val="Style10"/>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由于《企业会计准则》及其相关新规定进行追溯调整，影响期初未分配利润</w:t>
      </w:r>
      <w:r>
        <w:rPr>
          <w:color w:val="000000"/>
          <w:spacing w:val="0"/>
          <w:w w:val="100"/>
          <w:position w:val="0"/>
        </w:rPr>
        <w:t>-1,885,871.43</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4</w:t>
      </w:r>
      <w:bookmarkEnd w:id="1390"/>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388"/>
      <w:bookmarkEnd w:id="1389"/>
      <w:bookmarkEnd w:id="1391"/>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2,252,892,986.06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1,502,155,672.77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1,890,913,609.81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1,258,792,823.42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63,319,058.83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38,727,814.73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50,255,301.08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32,735,856.74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2,316,212,044.89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1,540,883,487.50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1,941,168,910.89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1,291,528,680.16</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37"/>
        <w:gridCol w:w="1272"/>
        <w:gridCol w:w="1282"/>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上期收入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传感器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276,927,015.00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321,005,483.74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智慧安全系统解决方案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389,971,424.73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268,198,747.47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智慧环保系统解决方案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410,717,595.23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403,461,429.65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智慧城市系统解决方案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443,887,990.69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277,091,413.29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公用事业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755,454,063.85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636,571,002.69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39,253,955.39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34,840,834.05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2,181,351,450.32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1,817,449,282.52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95,606,639.18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88,878,794.32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37"/>
        <w:gridCol w:w="1272"/>
        <w:gridCol w:w="1282"/>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1,041,553,074.02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1,235,707,538.89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在某一时段内确认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1,235,405,015.48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670,620,537.95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与履约义务相关的信息:</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销售商品通常的履约时间在一个月以内，相关履约条款为根据合同约定收款及发货，在货物控制权转 移给客户时确认收入。</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提供劳务履约时间在通常在三年内，相关的条款为合同有效期内预收或分期收取服务费，按照服务期 间分摊确认收入。</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工程及服务履约时间较长，工程合同中约定了分次付款条件，双方按照合同完成进度进行结算确认。</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与分摊至剩余履约义务的交易价格相关的信息：</w:t>
      </w:r>
    </w:p>
    <w:p>
      <w:pPr>
        <w:pStyle w:val="Style10"/>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 xml:space="preserve">本报告期末已签订合同、但尚未履行或尚未履行完毕的履约义务所对应的收入金额为615, 102, </w:t>
      </w:r>
      <w:r>
        <w:rPr>
          <w:color w:val="000000"/>
          <w:spacing w:val="0"/>
          <w:w w:val="100"/>
          <w:position w:val="0"/>
        </w:rPr>
        <w:t xml:space="preserve">390. </w:t>
      </w:r>
      <w:r>
        <w:rPr>
          <w:color w:val="000000"/>
          <w:spacing w:val="0"/>
          <w:w w:val="100"/>
          <w:position w:val="0"/>
        </w:rPr>
        <w:t xml:space="preserve">68 元，其中，482, 844, </w:t>
      </w:r>
      <w:r>
        <w:rPr>
          <w:color w:val="000000"/>
          <w:spacing w:val="0"/>
          <w:w w:val="100"/>
          <w:position w:val="0"/>
        </w:rPr>
        <w:t xml:space="preserve">392. </w:t>
      </w:r>
      <w:r>
        <w:rPr>
          <w:color w:val="000000"/>
          <w:spacing w:val="0"/>
          <w:w w:val="100"/>
          <w:position w:val="0"/>
        </w:rPr>
        <w:t>95元预计将于2022年度确认收入，</w:t>
      </w:r>
      <w:r>
        <w:rPr>
          <w:color w:val="000000"/>
          <w:spacing w:val="0"/>
          <w:w w:val="100"/>
          <w:position w:val="0"/>
        </w:rPr>
        <w:t>70,822,671.05</w:t>
      </w:r>
      <w:r>
        <w:rPr>
          <w:color w:val="000000"/>
          <w:spacing w:val="0"/>
          <w:w w:val="100"/>
          <w:position w:val="0"/>
        </w:rPr>
        <w:t xml:space="preserve">元预计将于2023年度确认收 入，39, 561, </w:t>
      </w:r>
      <w:r>
        <w:rPr>
          <w:color w:val="000000"/>
          <w:spacing w:val="0"/>
          <w:w w:val="100"/>
          <w:position w:val="0"/>
        </w:rPr>
        <w:t xml:space="preserve">931. </w:t>
      </w:r>
      <w:r>
        <w:rPr>
          <w:color w:val="000000"/>
          <w:spacing w:val="0"/>
          <w:w w:val="100"/>
          <w:position w:val="0"/>
        </w:rPr>
        <w:t>39元预计将于2024年度确认收入。</w:t>
      </w:r>
    </w:p>
    <w:p>
      <w:pPr>
        <w:pStyle w:val="Style28"/>
        <w:keepNext/>
        <w:keepLines/>
        <w:widowControl w:val="0"/>
        <w:shd w:val="clear" w:color="auto" w:fill="auto"/>
        <w:bidi w:val="0"/>
        <w:spacing w:before="0" w:after="140" w:line="480" w:lineRule="auto"/>
        <w:ind w:left="0" w:right="0" w:firstLine="0"/>
        <w:jc w:val="both"/>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4</w:t>
      </w:r>
      <w:bookmarkEnd w:id="1394"/>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392"/>
      <w:bookmarkEnd w:id="1393"/>
      <w:bookmarkEnd w:id="1395"/>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5,518,630.34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5,027,470.31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4,036,938.01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3,650,971.31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7,554,624.64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6,925,941.97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1,596,308.00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972,350.85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1,703,850.57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1,033,642.54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115,904.57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20,470,278.52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17,726,281.55</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4</w:t>
      </w:r>
      <w:bookmarkEnd w:id="1398"/>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396"/>
      <w:bookmarkEnd w:id="1397"/>
      <w:bookmarkEnd w:id="1399"/>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工资、福利及社会统筹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86,270,147.63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74,926,148.51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16,498,374.82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13,100,212.46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12,408,554.01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10,269,912.33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124,126.77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4,431,942.23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31,041.81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184,930.00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广告、宣传费、展会费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6,772,682.63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4,867,598.05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办公费、租赁费、水电、电话及低耗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7,166,630.02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6,470,884.24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885,964.37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784,506.37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招标服务费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1,480,431.42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1,355,284.13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3,687,173.02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2,851,391.57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3,227,783.50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1,477,475.42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392,730.27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1,357,099.46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3,647,898.48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3,767,372.18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1,075,930.88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5,220,060.32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4,612,295.78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148,889,529.95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130,457,052.73</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4</w:t>
      </w:r>
      <w:bookmarkEnd w:id="1402"/>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400"/>
      <w:bookmarkEnd w:id="1401"/>
      <w:bookmarkEnd w:id="1403"/>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工资、福利及社会统筹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101,175,127.41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104,325,013.36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折旧及无形资产摊销费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19,671,559.94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17,346,413.23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6,329,590.19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7,622,779.68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14,218,315.64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14,109,429.83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2,825,557.39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2,603,211.23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11,299,339.64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9,939,751.09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2,557,994.17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2,267,103.58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8,159,142.46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9,934,571.94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9,520,300.20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176,171,198.78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167,734,002.20</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both"/>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4</w:t>
      </w:r>
      <w:bookmarkEnd w:id="1406"/>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404"/>
      <w:bookmarkEnd w:id="1405"/>
      <w:bookmarkEnd w:id="1407"/>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工资、福利及社会统筹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88,697,147.99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69,253,553.95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材料、燃料及动力费用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24,936,226.48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19,428,956.25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折旧费、摊销、租赁费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13,458,676.51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12,196,472.90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技术服务及委托开发费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18,134,303.53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17,821,053.89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办公、物业、展会费及低耗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4,443,082.21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2,534,187.30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论证、设计、评审、验收费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3,393,138.17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4,081,186.96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1,588,645.80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1,385,877.59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1,050,258.73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538,536.68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模具、装备、检验检测费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256,424.02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262,312.72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50,250.30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劳动保护费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81,640.68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822,770.67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1,168,679.00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875,434.90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158,052,519.31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128,509,464.12</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both"/>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408"/>
      <w:bookmarkEnd w:id="1409"/>
      <w:bookmarkEnd w:id="1411"/>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48,679,000.43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55,191,233.05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其中：租赁负债利息费用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269,154.70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22,174,632.01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18,635,467.55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1,388,924.47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3,048,115.22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540,458.86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481,877.37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489,653.88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28,435,671.75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40,575,411.97</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both"/>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4</w:t>
      </w:r>
      <w:bookmarkEnd w:id="1414"/>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412"/>
      <w:bookmarkEnd w:id="1413"/>
      <w:bookmarkEnd w:id="1415"/>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008"/>
        <w:gridCol w:w="2952"/>
        <w:gridCol w:w="262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城市基础设施配套费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98,613,130.83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81,667,803.02</w:t>
            </w:r>
          </w:p>
        </w:tc>
      </w:tr>
    </w:tbl>
    <w:p>
      <w:pPr>
        <w:widowControl w:val="0"/>
        <w:spacing w:line="1" w:lineRule="exact"/>
      </w:pPr>
      <w:r>
        <w:br w:type="page"/>
      </w:r>
    </w:p>
    <w:tbl>
      <w:tblPr>
        <w:tblOverlap w:val="never"/>
        <w:jc w:val="center"/>
        <w:tblLayout w:type="fixed"/>
      </w:tblPr>
      <w:tblGrid>
        <w:gridCol w:w="4008"/>
        <w:gridCol w:w="2952"/>
        <w:gridCol w:w="262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14,068,034.40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10,117,174.54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基于传感技术的大气质量监测云平台研究及应用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5,552,000.00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河南省郑洛新国际自主创新示范区建设专项资金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5,145,000.00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智能传感器工业互联网平台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郑州市制造业高质量发展专项资金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3,820,500.00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国家重点研发计划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硅基</w:t>
            </w:r>
            <w:r>
              <w:rPr>
                <w:rFonts w:ascii="Times New Roman" w:eastAsia="Times New Roman" w:hAnsi="Times New Roman" w:cs="Times New Roman"/>
                <w:color w:val="000000"/>
                <w:spacing w:val="0"/>
                <w:w w:val="100"/>
                <w:position w:val="0"/>
                <w:sz w:val="18"/>
                <w:szCs w:val="18"/>
              </w:rPr>
              <w:t>MEMS</w:t>
            </w:r>
            <w:r>
              <w:rPr>
                <w:color w:val="000000"/>
                <w:spacing w:val="0"/>
                <w:w w:val="100"/>
                <w:position w:val="0"/>
                <w:sz w:val="18"/>
                <w:szCs w:val="18"/>
              </w:rPr>
              <w:t>红外气体传感器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3,276,320.00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科技型企业研发费用后补助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3,082,000.00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3,910,000.00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1,371,281.57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11,675,629.49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以工代训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2,918,000.00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工业企业结构调整专项资金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5,530,000.00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智能制造企业培育奖励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3,130,000.00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其他与日常活动有关的政府补助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16,519,670.99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19,581,926.27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156,934,197.79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141,030,533.32</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416"/>
      <w:bookmarkEnd w:id="1417"/>
      <w:bookmarkEnd w:id="1419"/>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4,814,171.82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5,452,120.38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债务重组收益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-567,186.65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860,246.49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5,795,638.31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5,884,933.73</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5</w:t>
      </w:r>
      <w:bookmarkEnd w:id="1422"/>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420"/>
      <w:bookmarkEnd w:id="1421"/>
      <w:bookmarkEnd w:id="1423"/>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72,087.67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72,087.67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5</w:t>
      </w:r>
      <w:bookmarkEnd w:id="142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424"/>
      <w:bookmarkEnd w:id="1425"/>
      <w:bookmarkEnd w:id="1427"/>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-2,208,974.50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-998,533.49</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-1,044,939.70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-74,116.50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-18,315,651.27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-21,752,471.81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-21,569,565.47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-22,825,121.80</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5</w:t>
      </w:r>
      <w:bookmarkEnd w:id="143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428"/>
      <w:bookmarkEnd w:id="1429"/>
      <w:bookmarkEnd w:id="1431"/>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590"/>
        <w:gridCol w:w="2794"/>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81,680.26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-968,338.78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854,416.12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-1,148,339.38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十三、其他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-151,280.18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33,334.12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784,816.20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-2,083,344.04</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5</w:t>
      </w:r>
      <w:bookmarkEnd w:id="143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432"/>
      <w:bookmarkEnd w:id="1433"/>
      <w:bookmarkEnd w:id="1435"/>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处置固定资产收益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-108,772.72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-12,922.42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-108,772.72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-12,922.42</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5</w:t>
      </w:r>
      <w:bookmarkEnd w:id="143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436"/>
      <w:bookmarkEnd w:id="1437"/>
      <w:bookmarkEnd w:id="1439"/>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603,239.91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986,073.76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603,239.91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违约金收入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233,210.00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41,053.72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644,293.63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1,219,283.76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644,293.63</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5</w:t>
      </w:r>
      <w:bookmarkEnd w:id="144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440"/>
      <w:bookmarkEnd w:id="1441"/>
      <w:bookmarkEnd w:id="1443"/>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395"/>
        <w:gridCol w:w="2395"/>
        <w:gridCol w:w="2390"/>
        <w:gridCol w:w="240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1,283,000.00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1,758,794.54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137,769.49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1,758,794.54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445,034.46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666,755.41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445,034.46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3,403,829.00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2,087,524.90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3,403,829.00</w:t>
            </w:r>
          </w:p>
        </w:tc>
      </w:tr>
    </w:tbl>
    <w:p>
      <w:pPr>
        <w:spacing w:lineRule="exact" w:line="1"/>
        <w:rPr>
          <w:sz w:val="2"/>
          <w:szCs w:val="2"/>
        </w:rPr>
      </w:pPr>
      <w:r>
        <w:br w:type="page"/>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营业外支出增加</w:t>
      </w:r>
      <w:r>
        <w:rPr>
          <w:color w:val="000000"/>
          <w:spacing w:val="0"/>
          <w:w w:val="100"/>
          <w:position w:val="0"/>
        </w:rPr>
        <w:t xml:space="preserve">63. </w:t>
      </w:r>
      <w:r>
        <w:rPr>
          <w:color w:val="000000"/>
          <w:spacing w:val="0"/>
          <w:w w:val="100"/>
          <w:position w:val="0"/>
        </w:rPr>
        <w:t>06%，</w:t>
      </w:r>
      <w:r>
        <w:rPr>
          <w:color w:val="000000"/>
          <w:spacing w:val="0"/>
          <w:w w:val="100"/>
          <w:position w:val="0"/>
        </w:rPr>
        <w:t>主要系公司非流动资产毁损报废损失增加所致。</w:t>
      </w:r>
    </w:p>
    <w:p>
      <w:pPr>
        <w:pStyle w:val="Style28"/>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5</w:t>
      </w:r>
      <w:bookmarkEnd w:id="144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444"/>
      <w:bookmarkEnd w:id="1445"/>
      <w:bookmarkEnd w:id="1447"/>
    </w:p>
    <w:p>
      <w:pPr>
        <w:pStyle w:val="Style201"/>
        <w:keepNext/>
        <w:keepLines/>
        <w:widowControl w:val="0"/>
        <w:shd w:val="clear" w:color="auto" w:fill="auto"/>
        <w:bidi w:val="0"/>
        <w:spacing w:before="0" w:after="360" w:line="240" w:lineRule="auto"/>
        <w:ind w:left="0" w:right="0" w:firstLine="0"/>
        <w:jc w:val="left"/>
      </w:pPr>
      <w:bookmarkStart w:id="1448" w:name="bookmark1448"/>
      <w:bookmarkStart w:id="1449" w:name="bookmark1449"/>
      <w:bookmarkStart w:id="1450" w:name="bookmark14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48"/>
      <w:bookmarkEnd w:id="1449"/>
      <w:bookmarkEnd w:id="1450"/>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54,986,610.82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39,789,944.58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2,256,076.86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-3,709,285.02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57,242,687.68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36,080,659.56</w:t>
            </w:r>
          </w:p>
        </w:tc>
      </w:tr>
    </w:tbl>
    <w:p>
      <w:pPr>
        <w:widowControl w:val="0"/>
        <w:spacing w:after="299" w:line="1" w:lineRule="exact"/>
      </w:pPr>
    </w:p>
    <w:p>
      <w:pPr>
        <w:pStyle w:val="Style201"/>
        <w:keepNext/>
        <w:keepLines/>
        <w:widowControl w:val="0"/>
        <w:shd w:val="clear" w:color="auto" w:fill="auto"/>
        <w:bidi w:val="0"/>
        <w:spacing w:before="0" w:after="360" w:line="240" w:lineRule="auto"/>
        <w:ind w:left="0" w:right="0" w:firstLine="0"/>
        <w:jc w:val="left"/>
      </w:pPr>
      <w:bookmarkStart w:id="1451" w:name="bookmark1451"/>
      <w:bookmarkStart w:id="1452" w:name="bookmark1452"/>
      <w:bookmarkStart w:id="1453" w:name="bookmark14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51"/>
      <w:bookmarkEnd w:id="1452"/>
      <w:bookmarkEnd w:id="1453"/>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382,458,225.49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57,368,733.82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5,177,889.96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2,589,644.02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-570,738.16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rPr>
                <w:sz w:val="18"/>
                <w:szCs w:val="18"/>
              </w:rPr>
            </w:pPr>
            <w:r>
              <w:rPr>
                <w:rFonts w:ascii="Times New Roman" w:eastAsia="Times New Roman" w:hAnsi="Times New Roman" w:cs="Times New Roman"/>
                <w:color w:val="000000"/>
                <w:spacing w:val="0"/>
                <w:w w:val="100"/>
                <w:position w:val="0"/>
                <w:sz w:val="18"/>
                <w:szCs w:val="18"/>
              </w:rPr>
              <w:t>6,659,611.04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rPr>
                <w:sz w:val="18"/>
                <w:szCs w:val="18"/>
              </w:rPr>
            </w:pPr>
            <w:r>
              <w:rPr>
                <w:rFonts w:ascii="Times New Roman" w:eastAsia="Times New Roman" w:hAnsi="Times New Roman" w:cs="Times New Roman"/>
                <w:color w:val="000000"/>
                <w:spacing w:val="0"/>
                <w:w w:val="100"/>
                <w:position w:val="0"/>
                <w:sz w:val="18"/>
                <w:szCs w:val="18"/>
              </w:rPr>
              <w:t>-4,699,895.57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rPr>
                <w:sz w:val="18"/>
                <w:szCs w:val="18"/>
              </w:rPr>
            </w:pPr>
            <w:r>
              <w:rPr>
                <w:rFonts w:ascii="Times New Roman" w:eastAsia="Times New Roman" w:hAnsi="Times New Roman" w:cs="Times New Roman"/>
                <w:color w:val="000000"/>
                <w:spacing w:val="0"/>
                <w:w w:val="100"/>
                <w:position w:val="0"/>
                <w:sz w:val="18"/>
                <w:szCs w:val="18"/>
              </w:rPr>
              <w:t>10,314,029.73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-19,596,587.16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rPr>
                <w:sz w:val="18"/>
                <w:szCs w:val="18"/>
              </w:rPr>
            </w:pPr>
            <w:r>
              <w:rPr>
                <w:rFonts w:ascii="Times New Roman" w:eastAsia="Times New Roman" w:hAnsi="Times New Roman" w:cs="Times New Roman"/>
                <w:color w:val="000000"/>
                <w:spacing w:val="0"/>
                <w:w w:val="100"/>
                <w:position w:val="0"/>
                <w:sz w:val="18"/>
                <w:szCs w:val="18"/>
              </w:rPr>
              <w:t>57,242,687.68</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5</w:t>
      </w:r>
      <w:bookmarkEnd w:id="1456"/>
      <w:r>
        <w:rPr>
          <w:rFonts w:ascii="Times New Roman" w:eastAsia="Times New Roman" w:hAnsi="Times New Roman" w:cs="Times New Roman"/>
          <w:color w:val="000000"/>
          <w:spacing w:val="0"/>
          <w:w w:val="100"/>
          <w:position w:val="0"/>
        </w:rPr>
        <w:t>7</w:t>
      </w:r>
      <w:r>
        <w:rPr>
          <w:color w:val="000000"/>
          <w:spacing w:val="0"/>
          <w:w w:val="100"/>
          <w:position w:val="0"/>
        </w:rPr>
        <w:t>、现金流量表项目</w:t>
      </w:r>
      <w:bookmarkEnd w:id="1454"/>
      <w:bookmarkEnd w:id="1455"/>
      <w:bookmarkEnd w:id="1457"/>
    </w:p>
    <w:p>
      <w:pPr>
        <w:pStyle w:val="Style201"/>
        <w:keepNext/>
        <w:keepLines/>
        <w:widowControl w:val="0"/>
        <w:shd w:val="clear" w:color="auto" w:fill="auto"/>
        <w:bidi w:val="0"/>
        <w:spacing w:before="0" w:after="360" w:line="240" w:lineRule="auto"/>
        <w:ind w:left="0" w:right="0" w:firstLine="0"/>
        <w:jc w:val="left"/>
      </w:pPr>
      <w:bookmarkStart w:id="1458" w:name="bookmark1458"/>
      <w:bookmarkStart w:id="1459" w:name="bookmark1459"/>
      <w:bookmarkStart w:id="1460" w:name="bookmark14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58"/>
      <w:bookmarkEnd w:id="1459"/>
      <w:bookmarkEnd w:id="1460"/>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147,087,301.39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241,097,960.12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22,093,327.85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18,754,287.56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保证金及往来款等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28,882,151.94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36,286,037.15</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193,083.07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461,481.79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198,255,864.25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296,599,766.62</w:t>
            </w:r>
          </w:p>
        </w:tc>
      </w:tr>
    </w:tbl>
    <w:p>
      <w:pPr>
        <w:widowControl w:val="0"/>
        <w:spacing w:after="299" w:line="1" w:lineRule="exact"/>
      </w:pPr>
    </w:p>
    <w:p>
      <w:pPr>
        <w:pStyle w:val="Style201"/>
        <w:keepNext/>
        <w:keepLines/>
        <w:widowControl w:val="0"/>
        <w:shd w:val="clear" w:color="auto" w:fill="auto"/>
        <w:bidi w:val="0"/>
        <w:spacing w:before="0" w:after="360" w:line="240" w:lineRule="auto"/>
        <w:ind w:left="0" w:right="0" w:firstLine="0"/>
        <w:jc w:val="left"/>
      </w:pPr>
      <w:bookmarkStart w:id="1461" w:name="bookmark1461"/>
      <w:bookmarkStart w:id="1462" w:name="bookmark1462"/>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61"/>
      <w:bookmarkEnd w:id="1462"/>
      <w:bookmarkEnd w:id="1463"/>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47,154,360.28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46,062,575.61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57,856,278.42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52,679,512.65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14,223,487.64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9,809,427.13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保证金及往来款等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55,969,414.86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51,588,103.99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542,378.86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971,531.25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支付代收款项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58,681,563.75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44,973,330.35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12,263,266.21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18,304,233.45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246,690,750.02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224,388,714.43</w:t>
            </w:r>
          </w:p>
        </w:tc>
      </w:tr>
    </w:tbl>
    <w:p>
      <w:pPr>
        <w:widowControl w:val="0"/>
        <w:spacing w:after="299" w:line="1" w:lineRule="exact"/>
      </w:pPr>
    </w:p>
    <w:p>
      <w:pPr>
        <w:pStyle w:val="Style201"/>
        <w:keepNext/>
        <w:keepLines/>
        <w:widowControl w:val="0"/>
        <w:shd w:val="clear" w:color="auto" w:fill="auto"/>
        <w:bidi w:val="0"/>
        <w:spacing w:before="0" w:after="36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w:t>
      </w:r>
      <w:bookmarkEnd w:id="1466"/>
      <w:r>
        <w:rPr>
          <w:rFonts w:ascii="Times New Roman" w:eastAsia="Times New Roman" w:hAnsi="Times New Roman" w:cs="Times New Roman"/>
          <w:color w:val="000000"/>
          <w:spacing w:val="0"/>
          <w:w w:val="100"/>
          <w:position w:val="0"/>
        </w:rPr>
        <w:t>3</w:t>
      </w:r>
      <w:r>
        <w:rPr>
          <w:color w:val="000000"/>
          <w:spacing w:val="0"/>
          <w:w w:val="100"/>
          <w:position w:val="0"/>
        </w:rPr>
        <w:t>）收到的其他与筹资活动有关的现金</w:t>
      </w:r>
      <w:bookmarkEnd w:id="1464"/>
      <w:bookmarkEnd w:id="1465"/>
      <w:bookmarkEnd w:id="1467"/>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票据贴现款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1,312,890.87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1,312,890.87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01"/>
        <w:keepNext/>
        <w:keepLines/>
        <w:widowControl w:val="0"/>
        <w:shd w:val="clear" w:color="auto" w:fill="auto"/>
        <w:bidi w:val="0"/>
        <w:spacing w:before="0" w:after="36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468"/>
      <w:bookmarkEnd w:id="1469"/>
      <w:bookmarkEnd w:id="1471"/>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非公开发行股票相关费用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531,364.35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少数股东减资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5,246,983.00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3,773,762.72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9,552,110.07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5</w:t>
      </w:r>
      <w:bookmarkEnd w:id="1474"/>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472"/>
      <w:bookmarkEnd w:id="1473"/>
      <w:bookmarkEnd w:id="1475"/>
    </w:p>
    <w:p>
      <w:pPr>
        <w:pStyle w:val="Style201"/>
        <w:keepNext/>
        <w:keepLines/>
        <w:widowControl w:val="0"/>
        <w:shd w:val="clear" w:color="auto" w:fill="auto"/>
        <w:bidi w:val="0"/>
        <w:spacing w:before="0" w:after="300" w:line="240" w:lineRule="auto"/>
        <w:ind w:left="0" w:right="0" w:firstLine="0"/>
        <w:jc w:val="left"/>
      </w:pPr>
      <w:bookmarkStart w:id="1476" w:name="bookmark1476"/>
      <w:bookmarkStart w:id="1477" w:name="bookmark1477"/>
      <w:bookmarkStart w:id="1478" w:name="bookmark14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76"/>
      <w:bookmarkEnd w:id="1477"/>
      <w:bookmarkEnd w:id="1478"/>
      <w:r>
        <w:br w:type="page"/>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862"/>
        <w:gridCol w:w="2338"/>
        <w:gridCol w:w="238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325,215,537.81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249,683,196.25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-784,816.20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2,083,344.04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21,569,565.47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22,825,121.80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固定资产折旧、油气资产折耗、生产性生物资产折 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141,238,795.99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102,592,543.82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3,583,686.33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33,320,006.11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37,535,100.92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6,077,099.33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6,732,214.38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8"/>
                <w:szCs w:val="18"/>
              </w:rPr>
            </w:pPr>
            <w:r>
              <w:rPr>
                <w:color w:val="000000"/>
                <w:spacing w:val="0"/>
                <w:w w:val="100"/>
                <w:position w:val="0"/>
                <w:sz w:val="18"/>
                <w:szCs w:val="18"/>
              </w:rPr>
              <w:t>处置固定资产、无形资产和其他长期资产的损失</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108,772.72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固定资产报废损失（收益以"一”号填列）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1,758,794.54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137,769.49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公允价值变动损失（收益以“一”号填列）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-72,087.67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48,679,000.43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55,191,233.05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-5,795,638.31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递延所得税资产减少（增加以“一”号填列）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3,045,699.45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-2,533,205.00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递延所得税负债增加（减少以“一”号填列）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-789,622.59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-1,196,572.22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存货的减少（增加以"一”号填列）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-117,637,347.02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-2,532,700.94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经营性应收项目的减少（增加以“一”号填列）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-286,101,731.95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68,028,528.48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经营性应付项目的增加（减少以“一”号填列）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40,910,263.05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47,562,172.77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214,325,977.49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586,121,669.26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1,400,105,628.77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1,333,829,473.75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1,333,829,473.75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1,199,715,466.72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66,276,155.02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134,114,007.03</w:t>
            </w:r>
          </w:p>
        </w:tc>
      </w:tr>
    </w:tbl>
    <w:p>
      <w:pPr>
        <w:spacing w:lineRule="exact" w:line="1"/>
        <w:rPr>
          <w:sz w:val="2"/>
          <w:szCs w:val="2"/>
        </w:rPr>
      </w:pPr>
      <w:r>
        <w:br w:type="page"/>
      </w:r>
    </w:p>
    <w:p>
      <w:pPr>
        <w:pStyle w:val="Style201"/>
        <w:keepNext/>
        <w:keepLines/>
        <w:widowControl w:val="0"/>
        <w:shd w:val="clear" w:color="auto" w:fill="auto"/>
        <w:bidi w:val="0"/>
        <w:spacing w:before="0" w:after="360" w:line="240" w:lineRule="auto"/>
        <w:ind w:left="0" w:right="0" w:firstLine="0"/>
        <w:jc w:val="left"/>
      </w:pPr>
      <w:bookmarkStart w:id="1479" w:name="bookmark1479"/>
      <w:bookmarkStart w:id="1480" w:name="bookmark1480"/>
      <w:bookmarkStart w:id="1481" w:name="bookmark14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79"/>
      <w:bookmarkEnd w:id="1480"/>
      <w:bookmarkEnd w:id="1481"/>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1,400,105,628.77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1,333,829,473.75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164,548.61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210,999.16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1,399,716,985.20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1,333,549,044.96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224,094.96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69,429.63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1,400,105,628.77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1,333,829,473.75</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5</w:t>
      </w:r>
      <w:bookmarkEnd w:id="1484"/>
      <w:r>
        <w:rPr>
          <w:rFonts w:ascii="Times New Roman" w:eastAsia="Times New Roman" w:hAnsi="Times New Roman" w:cs="Times New Roman"/>
          <w:color w:val="000000"/>
          <w:spacing w:val="0"/>
          <w:w w:val="100"/>
          <w:position w:val="0"/>
        </w:rPr>
        <w:t>9</w:t>
      </w:r>
      <w:r>
        <w:rPr>
          <w:color w:val="000000"/>
          <w:spacing w:val="0"/>
          <w:w w:val="100"/>
          <w:position w:val="0"/>
        </w:rPr>
        <w:t>、所有权或使用权受到限制的资产</w:t>
      </w:r>
      <w:bookmarkEnd w:id="1482"/>
      <w:bookmarkEnd w:id="1483"/>
      <w:bookmarkEnd w:id="1485"/>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544"/>
        <w:gridCol w:w="2366"/>
        <w:gridCol w:w="46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15,320,242.99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保证金存款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5,990,388.01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已背书或贴现且在资产负债表日尚未到期的应收票据</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3,428,530.55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银行借款抵押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4,382,642.14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银行借款质押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4,358,379.34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银行借款抵押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33,695,738.46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银行借款抵押</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67,175,921.49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6</w:t>
      </w:r>
      <w:bookmarkEnd w:id="1488"/>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486"/>
      <w:bookmarkEnd w:id="1487"/>
      <w:bookmarkEnd w:id="1489"/>
    </w:p>
    <w:p>
      <w:pPr>
        <w:pStyle w:val="Style201"/>
        <w:keepNext/>
        <w:keepLines/>
        <w:widowControl w:val="0"/>
        <w:shd w:val="clear" w:color="auto" w:fill="auto"/>
        <w:bidi w:val="0"/>
        <w:spacing w:before="0" w:after="360" w:line="240" w:lineRule="auto"/>
        <w:ind w:left="0" w:right="0" w:firstLine="0"/>
        <w:jc w:val="left"/>
      </w:pPr>
      <w:bookmarkStart w:id="1490" w:name="bookmark1490"/>
      <w:bookmarkStart w:id="1491" w:name="bookmark1491"/>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90"/>
      <w:bookmarkEnd w:id="1491"/>
      <w:bookmarkEnd w:id="1492"/>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501"/>
        <w:gridCol w:w="2294"/>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13,704,388.22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2,132,941.23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13,598,993.40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13,795.03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99,595.98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兹罗提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225.77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647.55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5,573.07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4,639,809.39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4,471,233.78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20,211.89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145,923.78</w:t>
            </w:r>
          </w:p>
        </w:tc>
      </w:tr>
    </w:tbl>
    <w:p>
      <w:pPr>
        <w:widowControl w:val="0"/>
        <w:spacing w:line="1" w:lineRule="exact"/>
      </w:pPr>
      <w:r>
        <w:br w:type="page"/>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兹罗提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14,412.31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22,651.83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1,179,100.81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184,255.91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1,174,760.41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兹罗提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2,761.60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4,340.40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6,768.95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兹罗提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4,306.77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6,768.95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26,421.48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兹罗提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16,810.77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26,421.48</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6</w:t>
      </w:r>
      <w:bookmarkEnd w:id="1495"/>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1493"/>
      <w:bookmarkEnd w:id="1494"/>
      <w:bookmarkEnd w:id="1496"/>
    </w:p>
    <w:p>
      <w:pPr>
        <w:pStyle w:val="Style201"/>
        <w:keepNext/>
        <w:keepLines/>
        <w:widowControl w:val="0"/>
        <w:shd w:val="clear" w:color="auto" w:fill="auto"/>
        <w:bidi w:val="0"/>
        <w:spacing w:before="0" w:after="320" w:line="240" w:lineRule="auto"/>
        <w:ind w:left="0" w:right="0" w:firstLine="0"/>
        <w:jc w:val="left"/>
      </w:pPr>
      <w:bookmarkStart w:id="1497" w:name="bookmark1497"/>
      <w:bookmarkStart w:id="1498" w:name="bookmark1498"/>
      <w:bookmarkStart w:id="1499" w:name="bookmark14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97"/>
      <w:bookmarkEnd w:id="1498"/>
      <w:bookmarkEnd w:id="1499"/>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254"/>
        <w:gridCol w:w="1536"/>
        <w:gridCol w:w="2832"/>
        <w:gridCol w:w="19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计入当期损益的金额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城市基础设施配套费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79,694,511.23</w:t>
            </w:r>
            <w:r>
              <w:rPr>
                <w:color w:val="000000"/>
                <w:spacing w:val="0"/>
                <w:w w:val="100"/>
                <w:position w:val="0"/>
                <w:sz w:val="18"/>
                <w:szCs w:val="18"/>
              </w:rPr>
              <w:t xml:space="preserve">元，其他 收益 </w:t>
            </w:r>
            <w:r>
              <w:rPr>
                <w:rFonts w:ascii="Times New Roman" w:eastAsia="Times New Roman" w:hAnsi="Times New Roman" w:cs="Times New Roman"/>
                <w:color w:val="000000"/>
                <w:spacing w:val="0"/>
                <w:w w:val="100"/>
                <w:position w:val="0"/>
                <w:sz w:val="18"/>
                <w:szCs w:val="18"/>
              </w:rPr>
              <w:t xml:space="preserve">20,305,488.77 </w:t>
            </w:r>
            <w:r>
              <w:rPr>
                <w:color w:val="000000"/>
                <w:spacing w:val="0"/>
                <w:w w:val="100"/>
                <w:position w:val="0"/>
                <w:sz w:val="18"/>
                <w:szCs w:val="18"/>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20,305,488.77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14,068,034.40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14,068,034.40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基于传感技术的大气质量监测云平台 研究及应用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5,552,000.00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5,552,000.00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河南省郑洛新国际自主创新示范区建 设专项资金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5,145,000.00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郑州市制造业高质量发展专项资金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3,820,500.00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3,820,500.00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科技型企业研发费用后补助专项资金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3,082,000.00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3,082,000.00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1,371,281.57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1,371,281.57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486,260.00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486,260.00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其他与日常活动有关的政府补助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14,905,775.47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392,675.92</w:t>
            </w:r>
            <w:r>
              <w:rPr>
                <w:color w:val="000000"/>
                <w:spacing w:val="0"/>
                <w:w w:val="100"/>
                <w:position w:val="0"/>
                <w:sz w:val="18"/>
                <w:szCs w:val="18"/>
              </w:rPr>
              <w:t xml:space="preserve">元，其他收益 </w:t>
            </w:r>
            <w:r>
              <w:rPr>
                <w:rFonts w:ascii="Times New Roman" w:eastAsia="Times New Roman" w:hAnsi="Times New Roman" w:cs="Times New Roman"/>
                <w:color w:val="000000"/>
                <w:spacing w:val="0"/>
                <w:w w:val="100"/>
                <w:position w:val="0"/>
                <w:sz w:val="18"/>
                <w:szCs w:val="18"/>
              </w:rPr>
              <w:t xml:space="preserve">14,513,099.55 </w:t>
            </w:r>
            <w:r>
              <w:rPr>
                <w:color w:val="000000"/>
                <w:spacing w:val="0"/>
                <w:w w:val="100"/>
                <w:position w:val="0"/>
                <w:sz w:val="18"/>
                <w:szCs w:val="18"/>
              </w:rPr>
              <w:t>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14,513,099.55</w:t>
            </w:r>
          </w:p>
        </w:tc>
      </w:tr>
    </w:tbl>
    <w:p>
      <w:pPr>
        <w:pStyle w:val="Style19"/>
        <w:keepNext/>
        <w:keepLines/>
        <w:widowControl w:val="0"/>
        <w:shd w:val="clear" w:color="auto" w:fill="auto"/>
        <w:bidi w:val="0"/>
        <w:spacing w:before="0" w:after="14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sz w:val="24"/>
          <w:szCs w:val="24"/>
        </w:rPr>
        <w:t>八</w:t>
      </w:r>
      <w:bookmarkEnd w:id="1502"/>
      <w:r>
        <w:rPr>
          <w:color w:val="000000"/>
          <w:spacing w:val="0"/>
          <w:w w:val="100"/>
          <w:position w:val="0"/>
          <w:sz w:val="24"/>
          <w:szCs w:val="24"/>
        </w:rPr>
        <w:t>、合并范围的变更</w:t>
      </w:r>
      <w:bookmarkEnd w:id="1500"/>
      <w:bookmarkEnd w:id="1501"/>
      <w:bookmarkEnd w:id="1503"/>
    </w:p>
    <w:p>
      <w:pPr>
        <w:pStyle w:val="Style28"/>
        <w:keepNext/>
        <w:keepLines/>
        <w:widowControl w:val="0"/>
        <w:shd w:val="clear" w:color="auto" w:fill="auto"/>
        <w:bidi w:val="0"/>
        <w:spacing w:before="0" w:line="470" w:lineRule="exact"/>
        <w:ind w:left="0" w:right="0" w:firstLine="0"/>
        <w:jc w:val="left"/>
      </w:pPr>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504"/>
      <w:bookmarkEnd w:id="1505"/>
      <w:bookmarkEnd w:id="1506"/>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10"/>
        <w:keepNext w:val="0"/>
        <w:keepLines w:val="0"/>
        <w:widowControl w:val="0"/>
        <w:shd w:val="clear" w:color="auto" w:fill="auto"/>
        <w:tabs>
          <w:tab w:pos="923" w:val="left"/>
        </w:tabs>
        <w:bidi w:val="0"/>
        <w:spacing w:before="0" w:after="0" w:line="470" w:lineRule="exact"/>
        <w:ind w:left="0" w:right="0" w:firstLine="440"/>
        <w:jc w:val="left"/>
      </w:pPr>
      <w:bookmarkStart w:id="1507" w:name="bookmark1507"/>
      <w:r>
        <w:rPr>
          <w:color w:val="000000"/>
          <w:spacing w:val="0"/>
          <w:w w:val="100"/>
          <w:position w:val="0"/>
        </w:rPr>
        <w:t>（</w:t>
      </w:r>
      <w:bookmarkEnd w:id="1507"/>
      <w:r>
        <w:rPr>
          <w:color w:val="000000"/>
          <w:spacing w:val="0"/>
          <w:w w:val="100"/>
          <w:position w:val="0"/>
        </w:rPr>
        <w:t>1）</w:t>
        <w:tab/>
        <w:t>2021年4月，公司投资设立子公司深圳汉威物联有限公司，持股比例100%，纳入合并范围。</w:t>
      </w:r>
    </w:p>
    <w:p>
      <w:pPr>
        <w:pStyle w:val="Style10"/>
        <w:keepNext w:val="0"/>
        <w:keepLines w:val="0"/>
        <w:widowControl w:val="0"/>
        <w:shd w:val="clear" w:color="auto" w:fill="auto"/>
        <w:tabs>
          <w:tab w:pos="1011" w:val="left"/>
        </w:tabs>
        <w:bidi w:val="0"/>
        <w:spacing w:before="0" w:after="0" w:line="470" w:lineRule="exact"/>
        <w:ind w:left="0" w:right="0" w:firstLine="440"/>
        <w:jc w:val="left"/>
      </w:pPr>
      <w:bookmarkStart w:id="1508" w:name="bookmark1508"/>
      <w:r>
        <w:rPr>
          <w:color w:val="000000"/>
          <w:spacing w:val="0"/>
          <w:w w:val="100"/>
          <w:position w:val="0"/>
        </w:rPr>
        <w:t>（</w:t>
      </w:r>
      <w:bookmarkEnd w:id="1508"/>
      <w:r>
        <w:rPr>
          <w:color w:val="000000"/>
          <w:spacing w:val="0"/>
          <w:w w:val="100"/>
          <w:position w:val="0"/>
        </w:rPr>
        <w:t>2）</w:t>
        <w:tab/>
        <w:t>2021年8月，公司投资设立苏州柔智电子科技合伙企业（有限合伙），认缴出资比例99.69%，公 司二级子公司汉威祥云（上海）数据服务有限公司认缴出资比例0.31%。本年苏州柔智电子科技合伙企业</w:t>
      </w:r>
    </w:p>
    <w:p>
      <w:pPr>
        <w:pStyle w:val="Style10"/>
        <w:keepNext w:val="0"/>
        <w:keepLines w:val="0"/>
        <w:widowControl w:val="0"/>
        <w:shd w:val="clear" w:color="auto" w:fill="auto"/>
        <w:bidi w:val="0"/>
        <w:spacing w:before="0" w:after="420" w:line="470" w:lineRule="exact"/>
        <w:ind w:left="0" w:right="0" w:firstLine="0"/>
        <w:jc w:val="left"/>
      </w:pPr>
      <w:r>
        <w:rPr>
          <w:color w:val="000000"/>
          <w:spacing w:val="0"/>
          <w:w w:val="100"/>
          <w:position w:val="0"/>
        </w:rPr>
        <w:t>（有限合伙）未开始经营，股东也均未实际出资。</w:t>
      </w:r>
    </w:p>
    <w:p>
      <w:pPr>
        <w:pStyle w:val="Style19"/>
        <w:keepNext/>
        <w:keepLines/>
        <w:widowControl w:val="0"/>
        <w:shd w:val="clear" w:color="auto" w:fill="auto"/>
        <w:bidi w:val="0"/>
        <w:spacing w:before="0" w:after="14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sz w:val="24"/>
          <w:szCs w:val="24"/>
        </w:rPr>
        <w:t>九</w:t>
      </w:r>
      <w:bookmarkEnd w:id="1511"/>
      <w:r>
        <w:rPr>
          <w:color w:val="000000"/>
          <w:spacing w:val="0"/>
          <w:w w:val="100"/>
          <w:position w:val="0"/>
          <w:sz w:val="24"/>
          <w:szCs w:val="24"/>
        </w:rPr>
        <w:t>、在其他主体中的权益</w:t>
      </w:r>
      <w:bookmarkEnd w:id="1509"/>
      <w:bookmarkEnd w:id="1510"/>
      <w:bookmarkEnd w:id="1512"/>
    </w:p>
    <w:p>
      <w:pPr>
        <w:pStyle w:val="Style28"/>
        <w:keepNext/>
        <w:keepLines/>
        <w:widowControl w:val="0"/>
        <w:shd w:val="clear" w:color="auto" w:fill="auto"/>
        <w:bidi w:val="0"/>
        <w:spacing w:before="0" w:after="140" w:line="470" w:lineRule="exact"/>
        <w:ind w:left="0" w:right="0" w:firstLine="0"/>
        <w:jc w:val="left"/>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13"/>
      <w:bookmarkEnd w:id="1514"/>
      <w:bookmarkEnd w:id="1515"/>
    </w:p>
    <w:p>
      <w:pPr>
        <w:pStyle w:val="Style201"/>
        <w:keepNext/>
        <w:keepLines/>
        <w:widowControl w:val="0"/>
        <w:shd w:val="clear" w:color="auto" w:fill="auto"/>
        <w:bidi w:val="0"/>
        <w:spacing w:before="0" w:after="320" w:line="470" w:lineRule="exact"/>
        <w:ind w:left="0" w:right="0" w:firstLine="0"/>
        <w:jc w:val="left"/>
      </w:pPr>
      <w:bookmarkStart w:id="1516" w:name="bookmark1516"/>
      <w:bookmarkStart w:id="1517" w:name="bookmark1517"/>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16"/>
      <w:bookmarkEnd w:id="1517"/>
      <w:bookmarkEnd w:id="1518"/>
    </w:p>
    <w:tbl>
      <w:tblPr>
        <w:tblOverlap w:val="never"/>
        <w:jc w:val="center"/>
        <w:tblLayout w:type="fixed"/>
      </w:tblPr>
      <w:tblGrid>
        <w:gridCol w:w="1325"/>
        <w:gridCol w:w="1262"/>
        <w:gridCol w:w="883"/>
        <w:gridCol w:w="2006"/>
        <w:gridCol w:w="1368"/>
        <w:gridCol w:w="917"/>
        <w:gridCol w:w="18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炜盛科技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气敏元件、传感器的开 发、生产、销售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汉威智慧安全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监控、检测仪表的研 发、生产、销售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沈阳汉威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仪器仪表销售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智威宇讯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技术推广、自主经营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公共安全设备及器材 的研发、销售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沈阳金建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电子地图、地理信息工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程项目开发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非同一控制下合并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上海英吉森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仪器仪表研发、生产、 销售、技术服务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非同一控制下合并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鞍山易兴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鞍山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鞍山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公共、环保领域</w:t>
            </w:r>
          </w:p>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SCADA</w:t>
            </w:r>
            <w:r>
              <w:rPr>
                <w:color w:val="000000"/>
                <w:spacing w:val="0"/>
                <w:w w:val="100"/>
                <w:position w:val="0"/>
                <w:sz w:val="18"/>
                <w:szCs w:val="18"/>
              </w:rPr>
              <w:t>系统开发、设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非同一控制下合并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嘉园环保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废水、废气环保工程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非同一控制下合并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汉威公用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城市基础设施建设、工 程设计及施工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威果科技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技术推广服务及电子 产品销售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bl>
    <w:p>
      <w:pPr>
        <w:widowControl w:val="0"/>
        <w:spacing w:line="1" w:lineRule="exact"/>
      </w:pPr>
      <w:r>
        <w:br w:type="page"/>
      </w:r>
    </w:p>
    <w:tbl>
      <w:tblPr>
        <w:tblOverlap w:val="never"/>
        <w:jc w:val="center"/>
        <w:tblLayout w:type="fixed"/>
      </w:tblPr>
      <w:tblGrid>
        <w:gridCol w:w="1325"/>
        <w:gridCol w:w="1262"/>
        <w:gridCol w:w="883"/>
        <w:gridCol w:w="2006"/>
        <w:gridCol w:w="1368"/>
        <w:gridCol w:w="917"/>
        <w:gridCol w:w="1819"/>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汉威智能仪表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智能水表及智能软件 系统的研发、销售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广东龙泉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软件、系统开发及管线 测漏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非同一控制下合并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雪城软件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软件、系统开发及运营 维护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非同一控制下合并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苏州能斯达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电子产品的研发及销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非同一控制下合并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德析检测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环境监测、公共卫生检 测与评价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非同一控制下合并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汉威智源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城市供热工程的承包、 建设及运营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汉威祥云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数据服务，技术开发、 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威研融创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数据科技等领域内的 技术开发、咨询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畅威物联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检测仪器仪表的研发、</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吉地艾斯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传感器、检测仪器的研 发、生产、销售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汉威智慧消防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消防专用设备研发、生 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山西腾星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气敏元件、传感器的开 发、生产、销售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非同一控制下合并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汉威香港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对外投资并购、进出口 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中敏传感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技术开发、技术转让、</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技术咨询、技术服务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深圳汉威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传感器开发、销售、技 术转让、技术服务、技 术咨询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苏州柔智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bl>
    <w:p>
      <w:pPr>
        <w:widowControl w:val="0"/>
        <w:spacing w:after="299" w:line="1" w:lineRule="exact"/>
      </w:pPr>
    </w:p>
    <w:p>
      <w:pPr>
        <w:pStyle w:val="Style201"/>
        <w:keepNext/>
        <w:keepLines/>
        <w:widowControl w:val="0"/>
        <w:shd w:val="clear" w:color="auto" w:fill="auto"/>
        <w:bidi w:val="0"/>
        <w:spacing w:before="0" w:after="360" w:line="240" w:lineRule="auto"/>
        <w:ind w:left="0" w:right="0" w:firstLine="0"/>
        <w:jc w:val="left"/>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19"/>
      <w:bookmarkEnd w:id="1520"/>
      <w:bookmarkEnd w:id="1521"/>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本期归属于少数股东 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期末少数股东权益余 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汉威公用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17,676,808.48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181,840,886.76</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42,386,032.42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249,887,732.75</w:t>
            </w:r>
          </w:p>
        </w:tc>
      </w:tr>
    </w:tbl>
    <w:p>
      <w:pPr>
        <w:widowControl w:val="0"/>
        <w:spacing w:after="319" w:line="1" w:lineRule="exact"/>
      </w:pPr>
    </w:p>
    <w:p>
      <w:pPr>
        <w:pStyle w:val="Style201"/>
        <w:keepNext/>
        <w:keepLines/>
        <w:widowControl w:val="0"/>
        <w:shd w:val="clear" w:color="auto" w:fill="auto"/>
        <w:bidi w:val="0"/>
        <w:spacing w:before="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22"/>
      <w:bookmarkEnd w:id="1523"/>
      <w:bookmarkEnd w:id="152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子公</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司名</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流动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非流</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动资</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资产</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流动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非流</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动负</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负债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流动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非流</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动资</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资产</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流动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非流</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动负</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负债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r>
      <w:tr>
        <w:trPr>
          <w:trHeight w:val="37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汉威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633,79</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454,13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374,57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3,422.</w:t>
            </w:r>
          </w:p>
        </w:tc>
      </w:tr>
      <w:tr>
        <w:trPr>
          <w:trHeight w:val="346"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37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汉威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0,326.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057,46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029,22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178,29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928,08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066,08</w:t>
            </w:r>
          </w:p>
        </w:tc>
      </w:tr>
      <w:tr>
        <w:trPr>
          <w:trHeight w:val="350"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r>
    </w:tbl>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综合收益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经营活动</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综合收益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经营活动</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现金流量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汉威公用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306,024,83</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60,864,242</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60,864,242</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203,700,29</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259,178,54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26,334,423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26,334,423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3,014,914.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汉威智源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486,411,74</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121,102,94</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121,102,94</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126,574,38</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395,411,56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98,436,949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98,436,949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194,914,70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2</w:t>
      </w:r>
      <w:bookmarkEnd w:id="1528"/>
      <w:r>
        <w:rPr>
          <w:color w:val="000000"/>
          <w:spacing w:val="0"/>
          <w:w w:val="100"/>
          <w:position w:val="0"/>
        </w:rPr>
        <w:t>、在子公司的所有者权益份额发生变化且仍控制子公司的交易</w:t>
      </w:r>
      <w:bookmarkEnd w:id="1526"/>
      <w:bookmarkEnd w:id="1527"/>
      <w:bookmarkEnd w:id="1529"/>
    </w:p>
    <w:p>
      <w:pPr>
        <w:pStyle w:val="Style201"/>
        <w:keepNext/>
        <w:keepLines/>
        <w:widowControl w:val="0"/>
        <w:shd w:val="clear" w:color="auto" w:fill="auto"/>
        <w:bidi w:val="0"/>
        <w:spacing w:before="0" w:after="180" w:line="240" w:lineRule="auto"/>
        <w:ind w:left="0" w:right="0" w:firstLine="0"/>
        <w:jc w:val="left"/>
      </w:pPr>
      <w:bookmarkStart w:id="1530" w:name="bookmark1530"/>
      <w:bookmarkStart w:id="1531" w:name="bookmark1531"/>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530"/>
      <w:bookmarkEnd w:id="1531"/>
      <w:bookmarkEnd w:id="1532"/>
    </w:p>
    <w:p>
      <w:pPr>
        <w:pStyle w:val="Style10"/>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2021</w:t>
      </w:r>
      <w:r>
        <w:rPr>
          <w:color w:val="000000"/>
          <w:spacing w:val="0"/>
          <w:w w:val="100"/>
          <w:position w:val="0"/>
        </w:rPr>
        <w:t xml:space="preserve">年7月，公司与汉威智慧安全少数股东陈丽英和刘晓君等签订减资协议，汉威智慧安全于2021年7 月和8月分别支付陈丽英减资款4, 169, </w:t>
      </w:r>
      <w:r>
        <w:rPr>
          <w:color w:val="000000"/>
          <w:spacing w:val="0"/>
          <w:w w:val="100"/>
          <w:position w:val="0"/>
        </w:rPr>
        <w:t xml:space="preserve">900. </w:t>
      </w:r>
      <w:r>
        <w:rPr>
          <w:color w:val="000000"/>
          <w:spacing w:val="0"/>
          <w:w w:val="100"/>
          <w:position w:val="0"/>
        </w:rPr>
        <w:t>00元、刘晓君减资款</w:t>
      </w:r>
      <w:r>
        <w:rPr>
          <w:color w:val="000000"/>
          <w:spacing w:val="0"/>
          <w:w w:val="100"/>
          <w:position w:val="0"/>
        </w:rPr>
        <w:t>1,077,083.00</w:t>
      </w:r>
      <w:r>
        <w:rPr>
          <w:color w:val="000000"/>
          <w:spacing w:val="0"/>
          <w:w w:val="100"/>
          <w:position w:val="0"/>
        </w:rPr>
        <w:t>元，少数股东减资后，公司 持有汉威智慧安全</w:t>
      </w:r>
      <w:r>
        <w:rPr>
          <w:color w:val="000000"/>
          <w:spacing w:val="0"/>
          <w:w w:val="100"/>
          <w:position w:val="0"/>
        </w:rPr>
        <w:t xml:space="preserve">98. </w:t>
      </w:r>
      <w:r>
        <w:rPr>
          <w:color w:val="000000"/>
          <w:spacing w:val="0"/>
          <w:w w:val="100"/>
          <w:position w:val="0"/>
        </w:rPr>
        <w:t>25%股权。</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w:t>
      </w:r>
      <w:r>
        <w:rPr>
          <w:b/>
          <w:bCs/>
          <w:color w:val="000000"/>
          <w:spacing w:val="0"/>
          <w:w w:val="100"/>
          <w:position w:val="0"/>
        </w:rPr>
        <w:t>021</w:t>
      </w:r>
      <w:r>
        <w:rPr>
          <w:color w:val="000000"/>
          <w:spacing w:val="0"/>
          <w:w w:val="100"/>
          <w:position w:val="0"/>
        </w:rPr>
        <w:t>年1</w:t>
      </w:r>
      <w:r>
        <w:rPr>
          <w:b/>
          <w:bCs/>
          <w:color w:val="000000"/>
          <w:spacing w:val="0"/>
          <w:w w:val="100"/>
          <w:position w:val="0"/>
        </w:rPr>
        <w:t>2</w:t>
      </w:r>
      <w:r>
        <w:rPr>
          <w:color w:val="000000"/>
          <w:spacing w:val="0"/>
          <w:w w:val="100"/>
          <w:position w:val="0"/>
        </w:rPr>
        <w:t>月1</w:t>
      </w:r>
      <w:r>
        <w:rPr>
          <w:b/>
          <w:bCs/>
          <w:color w:val="000000"/>
          <w:spacing w:val="0"/>
          <w:w w:val="100"/>
          <w:position w:val="0"/>
        </w:rPr>
        <w:t>5</w:t>
      </w:r>
      <w:r>
        <w:rPr>
          <w:color w:val="000000"/>
          <w:spacing w:val="0"/>
          <w:w w:val="100"/>
          <w:position w:val="0"/>
        </w:rPr>
        <w:t>日，公司与威果科技少数股东张世宏签订股权转让协议，公司以</w:t>
      </w:r>
      <w:r>
        <w:rPr>
          <w:b/>
          <w:bCs/>
          <w:color w:val="000000"/>
          <w:spacing w:val="0"/>
          <w:w w:val="100"/>
          <w:position w:val="0"/>
        </w:rPr>
        <w:t>300,000.00</w:t>
      </w:r>
      <w:r>
        <w:rPr>
          <w:color w:val="000000"/>
          <w:spacing w:val="0"/>
          <w:w w:val="100"/>
          <w:position w:val="0"/>
        </w:rPr>
        <w:t>元受让张世 宏持有的威果科技</w:t>
      </w:r>
      <w:r>
        <w:rPr>
          <w:b/>
          <w:bCs/>
          <w:color w:val="000000"/>
          <w:spacing w:val="0"/>
          <w:w w:val="100"/>
          <w:position w:val="0"/>
        </w:rPr>
        <w:t>5%</w:t>
      </w:r>
      <w:r>
        <w:rPr>
          <w:color w:val="000000"/>
          <w:spacing w:val="0"/>
          <w:w w:val="100"/>
          <w:position w:val="0"/>
        </w:rPr>
        <w:t>股权，本次股权转让后，公司持有威果科技6</w:t>
      </w:r>
      <w:r>
        <w:rPr>
          <w:b/>
          <w:bCs/>
          <w:color w:val="000000"/>
          <w:spacing w:val="0"/>
          <w:w w:val="100"/>
          <w:position w:val="0"/>
        </w:rPr>
        <w:t>5.85%</w:t>
      </w:r>
      <w:r>
        <w:rPr>
          <w:color w:val="000000"/>
          <w:spacing w:val="0"/>
          <w:w w:val="100"/>
          <w:position w:val="0"/>
        </w:rPr>
        <w:t>股权。</w:t>
      </w:r>
    </w:p>
    <w:p>
      <w:pPr>
        <w:pStyle w:val="Style10"/>
        <w:keepNext w:val="0"/>
        <w:keepLines w:val="0"/>
        <w:widowControl w:val="0"/>
        <w:shd w:val="clear" w:color="auto" w:fill="auto"/>
        <w:bidi w:val="0"/>
        <w:spacing w:before="0" w:after="320" w:line="470" w:lineRule="exact"/>
        <w:ind w:left="0" w:right="0" w:firstLine="440"/>
        <w:jc w:val="both"/>
      </w:pPr>
      <w:r>
        <w:rPr>
          <w:color w:val="000000"/>
          <w:spacing w:val="0"/>
          <w:w w:val="100"/>
          <w:position w:val="0"/>
        </w:rPr>
        <w:t>2</w:t>
      </w:r>
      <w:r>
        <w:rPr>
          <w:b/>
          <w:bCs/>
          <w:color w:val="000000"/>
          <w:spacing w:val="0"/>
          <w:w w:val="100"/>
          <w:position w:val="0"/>
        </w:rPr>
        <w:t>021</w:t>
      </w:r>
      <w:r>
        <w:rPr>
          <w:color w:val="000000"/>
          <w:spacing w:val="0"/>
          <w:w w:val="100"/>
          <w:position w:val="0"/>
        </w:rPr>
        <w:t>年8月公司与肖延岭、周震等签订增资协议，苏州能斯达于2</w:t>
      </w:r>
      <w:r>
        <w:rPr>
          <w:b/>
          <w:bCs/>
          <w:color w:val="000000"/>
          <w:spacing w:val="0"/>
          <w:w w:val="100"/>
          <w:position w:val="0"/>
        </w:rPr>
        <w:t>021</w:t>
      </w:r>
      <w:r>
        <w:rPr>
          <w:color w:val="000000"/>
          <w:spacing w:val="0"/>
          <w:w w:val="100"/>
          <w:position w:val="0"/>
        </w:rPr>
        <w:t xml:space="preserve">年8月收到肖延岭增资款 </w:t>
      </w:r>
      <w:r>
        <w:rPr>
          <w:color w:val="000000"/>
          <w:spacing w:val="0"/>
          <w:w w:val="100"/>
          <w:position w:val="0"/>
        </w:rPr>
        <w:t>1</w:t>
      </w:r>
      <w:r>
        <w:rPr>
          <w:b/>
          <w:bCs/>
          <w:color w:val="000000"/>
          <w:spacing w:val="0"/>
          <w:w w:val="100"/>
          <w:position w:val="0"/>
        </w:rPr>
        <w:t>,437,200.0</w:t>
      </w:r>
      <w:r>
        <w:rPr>
          <w:b/>
          <w:bCs/>
          <w:color w:val="000000"/>
          <w:spacing w:val="0"/>
          <w:w w:val="100"/>
          <w:position w:val="0"/>
        </w:rPr>
        <w:t>0</w:t>
      </w:r>
      <w:r>
        <w:rPr>
          <w:color w:val="000000"/>
          <w:spacing w:val="0"/>
          <w:w w:val="100"/>
          <w:position w:val="0"/>
        </w:rPr>
        <w:t>元，少数股东出资后，公司持有苏州能斯达</w:t>
      </w:r>
      <w:r>
        <w:rPr>
          <w:color w:val="000000"/>
          <w:spacing w:val="0"/>
          <w:w w:val="100"/>
          <w:position w:val="0"/>
        </w:rPr>
        <w:t>6</w:t>
      </w:r>
      <w:r>
        <w:rPr>
          <w:b/>
          <w:bCs/>
          <w:color w:val="000000"/>
          <w:spacing w:val="0"/>
          <w:w w:val="100"/>
          <w:position w:val="0"/>
        </w:rPr>
        <w:t>4</w:t>
      </w:r>
      <w:r>
        <w:rPr>
          <w:color w:val="000000"/>
          <w:spacing w:val="0"/>
          <w:w w:val="100"/>
          <w:position w:val="0"/>
        </w:rPr>
        <w:t xml:space="preserve">. </w:t>
      </w:r>
      <w:r>
        <w:rPr>
          <w:b/>
          <w:bCs/>
          <w:color w:val="000000"/>
          <w:spacing w:val="0"/>
          <w:w w:val="100"/>
          <w:position w:val="0"/>
        </w:rPr>
        <w:t>24</w:t>
      </w:r>
      <w:r>
        <w:rPr>
          <w:color w:val="000000"/>
          <w:spacing w:val="0"/>
          <w:w w:val="100"/>
          <w:position w:val="0"/>
        </w:rPr>
        <w:t>%股权。2020年4月18日，苏州能斯达以增资 扩股方式引进战略投资者，并签署投资协议，苏州柔创电子科技合伙企业（有限合伙）以</w:t>
      </w:r>
      <w:r>
        <w:rPr>
          <w:color w:val="000000"/>
          <w:spacing w:val="0"/>
          <w:w w:val="100"/>
          <w:position w:val="0"/>
        </w:rPr>
        <w:t>1,365,000.00</w:t>
      </w:r>
      <w:r>
        <w:rPr>
          <w:color w:val="000000"/>
          <w:spacing w:val="0"/>
          <w:w w:val="100"/>
          <w:position w:val="0"/>
        </w:rPr>
        <w:t xml:space="preserve">元 认缴苏州能斯达新增注册资本1, 365, </w:t>
      </w:r>
      <w:r>
        <w:rPr>
          <w:color w:val="000000"/>
          <w:spacing w:val="0"/>
          <w:w w:val="100"/>
          <w:position w:val="0"/>
        </w:rPr>
        <w:t xml:space="preserve">000. </w:t>
      </w:r>
      <w:r>
        <w:rPr>
          <w:color w:val="000000"/>
          <w:spacing w:val="0"/>
          <w:w w:val="100"/>
          <w:position w:val="0"/>
        </w:rPr>
        <w:t>00元。202</w:t>
      </w:r>
      <w:r>
        <w:rPr>
          <w:b/>
          <w:bCs/>
          <w:color w:val="000000"/>
          <w:spacing w:val="0"/>
          <w:w w:val="100"/>
          <w:position w:val="0"/>
        </w:rPr>
        <w:t>1</w:t>
      </w:r>
      <w:r>
        <w:rPr>
          <w:color w:val="000000"/>
          <w:spacing w:val="0"/>
          <w:w w:val="100"/>
          <w:position w:val="0"/>
        </w:rPr>
        <w:t>年</w:t>
      </w:r>
      <w:r>
        <w:rPr>
          <w:b/>
          <w:bCs/>
          <w:color w:val="000000"/>
          <w:spacing w:val="0"/>
          <w:w w:val="100"/>
          <w:position w:val="0"/>
        </w:rPr>
        <w:t>11</w:t>
      </w:r>
      <w:r>
        <w:rPr>
          <w:color w:val="000000"/>
          <w:spacing w:val="0"/>
          <w:w w:val="100"/>
          <w:position w:val="0"/>
        </w:rPr>
        <w:t>月苏州能斯达收到苏州柔创电子科技合伙企业</w:t>
      </w:r>
    </w:p>
    <w:p>
      <w:pPr>
        <w:pStyle w:val="Style10"/>
        <w:keepNext w:val="0"/>
        <w:keepLines w:val="0"/>
        <w:widowControl w:val="0"/>
        <w:shd w:val="clear" w:color="auto" w:fill="auto"/>
        <w:bidi w:val="0"/>
        <w:spacing w:before="0" w:after="0" w:line="467" w:lineRule="exact"/>
        <w:ind w:left="0" w:right="0" w:firstLine="0"/>
        <w:jc w:val="left"/>
      </w:pPr>
      <w:r>
        <w:rPr>
          <w:color w:val="000000"/>
          <w:spacing w:val="0"/>
          <w:w w:val="100"/>
          <w:position w:val="0"/>
        </w:rPr>
        <w:t>（有限合伙）第二笔出资款</w:t>
      </w:r>
      <w:r>
        <w:rPr>
          <w:b/>
          <w:bCs/>
          <w:color w:val="000000"/>
          <w:spacing w:val="0"/>
          <w:w w:val="100"/>
          <w:position w:val="0"/>
        </w:rPr>
        <w:t>153</w:t>
      </w:r>
      <w:r>
        <w:rPr>
          <w:color w:val="000000"/>
          <w:spacing w:val="0"/>
          <w:w w:val="100"/>
          <w:position w:val="0"/>
        </w:rPr>
        <w:t>,</w:t>
      </w:r>
      <w:r>
        <w:rPr>
          <w:b/>
          <w:bCs/>
          <w:color w:val="000000"/>
          <w:spacing w:val="0"/>
          <w:w w:val="100"/>
          <w:position w:val="0"/>
        </w:rPr>
        <w:t>608</w:t>
      </w:r>
      <w:r>
        <w:rPr>
          <w:color w:val="000000"/>
          <w:spacing w:val="0"/>
          <w:w w:val="100"/>
          <w:position w:val="0"/>
        </w:rPr>
        <w:t>.00</w:t>
      </w:r>
      <w:r>
        <w:rPr>
          <w:color w:val="000000"/>
          <w:spacing w:val="0"/>
          <w:w w:val="100"/>
          <w:position w:val="0"/>
        </w:rPr>
        <w:t>元后，公司持有苏州能斯达6</w:t>
      </w:r>
      <w:r>
        <w:rPr>
          <w:b/>
          <w:bCs/>
          <w:color w:val="000000"/>
          <w:spacing w:val="0"/>
          <w:w w:val="100"/>
          <w:position w:val="0"/>
        </w:rPr>
        <w:t>3.50</w:t>
      </w:r>
      <w:r>
        <w:rPr>
          <w:color w:val="000000"/>
          <w:spacing w:val="0"/>
          <w:w w:val="100"/>
          <w:position w:val="0"/>
        </w:rPr>
        <w:t>%股权。</w:t>
      </w:r>
    </w:p>
    <w:p>
      <w:pPr>
        <w:pStyle w:val="Style10"/>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 xml:space="preserve">2019年12月23日，公司与易度传感等10家公司签订《投资设立公司合同》，约定共同出资10, 000, </w:t>
      </w:r>
      <w:r>
        <w:rPr>
          <w:color w:val="000000"/>
          <w:spacing w:val="0"/>
          <w:w w:val="100"/>
          <w:position w:val="0"/>
        </w:rPr>
        <w:t xml:space="preserve">000. </w:t>
      </w:r>
      <w:r>
        <w:rPr>
          <w:color w:val="000000"/>
          <w:spacing w:val="0"/>
          <w:w w:val="100"/>
          <w:position w:val="0"/>
        </w:rPr>
        <w:t xml:space="preserve">00 元成立河南中敏传感器技术研究院有限公司，中敏传感于2021年5月共收到郑州易度传感技术有限公司等9 家公司出资款6, 800, </w:t>
      </w:r>
      <w:r>
        <w:rPr>
          <w:color w:val="000000"/>
          <w:spacing w:val="0"/>
          <w:w w:val="100"/>
          <w:position w:val="0"/>
        </w:rPr>
        <w:t xml:space="preserve">000. </w:t>
      </w:r>
      <w:r>
        <w:rPr>
          <w:color w:val="000000"/>
          <w:spacing w:val="0"/>
          <w:w w:val="100"/>
          <w:position w:val="0"/>
        </w:rPr>
        <w:t>00元，少数股东出资后，公司持有中敏传感</w:t>
      </w:r>
      <w:r>
        <w:rPr>
          <w:color w:val="000000"/>
          <w:spacing w:val="0"/>
          <w:w w:val="100"/>
          <w:position w:val="0"/>
        </w:rPr>
        <w:t xml:space="preserve">63. </w:t>
      </w:r>
      <w:r>
        <w:rPr>
          <w:color w:val="000000"/>
          <w:spacing w:val="0"/>
          <w:w w:val="100"/>
          <w:position w:val="0"/>
        </w:rPr>
        <w:t>36%股权。2</w:t>
      </w:r>
      <w:r>
        <w:rPr>
          <w:b/>
          <w:bCs/>
          <w:color w:val="000000"/>
          <w:spacing w:val="0"/>
          <w:w w:val="100"/>
          <w:position w:val="0"/>
        </w:rPr>
        <w:t>021</w:t>
      </w:r>
      <w:r>
        <w:rPr>
          <w:color w:val="000000"/>
          <w:spacing w:val="0"/>
          <w:w w:val="100"/>
          <w:position w:val="0"/>
        </w:rPr>
        <w:t>年1</w:t>
      </w:r>
      <w:r>
        <w:rPr>
          <w:b/>
          <w:bCs/>
          <w:color w:val="000000"/>
          <w:spacing w:val="0"/>
          <w:w w:val="100"/>
          <w:position w:val="0"/>
        </w:rPr>
        <w:t>2</w:t>
      </w:r>
      <w:r>
        <w:rPr>
          <w:color w:val="000000"/>
          <w:spacing w:val="0"/>
          <w:w w:val="100"/>
          <w:position w:val="0"/>
        </w:rPr>
        <w:t>月收到安然测 控出资款</w:t>
      </w:r>
      <w:r>
        <w:rPr>
          <w:b/>
          <w:bCs/>
          <w:color w:val="000000"/>
          <w:spacing w:val="0"/>
          <w:w w:val="100"/>
          <w:position w:val="0"/>
        </w:rPr>
        <w:t>500,000.00</w:t>
      </w:r>
      <w:r>
        <w:rPr>
          <w:color w:val="000000"/>
          <w:spacing w:val="0"/>
          <w:w w:val="100"/>
          <w:position w:val="0"/>
        </w:rPr>
        <w:t>元，少数股东出资后，公司持有中敏传感</w:t>
      </w:r>
      <w:r>
        <w:rPr>
          <w:color w:val="000000"/>
          <w:spacing w:val="0"/>
          <w:w w:val="100"/>
          <w:position w:val="0"/>
        </w:rPr>
        <w:t xml:space="preserve">59. </w:t>
      </w:r>
      <w:r>
        <w:rPr>
          <w:color w:val="000000"/>
          <w:spacing w:val="0"/>
          <w:w w:val="100"/>
          <w:position w:val="0"/>
        </w:rPr>
        <w:t>53</w:t>
      </w:r>
      <w:r>
        <w:rPr>
          <w:b/>
          <w:bCs/>
          <w:color w:val="000000"/>
          <w:spacing w:val="0"/>
          <w:w w:val="100"/>
          <w:position w:val="0"/>
        </w:rPr>
        <w:t>%</w:t>
      </w:r>
      <w:r>
        <w:rPr>
          <w:color w:val="000000"/>
          <w:spacing w:val="0"/>
          <w:w w:val="100"/>
          <w:position w:val="0"/>
        </w:rPr>
        <w:t>股权。</w:t>
      </w:r>
    </w:p>
    <w:p>
      <w:pPr>
        <w:pStyle w:val="Style201"/>
        <w:keepNext/>
        <w:keepLines/>
        <w:widowControl w:val="0"/>
        <w:shd w:val="clear" w:color="auto" w:fill="auto"/>
        <w:bidi w:val="0"/>
        <w:spacing w:before="0" w:line="467" w:lineRule="exact"/>
        <w:ind w:left="0" w:right="0" w:firstLine="0"/>
        <w:jc w:val="left"/>
      </w:pPr>
      <w:bookmarkStart w:id="1533" w:name="bookmark1533"/>
      <w:bookmarkStart w:id="1534" w:name="bookmark1534"/>
      <w:bookmarkStart w:id="1535" w:name="bookmark15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533"/>
      <w:bookmarkEnd w:id="1534"/>
      <w:bookmarkEnd w:id="1535"/>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814"/>
        <w:gridCol w:w="1114"/>
        <w:gridCol w:w="1200"/>
        <w:gridCol w:w="1272"/>
        <w:gridCol w:w="118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智慧安全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威果科技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苏州能斯达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中敏传感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处置对价合计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处置的股权比例计算的子公司净资产份额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-718,515.18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604,379.47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709,114.61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217,708.25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718,515.18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-304,379.47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-709,114.61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-217,708.25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其中：调整资本公积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718,515.18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-304,379.47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-709,114.61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-217,708.25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调整盈余公积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3</w:t>
      </w:r>
      <w:bookmarkEnd w:id="1538"/>
      <w:r>
        <w:rPr>
          <w:color w:val="000000"/>
          <w:spacing w:val="0"/>
          <w:w w:val="100"/>
          <w:position w:val="0"/>
        </w:rPr>
        <w:t>、在合营安排或联营企业中的权益</w:t>
      </w:r>
      <w:bookmarkEnd w:id="1536"/>
      <w:bookmarkEnd w:id="1537"/>
      <w:bookmarkEnd w:id="1539"/>
    </w:p>
    <w:p>
      <w:pPr>
        <w:pStyle w:val="Style201"/>
        <w:keepNext/>
        <w:keepLines/>
        <w:widowControl w:val="0"/>
        <w:shd w:val="clear" w:color="auto" w:fill="auto"/>
        <w:bidi w:val="0"/>
        <w:spacing w:before="0" w:after="340" w:line="240" w:lineRule="auto"/>
        <w:ind w:left="0" w:right="0" w:firstLine="0"/>
        <w:jc w:val="left"/>
      </w:pPr>
      <w:bookmarkStart w:id="1540" w:name="bookmark1540"/>
      <w:bookmarkStart w:id="1541" w:name="bookmark1541"/>
      <w:bookmarkStart w:id="1542" w:name="bookmark15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540"/>
      <w:bookmarkEnd w:id="1541"/>
      <w:bookmarkEnd w:id="1542"/>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51,465,890.99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52,756,454.42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2,514,357.64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1,728,472.85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2,514,357.64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1,728,472.85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82,992,903.49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74,242,829.37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2,299,814.18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3,723,647.53</w:t>
            </w:r>
          </w:p>
        </w:tc>
      </w:tr>
    </w:tbl>
    <w:p>
      <w:pPr>
        <w:widowControl w:val="0"/>
        <w:spacing w:line="1" w:lineRule="exact"/>
      </w:pPr>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2,299,814.18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3,723,647.53</w:t>
            </w:r>
          </w:p>
        </w:tc>
      </w:tr>
    </w:tbl>
    <w:p>
      <w:pPr>
        <w:widowControl w:val="0"/>
        <w:spacing w:after="319" w:line="1" w:lineRule="exact"/>
      </w:pPr>
    </w:p>
    <w:p>
      <w:pPr>
        <w:pStyle w:val="Style19"/>
        <w:keepNext/>
        <w:keepLines/>
        <w:widowControl w:val="0"/>
        <w:shd w:val="clear" w:color="auto" w:fill="auto"/>
        <w:bidi w:val="0"/>
        <w:spacing w:before="0" w:after="200" w:line="240" w:lineRule="auto"/>
        <w:ind w:left="0" w:right="0" w:firstLine="0"/>
        <w:jc w:val="left"/>
      </w:pPr>
      <w:bookmarkStart w:id="1543" w:name="bookmark1543"/>
      <w:bookmarkStart w:id="1544" w:name="bookmark1544"/>
      <w:bookmarkStart w:id="1545" w:name="bookmark1545"/>
      <w:r>
        <w:rPr>
          <w:color w:val="000000"/>
          <w:spacing w:val="0"/>
          <w:w w:val="100"/>
          <w:position w:val="0"/>
          <w:sz w:val="24"/>
          <w:szCs w:val="24"/>
        </w:rPr>
        <w:t>十、与金融工具相关的风险</w:t>
      </w:r>
      <w:bookmarkEnd w:id="1543"/>
      <w:bookmarkEnd w:id="1544"/>
      <w:bookmarkEnd w:id="1545"/>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公司的主要金融工具包括货币资金、应收票据、应收账款、其他应收款等，各项金融工具的详细情况 说明见本附注五相关项目。与这些金融工具有关的风险，以及公司为降低这些风险所采取的风险管理政策 如下所述。公司管理层对这些风险敞口进行管理和监控以确保将上述风险控制在限定的范围之内。</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公司从事风险管理的目标是在风险和收益之间取得适当的平衡，力求降低金融风险对公司财务业绩的 不利影响。基于该风险管理目标，公司已制定风险管理政策以辨别和分析公司所面临的风险，设定适当的 风险可接受水平并设计相应的内部控制程序，以监控公司的风险水平。公司会定期审阅这些风险管理政策 及有关内部控制系统，以适应市场情况或公司经营活动的改变。公司的内部审计部门也定期或随机检查内 部控制系统的执行是否符合风险管理政策。</w:t>
      </w:r>
    </w:p>
    <w:p>
      <w:pPr>
        <w:pStyle w:val="Style1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公司的金融工具导致的主要风险是信用风险、流动性风险、市场风险。</w:t>
      </w:r>
    </w:p>
    <w:p>
      <w:pPr>
        <w:pStyle w:val="Style10"/>
        <w:keepNext w:val="0"/>
        <w:keepLines w:val="0"/>
        <w:widowControl w:val="0"/>
        <w:shd w:val="clear" w:color="auto" w:fill="auto"/>
        <w:tabs>
          <w:tab w:pos="803" w:val="left"/>
        </w:tabs>
        <w:bidi w:val="0"/>
        <w:spacing w:before="0" w:after="0" w:line="467" w:lineRule="exact"/>
        <w:ind w:left="0" w:right="0" w:firstLine="440"/>
        <w:jc w:val="both"/>
      </w:pPr>
      <w:bookmarkStart w:id="1546" w:name="bookmark1546"/>
      <w:r>
        <w:rPr>
          <w:b/>
          <w:bCs/>
          <w:color w:val="000000"/>
          <w:spacing w:val="0"/>
          <w:w w:val="100"/>
          <w:position w:val="0"/>
        </w:rPr>
        <w:t>1</w:t>
      </w:r>
      <w:bookmarkEnd w:id="1546"/>
      <w:r>
        <w:rPr>
          <w:b/>
          <w:bCs/>
          <w:color w:val="000000"/>
          <w:spacing w:val="0"/>
          <w:w w:val="100"/>
          <w:position w:val="0"/>
        </w:rPr>
        <w:t>、</w:t>
        <w:tab/>
        <w:t>信用风险</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信用风险，是指金融工具的一方不履行义务，造成另一方发生财务损失的风险。公司的信用风险主要 来自银行存款和应收款项。为控制上述相关风险，公司分别采取了以下措施：</w:t>
      </w:r>
    </w:p>
    <w:p>
      <w:pPr>
        <w:pStyle w:val="Style10"/>
        <w:keepNext w:val="0"/>
        <w:keepLines w:val="0"/>
        <w:widowControl w:val="0"/>
        <w:shd w:val="clear" w:color="auto" w:fill="auto"/>
        <w:tabs>
          <w:tab w:pos="923" w:val="left"/>
        </w:tabs>
        <w:bidi w:val="0"/>
        <w:spacing w:before="0" w:after="0" w:line="467" w:lineRule="exact"/>
        <w:ind w:left="0" w:right="0" w:firstLine="440"/>
        <w:jc w:val="left"/>
      </w:pPr>
      <w:bookmarkStart w:id="1547" w:name="bookmark1547"/>
      <w:r>
        <w:rPr>
          <w:color w:val="000000"/>
          <w:spacing w:val="0"/>
          <w:w w:val="100"/>
          <w:position w:val="0"/>
        </w:rPr>
        <w:t>（</w:t>
      </w:r>
      <w:bookmarkEnd w:id="1547"/>
      <w:r>
        <w:rPr>
          <w:color w:val="000000"/>
          <w:spacing w:val="0"/>
          <w:w w:val="100"/>
          <w:position w:val="0"/>
        </w:rPr>
        <w:t>1）</w:t>
        <w:tab/>
        <w:t>银行存款</w:t>
      </w:r>
    </w:p>
    <w:p>
      <w:pPr>
        <w:pStyle w:val="Style1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公司将银行存款存放于信用评级较高的金融机构，其信用风险较低。</w:t>
      </w:r>
    </w:p>
    <w:p>
      <w:pPr>
        <w:pStyle w:val="Style10"/>
        <w:keepNext w:val="0"/>
        <w:keepLines w:val="0"/>
        <w:widowControl w:val="0"/>
        <w:shd w:val="clear" w:color="auto" w:fill="auto"/>
        <w:tabs>
          <w:tab w:pos="923" w:val="left"/>
        </w:tabs>
        <w:bidi w:val="0"/>
        <w:spacing w:before="0" w:after="0" w:line="467" w:lineRule="exact"/>
        <w:ind w:left="0" w:right="0" w:firstLine="440"/>
        <w:jc w:val="both"/>
      </w:pPr>
      <w:bookmarkStart w:id="1548" w:name="bookmark1548"/>
      <w:r>
        <w:rPr>
          <w:color w:val="000000"/>
          <w:spacing w:val="0"/>
          <w:w w:val="100"/>
          <w:position w:val="0"/>
        </w:rPr>
        <w:t>（</w:t>
      </w:r>
      <w:bookmarkEnd w:id="1548"/>
      <w:r>
        <w:rPr>
          <w:color w:val="000000"/>
          <w:spacing w:val="0"/>
          <w:w w:val="100"/>
          <w:position w:val="0"/>
        </w:rPr>
        <w:t>2）</w:t>
        <w:tab/>
        <w:t>应收款项</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公司定期及持续对采用信用方式交易的客户进行信用评估。根据信用评估结果，公司选择与经认可的 且信用良好的客户进行交易，并对其应收款项余额进行监控，以确保公司不会面临重大坏账风险。由于公 司的应收账款风险点分布于多个合作方和多个客户，截至202</w:t>
      </w:r>
      <w:r>
        <w:rPr>
          <w:b/>
          <w:bCs/>
          <w:color w:val="000000"/>
          <w:spacing w:val="0"/>
          <w:w w:val="100"/>
          <w:position w:val="0"/>
        </w:rPr>
        <w:t>1</w:t>
      </w:r>
      <w:r>
        <w:rPr>
          <w:color w:val="000000"/>
          <w:spacing w:val="0"/>
          <w:w w:val="100"/>
          <w:position w:val="0"/>
        </w:rPr>
        <w:t>年12月31日，公司不存在重大的信用集中风 险。</w:t>
      </w:r>
    </w:p>
    <w:p>
      <w:pPr>
        <w:pStyle w:val="Style1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公司所承受的最大信用风险敞口为资产负债表中每项金融资产的账面价值。</w:t>
      </w:r>
    </w:p>
    <w:p>
      <w:pPr>
        <w:pStyle w:val="Style10"/>
        <w:keepNext w:val="0"/>
        <w:keepLines w:val="0"/>
        <w:widowControl w:val="0"/>
        <w:shd w:val="clear" w:color="auto" w:fill="auto"/>
        <w:tabs>
          <w:tab w:pos="818" w:val="left"/>
        </w:tabs>
        <w:bidi w:val="0"/>
        <w:spacing w:before="0" w:after="0" w:line="467" w:lineRule="exact"/>
        <w:ind w:left="0" w:right="0" w:firstLine="440"/>
        <w:jc w:val="both"/>
      </w:pPr>
      <w:bookmarkStart w:id="1549" w:name="bookmark1549"/>
      <w:r>
        <w:rPr>
          <w:b/>
          <w:bCs/>
          <w:color w:val="000000"/>
          <w:spacing w:val="0"/>
          <w:w w:val="100"/>
          <w:position w:val="0"/>
        </w:rPr>
        <w:t>2</w:t>
      </w:r>
      <w:bookmarkEnd w:id="1549"/>
      <w:r>
        <w:rPr>
          <w:b/>
          <w:bCs/>
          <w:color w:val="000000"/>
          <w:spacing w:val="0"/>
          <w:w w:val="100"/>
          <w:position w:val="0"/>
        </w:rPr>
        <w:t>、</w:t>
        <w:tab/>
        <w:t>流动性风险</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流动性风险，是指在履行以交付现金或其他金融资产的方式结算的义务时发生资金短缺的风险。管理 流动风险时，公司保持管理层认为充分的现金及现金等价物并对其进行监控，以满足本公司经营需要，并 降低现金流量波动的影响。</w:t>
      </w:r>
    </w:p>
    <w:p>
      <w:pPr>
        <w:pStyle w:val="Style10"/>
        <w:keepNext w:val="0"/>
        <w:keepLines w:val="0"/>
        <w:widowControl w:val="0"/>
        <w:shd w:val="clear" w:color="auto" w:fill="auto"/>
        <w:tabs>
          <w:tab w:pos="818" w:val="left"/>
        </w:tabs>
        <w:bidi w:val="0"/>
        <w:spacing w:before="0" w:after="0" w:line="467" w:lineRule="exact"/>
        <w:ind w:left="0" w:right="0" w:firstLine="440"/>
        <w:jc w:val="both"/>
      </w:pPr>
      <w:bookmarkStart w:id="1550" w:name="bookmark1550"/>
      <w:r>
        <w:rPr>
          <w:b/>
          <w:bCs/>
          <w:color w:val="000000"/>
          <w:spacing w:val="0"/>
          <w:w w:val="100"/>
          <w:position w:val="0"/>
        </w:rPr>
        <w:t>3</w:t>
      </w:r>
      <w:bookmarkEnd w:id="1550"/>
      <w:r>
        <w:rPr>
          <w:b/>
          <w:bCs/>
          <w:color w:val="000000"/>
          <w:spacing w:val="0"/>
          <w:w w:val="100"/>
          <w:position w:val="0"/>
        </w:rPr>
        <w:t>、</w:t>
        <w:tab/>
        <w:t>市场风险</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金融工具的市场风险是指金融工具的公允价值或未来现金流量因市场价格变动而发生波动的风险，包 括汇率风险、利率风险和其他价格风险。</w:t>
      </w:r>
    </w:p>
    <w:p>
      <w:pPr>
        <w:pStyle w:val="Style10"/>
        <w:keepNext w:val="0"/>
        <w:keepLines w:val="0"/>
        <w:widowControl w:val="0"/>
        <w:shd w:val="clear" w:color="auto" w:fill="auto"/>
        <w:tabs>
          <w:tab w:pos="928" w:val="left"/>
        </w:tabs>
        <w:bidi w:val="0"/>
        <w:spacing w:before="0" w:after="0" w:line="467" w:lineRule="exact"/>
        <w:ind w:left="0" w:right="0" w:firstLine="440"/>
        <w:jc w:val="both"/>
      </w:pPr>
      <w:bookmarkStart w:id="1551" w:name="bookmark1551"/>
      <w:r>
        <w:rPr>
          <w:b/>
          <w:bCs/>
          <w:color w:val="000000"/>
          <w:spacing w:val="0"/>
          <w:w w:val="100"/>
          <w:position w:val="0"/>
        </w:rPr>
        <w:t>（</w:t>
      </w:r>
      <w:bookmarkEnd w:id="1551"/>
      <w:r>
        <w:rPr>
          <w:b/>
          <w:bCs/>
          <w:color w:val="000000"/>
          <w:spacing w:val="0"/>
          <w:w w:val="100"/>
          <w:position w:val="0"/>
        </w:rPr>
        <w:t>1）</w:t>
        <w:tab/>
        <w:t>利率风险</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利率风险，是指金融工具的公允价值或未来现金流量因市场利率变动而发生波动的风险。利率风险可 源于已确认的计息金融工具和未确认的金融工具（如某些贷款承诺）。</w:t>
      </w:r>
    </w:p>
    <w:p>
      <w:pPr>
        <w:pStyle w:val="Style1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截至</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日，公司不存在对外计息借款，不存在利率风险。</w:t>
      </w:r>
    </w:p>
    <w:p>
      <w:pPr>
        <w:pStyle w:val="Style10"/>
        <w:keepNext w:val="0"/>
        <w:keepLines w:val="0"/>
        <w:widowControl w:val="0"/>
        <w:shd w:val="clear" w:color="auto" w:fill="auto"/>
        <w:tabs>
          <w:tab w:pos="928" w:val="left"/>
        </w:tabs>
        <w:bidi w:val="0"/>
        <w:spacing w:before="0" w:after="0" w:line="467" w:lineRule="exact"/>
        <w:ind w:left="0" w:right="0" w:firstLine="440"/>
        <w:jc w:val="both"/>
      </w:pPr>
      <w:bookmarkStart w:id="1552" w:name="bookmark1552"/>
      <w:r>
        <w:rPr>
          <w:b/>
          <w:bCs/>
          <w:color w:val="000000"/>
          <w:spacing w:val="0"/>
          <w:w w:val="100"/>
          <w:position w:val="0"/>
        </w:rPr>
        <w:t>（</w:t>
      </w:r>
      <w:bookmarkEnd w:id="1552"/>
      <w:r>
        <w:rPr>
          <w:b/>
          <w:bCs/>
          <w:color w:val="000000"/>
          <w:spacing w:val="0"/>
          <w:w w:val="100"/>
          <w:position w:val="0"/>
        </w:rPr>
        <w:t>2）</w:t>
        <w:tab/>
        <w:t>汇率风险</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汇率风险，是指金融工具的公允价值或未来现金流量因外汇汇率变动而发生波动的风险。汇率风险可 源于以记账本位币之外的外币进行计价的金融工具。公司的主要经营位于中国境内，主要业务以人民币结 算，不存在重大汇率风险。</w:t>
      </w:r>
    </w:p>
    <w:p>
      <w:pPr>
        <w:pStyle w:val="Style10"/>
        <w:keepNext w:val="0"/>
        <w:keepLines w:val="0"/>
        <w:widowControl w:val="0"/>
        <w:shd w:val="clear" w:color="auto" w:fill="auto"/>
        <w:tabs>
          <w:tab w:pos="928" w:val="left"/>
        </w:tabs>
        <w:bidi w:val="0"/>
        <w:spacing w:before="0" w:after="0" w:line="467" w:lineRule="exact"/>
        <w:ind w:left="0" w:right="0" w:firstLine="440"/>
        <w:jc w:val="both"/>
      </w:pPr>
      <w:bookmarkStart w:id="1553" w:name="bookmark1553"/>
      <w:r>
        <w:rPr>
          <w:b/>
          <w:bCs/>
          <w:color w:val="000000"/>
          <w:spacing w:val="0"/>
          <w:w w:val="100"/>
          <w:position w:val="0"/>
        </w:rPr>
        <w:t>（</w:t>
      </w:r>
      <w:bookmarkEnd w:id="1553"/>
      <w:r>
        <w:rPr>
          <w:b/>
          <w:bCs/>
          <w:color w:val="000000"/>
          <w:spacing w:val="0"/>
          <w:w w:val="100"/>
          <w:position w:val="0"/>
        </w:rPr>
        <w:t>3）</w:t>
        <w:tab/>
        <w:t>其他价格风险</w:t>
      </w:r>
    </w:p>
    <w:p>
      <w:pPr>
        <w:pStyle w:val="Style10"/>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其他价格风险是指金融工具的公允价值或未来现金流量因汇率风险和利率风险以外的市场价格变动 而发生波动的风险。</w:t>
      </w:r>
    </w:p>
    <w:p>
      <w:pPr>
        <w:pStyle w:val="Style19"/>
        <w:keepNext/>
        <w:keepLines/>
        <w:widowControl w:val="0"/>
        <w:shd w:val="clear" w:color="auto" w:fill="auto"/>
        <w:bidi w:val="0"/>
        <w:spacing w:before="0" w:after="140" w:line="240" w:lineRule="auto"/>
        <w:ind w:left="0" w:right="0" w:firstLine="0"/>
        <w:jc w:val="left"/>
      </w:pPr>
      <w:bookmarkStart w:id="1554" w:name="bookmark1554"/>
      <w:bookmarkStart w:id="1555" w:name="bookmark1555"/>
      <w:bookmarkStart w:id="1556" w:name="bookmark1556"/>
      <w:r>
        <w:rPr>
          <w:color w:val="000000"/>
          <w:spacing w:val="0"/>
          <w:w w:val="100"/>
          <w:position w:val="0"/>
          <w:sz w:val="24"/>
          <w:szCs w:val="24"/>
        </w:rPr>
        <w:t>十^一、公允价值的披露</w:t>
      </w:r>
      <w:bookmarkEnd w:id="1554"/>
      <w:bookmarkEnd w:id="1555"/>
      <w:bookmarkEnd w:id="1556"/>
    </w:p>
    <w:p>
      <w:pPr>
        <w:pStyle w:val="Style28"/>
        <w:keepNext/>
        <w:keepLines/>
        <w:widowControl w:val="0"/>
        <w:shd w:val="clear" w:color="auto" w:fill="auto"/>
        <w:bidi w:val="0"/>
        <w:spacing w:before="0" w:line="467" w:lineRule="exact"/>
        <w:ind w:left="0" w:right="0" w:firstLine="0"/>
        <w:jc w:val="left"/>
      </w:pPr>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57"/>
      <w:bookmarkEnd w:id="1558"/>
      <w:bookmarkEnd w:id="1559"/>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002"/>
        <w:gridCol w:w="2064"/>
        <w:gridCol w:w="2026"/>
        <w:gridCol w:w="2069"/>
        <w:gridCol w:w="142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35,072,088.67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35,072,088.67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以公允价值计量且其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35,072,088.67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35,072,088.67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9,572,254.00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9,572,254.00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78,595,001.00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78,595,001.00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123,239,343.67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123,239,343.67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8"/>
        <w:keepNext/>
        <w:keepLines/>
        <w:widowControl w:val="0"/>
        <w:shd w:val="clear" w:color="auto" w:fill="auto"/>
        <w:bidi w:val="0"/>
        <w:spacing w:before="0" w:after="440" w:line="240" w:lineRule="auto"/>
        <w:ind w:left="0" w:right="0" w:firstLine="0"/>
        <w:jc w:val="left"/>
      </w:pPr>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2</w:t>
      </w:r>
      <w:r>
        <w:rPr>
          <w:color w:val="000000"/>
          <w:spacing w:val="0"/>
          <w:w w:val="100"/>
          <w:position w:val="0"/>
        </w:rPr>
        <w:t>、持续和非持续第三层次公允价值计量项目，采用的估值技术和重要参数的定性及定量信息</w:t>
      </w:r>
      <w:bookmarkEnd w:id="1560"/>
      <w:bookmarkEnd w:id="1561"/>
      <w:bookmarkEnd w:id="1562"/>
    </w:p>
    <w:p>
      <w:pPr>
        <w:pStyle w:val="Style10"/>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 xml:space="preserve">本公司指定以公允价值计量且其变动计入其他综合收益的金融资产包括：交易性金融资产中结构性存 </w:t>
      </w:r>
      <w:r>
        <w:rPr>
          <w:color w:val="000000"/>
          <w:spacing w:val="0"/>
          <w:w w:val="100"/>
          <w:position w:val="0"/>
        </w:rPr>
        <w:t>款系公司2021年11月份购入的三笔结构性存款，以理财产品类型及预期收益率预测未来现金流作为公允价 值；公司持有票据具有收取现金流量和出售的双重目的形成的应收款项融资，由于票据期限较短，账面价 值代表了对公允价值的最佳估计，以账面价值作为其公允价值；公司出于战略目的而计划长期持有的非上 市公司股权，公司利用初始确认日后可获得的关于被投资方业绩和经营的所有信息判断成本能够代表对公 允价值的最佳估计，以投资成本作为金融资产的公允价值。</w:t>
      </w:r>
    </w:p>
    <w:p>
      <w:pPr>
        <w:pStyle w:val="Style28"/>
        <w:keepNext/>
        <w:keepLines/>
        <w:widowControl w:val="0"/>
        <w:shd w:val="clear" w:color="auto" w:fill="auto"/>
        <w:bidi w:val="0"/>
        <w:spacing w:before="0" w:after="0" w:line="492" w:lineRule="auto"/>
        <w:ind w:left="0" w:right="0" w:firstLine="0"/>
        <w:jc w:val="both"/>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3</w:t>
      </w:r>
      <w:bookmarkEnd w:id="1565"/>
      <w:r>
        <w:rPr>
          <w:color w:val="000000"/>
          <w:spacing w:val="0"/>
          <w:w w:val="100"/>
          <w:position w:val="0"/>
        </w:rPr>
        <w:t>、不以公允价值计量的金融资产和金融负债的公允价值情况</w:t>
      </w:r>
      <w:bookmarkEnd w:id="1563"/>
      <w:bookmarkEnd w:id="1564"/>
      <w:bookmarkEnd w:id="1566"/>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本公司以摊余成本计量的金融资产和金融负债主要包括：货币资金、应收票据、应收账款、其他应收 款、其他流动资产、应付账款、其他应付款等。</w:t>
      </w:r>
    </w:p>
    <w:p>
      <w:pPr>
        <w:pStyle w:val="Style10"/>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不以公允价值计量的金融资产和金融负债的账面价值与公允价值相差很小。</w:t>
      </w:r>
    </w:p>
    <w:p>
      <w:pPr>
        <w:pStyle w:val="Style19"/>
        <w:keepNext/>
        <w:keepLines/>
        <w:widowControl w:val="0"/>
        <w:shd w:val="clear" w:color="auto" w:fill="auto"/>
        <w:bidi w:val="0"/>
        <w:spacing w:before="0" w:after="340" w:line="240" w:lineRule="auto"/>
        <w:ind w:left="0" w:right="0" w:firstLine="0"/>
        <w:jc w:val="left"/>
      </w:pPr>
      <w:bookmarkStart w:id="1567" w:name="bookmark1567"/>
      <w:bookmarkStart w:id="1568" w:name="bookmark1568"/>
      <w:bookmarkStart w:id="1569" w:name="bookmark1569"/>
      <w:r>
        <w:rPr>
          <w:color w:val="000000"/>
          <w:spacing w:val="0"/>
          <w:w w:val="100"/>
          <w:position w:val="0"/>
          <w:sz w:val="24"/>
          <w:szCs w:val="24"/>
        </w:rPr>
        <w:t>十二、关联方及关联交易</w:t>
      </w:r>
      <w:bookmarkEnd w:id="1567"/>
      <w:bookmarkEnd w:id="1568"/>
      <w:bookmarkEnd w:id="1569"/>
    </w:p>
    <w:p>
      <w:pPr>
        <w:pStyle w:val="Style28"/>
        <w:keepNext/>
        <w:keepLines/>
        <w:widowControl w:val="0"/>
        <w:shd w:val="clear" w:color="auto" w:fill="auto"/>
        <w:tabs>
          <w:tab w:pos="368" w:val="left"/>
        </w:tabs>
        <w:bidi w:val="0"/>
        <w:spacing w:before="0" w:after="140" w:line="492"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1</w:t>
      </w:r>
      <w:bookmarkEnd w:id="1572"/>
      <w:r>
        <w:rPr>
          <w:color w:val="000000"/>
          <w:spacing w:val="0"/>
          <w:w w:val="100"/>
          <w:position w:val="0"/>
        </w:rPr>
        <w:t>、</w:t>
        <w:tab/>
        <w:t>本企业的母公司情况</w:t>
      </w:r>
      <w:bookmarkEnd w:id="1570"/>
      <w:bookmarkEnd w:id="1571"/>
      <w:bookmarkEnd w:id="1573"/>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本企业最终控制方是任红军、钟超。</w:t>
      </w:r>
    </w:p>
    <w:p>
      <w:pPr>
        <w:pStyle w:val="Style28"/>
        <w:keepNext/>
        <w:keepLines/>
        <w:widowControl w:val="0"/>
        <w:shd w:val="clear" w:color="auto" w:fill="auto"/>
        <w:tabs>
          <w:tab w:pos="378" w:val="left"/>
        </w:tabs>
        <w:bidi w:val="0"/>
        <w:spacing w:before="0" w:after="140" w:line="492"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2</w:t>
      </w:r>
      <w:bookmarkEnd w:id="1576"/>
      <w:r>
        <w:rPr>
          <w:color w:val="000000"/>
          <w:spacing w:val="0"/>
          <w:w w:val="100"/>
          <w:position w:val="0"/>
        </w:rPr>
        <w:t>、</w:t>
        <w:tab/>
        <w:t>本企业的子公司情况</w:t>
      </w:r>
      <w:bookmarkEnd w:id="1574"/>
      <w:bookmarkEnd w:id="1575"/>
      <w:bookmarkEnd w:id="1577"/>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本企业子公司的情况详见附注九、在其他主体中的权益</w:t>
      </w:r>
      <w:r>
        <w:rPr>
          <w:rFonts w:ascii="Times New Roman" w:eastAsia="Times New Roman" w:hAnsi="Times New Roman" w:cs="Times New Roman"/>
          <w:color w:val="000000"/>
          <w:spacing w:val="0"/>
          <w:w w:val="100"/>
          <w:position w:val="0"/>
        </w:rPr>
        <w:t>1</w:t>
      </w:r>
      <w:r>
        <w:rPr>
          <w:color w:val="000000"/>
          <w:spacing w:val="0"/>
          <w:w w:val="100"/>
          <w:position w:val="0"/>
        </w:rPr>
        <w:t>、在子公司的权益。</w:t>
      </w:r>
    </w:p>
    <w:p>
      <w:pPr>
        <w:pStyle w:val="Style28"/>
        <w:keepNext/>
        <w:keepLines/>
        <w:widowControl w:val="0"/>
        <w:shd w:val="clear" w:color="auto" w:fill="auto"/>
        <w:tabs>
          <w:tab w:pos="378" w:val="left"/>
        </w:tabs>
        <w:bidi w:val="0"/>
        <w:spacing w:before="0" w:after="140" w:line="492"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3</w:t>
      </w:r>
      <w:bookmarkEnd w:id="1580"/>
      <w:r>
        <w:rPr>
          <w:color w:val="000000"/>
          <w:spacing w:val="0"/>
          <w:w w:val="100"/>
          <w:position w:val="0"/>
        </w:rPr>
        <w:t>、</w:t>
        <w:tab/>
        <w:t>本企业合营和联营企业情况</w:t>
      </w:r>
      <w:bookmarkEnd w:id="1578"/>
      <w:bookmarkEnd w:id="1579"/>
      <w:bookmarkEnd w:id="1581"/>
    </w:p>
    <w:p>
      <w:pPr>
        <w:pStyle w:val="Style21"/>
        <w:keepNext w:val="0"/>
        <w:keepLines w:val="0"/>
        <w:widowControl w:val="0"/>
        <w:shd w:val="clear" w:color="auto" w:fill="auto"/>
        <w:bidi w:val="0"/>
        <w:spacing w:before="0" w:after="140" w:line="240" w:lineRule="auto"/>
        <w:ind w:left="0" w:right="0" w:firstLine="0"/>
        <w:jc w:val="left"/>
        <w:rPr>
          <w:sz w:val="18"/>
          <w:szCs w:val="18"/>
        </w:rPr>
      </w:pPr>
      <w:r>
        <w:rPr>
          <w:b w:val="0"/>
          <w:bCs w:val="0"/>
          <w:color w:val="000000"/>
          <w:spacing w:val="0"/>
          <w:w w:val="100"/>
          <w:position w:val="0"/>
          <w:sz w:val="18"/>
          <w:szCs w:val="18"/>
        </w:rPr>
        <w:t>本企业重要的合营或联营企业详见附注九、在其他主体中的权益。</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郑州高新梧桐水务有限公司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河南中盾云安信息科技有限公司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泰瑞数创科技（北京）有限公司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bl>
    <w:p>
      <w:pPr>
        <w:widowControl w:val="0"/>
        <w:spacing w:after="33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left"/>
      </w:pPr>
      <w:bookmarkStart w:id="1582" w:name="bookmark1582"/>
      <w:r>
        <w:rPr>
          <w:rFonts w:ascii="Times New Roman" w:eastAsia="Times New Roman" w:hAnsi="Times New Roman" w:cs="Times New Roman"/>
          <w:color w:val="000000"/>
          <w:spacing w:val="0"/>
          <w:w w:val="100"/>
          <w:position w:val="0"/>
        </w:rPr>
        <w:t>4</w:t>
      </w:r>
      <w:r>
        <w:rPr>
          <w:color w:val="000000"/>
          <w:spacing w:val="0"/>
          <w:w w:val="100"/>
          <w:position w:val="0"/>
        </w:rPr>
        <w:t>、其他关联方情况</w:t>
      </w:r>
      <w:bookmarkEnd w:id="158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其他关联方与本企业关系</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董事、监事及高级管理人员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w:t>
            </w: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0"/>
        <w:jc w:val="both"/>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5</w:t>
      </w:r>
      <w:bookmarkEnd w:id="1585"/>
      <w:r>
        <w:rPr>
          <w:color w:val="000000"/>
          <w:spacing w:val="0"/>
          <w:w w:val="100"/>
          <w:position w:val="0"/>
        </w:rPr>
        <w:t>、关联交易情况</w:t>
      </w:r>
      <w:bookmarkEnd w:id="1583"/>
      <w:bookmarkEnd w:id="1584"/>
      <w:bookmarkEnd w:id="1586"/>
    </w:p>
    <w:p>
      <w:pPr>
        <w:pStyle w:val="Style201"/>
        <w:keepNext/>
        <w:keepLines/>
        <w:widowControl w:val="0"/>
        <w:shd w:val="clear" w:color="auto" w:fill="auto"/>
        <w:bidi w:val="0"/>
        <w:spacing w:before="0" w:after="320" w:line="240" w:lineRule="auto"/>
        <w:ind w:left="0" w:right="0" w:firstLine="0"/>
        <w:jc w:val="both"/>
      </w:pPr>
      <w:bookmarkStart w:id="1587" w:name="bookmark1587"/>
      <w:bookmarkStart w:id="1588" w:name="bookmark1588"/>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87"/>
      <w:bookmarkEnd w:id="1588"/>
      <w:bookmarkEnd w:id="1589"/>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771"/>
        <w:gridCol w:w="1469"/>
        <w:gridCol w:w="1488"/>
        <w:gridCol w:w="1646"/>
        <w:gridCol w:w="1771"/>
        <w:gridCol w:w="143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郑州高新梧桐水务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61,241,973.50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49,251,639.00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河南中盾云安信息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2,199,528.30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泰瑞数创科技（北 京）有限公司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980,046.75</w:t>
            </w:r>
          </w:p>
        </w:tc>
      </w:tr>
    </w:tbl>
    <w:p>
      <w:pPr>
        <w:widowControl w:val="0"/>
        <w:spacing w:after="319" w:line="1" w:lineRule="exact"/>
      </w:pPr>
    </w:p>
    <w:p>
      <w:pPr>
        <w:pStyle w:val="Style201"/>
        <w:keepNext/>
        <w:keepLines/>
        <w:widowControl w:val="0"/>
        <w:shd w:val="clear" w:color="auto" w:fill="auto"/>
        <w:bidi w:val="0"/>
        <w:spacing w:before="0" w:line="240" w:lineRule="auto"/>
        <w:ind w:left="0" w:right="0" w:firstLine="0"/>
        <w:jc w:val="both"/>
      </w:pPr>
      <w:bookmarkStart w:id="1590" w:name="bookmark1590"/>
      <w:bookmarkStart w:id="1591" w:name="bookmark1591"/>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590"/>
      <w:bookmarkEnd w:id="1591"/>
      <w:bookmarkEnd w:id="1592"/>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1330"/>
        <w:gridCol w:w="1915"/>
        <w:gridCol w:w="1795"/>
        <w:gridCol w:w="204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担保是否已经履行完毕</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郑州高新梧桐水务有限公司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319" w:line="1" w:lineRule="exact"/>
      </w:pPr>
    </w:p>
    <w:p>
      <w:pPr>
        <w:pStyle w:val="Style201"/>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593"/>
      <w:bookmarkEnd w:id="1594"/>
      <w:bookmarkEnd w:id="1596"/>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6,667,600.00</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6</w:t>
      </w:r>
      <w:bookmarkEnd w:id="1599"/>
      <w:r>
        <w:rPr>
          <w:color w:val="000000"/>
          <w:spacing w:val="0"/>
          <w:w w:val="100"/>
          <w:position w:val="0"/>
        </w:rPr>
        <w:t>、关联方应收应付款项</w:t>
      </w:r>
      <w:bookmarkEnd w:id="1597"/>
      <w:bookmarkEnd w:id="1598"/>
      <w:bookmarkEnd w:id="1600"/>
    </w:p>
    <w:p>
      <w:pPr>
        <w:pStyle w:val="Style201"/>
        <w:keepNext/>
        <w:keepLines/>
        <w:widowControl w:val="0"/>
        <w:shd w:val="clear" w:color="auto" w:fill="auto"/>
        <w:bidi w:val="0"/>
        <w:spacing w:before="0" w:after="320" w:line="240" w:lineRule="auto"/>
        <w:ind w:left="0" w:right="0" w:firstLine="0"/>
        <w:jc w:val="left"/>
      </w:pPr>
      <w:bookmarkStart w:id="1601" w:name="bookmark1601"/>
      <w:bookmarkStart w:id="1602" w:name="bookmark1602"/>
      <w:bookmarkStart w:id="1603" w:name="bookmark16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01"/>
      <w:bookmarkEnd w:id="1602"/>
      <w:bookmarkEnd w:id="1603"/>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080"/>
        <w:gridCol w:w="2731"/>
        <w:gridCol w:w="1469"/>
        <w:gridCol w:w="1368"/>
        <w:gridCol w:w="1512"/>
        <w:gridCol w:w="142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泰瑞数创科技（北京）有限公司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01"/>
        <w:keepNext/>
        <w:keepLines/>
        <w:widowControl w:val="0"/>
        <w:shd w:val="clear" w:color="auto" w:fill="auto"/>
        <w:bidi w:val="0"/>
        <w:spacing w:before="0" w:after="320" w:line="240" w:lineRule="auto"/>
        <w:ind w:left="0" w:right="0" w:firstLine="0"/>
        <w:jc w:val="left"/>
      </w:pPr>
      <w:bookmarkStart w:id="1604" w:name="bookmark1604"/>
      <w:bookmarkStart w:id="1605" w:name="bookmark1605"/>
      <w:bookmarkStart w:id="1606" w:name="bookmark16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04"/>
      <w:bookmarkEnd w:id="1605"/>
      <w:bookmarkEnd w:id="1606"/>
      <w:r>
        <w:br w:type="page"/>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613"/>
        <w:gridCol w:w="3178"/>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泰瑞数创科技（北京）有限公司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1,496,446.75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郑州高新梧桐水务有限公司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3,288,800.05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河南中盾云安信息科技有限公司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84,031.69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r>
        <w:rPr>
          <w:color w:val="000000"/>
          <w:spacing w:val="0"/>
          <w:w w:val="100"/>
          <w:position w:val="0"/>
          <w:sz w:val="24"/>
          <w:szCs w:val="24"/>
        </w:rPr>
        <w:t>十三、股份支付</w:t>
      </w:r>
      <w:bookmarkEnd w:id="1607"/>
      <w:bookmarkEnd w:id="1608"/>
      <w:bookmarkEnd w:id="1609"/>
    </w:p>
    <w:p>
      <w:pPr>
        <w:pStyle w:val="Style28"/>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10"/>
      <w:bookmarkEnd w:id="1611"/>
      <w:bookmarkEnd w:id="161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5462"/>
        <w:gridCol w:w="4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10,057,844.01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详见其他说明</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其他说明</w:t>
      </w:r>
    </w:p>
    <w:p>
      <w:pPr>
        <w:widowControl w:val="0"/>
        <w:spacing w:after="139" w:line="1" w:lineRule="exact"/>
      </w:pPr>
    </w:p>
    <w:p>
      <w:pPr>
        <w:pStyle w:val="Style10"/>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2021年9月17日首次第二类限制性股票授予价格为每股</w:t>
      </w:r>
      <w:r>
        <w:rPr>
          <w:color w:val="000000"/>
          <w:spacing w:val="0"/>
          <w:w w:val="100"/>
          <w:position w:val="0"/>
        </w:rPr>
        <w:t>11.95</w:t>
      </w:r>
      <w:r>
        <w:rPr>
          <w:color w:val="000000"/>
          <w:spacing w:val="0"/>
          <w:w w:val="100"/>
          <w:position w:val="0"/>
        </w:rPr>
        <w:t>元，授予数量</w:t>
      </w:r>
      <w:r>
        <w:rPr>
          <w:color w:val="000000"/>
          <w:spacing w:val="0"/>
          <w:w w:val="100"/>
          <w:position w:val="0"/>
        </w:rPr>
        <w:t xml:space="preserve">530. </w:t>
      </w:r>
      <w:r>
        <w:rPr>
          <w:color w:val="000000"/>
          <w:spacing w:val="0"/>
          <w:w w:val="100"/>
          <w:position w:val="0"/>
        </w:rPr>
        <w:t>00万股，具体归属期限</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和归属安排如下：</w:t>
      </w:r>
    </w:p>
    <w:tbl>
      <w:tblPr>
        <w:tblOverlap w:val="never"/>
        <w:jc w:val="center"/>
        <w:tblLayout w:type="fixed"/>
      </w:tblPr>
      <w:tblGrid>
        <w:gridCol w:w="1214"/>
        <w:gridCol w:w="6504"/>
        <w:gridCol w:w="1834"/>
      </w:tblGrid>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归属权益数量占授予权 益总量的比例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第一个归属期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自授予日起</w:t>
            </w:r>
            <w:r>
              <w:rPr>
                <w:color w:val="000000"/>
                <w:spacing w:val="0"/>
                <w:w w:val="100"/>
                <w:position w:val="0"/>
                <w:sz w:val="18"/>
                <w:szCs w:val="18"/>
              </w:rPr>
              <w:t>12</w:t>
            </w:r>
            <w:r>
              <w:rPr>
                <w:color w:val="000000"/>
                <w:spacing w:val="0"/>
                <w:w w:val="100"/>
                <w:position w:val="0"/>
                <w:sz w:val="18"/>
                <w:szCs w:val="18"/>
              </w:rPr>
              <w:t>个月后的首个交易日起至授予日起</w:t>
            </w:r>
            <w:r>
              <w:rPr>
                <w:color w:val="000000"/>
                <w:spacing w:val="0"/>
                <w:w w:val="100"/>
                <w:position w:val="0"/>
                <w:sz w:val="18"/>
                <w:szCs w:val="18"/>
              </w:rPr>
              <w:t>24</w:t>
            </w:r>
            <w:r>
              <w:rPr>
                <w:color w:val="000000"/>
                <w:spacing w:val="0"/>
                <w:w w:val="100"/>
                <w:position w:val="0"/>
                <w:sz w:val="18"/>
                <w:szCs w:val="18"/>
              </w:rPr>
              <w:t>个月内的最后一个交易日当日止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第二个归属期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自授予日起</w:t>
            </w:r>
            <w:r>
              <w:rPr>
                <w:color w:val="000000"/>
                <w:spacing w:val="0"/>
                <w:w w:val="100"/>
                <w:position w:val="0"/>
                <w:sz w:val="18"/>
                <w:szCs w:val="18"/>
              </w:rPr>
              <w:t>24</w:t>
            </w:r>
            <w:r>
              <w:rPr>
                <w:color w:val="000000"/>
                <w:spacing w:val="0"/>
                <w:w w:val="100"/>
                <w:position w:val="0"/>
                <w:sz w:val="18"/>
                <w:szCs w:val="18"/>
              </w:rPr>
              <w:t>个月后的首个交易日起至授予日起</w:t>
            </w:r>
            <w:r>
              <w:rPr>
                <w:color w:val="000000"/>
                <w:spacing w:val="0"/>
                <w:w w:val="100"/>
                <w:position w:val="0"/>
                <w:sz w:val="18"/>
                <w:szCs w:val="18"/>
              </w:rPr>
              <w:t>36</w:t>
            </w:r>
            <w:r>
              <w:rPr>
                <w:color w:val="000000"/>
                <w:spacing w:val="0"/>
                <w:w w:val="100"/>
                <w:position w:val="0"/>
                <w:sz w:val="18"/>
                <w:szCs w:val="18"/>
              </w:rPr>
              <w:t>个月内的最后一个交易日当日止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第三个归属期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自授予日起</w:t>
            </w:r>
            <w:r>
              <w:rPr>
                <w:color w:val="000000"/>
                <w:spacing w:val="0"/>
                <w:w w:val="100"/>
                <w:position w:val="0"/>
                <w:sz w:val="18"/>
                <w:szCs w:val="18"/>
              </w:rPr>
              <w:t>36</w:t>
            </w:r>
            <w:r>
              <w:rPr>
                <w:color w:val="000000"/>
                <w:spacing w:val="0"/>
                <w:w w:val="100"/>
                <w:position w:val="0"/>
                <w:sz w:val="18"/>
                <w:szCs w:val="18"/>
              </w:rPr>
              <w:t>个月后的首个交易日起至授予日起</w:t>
            </w:r>
            <w:r>
              <w:rPr>
                <w:color w:val="000000"/>
                <w:spacing w:val="0"/>
                <w:w w:val="100"/>
                <w:position w:val="0"/>
                <w:sz w:val="18"/>
                <w:szCs w:val="18"/>
              </w:rPr>
              <w:t>48</w:t>
            </w:r>
            <w:r>
              <w:rPr>
                <w:color w:val="000000"/>
                <w:spacing w:val="0"/>
                <w:w w:val="100"/>
                <w:position w:val="0"/>
                <w:sz w:val="18"/>
                <w:szCs w:val="18"/>
              </w:rPr>
              <w:t>个月内的最后一个交易日当日止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13"/>
      <w:bookmarkEnd w:id="1614"/>
      <w:bookmarkEnd w:id="161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013"/>
        <w:gridCol w:w="556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sz w:val="18"/>
                <w:szCs w:val="18"/>
              </w:rPr>
              <w:t>模型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根据最新取得的可归属的人数变动、业绩指标完成情况做出最佳估计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10,057,844.01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10,057,844.01</w:t>
            </w:r>
          </w:p>
        </w:tc>
      </w:tr>
    </w:tbl>
    <w:p>
      <w:pPr>
        <w:widowControl w:val="0"/>
        <w:spacing w:after="79" w:line="1" w:lineRule="exact"/>
      </w:pP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2021年9月16日，公司2021年第二次临时股东大会审议通过了《关于公司＜2021年限制性股票激励计划</w:t>
      </w:r>
    </w:p>
    <w:p>
      <w:pPr>
        <w:pStyle w:val="Style10"/>
        <w:keepNext w:val="0"/>
        <w:keepLines w:val="0"/>
        <w:widowControl w:val="0"/>
        <w:shd w:val="clear" w:color="auto" w:fill="auto"/>
        <w:bidi w:val="0"/>
        <w:spacing w:before="0" w:after="400" w:line="240" w:lineRule="auto"/>
        <w:ind w:left="0" w:right="0" w:firstLine="0"/>
        <w:jc w:val="both"/>
      </w:pPr>
      <w:r>
        <w:rPr>
          <w:color w:val="000000"/>
          <w:spacing w:val="0"/>
          <w:w w:val="100"/>
          <w:position w:val="0"/>
        </w:rPr>
        <w:t xml:space="preserve">（草案）〉及其摘要的议案》，向公司董事、高级管理人员、核心骨干及董事会认为对公司有特殊贡献的其 </w:t>
      </w:r>
      <w:r>
        <w:rPr>
          <w:color w:val="000000"/>
          <w:spacing w:val="0"/>
          <w:w w:val="100"/>
          <w:position w:val="0"/>
        </w:rPr>
        <w:t>他人员实施限制性股票激励计划。据此授权，公司于2021年9月17日召开第五届董事会第十九次会议和第 五届监事会第十三次会议，审议通过了《关于向激励对象首次授予限制性股票的议案》，确定以2021年9月 17日为首次授予日，以</w:t>
      </w:r>
      <w:r>
        <w:rPr>
          <w:color w:val="000000"/>
          <w:spacing w:val="0"/>
          <w:w w:val="100"/>
          <w:position w:val="0"/>
        </w:rPr>
        <w:t>11.95</w:t>
      </w:r>
      <w:r>
        <w:rPr>
          <w:color w:val="000000"/>
          <w:spacing w:val="0"/>
          <w:w w:val="100"/>
          <w:position w:val="0"/>
        </w:rPr>
        <w:t>元/股的授予价格向符合授予条件的102名激励对象首次授予5, 300, 000股公司 第二类限制性股票。</w:t>
      </w:r>
    </w:p>
    <w:p>
      <w:pPr>
        <w:pStyle w:val="Style19"/>
        <w:keepNext/>
        <w:keepLines/>
        <w:widowControl w:val="0"/>
        <w:shd w:val="clear" w:color="auto" w:fill="auto"/>
        <w:bidi w:val="0"/>
        <w:spacing w:before="0" w:after="340" w:line="240" w:lineRule="auto"/>
        <w:ind w:left="0" w:right="0" w:firstLine="0"/>
        <w:jc w:val="both"/>
      </w:pPr>
      <w:bookmarkStart w:id="1616" w:name="bookmark1616"/>
      <w:bookmarkStart w:id="1617" w:name="bookmark1617"/>
      <w:bookmarkStart w:id="1618" w:name="bookmark1618"/>
      <w:r>
        <w:rPr>
          <w:color w:val="000000"/>
          <w:spacing w:val="0"/>
          <w:w w:val="100"/>
          <w:position w:val="0"/>
          <w:sz w:val="24"/>
          <w:szCs w:val="24"/>
        </w:rPr>
        <w:t>十四、承诺及或有事项</w:t>
      </w:r>
      <w:bookmarkEnd w:id="1616"/>
      <w:bookmarkEnd w:id="1617"/>
      <w:bookmarkEnd w:id="1618"/>
    </w:p>
    <w:p>
      <w:pPr>
        <w:pStyle w:val="Style28"/>
        <w:keepNext/>
        <w:keepLines/>
        <w:widowControl w:val="0"/>
        <w:shd w:val="clear" w:color="auto" w:fill="auto"/>
        <w:bidi w:val="0"/>
        <w:spacing w:before="0" w:after="0" w:line="494" w:lineRule="auto"/>
        <w:ind w:left="0" w:right="0" w:firstLine="0"/>
        <w:jc w:val="both"/>
      </w:pPr>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1</w:t>
      </w:r>
      <w:r>
        <w:rPr>
          <w:color w:val="000000"/>
          <w:spacing w:val="0"/>
          <w:w w:val="100"/>
          <w:position w:val="0"/>
        </w:rPr>
        <w:t>、或有事项</w:t>
      </w:r>
      <w:bookmarkEnd w:id="1619"/>
      <w:bookmarkEnd w:id="1620"/>
      <w:bookmarkEnd w:id="1621"/>
    </w:p>
    <w:p>
      <w:pPr>
        <w:pStyle w:val="Style201"/>
        <w:keepNext/>
        <w:keepLines/>
        <w:widowControl w:val="0"/>
        <w:shd w:val="clear" w:color="auto" w:fill="auto"/>
        <w:tabs>
          <w:tab w:pos="493" w:val="left"/>
        </w:tabs>
        <w:bidi w:val="0"/>
        <w:spacing w:before="0" w:after="200" w:line="472" w:lineRule="exact"/>
        <w:ind w:left="0" w:right="0" w:firstLine="0"/>
        <w:jc w:val="both"/>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622"/>
      <w:bookmarkEnd w:id="1623"/>
      <w:bookmarkEnd w:id="1625"/>
    </w:p>
    <w:p>
      <w:pPr>
        <w:pStyle w:val="Style10"/>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 xml:space="preserve">2015年6月23日，公司孙公司高新供水为其合营公司郑州高新梧桐水务有限公司借款6, </w:t>
      </w:r>
      <w:r>
        <w:rPr>
          <w:color w:val="000000"/>
          <w:spacing w:val="0"/>
          <w:w w:val="100"/>
          <w:position w:val="0"/>
        </w:rPr>
        <w:t xml:space="preserve">500. </w:t>
      </w:r>
      <w:r>
        <w:rPr>
          <w:color w:val="000000"/>
          <w:spacing w:val="0"/>
          <w:w w:val="100"/>
          <w:position w:val="0"/>
        </w:rPr>
        <w:t>00万元提 供担保，该项借款截止2021年12月31日尚未到期，借款余额</w:t>
      </w:r>
      <w:r>
        <w:rPr>
          <w:color w:val="000000"/>
          <w:spacing w:val="0"/>
          <w:w w:val="100"/>
          <w:position w:val="0"/>
        </w:rPr>
        <w:t>1,700.00</w:t>
      </w:r>
      <w:r>
        <w:rPr>
          <w:color w:val="000000"/>
          <w:spacing w:val="0"/>
          <w:w w:val="100"/>
          <w:position w:val="0"/>
        </w:rPr>
        <w:t>万元。截止报告期末，郑州高新梧桐 水务有限公司经营及财务状况正常，公司无需确认或有负债。</w:t>
      </w:r>
    </w:p>
    <w:p>
      <w:pPr>
        <w:pStyle w:val="Style201"/>
        <w:keepNext/>
        <w:keepLines/>
        <w:widowControl w:val="0"/>
        <w:shd w:val="clear" w:color="auto" w:fill="auto"/>
        <w:tabs>
          <w:tab w:pos="493" w:val="left"/>
        </w:tabs>
        <w:bidi w:val="0"/>
        <w:spacing w:before="0" w:after="400" w:line="472" w:lineRule="exact"/>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w:t>
      </w:r>
      <w:bookmarkEnd w:id="162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626"/>
      <w:bookmarkEnd w:id="1627"/>
      <w:bookmarkEnd w:id="1629"/>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公司不存在需要披露的重要或有事项。</w:t>
      </w:r>
    </w:p>
    <w:p>
      <w:pPr>
        <w:pStyle w:val="Style19"/>
        <w:keepNext/>
        <w:keepLines/>
        <w:widowControl w:val="0"/>
        <w:shd w:val="clear" w:color="auto" w:fill="auto"/>
        <w:bidi w:val="0"/>
        <w:spacing w:before="0" w:after="340" w:line="240" w:lineRule="auto"/>
        <w:ind w:left="0" w:right="0" w:firstLine="0"/>
        <w:jc w:val="left"/>
      </w:pPr>
      <w:bookmarkStart w:id="1630" w:name="bookmark1630"/>
      <w:bookmarkStart w:id="1631" w:name="bookmark1631"/>
      <w:bookmarkStart w:id="1632" w:name="bookmark1632"/>
      <w:r>
        <w:rPr>
          <w:color w:val="000000"/>
          <w:spacing w:val="0"/>
          <w:w w:val="100"/>
          <w:position w:val="0"/>
          <w:sz w:val="24"/>
          <w:szCs w:val="24"/>
        </w:rPr>
        <w:t>十五、资产负债表日后事项</w:t>
      </w:r>
      <w:bookmarkEnd w:id="1630"/>
      <w:bookmarkEnd w:id="1631"/>
      <w:bookmarkEnd w:id="1632"/>
    </w:p>
    <w:p>
      <w:pPr>
        <w:pStyle w:val="Style28"/>
        <w:keepNext/>
        <w:keepLines/>
        <w:widowControl w:val="0"/>
        <w:shd w:val="clear" w:color="auto" w:fill="auto"/>
        <w:bidi w:val="0"/>
        <w:spacing w:before="0" w:after="120" w:line="494" w:lineRule="auto"/>
        <w:ind w:left="0" w:right="0" w:firstLine="0"/>
        <w:jc w:val="left"/>
      </w:pPr>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633"/>
      <w:bookmarkEnd w:id="1634"/>
      <w:bookmarkEnd w:id="1635"/>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25,950,972.40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25,950,972.40</w:t>
            </w:r>
          </w:p>
        </w:tc>
      </w:tr>
    </w:tbl>
    <w:p>
      <w:pPr>
        <w:widowControl w:val="0"/>
        <w:spacing w:after="119" w:line="1" w:lineRule="exact"/>
      </w:pPr>
    </w:p>
    <w:p>
      <w:pPr>
        <w:pStyle w:val="Style28"/>
        <w:keepNext/>
        <w:keepLines/>
        <w:widowControl w:val="0"/>
        <w:shd w:val="clear" w:color="auto" w:fill="auto"/>
        <w:bidi w:val="0"/>
        <w:spacing w:before="0" w:after="340" w:line="470" w:lineRule="exact"/>
        <w:ind w:left="0" w:right="0" w:firstLine="0"/>
        <w:jc w:val="left"/>
      </w:pPr>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636"/>
      <w:bookmarkEnd w:id="1637"/>
      <w:bookmarkEnd w:id="1638"/>
    </w:p>
    <w:p>
      <w:pPr>
        <w:pStyle w:val="Style19"/>
        <w:keepNext/>
        <w:keepLines/>
        <w:widowControl w:val="0"/>
        <w:shd w:val="clear" w:color="auto" w:fill="auto"/>
        <w:bidi w:val="0"/>
        <w:spacing w:before="0" w:after="120" w:line="240" w:lineRule="auto"/>
        <w:ind w:left="0" w:right="0" w:firstLine="0"/>
        <w:jc w:val="left"/>
      </w:pPr>
      <w:bookmarkStart w:id="1639" w:name="bookmark1639"/>
      <w:bookmarkStart w:id="1640" w:name="bookmark1640"/>
      <w:bookmarkStart w:id="1641" w:name="bookmark1641"/>
      <w:r>
        <w:rPr>
          <w:color w:val="000000"/>
          <w:spacing w:val="0"/>
          <w:w w:val="100"/>
          <w:position w:val="0"/>
          <w:sz w:val="24"/>
          <w:szCs w:val="24"/>
        </w:rPr>
        <w:t>十六、其他重要事项</w:t>
      </w:r>
      <w:bookmarkEnd w:id="1639"/>
      <w:bookmarkEnd w:id="1640"/>
      <w:bookmarkEnd w:id="1641"/>
    </w:p>
    <w:p>
      <w:pPr>
        <w:pStyle w:val="Style28"/>
        <w:keepNext/>
        <w:keepLines/>
        <w:widowControl w:val="0"/>
        <w:shd w:val="clear" w:color="auto" w:fill="auto"/>
        <w:bidi w:val="0"/>
        <w:spacing w:before="0" w:after="120" w:line="470" w:lineRule="exact"/>
        <w:ind w:left="0" w:right="0" w:firstLine="0"/>
        <w:jc w:val="left"/>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642"/>
      <w:bookmarkEnd w:id="1643"/>
      <w:bookmarkEnd w:id="1644"/>
    </w:p>
    <w:p>
      <w:pPr>
        <w:pStyle w:val="Style201"/>
        <w:keepNext/>
        <w:keepLines/>
        <w:widowControl w:val="0"/>
        <w:shd w:val="clear" w:color="auto" w:fill="auto"/>
        <w:bidi w:val="0"/>
        <w:spacing w:before="0" w:after="200" w:line="470" w:lineRule="exact"/>
        <w:ind w:left="0" w:right="0" w:firstLine="0"/>
        <w:jc w:val="left"/>
      </w:pPr>
      <w:bookmarkStart w:id="1645" w:name="bookmark1645"/>
      <w:bookmarkStart w:id="1646" w:name="bookmark1646"/>
      <w:bookmarkStart w:id="1647" w:name="bookmark16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645"/>
      <w:bookmarkEnd w:id="1646"/>
      <w:bookmarkEnd w:id="1647"/>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本公司以内部组织结构、管理要求、内部报告制度为依据确定业务分部。</w:t>
      </w:r>
    </w:p>
    <w:p>
      <w:pPr>
        <w:pStyle w:val="Style10"/>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本公司的业务分部是指同时满足下列条件的组成部分：该组成部分能够在日常活动中产生收入、发生 费用；管理层能够定期评价该组成部分的经营成果，以决定向其配置资源、评价其业绩；能够取得该组成 部分的财务状况、经营成果和现金流量等有关会计信息。</w:t>
      </w:r>
      <w:r>
        <w:br w:type="page"/>
      </w:r>
    </w:p>
    <w:p>
      <w:pPr>
        <w:pStyle w:val="Style201"/>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648"/>
      <w:bookmarkEnd w:id="1649"/>
      <w:bookmarkEnd w:id="1650"/>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传感器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工业安全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智慧城市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公用事业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智慧环保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主营业务收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291,800,583.</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614,775,727.</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309,212,778.</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757,397,562.</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415,198,121.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-135,491,787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2,252,892,98</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主营业务成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186,459,517.</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357,458,584.</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204,420,056.</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570,302,475.</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311,515,942.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-128,000,903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1,502,155,67</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对联营和合 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2,299,814.18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2,514,357.64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4,814,171.82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信用减值损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-988,605.66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-12,094,028.</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321,131.45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-1,886,221.7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-6,921,841.2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-21,569,565.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资产减值损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78,503.93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-167,942.64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589,179.86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784,816.20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折旧费和摊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12,624,244.7</w:t>
            </w:r>
          </w:p>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27,731,317.5</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3,773,184.86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96,000,270.9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48,323,995.6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-10,310,525.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178,142,488.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56,097,977.3</w:t>
            </w:r>
          </w:p>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336,622,655.</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36,037,792.9</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214,196,167.</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2,360,042.19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-262,856,409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382,458,225.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3,133,701.30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18,329,816.0</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2,307,694.07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31,447,403.6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3,230,680.23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-1,206,607.6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57,242,687.6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52,964,276.0</w:t>
            </w:r>
          </w:p>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318,283,714.</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33,730,098.8</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182,748,763.</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-870,638.04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-261,640,677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325,215,537.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565,745,799.</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4,594,145,91</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455,446,939.</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3,267,529,44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876,181,602.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-3,812,056,5</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5,946,993,12</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109,137,709.</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1,849,766,30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185,037,554.</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2,039,189,45</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442,959,295.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-1,660,952,9</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2,965,137,35</w:t>
            </w:r>
          </w:p>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7.13</w:t>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1651" w:name="bookmark1651"/>
      <w:bookmarkStart w:id="1652" w:name="bookmark1652"/>
      <w:bookmarkStart w:id="1653" w:name="bookmark1653"/>
      <w:r>
        <w:rPr>
          <w:color w:val="000000"/>
          <w:spacing w:val="0"/>
          <w:w w:val="100"/>
          <w:position w:val="0"/>
          <w:sz w:val="24"/>
          <w:szCs w:val="24"/>
        </w:rPr>
        <w:t>十七、母公司财务报表主要项目注释</w:t>
      </w:r>
      <w:bookmarkEnd w:id="1651"/>
      <w:bookmarkEnd w:id="1652"/>
      <w:bookmarkEnd w:id="1653"/>
    </w:p>
    <w:p>
      <w:pPr>
        <w:pStyle w:val="Style28"/>
        <w:keepNext/>
        <w:keepLines/>
        <w:widowControl w:val="0"/>
        <w:shd w:val="clear" w:color="auto" w:fill="auto"/>
        <w:bidi w:val="0"/>
        <w:spacing w:before="0" w:after="320" w:line="240" w:lineRule="auto"/>
        <w:ind w:left="0" w:right="0" w:firstLine="0"/>
        <w:jc w:val="left"/>
      </w:pPr>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54"/>
      <w:bookmarkEnd w:id="1655"/>
      <w:bookmarkEnd w:id="1656"/>
    </w:p>
    <w:p>
      <w:pPr>
        <w:pStyle w:val="Style201"/>
        <w:keepNext/>
        <w:keepLines/>
        <w:widowControl w:val="0"/>
        <w:shd w:val="clear" w:color="auto" w:fill="auto"/>
        <w:bidi w:val="0"/>
        <w:spacing w:before="0" w:line="240" w:lineRule="auto"/>
        <w:ind w:left="0" w:right="0" w:firstLine="0"/>
        <w:jc w:val="left"/>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57"/>
      <w:bookmarkEnd w:id="1658"/>
      <w:bookmarkEnd w:id="1659"/>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账面价 值</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按组合计提坏账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388,73</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2,172.1</w:t>
            </w:r>
          </w:p>
          <w:p>
            <w:pPr>
              <w:pStyle w:val="Style2"/>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27,867,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360,86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4,693.7</w:t>
            </w:r>
          </w:p>
          <w:p>
            <w:pPr>
              <w:pStyle w:val="Style2"/>
              <w:keepNext w:val="0"/>
              <w:keepLines w:val="0"/>
              <w:widowControl w:val="0"/>
              <w:shd w:val="clear" w:color="auto" w:fill="auto"/>
              <w:bidi w:val="0"/>
              <w:spacing w:before="0" w:after="8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260,58</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8,508.1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26,554,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234,033, 740.83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：物联网业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253,46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8,401.1</w:t>
            </w:r>
          </w:p>
          <w:p>
            <w:pPr>
              <w:pStyle w:val="Style2"/>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65.20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27,867,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225,60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0,922.6</w:t>
            </w:r>
          </w:p>
          <w:p>
            <w:pPr>
              <w:pStyle w:val="Style2"/>
              <w:keepNext w:val="0"/>
              <w:keepLines w:val="0"/>
              <w:widowControl w:val="0"/>
              <w:shd w:val="clear" w:color="auto" w:fill="auto"/>
              <w:bidi w:val="0"/>
              <w:spacing w:before="0" w:after="8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178,23</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0,180.6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26,554,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151,675,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：合并范围 内关联方客户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135,26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3,771.0</w:t>
            </w:r>
          </w:p>
          <w:p>
            <w:pPr>
              <w:pStyle w:val="Style2"/>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34.80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135,26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3,771.0</w:t>
            </w:r>
          </w:p>
          <w:p>
            <w:pPr>
              <w:pStyle w:val="Style2"/>
              <w:keepNext w:val="0"/>
              <w:keepLines w:val="0"/>
              <w:widowControl w:val="0"/>
              <w:shd w:val="clear" w:color="auto" w:fill="auto"/>
              <w:bidi w:val="0"/>
              <w:spacing w:before="0" w:after="8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82,358,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82,358,3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388,73</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2,172.1</w:t>
            </w:r>
          </w:p>
          <w:p>
            <w:pPr>
              <w:pStyle w:val="Style2"/>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27,867,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360,86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4,693.7</w:t>
            </w:r>
          </w:p>
          <w:p>
            <w:pPr>
              <w:pStyle w:val="Style2"/>
              <w:keepNext w:val="0"/>
              <w:keepLines w:val="0"/>
              <w:widowControl w:val="0"/>
              <w:shd w:val="clear" w:color="auto" w:fill="auto"/>
              <w:bidi w:val="0"/>
              <w:spacing w:before="0" w:after="8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260,58</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8,508.1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26,554,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234,033, 740.83</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按组合计提坏账准备：</w:t>
      </w:r>
      <w:r>
        <w:rPr>
          <w:rFonts w:ascii="Times New Roman" w:eastAsia="Times New Roman" w:hAnsi="Times New Roman" w:cs="Times New Roman"/>
          <w:b w:val="0"/>
          <w:bCs w:val="0"/>
          <w:color w:val="000000"/>
          <w:spacing w:val="0"/>
          <w:w w:val="100"/>
          <w:position w:val="0"/>
          <w:sz w:val="18"/>
          <w:szCs w:val="18"/>
        </w:rPr>
        <w:t>2</w:t>
      </w:r>
      <w:r>
        <w:rPr>
          <w:rFonts w:ascii="Times New Roman" w:eastAsia="Times New Roman" w:hAnsi="Times New Roman" w:cs="Times New Roman"/>
          <w:b w:val="0"/>
          <w:bCs w:val="0"/>
          <w:color w:val="000000"/>
          <w:spacing w:val="0"/>
          <w:w w:val="100"/>
          <w:position w:val="0"/>
          <w:sz w:val="18"/>
          <w:szCs w:val="18"/>
        </w:rPr>
        <w:t>7,867,478.44</w:t>
      </w:r>
      <w:r>
        <w:rPr>
          <w:b w:val="0"/>
          <w:bCs w:val="0"/>
          <w:color w:val="000000"/>
          <w:spacing w:val="0"/>
          <w:w w:val="100"/>
          <w:position w:val="0"/>
          <w:sz w:val="18"/>
          <w:szCs w:val="18"/>
        </w:rPr>
        <w:t>元</w:t>
      </w:r>
    </w:p>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：物联网业务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253,468,401.10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27,867,478.44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：合并范围内关联方 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135,263,771.05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388,732,172.15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27,867,478.44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确定该组合依据的说明：</w:t>
      </w:r>
    </w:p>
    <w:p>
      <w:pPr>
        <w:pStyle w:val="Style10"/>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 xml:space="preserve">根据信用风险特征将应收账款划分为若干组合，在组合基础上计算预期信用损失，确定组合的依据如 </w:t>
      </w:r>
      <w:r>
        <w:rPr>
          <w:color w:val="000000"/>
          <w:spacing w:val="0"/>
          <w:w w:val="100"/>
          <w:position w:val="0"/>
        </w:rPr>
        <w:t>下：</w:t>
      </w:r>
    </w:p>
    <w:p>
      <w:pPr>
        <w:pStyle w:val="Style10"/>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应收账款组合1：物联网业务</w:t>
      </w:r>
    </w:p>
    <w:p>
      <w:pPr>
        <w:pStyle w:val="Style10"/>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应收账款组合</w:t>
      </w:r>
      <w:r>
        <w:rPr>
          <w:b/>
          <w:bCs/>
          <w:color w:val="000000"/>
          <w:spacing w:val="0"/>
          <w:w w:val="100"/>
          <w:position w:val="0"/>
        </w:rPr>
        <w:t>2</w:t>
      </w:r>
      <w:r>
        <w:rPr>
          <w:color w:val="000000"/>
          <w:spacing w:val="0"/>
          <w:w w:val="100"/>
          <w:position w:val="0"/>
        </w:rPr>
        <w:t>：合并范围内关联方客户</w:t>
      </w:r>
    </w:p>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如是按照预期信用损失一般模型计提应收账款坏账准备，请参照其他应收款的披露方式披露坏账准备的相关信息: 口适用”不适用</w:t>
      </w:r>
    </w:p>
    <w:p>
      <w:pPr>
        <w:pStyle w:val="Style24"/>
        <w:keepNext w:val="0"/>
        <w:keepLines w:val="0"/>
        <w:widowControl w:val="0"/>
        <w:shd w:val="clear" w:color="auto" w:fill="auto"/>
        <w:bidi w:val="0"/>
        <w:spacing w:before="0" w:after="80" w:line="350" w:lineRule="exact"/>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313,655,480.25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47,651,980.83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10,323,428.10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17,101,282.97</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6,294,051.57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3,501,264.69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7,305,966.71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388,732,172.15</w:t>
            </w:r>
          </w:p>
        </w:tc>
      </w:tr>
    </w:tbl>
    <w:p>
      <w:pPr>
        <w:widowControl w:val="0"/>
        <w:spacing w:after="299" w:line="1" w:lineRule="exact"/>
      </w:pPr>
    </w:p>
    <w:p>
      <w:pPr>
        <w:pStyle w:val="Style201"/>
        <w:keepNext/>
        <w:keepLines/>
        <w:widowControl w:val="0"/>
        <w:shd w:val="clear" w:color="auto" w:fill="auto"/>
        <w:bidi w:val="0"/>
        <w:spacing w:before="0" w:after="360" w:line="240" w:lineRule="auto"/>
        <w:ind w:left="0" w:right="0" w:firstLine="0"/>
        <w:jc w:val="left"/>
      </w:pPr>
      <w:bookmarkStart w:id="1660" w:name="bookmark1660"/>
      <w:bookmarkStart w:id="1661" w:name="bookmark1661"/>
      <w:bookmarkStart w:id="1662" w:name="bookmark16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60"/>
      <w:bookmarkEnd w:id="1661"/>
      <w:bookmarkEnd w:id="166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26,554,767.36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6,550,781.67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5,238,070.59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27,867,478.44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26,554,767.36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6,550,781.67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5,238,070.59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27,867,478.44</w:t>
            </w:r>
          </w:p>
        </w:tc>
      </w:tr>
    </w:tbl>
    <w:p>
      <w:pPr>
        <w:widowControl w:val="0"/>
        <w:spacing w:after="299" w:line="1" w:lineRule="exact"/>
      </w:pPr>
    </w:p>
    <w:p>
      <w:pPr>
        <w:pStyle w:val="Style201"/>
        <w:keepNext/>
        <w:keepLines/>
        <w:widowControl w:val="0"/>
        <w:shd w:val="clear" w:color="auto" w:fill="auto"/>
        <w:bidi w:val="0"/>
        <w:spacing w:before="0" w:after="360" w:line="240" w:lineRule="auto"/>
        <w:ind w:left="0" w:right="0" w:firstLine="0"/>
        <w:jc w:val="both"/>
      </w:pPr>
      <w:bookmarkStart w:id="1663" w:name="bookmark1663"/>
      <w:bookmarkStart w:id="1664" w:name="bookmark1664"/>
      <w:bookmarkStart w:id="1665" w:name="bookmark1665"/>
      <w:bookmarkStart w:id="1666" w:name="bookmark1666"/>
      <w:r>
        <w:rPr>
          <w:color w:val="000000"/>
          <w:spacing w:val="0"/>
          <w:w w:val="100"/>
          <w:position w:val="0"/>
        </w:rPr>
        <w:t>（</w:t>
      </w:r>
      <w:bookmarkEnd w:id="166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663"/>
      <w:bookmarkEnd w:id="1664"/>
      <w:bookmarkEnd w:id="1666"/>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987"/>
        <w:gridCol w:w="459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新疆燃气集团有限公司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607,029.00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天津铁厂有限公司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397,000.00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内蒙古紫光化工有限责任公司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323,430.00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其他核销合计</w:t>
            </w:r>
            <w:r>
              <w:rPr>
                <w:rFonts w:ascii="Times New Roman" w:eastAsia="Times New Roman" w:hAnsi="Times New Roman" w:cs="Times New Roman"/>
                <w:color w:val="000000"/>
                <w:spacing w:val="0"/>
                <w:w w:val="100"/>
                <w:position w:val="0"/>
                <w:sz w:val="18"/>
                <w:szCs w:val="18"/>
              </w:rPr>
              <w:t>159</w:t>
            </w:r>
            <w:r>
              <w:rPr>
                <w:color w:val="000000"/>
                <w:spacing w:val="0"/>
                <w:w w:val="100"/>
                <w:position w:val="0"/>
                <w:sz w:val="18"/>
                <w:szCs w:val="18"/>
              </w:rPr>
              <w:t>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3,910,611.59</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5,238,070.59</w:t>
            </w:r>
          </w:p>
        </w:tc>
      </w:tr>
    </w:tbl>
    <w:p>
      <w:pPr>
        <w:widowControl w:val="0"/>
        <w:spacing w:after="299" w:line="1" w:lineRule="exact"/>
      </w:pPr>
    </w:p>
    <w:p>
      <w:pPr>
        <w:pStyle w:val="Style201"/>
        <w:keepNext/>
        <w:keepLines/>
        <w:widowControl w:val="0"/>
        <w:shd w:val="clear" w:color="auto" w:fill="auto"/>
        <w:bidi w:val="0"/>
        <w:spacing w:before="0" w:after="360" w:line="240" w:lineRule="auto"/>
        <w:ind w:left="0" w:right="0" w:firstLine="0"/>
        <w:jc w:val="both"/>
      </w:pPr>
      <w:bookmarkStart w:id="1667" w:name="bookmark1667"/>
      <w:bookmarkStart w:id="1668" w:name="bookmark1668"/>
      <w:bookmarkStart w:id="1669" w:name="bookmark1669"/>
      <w:bookmarkStart w:id="1670" w:name="bookmark1670"/>
      <w:r>
        <w:rPr>
          <w:color w:val="000000"/>
          <w:spacing w:val="0"/>
          <w:w w:val="100"/>
          <w:position w:val="0"/>
        </w:rPr>
        <w:t>（</w:t>
      </w:r>
      <w:bookmarkEnd w:id="166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667"/>
      <w:bookmarkEnd w:id="1668"/>
      <w:bookmarkEnd w:id="1670"/>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747"/>
        <w:gridCol w:w="2506"/>
        <w:gridCol w:w="2928"/>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占应收账款期末余额合计数的比例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64,040,915.56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16.47%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57,586,419.21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14.81%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11,427,077.20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569,068.44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11,670,008.20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581,166.41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7,665,279.98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976,985.83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152,389,700.15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39.19%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both"/>
      </w:pPr>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71"/>
      <w:bookmarkEnd w:id="1672"/>
      <w:bookmarkEnd w:id="1673"/>
    </w:p>
    <w:p>
      <w:pPr>
        <w:pStyle w:val="Style24"/>
        <w:keepNext w:val="0"/>
        <w:keepLines w:val="0"/>
        <w:widowControl w:val="0"/>
        <w:shd w:val="clear" w:color="auto" w:fill="auto"/>
        <w:bidi w:val="0"/>
        <w:spacing w:before="0" w:after="30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240,784,486.31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177,970,121.55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240,784,486.31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177,970,121.55</w:t>
            </w:r>
          </w:p>
        </w:tc>
      </w:tr>
    </w:tbl>
    <w:p>
      <w:pPr>
        <w:widowControl w:val="0"/>
        <w:spacing w:after="299" w:line="1" w:lineRule="exact"/>
      </w:pPr>
    </w:p>
    <w:p>
      <w:pPr>
        <w:pStyle w:val="Style201"/>
        <w:keepNext/>
        <w:keepLines/>
        <w:widowControl w:val="0"/>
        <w:shd w:val="clear" w:color="auto" w:fill="auto"/>
        <w:bidi w:val="0"/>
        <w:spacing w:before="0" w:after="300" w:line="240" w:lineRule="auto"/>
        <w:ind w:left="0" w:right="0" w:firstLine="0"/>
        <w:jc w:val="left"/>
      </w:pPr>
      <w:bookmarkStart w:id="1674" w:name="bookmark1674"/>
      <w:bookmarkStart w:id="1675" w:name="bookmark1675"/>
      <w:bookmarkStart w:id="1676" w:name="bookmark16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74"/>
      <w:bookmarkEnd w:id="1675"/>
      <w:bookmarkEnd w:id="1676"/>
    </w:p>
    <w:p>
      <w:pPr>
        <w:pStyle w:val="Style228"/>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77"/>
      <w:bookmarkEnd w:id="1678"/>
      <w:bookmarkEnd w:id="1679"/>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229,647,933.60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173,123,213.89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押金和保证金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12,017,505.74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5,427,037.82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1,035,894.67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108,801.00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242,729,342.54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178,754,052.71</w:t>
            </w:r>
          </w:p>
        </w:tc>
      </w:tr>
    </w:tbl>
    <w:p>
      <w:pPr>
        <w:widowControl w:val="0"/>
        <w:spacing w:after="299" w:line="1" w:lineRule="exact"/>
      </w:pPr>
    </w:p>
    <w:p>
      <w:pPr>
        <w:pStyle w:val="Style228"/>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80"/>
      <w:bookmarkEnd w:id="1681"/>
      <w:bookmarkEnd w:id="1682"/>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155,094.93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406,676.23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222,160.00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783,931.16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-155,094.93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155,094.93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473,548.42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205,371.87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482,004.78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1,160,925.07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473,548.42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740,643.03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730,664.78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1,944,856.23</w:t>
            </w:r>
          </w:p>
        </w:tc>
      </w:tr>
    </w:tbl>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损失准备本期变动金额重大的账面余额变动情况 口适用”不适用</w:t>
      </w:r>
    </w:p>
    <w:p>
      <w:pPr>
        <w:pStyle w:val="Style24"/>
        <w:keepNext w:val="0"/>
        <w:keepLines w:val="0"/>
        <w:widowControl w:val="0"/>
        <w:shd w:val="clear" w:color="auto" w:fill="auto"/>
        <w:bidi w:val="0"/>
        <w:spacing w:before="0" w:after="120" w:line="346" w:lineRule="exact"/>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186,256,888.03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39,318,772.89</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6,888,852.08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10,264,829.54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2,978,828.37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6,555,336.39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730,664.78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242,729,342.54</w:t>
            </w:r>
          </w:p>
        </w:tc>
      </w:tr>
    </w:tbl>
    <w:p>
      <w:pPr>
        <w:widowControl w:val="0"/>
        <w:spacing w:after="299" w:line="1" w:lineRule="exact"/>
      </w:pPr>
    </w:p>
    <w:p>
      <w:pPr>
        <w:pStyle w:val="Style228"/>
        <w:keepNext/>
        <w:keepLines/>
        <w:widowControl w:val="0"/>
        <w:shd w:val="clear" w:color="auto" w:fill="auto"/>
        <w:bidi w:val="0"/>
        <w:spacing w:before="0" w:after="38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3</w:t>
      </w:r>
      <w:bookmarkEnd w:id="1685"/>
      <w:r>
        <w:rPr>
          <w:color w:val="000000"/>
          <w:spacing w:val="0"/>
          <w:w w:val="100"/>
          <w:position w:val="0"/>
        </w:rPr>
        <w:t>）本期计提、收回或转回的坏账准备情况</w:t>
      </w:r>
      <w:bookmarkEnd w:id="1683"/>
      <w:bookmarkEnd w:id="1684"/>
      <w:bookmarkEnd w:id="168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9"/>
        <w:gridCol w:w="157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783,931.16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1,160,925.07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1,944,856.23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783,931.16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1,160,925.07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1,944,856.23</w:t>
            </w:r>
          </w:p>
        </w:tc>
      </w:tr>
    </w:tbl>
    <w:p>
      <w:pPr>
        <w:widowControl w:val="0"/>
        <w:spacing w:after="299" w:line="1" w:lineRule="exact"/>
      </w:pPr>
    </w:p>
    <w:p>
      <w:pPr>
        <w:pStyle w:val="Style228"/>
        <w:keepNext/>
        <w:keepLines/>
        <w:widowControl w:val="0"/>
        <w:shd w:val="clear" w:color="auto" w:fill="auto"/>
        <w:bidi w:val="0"/>
        <w:spacing w:before="0" w:after="38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4</w:t>
      </w:r>
      <w:bookmarkEnd w:id="1689"/>
      <w:r>
        <w:rPr>
          <w:color w:val="000000"/>
          <w:spacing w:val="0"/>
          <w:w w:val="100"/>
          <w:position w:val="0"/>
        </w:rPr>
        <w:t>）按欠款方归集的期末余额前五名的其他应收款情况</w:t>
      </w:r>
      <w:bookmarkEnd w:id="1687"/>
      <w:bookmarkEnd w:id="1688"/>
      <w:bookmarkEnd w:id="1690"/>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085"/>
        <w:gridCol w:w="1594"/>
        <w:gridCol w:w="1512"/>
        <w:gridCol w:w="2174"/>
        <w:gridCol w:w="1594"/>
        <w:gridCol w:w="16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占其他应收款期</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末余额合计数的</w:t>
            </w:r>
          </w:p>
          <w:p>
            <w:pPr>
              <w:pStyle w:val="Style2"/>
              <w:keepNext w:val="0"/>
              <w:keepLines w:val="0"/>
              <w:widowControl w:val="0"/>
              <w:shd w:val="clear" w:color="auto" w:fill="auto"/>
              <w:bidi w:val="0"/>
              <w:spacing w:before="0" w:after="100" w:line="240" w:lineRule="auto"/>
              <w:ind w:left="0" w:right="0" w:firstLine="600"/>
              <w:jc w:val="left"/>
              <w:rPr>
                <w:sz w:val="18"/>
                <w:szCs w:val="18"/>
              </w:rPr>
            </w:pPr>
            <w:r>
              <w:rPr>
                <w:color w:val="000000"/>
                <w:spacing w:val="0"/>
                <w:w w:val="100"/>
                <w:position w:val="0"/>
                <w:sz w:val="18"/>
                <w:szCs w:val="18"/>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218,105,000.00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89.85%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3</w:t>
      </w:r>
      <w:bookmarkEnd w:id="1693"/>
      <w:r>
        <w:rPr>
          <w:color w:val="000000"/>
          <w:spacing w:val="0"/>
          <w:w w:val="100"/>
          <w:position w:val="0"/>
        </w:rPr>
        <w:t>、长期股权投资</w:t>
      </w:r>
      <w:bookmarkEnd w:id="1691"/>
      <w:bookmarkEnd w:id="1692"/>
      <w:bookmarkEnd w:id="1694"/>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账面价值</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1,988,689,992.</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152,182,234.20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1,836,507,758.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1,799,711,719.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152,182,234.20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1,647,529,485.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对联营、合营 企业投资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82,992,903.49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82,992,903.49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74,242,829.37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74,242,829.37</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2,071,682,895.</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152,182,234.20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1,919,500,661.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1,873,954,549.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152,182,234.20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1,721,772,314.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bl>
    <w:p>
      <w:pPr>
        <w:widowControl w:val="0"/>
        <w:spacing w:after="299" w:line="1" w:lineRule="exact"/>
      </w:pPr>
    </w:p>
    <w:p>
      <w:pPr>
        <w:pStyle w:val="Style201"/>
        <w:keepNext/>
        <w:keepLines/>
        <w:widowControl w:val="0"/>
        <w:shd w:val="clear" w:color="auto" w:fill="auto"/>
        <w:bidi w:val="0"/>
        <w:spacing w:before="0" w:after="360" w:line="240" w:lineRule="auto"/>
        <w:ind w:left="0" w:right="0" w:firstLine="0"/>
        <w:jc w:val="left"/>
      </w:pPr>
      <w:bookmarkStart w:id="1695" w:name="bookmark1695"/>
      <w:bookmarkStart w:id="1696" w:name="bookmark1696"/>
      <w:bookmarkStart w:id="1697" w:name="bookmark16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95"/>
      <w:bookmarkEnd w:id="1696"/>
      <w:bookmarkEnd w:id="1697"/>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229"/>
        <w:gridCol w:w="1546"/>
        <w:gridCol w:w="1411"/>
        <w:gridCol w:w="1262"/>
        <w:gridCol w:w="869"/>
        <w:gridCol w:w="346"/>
        <w:gridCol w:w="1512"/>
        <w:gridCol w:w="141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减值准备期末 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计提减</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其</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郑州炜盛电 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40,238,715.82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236,769,460.72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277,008,176.54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河南汉威智 慧安全科技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41,686,910.38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63,290.05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41,750,200.43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沈阳汉威科</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北京智威宇</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讯科技有限</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379,740.31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49,379,740.31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上海中威天 安公共安全 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23,875,000.00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23,875,000.00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沈阳金建数</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字城市软件</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86,277,429.61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580,158.80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86,857,588.41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20,090,560.90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苏州能斯达</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电子科技有</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8,846,178.30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6,690,278.30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2,794,464.15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英吉森安全 消防系统（上 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4,241,307.24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210,966.84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4,452,274.08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17,774,592.76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鞍山易兴自</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动化工程有</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18,956,582.01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147,676.79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19,104,258.80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7,522,617.99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嘉园环保有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352,132,712.20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352,132,712.20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103,999,998.40</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郑州汉威公</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用事业科技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295,406,900.00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63,290.05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295,470,190.05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29"/>
        <w:gridCol w:w="1546"/>
        <w:gridCol w:w="1411"/>
        <w:gridCol w:w="1262"/>
        <w:gridCol w:w="869"/>
        <w:gridCol w:w="346"/>
        <w:gridCol w:w="1512"/>
        <w:gridCol w:w="14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河南汉威智 慧消防科技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105,483.42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6,105,483.42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郑州汉威智 能仪表有限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10,260,000.00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253,160.21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10,513,160.21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广东龙泉科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20,981,961.00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448,304.53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21,430,265.53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河南雪城软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71,778,700.00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653,997.20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72,432,697.20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郑州汉威智 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277,481,900.00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63,290.05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277,545,190.05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郑州德析检</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测技术有限</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上海威研融</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创实业有限</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171,293,780.00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171,293,780.00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郑州畅威物</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联网科技有</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42,193.37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50,042,193.37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河南省百隆</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建筑工程有</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郑州吉地艾</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斯仪器有限</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汉威祥云（上 海）数据服务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河南威果智 能科技有限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405,483.42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6,490,483.42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山西腾星传</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感技术有限</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42,125,000.00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84,386.74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42,209,386.74</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汉威科技集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团（香港）有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105,909.00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105,909.00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29"/>
        <w:gridCol w:w="1546"/>
        <w:gridCol w:w="1411"/>
        <w:gridCol w:w="1262"/>
        <w:gridCol w:w="869"/>
        <w:gridCol w:w="346"/>
        <w:gridCol w:w="1512"/>
        <w:gridCol w:w="14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河南中敏传 感器技术研 究院有限公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863,290.05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3,563,290.05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深圳汉威物</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1,647,529,485.56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251,134,172.55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62,155,900.00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1,836,507,758.11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152,182,234.20</w:t>
            </w:r>
          </w:p>
        </w:tc>
      </w:tr>
    </w:tbl>
    <w:p>
      <w:pPr>
        <w:widowControl w:val="0"/>
        <w:spacing w:after="319" w:line="1" w:lineRule="exact"/>
      </w:pPr>
    </w:p>
    <w:p>
      <w:pPr>
        <w:pStyle w:val="Style201"/>
        <w:keepNext/>
        <w:keepLines/>
        <w:widowControl w:val="0"/>
        <w:shd w:val="clear" w:color="auto" w:fill="auto"/>
        <w:bidi w:val="0"/>
        <w:spacing w:before="0" w:after="360" w:line="240" w:lineRule="auto"/>
        <w:ind w:left="0" w:right="0" w:firstLine="0"/>
        <w:jc w:val="left"/>
      </w:pPr>
      <w:bookmarkStart w:id="1698" w:name="bookmark1698"/>
      <w:bookmarkStart w:id="1699" w:name="bookmark1699"/>
      <w:bookmarkStart w:id="1700" w:name="bookmark17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98"/>
      <w:bookmarkEnd w:id="1699"/>
      <w:bookmarkEnd w:id="1700"/>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减值准</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备期末</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其他综</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合收益</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其他权</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计提减</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河南中 盾云安 信息科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9,843,7</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335,30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10,179,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073.47</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泰瑞数</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创科技</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京）有</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64,399, 056.03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1,964,5</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6,450,2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72,813, 830.02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74,242,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2,299,8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6,450,2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82,992,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903.49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74,242,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2,299,8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6,450,2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82,992,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903.49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01"/>
        <w:keepNext/>
        <w:keepLines/>
        <w:widowControl w:val="0"/>
        <w:shd w:val="clear" w:color="auto" w:fill="auto"/>
        <w:bidi w:val="0"/>
        <w:spacing w:before="0" w:after="32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701"/>
      <w:bookmarkEnd w:id="1702"/>
      <w:bookmarkEnd w:id="1704"/>
    </w:p>
    <w:p>
      <w:pPr>
        <w:pStyle w:val="Style28"/>
        <w:keepNext/>
        <w:keepLines/>
        <w:widowControl w:val="0"/>
        <w:shd w:val="clear" w:color="auto" w:fill="auto"/>
        <w:bidi w:val="0"/>
        <w:spacing w:before="0" w:after="32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4</w:t>
      </w:r>
      <w:bookmarkEnd w:id="1707"/>
      <w:r>
        <w:rPr>
          <w:color w:val="000000"/>
          <w:spacing w:val="0"/>
          <w:w w:val="100"/>
          <w:position w:val="0"/>
        </w:rPr>
        <w:t>、营业收入和营业成本</w:t>
      </w:r>
      <w:bookmarkEnd w:id="1705"/>
      <w:bookmarkEnd w:id="1706"/>
      <w:bookmarkEnd w:id="1708"/>
      <w:r>
        <w:br w:type="page"/>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002"/>
        <w:gridCol w:w="1834"/>
        <w:gridCol w:w="1915"/>
        <w:gridCol w:w="1910"/>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502,710,077.37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315,583,098.22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322,931,565.86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207,338,658.48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56,036,014.64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24,393,706.97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54,840,258.17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25,392,779.83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558,746,092.01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339,976,805.19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377,771,824.03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232,731,438.31</w:t>
            </w:r>
          </w:p>
        </w:tc>
      </w:tr>
    </w:tbl>
    <w:p>
      <w:pPr>
        <w:pStyle w:val="Style24"/>
        <w:keepNext w:val="0"/>
        <w:keepLines w:val="0"/>
        <w:widowControl w:val="0"/>
        <w:shd w:val="clear" w:color="auto" w:fill="auto"/>
        <w:bidi w:val="0"/>
        <w:spacing w:before="0" w:after="40" w:line="307" w:lineRule="exact"/>
        <w:ind w:left="0" w:right="0" w:firstLine="0"/>
        <w:jc w:val="both"/>
      </w:pPr>
      <w:r>
        <w:rPr>
          <w:color w:val="000000"/>
          <w:spacing w:val="0"/>
          <w:w w:val="100"/>
          <w:position w:val="0"/>
        </w:rPr>
        <w:t>与履约义务相关的信息：</w:t>
      </w:r>
    </w:p>
    <w:p>
      <w:pPr>
        <w:pStyle w:val="Style24"/>
        <w:keepNext w:val="0"/>
        <w:keepLines w:val="0"/>
        <w:widowControl w:val="0"/>
        <w:shd w:val="clear" w:color="auto" w:fill="auto"/>
        <w:bidi w:val="0"/>
        <w:spacing w:before="0" w:after="40" w:line="307" w:lineRule="exact"/>
        <w:ind w:left="0" w:right="0" w:firstLine="0"/>
        <w:jc w:val="both"/>
      </w:pPr>
      <w:r>
        <w:rPr>
          <w:color w:val="000000"/>
          <w:spacing w:val="0"/>
          <w:w w:val="100"/>
          <w:position w:val="0"/>
        </w:rPr>
        <w:t>销售商品通常的履约时间在一个月以内，相关履约条款为根据合同约定收款及发货，在货物控制权转移给客户时确认收入。</w:t>
      </w:r>
    </w:p>
    <w:p>
      <w:pPr>
        <w:pStyle w:val="Style24"/>
        <w:keepNext w:val="0"/>
        <w:keepLines w:val="0"/>
        <w:widowControl w:val="0"/>
        <w:shd w:val="clear" w:color="auto" w:fill="auto"/>
        <w:bidi w:val="0"/>
        <w:spacing w:before="0" w:after="40" w:line="307" w:lineRule="exact"/>
        <w:ind w:left="0" w:right="0" w:firstLine="0"/>
        <w:jc w:val="both"/>
      </w:pPr>
      <w:r>
        <w:rPr>
          <w:color w:val="000000"/>
          <w:spacing w:val="0"/>
          <w:w w:val="100"/>
          <w:position w:val="0"/>
        </w:rPr>
        <w:t>提供劳务履约时间在通常在三年内，相关的条款为合同有效期内预收或分期收取服务费，按照服务期间分摊确认收入。</w:t>
      </w:r>
    </w:p>
    <w:p>
      <w:pPr>
        <w:pStyle w:val="Style24"/>
        <w:keepNext w:val="0"/>
        <w:keepLines w:val="0"/>
        <w:widowControl w:val="0"/>
        <w:shd w:val="clear" w:color="auto" w:fill="auto"/>
        <w:bidi w:val="0"/>
        <w:spacing w:before="0" w:after="40" w:line="307" w:lineRule="exact"/>
        <w:ind w:left="0" w:right="0" w:firstLine="0"/>
        <w:jc w:val="both"/>
      </w:pPr>
      <w:r>
        <w:rPr>
          <w:color w:val="000000"/>
          <w:spacing w:val="0"/>
          <w:w w:val="100"/>
          <w:position w:val="0"/>
        </w:rPr>
        <w:t>工程及服务履约时间较长，工程合同中约定了分次付款条件，双方按照合同完成进度进行结算确认。</w:t>
      </w:r>
    </w:p>
    <w:p>
      <w:pPr>
        <w:pStyle w:val="Style24"/>
        <w:keepNext w:val="0"/>
        <w:keepLines w:val="0"/>
        <w:widowControl w:val="0"/>
        <w:shd w:val="clear" w:color="auto" w:fill="auto"/>
        <w:bidi w:val="0"/>
        <w:spacing w:before="0" w:after="40" w:line="307" w:lineRule="exact"/>
        <w:ind w:left="0" w:right="0" w:firstLine="0"/>
        <w:jc w:val="both"/>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360" w:line="30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80,020,916.11</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51,181,442.28 </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16,244,647.90</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522,795.00</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p>
    <w:p>
      <w:pPr>
        <w:pStyle w:val="Style28"/>
        <w:keepNext/>
        <w:keepLines/>
        <w:widowControl w:val="0"/>
        <w:shd w:val="clear" w:color="auto" w:fill="auto"/>
        <w:bidi w:val="0"/>
        <w:spacing w:before="0" w:line="240" w:lineRule="auto"/>
        <w:ind w:left="0" w:right="0" w:firstLine="0"/>
        <w:jc w:val="both"/>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5</w:t>
      </w:r>
      <w:bookmarkEnd w:id="1711"/>
      <w:r>
        <w:rPr>
          <w:color w:val="000000"/>
          <w:spacing w:val="0"/>
          <w:w w:val="100"/>
          <w:position w:val="0"/>
        </w:rPr>
        <w:t>、投资收益</w:t>
      </w:r>
      <w:bookmarkEnd w:id="1709"/>
      <w:bookmarkEnd w:id="1710"/>
      <w:bookmarkEnd w:id="1712"/>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83,575,957.00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112,448,000.00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2,299,814.18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3,723,647.53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52,954,100.00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其他权益工具投资在持有期间取得的股 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债务重组产生的收益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-11,274.86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138,829,871.18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117,160,372.67</w:t>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both"/>
      </w:pPr>
      <w:bookmarkStart w:id="1713" w:name="bookmark1713"/>
      <w:bookmarkStart w:id="1714" w:name="bookmark1714"/>
      <w:bookmarkStart w:id="1715" w:name="bookmark1715"/>
      <w:r>
        <w:rPr>
          <w:color w:val="000000"/>
          <w:spacing w:val="0"/>
          <w:w w:val="100"/>
          <w:position w:val="0"/>
          <w:sz w:val="24"/>
          <w:szCs w:val="24"/>
        </w:rPr>
        <w:t>十八、补充资料</w:t>
      </w:r>
      <w:bookmarkEnd w:id="1713"/>
      <w:bookmarkEnd w:id="1714"/>
      <w:bookmarkEnd w:id="1715"/>
    </w:p>
    <w:p>
      <w:pPr>
        <w:pStyle w:val="Style28"/>
        <w:keepNext/>
        <w:keepLines/>
        <w:widowControl w:val="0"/>
        <w:shd w:val="clear" w:color="auto" w:fill="auto"/>
        <w:bidi w:val="0"/>
        <w:spacing w:before="0" w:line="240" w:lineRule="auto"/>
        <w:ind w:left="0" w:right="0" w:firstLine="0"/>
        <w:jc w:val="both"/>
      </w:pPr>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16"/>
      <w:bookmarkEnd w:id="1717"/>
      <w:bookmarkEnd w:id="1718"/>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5376"/>
        <w:gridCol w:w="3048"/>
        <w:gridCol w:w="115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-1,867,567.26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计入当期损益的政府补助（与公司正常经营业务密切相关，符合国 家政策规定、按照一定标准定额或定量持续享受的政府补助除外）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142,404,113.20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债务重组损益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121,220.00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76"/>
        <w:gridCol w:w="3048"/>
        <w:gridCol w:w="115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-1,000,740.83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-262,092.26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20,943,042.84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31,208,814.18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87,243,075.83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4"/>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口适用”不适用</w:t>
      </w:r>
    </w:p>
    <w:p>
      <w:pPr>
        <w:pStyle w:val="Style28"/>
        <w:keepNext/>
        <w:keepLines/>
        <w:widowControl w:val="0"/>
        <w:shd w:val="clear" w:color="auto" w:fill="auto"/>
        <w:bidi w:val="0"/>
        <w:spacing w:before="0" w:after="340" w:line="240" w:lineRule="auto"/>
        <w:ind w:left="0" w:right="0" w:firstLine="0"/>
        <w:jc w:val="left"/>
      </w:pPr>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19"/>
      <w:bookmarkEnd w:id="1720"/>
      <w:bookmarkEnd w:id="1721"/>
    </w:p>
    <w:tbl>
      <w:tblPr>
        <w:tblOverlap w:val="never"/>
        <w:jc w:val="center"/>
        <w:tblLayout w:type="fixed"/>
      </w:tblPr>
      <w:tblGrid>
        <w:gridCol w:w="4392"/>
        <w:gridCol w:w="1358"/>
        <w:gridCol w:w="1910"/>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加权平均净资 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bl>
    <w:p>
      <w:pPr>
        <w:widowControl w:val="0"/>
        <w:spacing w:after="1259" w:line="1" w:lineRule="exact"/>
      </w:pPr>
    </w:p>
    <w:p>
      <w:pPr>
        <w:pStyle w:val="Style232"/>
        <w:keepNext w:val="0"/>
        <w:keepLines w:val="0"/>
        <w:widowControl w:val="0"/>
        <w:shd w:val="clear" w:color="auto" w:fill="auto"/>
        <w:bidi w:val="0"/>
        <w:spacing w:before="0"/>
        <w:ind w:left="0" w:right="0" w:firstLine="0"/>
        <w:jc w:val="center"/>
      </w:pPr>
      <w:r>
        <w:rPr>
          <w:color w:val="000000"/>
          <w:spacing w:val="0"/>
          <w:w w:val="100"/>
          <w:position w:val="0"/>
        </w:rPr>
        <w:t>汉威科技集团股份有限公司</w:t>
        <w:br/>
        <w:t>二。二二年三月三十日</w:t>
      </w:r>
    </w:p>
    <w:sectPr>
      <w:footnotePr>
        <w:pos w:val="pageBottom"/>
        <w:numFmt w:val="decimal"/>
        <w:numRestart w:val="continuous"/>
      </w:footnotePr>
      <w:pgSz w:w="11900" w:h="16840"/>
      <w:pgMar w:top="1297" w:right="1054" w:bottom="1436" w:left="10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low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low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00"/>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_"/>
    <w:basedOn w:val="DefaultParagraphFont"/>
    <w:link w:val="Style10"/>
    <w:rPr>
      <w:rFonts w:ascii="SimSun" w:eastAsia="SimSun" w:hAnsi="SimSun" w:cs="SimSun"/>
      <w:b w:val="0"/>
      <w:bCs w:val="0"/>
      <w:i w:val="0"/>
      <w:iCs w:val="0"/>
      <w:smallCaps w:val="0"/>
      <w:strike w:val="0"/>
      <w:sz w:val="20"/>
      <w:szCs w:val="20"/>
      <w:u w:val="none"/>
      <w:shd w:val="clear" w:color="auto" w:fill="auto"/>
    </w:rPr>
  </w:style>
  <w:style w:type="character" w:customStyle="1" w:styleId="CharStyle15">
    <w:name w:val="Table of contents_"/>
    <w:basedOn w:val="DefaultParagraphFont"/>
    <w:link w:val="Style14"/>
    <w:rPr>
      <w:rFonts w:ascii="SimSun" w:eastAsia="SimSun" w:hAnsi="SimSun" w:cs="SimSun"/>
      <w:b w:val="0"/>
      <w:bCs w:val="0"/>
      <w:i w:val="0"/>
      <w:iCs w:val="0"/>
      <w:smallCaps w:val="0"/>
      <w:strike w:val="0"/>
      <w:sz w:val="28"/>
      <w:szCs w:val="28"/>
      <w:u w:val="none"/>
      <w:shd w:val="clear" w:color="auto" w:fill="auto"/>
    </w:rPr>
  </w:style>
  <w:style w:type="character" w:customStyle="1" w:styleId="CharStyle20">
    <w:name w:val="Heading #2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2">
    <w:name w:val="Table caption_"/>
    <w:basedOn w:val="DefaultParagraphFont"/>
    <w:link w:val="Style21"/>
    <w:rPr>
      <w:rFonts w:ascii="SimSun" w:eastAsia="SimSun" w:hAnsi="SimSun" w:cs="SimSun"/>
      <w:b/>
      <w:bCs/>
      <w:i w:val="0"/>
      <w:iCs w:val="0"/>
      <w:smallCaps w:val="0"/>
      <w:strike w:val="0"/>
      <w:sz w:val="20"/>
      <w:szCs w:val="20"/>
      <w:u w:val="none"/>
      <w:shd w:val="clear" w:color="auto" w:fill="auto"/>
    </w:rPr>
  </w:style>
  <w:style w:type="character" w:customStyle="1" w:styleId="CharStyle25">
    <w:name w:val="Body text (2)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4">
    <w:name w:val="Picture caption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162">
    <w:name w:val="Body text (5)_"/>
    <w:basedOn w:val="DefaultParagraphFont"/>
    <w:link w:val="Style161"/>
    <w:rPr>
      <w:rFonts w:ascii="SimHei" w:eastAsia="SimHei" w:hAnsi="SimHei" w:cs="SimHei"/>
      <w:b w:val="0"/>
      <w:bCs w:val="0"/>
      <w:i w:val="0"/>
      <w:iCs w:val="0"/>
      <w:smallCaps w:val="0"/>
      <w:strike w:val="0"/>
      <w:color w:val="474646"/>
      <w:sz w:val="14"/>
      <w:szCs w:val="14"/>
      <w:u w:val="none"/>
      <w:shd w:val="clear" w:color="auto" w:fill="auto"/>
    </w:rPr>
  </w:style>
  <w:style w:type="character" w:customStyle="1" w:styleId="CharStyle168">
    <w:name w:val="Body text (6)_"/>
    <w:basedOn w:val="DefaultParagraphFont"/>
    <w:link w:val="Style167"/>
    <w:rPr>
      <w:rFonts w:ascii="Arial" w:eastAsia="Arial" w:hAnsi="Arial" w:cs="Arial"/>
      <w:b/>
      <w:bCs/>
      <w:i w:val="0"/>
      <w:iCs w:val="0"/>
      <w:smallCaps w:val="0"/>
      <w:strike w:val="0"/>
      <w:color w:val="474646"/>
      <w:sz w:val="10"/>
      <w:szCs w:val="10"/>
      <w:u w:val="none"/>
      <w:shd w:val="clear" w:color="auto" w:fill="auto"/>
    </w:rPr>
  </w:style>
  <w:style w:type="character" w:customStyle="1" w:styleId="CharStyle173">
    <w:name w:val="Body text (8)_"/>
    <w:basedOn w:val="DefaultParagraphFont"/>
    <w:link w:val="Style172"/>
    <w:rPr>
      <w:rFonts w:ascii="SimSun" w:eastAsia="SimSun" w:hAnsi="SimSun" w:cs="SimSun"/>
      <w:b w:val="0"/>
      <w:bCs w:val="0"/>
      <w:i w:val="0"/>
      <w:iCs w:val="0"/>
      <w:smallCaps w:val="0"/>
      <w:strike w:val="0"/>
      <w:color w:val="22313D"/>
      <w:sz w:val="26"/>
      <w:szCs w:val="26"/>
      <w:u w:val="none"/>
      <w:shd w:val="clear" w:color="auto" w:fill="auto"/>
    </w:rPr>
  </w:style>
  <w:style w:type="character" w:customStyle="1" w:styleId="CharStyle177">
    <w:name w:val="Body text (7)_"/>
    <w:basedOn w:val="DefaultParagraphFont"/>
    <w:link w:val="Style176"/>
    <w:rPr>
      <w:rFonts w:ascii="SimHei" w:eastAsia="SimHei" w:hAnsi="SimHei" w:cs="SimHei"/>
      <w:b w:val="0"/>
      <w:bCs w:val="0"/>
      <w:i w:val="0"/>
      <w:iCs w:val="0"/>
      <w:smallCaps w:val="0"/>
      <w:strike w:val="0"/>
      <w:color w:val="14252C"/>
      <w:sz w:val="12"/>
      <w:szCs w:val="12"/>
      <w:u w:val="none"/>
      <w:shd w:val="clear" w:color="auto" w:fill="auto"/>
    </w:rPr>
  </w:style>
  <w:style w:type="character" w:customStyle="1" w:styleId="CharStyle202">
    <w:name w:val="Heading #4_"/>
    <w:basedOn w:val="DefaultParagraphFont"/>
    <w:link w:val="Style201"/>
    <w:rPr>
      <w:rFonts w:ascii="SimSun" w:eastAsia="SimSun" w:hAnsi="SimSun" w:cs="SimSun"/>
      <w:b/>
      <w:bCs/>
      <w:i w:val="0"/>
      <w:iCs w:val="0"/>
      <w:smallCaps w:val="0"/>
      <w:strike w:val="0"/>
      <w:sz w:val="20"/>
      <w:szCs w:val="20"/>
      <w:u w:val="none"/>
      <w:shd w:val="clear" w:color="auto" w:fill="auto"/>
    </w:rPr>
  </w:style>
  <w:style w:type="character" w:customStyle="1" w:styleId="CharStyle229">
    <w:name w:val="Heading #5_"/>
    <w:basedOn w:val="DefaultParagraphFont"/>
    <w:link w:val="Style228"/>
    <w:rPr>
      <w:rFonts w:ascii="SimSun" w:eastAsia="SimSun" w:hAnsi="SimSun" w:cs="SimSun"/>
      <w:b/>
      <w:bCs/>
      <w:i w:val="0"/>
      <w:iCs w:val="0"/>
      <w:smallCaps w:val="0"/>
      <w:strike w:val="0"/>
      <w:sz w:val="20"/>
      <w:szCs w:val="20"/>
      <w:u w:val="none"/>
      <w:shd w:val="clear" w:color="auto" w:fill="auto"/>
    </w:rPr>
  </w:style>
  <w:style w:type="character" w:customStyle="1" w:styleId="CharStyle233">
    <w:name w:val="Body text (9)_"/>
    <w:basedOn w:val="DefaultParagraphFont"/>
    <w:link w:val="Style232"/>
    <w:rPr>
      <w:rFonts w:ascii="SimHei" w:eastAsia="SimHei" w:hAnsi="SimHei" w:cs="SimHei"/>
      <w:b w:val="0"/>
      <w:bCs w:val="0"/>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8">
    <w:name w:val="Heading #1"/>
    <w:basedOn w:val="Normal"/>
    <w:link w:val="CharStyle9"/>
    <w:pPr>
      <w:widowControl w:val="0"/>
      <w:shd w:val="clear" w:color="auto" w:fill="auto"/>
      <w:spacing w:before="60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styleId="Style10">
    <w:name w:val="Body text"/>
    <w:basedOn w:val="Normal"/>
    <w:link w:val="CharStyle11"/>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4">
    <w:name w:val="Table of contents"/>
    <w:basedOn w:val="Normal"/>
    <w:link w:val="CharStyle15"/>
    <w:pPr>
      <w:widowControl w:val="0"/>
      <w:shd w:val="clear" w:color="auto" w:fill="auto"/>
      <w:spacing w:after="300"/>
    </w:pPr>
    <w:rPr>
      <w:rFonts w:ascii="SimSun" w:eastAsia="SimSun" w:hAnsi="SimSun" w:cs="SimSun"/>
      <w:b w:val="0"/>
      <w:bCs w:val="0"/>
      <w:i w:val="0"/>
      <w:iCs w:val="0"/>
      <w:smallCaps w:val="0"/>
      <w:strike w:val="0"/>
      <w:sz w:val="28"/>
      <w:szCs w:val="28"/>
      <w:u w:val="none"/>
      <w:shd w:val="clear" w:color="auto" w:fill="auto"/>
    </w:rPr>
  </w:style>
  <w:style w:type="paragraph" w:customStyle="1" w:styleId="Style19">
    <w:name w:val="Heading #2"/>
    <w:basedOn w:val="Normal"/>
    <w:link w:val="CharStyle20"/>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1">
    <w:name w:val="Table caption"/>
    <w:basedOn w:val="Normal"/>
    <w:link w:val="CharStyle22"/>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4">
    <w:name w:val="Body text (2)"/>
    <w:basedOn w:val="Normal"/>
    <w:link w:val="CharStyle25"/>
    <w:pPr>
      <w:widowControl w:val="0"/>
      <w:shd w:val="clear" w:color="auto" w:fill="auto"/>
      <w:spacing w:after="60" w:line="312" w:lineRule="exact"/>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Heading #3"/>
    <w:basedOn w:val="Normal"/>
    <w:link w:val="CharStyle29"/>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Picture caption"/>
    <w:basedOn w:val="Normal"/>
    <w:link w:val="CharStyle34"/>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161">
    <w:name w:val="Body text (5)"/>
    <w:basedOn w:val="Normal"/>
    <w:link w:val="CharStyle162"/>
    <w:pPr>
      <w:widowControl w:val="0"/>
      <w:shd w:val="clear" w:color="auto" w:fill="auto"/>
      <w:spacing w:line="172" w:lineRule="exact"/>
      <w:ind w:left="600" w:firstLine="20"/>
    </w:pPr>
    <w:rPr>
      <w:rFonts w:ascii="SimHei" w:eastAsia="SimHei" w:hAnsi="SimHei" w:cs="SimHei"/>
      <w:b w:val="0"/>
      <w:bCs w:val="0"/>
      <w:i w:val="0"/>
      <w:iCs w:val="0"/>
      <w:smallCaps w:val="0"/>
      <w:strike w:val="0"/>
      <w:color w:val="474646"/>
      <w:sz w:val="14"/>
      <w:szCs w:val="14"/>
      <w:u w:val="none"/>
      <w:shd w:val="clear" w:color="auto" w:fill="auto"/>
    </w:rPr>
  </w:style>
  <w:style w:type="paragraph" w:customStyle="1" w:styleId="Style167">
    <w:name w:val="Body text (6)"/>
    <w:basedOn w:val="Normal"/>
    <w:link w:val="CharStyle168"/>
    <w:pPr>
      <w:widowControl w:val="0"/>
      <w:shd w:val="clear" w:color="auto" w:fill="auto"/>
      <w:spacing w:line="121" w:lineRule="exact"/>
    </w:pPr>
    <w:rPr>
      <w:rFonts w:ascii="Arial" w:eastAsia="Arial" w:hAnsi="Arial" w:cs="Arial"/>
      <w:b/>
      <w:bCs/>
      <w:i w:val="0"/>
      <w:iCs w:val="0"/>
      <w:smallCaps w:val="0"/>
      <w:strike w:val="0"/>
      <w:color w:val="474646"/>
      <w:sz w:val="10"/>
      <w:szCs w:val="10"/>
      <w:u w:val="none"/>
      <w:shd w:val="clear" w:color="auto" w:fill="auto"/>
    </w:rPr>
  </w:style>
  <w:style w:type="paragraph" w:customStyle="1" w:styleId="Style172">
    <w:name w:val="Body text (8)"/>
    <w:basedOn w:val="Normal"/>
    <w:link w:val="CharStyle173"/>
    <w:pPr>
      <w:widowControl w:val="0"/>
      <w:shd w:val="clear" w:color="auto" w:fill="auto"/>
      <w:spacing w:after="110"/>
      <w:ind w:firstLine="140"/>
    </w:pPr>
    <w:rPr>
      <w:rFonts w:ascii="SimSun" w:eastAsia="SimSun" w:hAnsi="SimSun" w:cs="SimSun"/>
      <w:b w:val="0"/>
      <w:bCs w:val="0"/>
      <w:i w:val="0"/>
      <w:iCs w:val="0"/>
      <w:smallCaps w:val="0"/>
      <w:strike w:val="0"/>
      <w:color w:val="22313D"/>
      <w:sz w:val="26"/>
      <w:szCs w:val="26"/>
      <w:u w:val="none"/>
      <w:shd w:val="clear" w:color="auto" w:fill="auto"/>
    </w:rPr>
  </w:style>
  <w:style w:type="paragraph" w:customStyle="1" w:styleId="Style176">
    <w:name w:val="Body text (7)"/>
    <w:basedOn w:val="Normal"/>
    <w:link w:val="CharStyle177"/>
    <w:pPr>
      <w:widowControl w:val="0"/>
      <w:shd w:val="clear" w:color="auto" w:fill="auto"/>
      <w:spacing w:after="120"/>
    </w:pPr>
    <w:rPr>
      <w:rFonts w:ascii="SimHei" w:eastAsia="SimHei" w:hAnsi="SimHei" w:cs="SimHei"/>
      <w:b w:val="0"/>
      <w:bCs w:val="0"/>
      <w:i w:val="0"/>
      <w:iCs w:val="0"/>
      <w:smallCaps w:val="0"/>
      <w:strike w:val="0"/>
      <w:color w:val="14252C"/>
      <w:sz w:val="12"/>
      <w:szCs w:val="12"/>
      <w:u w:val="none"/>
      <w:shd w:val="clear" w:color="auto" w:fill="auto"/>
    </w:rPr>
  </w:style>
  <w:style w:type="paragraph" w:customStyle="1" w:styleId="Style201">
    <w:name w:val="Heading #4"/>
    <w:basedOn w:val="Normal"/>
    <w:link w:val="CharStyle20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28">
    <w:name w:val="Heading #5"/>
    <w:basedOn w:val="Normal"/>
    <w:link w:val="CharStyle229"/>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232">
    <w:name w:val="Body text (9)"/>
    <w:basedOn w:val="Normal"/>
    <w:link w:val="CharStyle233"/>
    <w:pPr>
      <w:widowControl w:val="0"/>
      <w:shd w:val="clear" w:color="auto" w:fill="auto"/>
      <w:spacing w:after="180" w:line="427" w:lineRule="exact"/>
      <w:jc w:val="center"/>
    </w:pPr>
    <w:rPr>
      <w:rFonts w:ascii="SimHei" w:eastAsia="SimHei" w:hAnsi="SimHei" w:cs="SimHei"/>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jpeg"/><Relationship Id="rId56" Type="http://schemas.openxmlformats.org/officeDocument/2006/relationships/image" Target="media/image26.jpeg" TargetMode="External"/><Relationship Id="rId57" Type="http://schemas.openxmlformats.org/officeDocument/2006/relationships/image" Target="media/image27.jpeg"/><Relationship Id="rId58" Type="http://schemas.openxmlformats.org/officeDocument/2006/relationships/image" Target="media/image27.jpeg" TargetMode="External"/><Relationship Id="rId59" Type="http://schemas.openxmlformats.org/officeDocument/2006/relationships/image" Target="media/image28.jpeg"/><Relationship Id="rId60" Type="http://schemas.openxmlformats.org/officeDocument/2006/relationships/image" Target="media/image28.jpeg" TargetMode="External"/><Relationship Id="rId61" Type="http://schemas.openxmlformats.org/officeDocument/2006/relationships/image" Target="media/image29.jpeg"/><Relationship Id="rId62" Type="http://schemas.openxmlformats.org/officeDocument/2006/relationships/image" Target="media/image29.jpeg" TargetMode="External"/><Relationship Id="rId63" Type="http://schemas.openxmlformats.org/officeDocument/2006/relationships/image" Target="media/image30.jpeg"/><Relationship Id="rId64" Type="http://schemas.openxmlformats.org/officeDocument/2006/relationships/image" Target="media/image30.jpeg" TargetMode="External"/><Relationship Id="rId65" Type="http://schemas.openxmlformats.org/officeDocument/2006/relationships/image" Target="media/image31.jpeg"/><Relationship Id="rId66" Type="http://schemas.openxmlformats.org/officeDocument/2006/relationships/image" Target="media/image31.jpeg" TargetMode="External"/><Relationship Id="rId67" Type="http://schemas.openxmlformats.org/officeDocument/2006/relationships/image" Target="media/image32.jpeg"/><Relationship Id="rId68" Type="http://schemas.openxmlformats.org/officeDocument/2006/relationships/image" Target="media/image32.jpeg" TargetMode="External"/></Relationships>
</file>