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武汉中元华电科技股份有限公司</w:t>
      </w:r>
    </w:p>
    <w:p>
      <w:pPr>
        <w:pStyle w:val="Style4"/>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790" w:right="975" w:bottom="2790"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4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10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after="100" w:line="624" w:lineRule="exact"/>
        <w:ind w:left="0" w:right="0"/>
        <w:jc w:val="both"/>
      </w:pPr>
      <w:r>
        <w:rPr>
          <w:color w:val="000000"/>
          <w:spacing w:val="0"/>
          <w:w w:val="100"/>
          <w:position w:val="0"/>
        </w:rPr>
        <w:t>公司负责人王永业、主管会计工作负责人卢春明及会计机构负责人（会计 主管人员）黄伟兵声明：保证本年度报告中财务报告的真实、准确、完整。</w:t>
      </w:r>
    </w:p>
    <w:p>
      <w:pPr>
        <w:pStyle w:val="Style12"/>
        <w:keepNext w:val="0"/>
        <w:keepLines w:val="0"/>
        <w:widowControl w:val="0"/>
        <w:shd w:val="clear" w:color="auto" w:fill="auto"/>
        <w:bidi w:val="0"/>
        <w:spacing w:before="0" w:after="100" w:line="622"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100" w:line="622" w:lineRule="exact"/>
        <w:ind w:left="0" w:right="0"/>
        <w:jc w:val="both"/>
      </w:pPr>
      <w:r>
        <w:rPr>
          <w:color w:val="000000"/>
          <w:spacing w:val="0"/>
          <w:w w:val="100"/>
          <w:position w:val="0"/>
        </w:rPr>
        <w:t>本年度报告涉及未来计划等前瞻性描述，不构成公司对投资者的实质承诺， 投资者及相关人士应当对此保持足够的风险认识，并应当理解计划、预测与承 诺之间的差异。</w:t>
      </w:r>
    </w:p>
    <w:p>
      <w:pPr>
        <w:pStyle w:val="Style12"/>
        <w:keepNext w:val="0"/>
        <w:keepLines w:val="0"/>
        <w:widowControl w:val="0"/>
        <w:shd w:val="clear" w:color="auto" w:fill="auto"/>
        <w:bidi w:val="0"/>
        <w:spacing w:before="0" w:after="400" w:line="622" w:lineRule="exact"/>
        <w:ind w:left="0" w:right="0"/>
        <w:jc w:val="both"/>
      </w:pPr>
      <w:r>
        <w:rPr>
          <w:color w:val="000000"/>
          <w:spacing w:val="0"/>
          <w:w w:val="100"/>
          <w:position w:val="0"/>
        </w:rPr>
        <w:t>本年度报告涉及未来计划等前瞻性描述，不构成公司对投资者的实质承诺， 投资者及相关人士应当对此保持足够的风险认识，并应当理解计划、预测与承 诺之间的差异。</w:t>
      </w:r>
    </w:p>
    <w:p>
      <w:pPr>
        <w:pStyle w:val="Style12"/>
        <w:keepNext w:val="0"/>
        <w:keepLines w:val="0"/>
        <w:widowControl w:val="0"/>
        <w:shd w:val="clear" w:color="auto" w:fill="auto"/>
        <w:bidi w:val="0"/>
        <w:spacing w:before="0" w:after="0" w:line="463" w:lineRule="auto"/>
        <w:ind w:left="0" w:right="0"/>
        <w:jc w:val="both"/>
      </w:pPr>
      <w:bookmarkStart w:id="4" w:name="bookmark4"/>
      <w:r>
        <w:rPr>
          <w:rFonts w:ascii="Times New Roman" w:eastAsia="Times New Roman" w:hAnsi="Times New Roman" w:cs="Times New Roman"/>
          <w:color w:val="000000"/>
          <w:spacing w:val="0"/>
          <w:w w:val="100"/>
          <w:position w:val="0"/>
          <w:sz w:val="28"/>
          <w:szCs w:val="28"/>
        </w:rPr>
        <w:t>（</w:t>
      </w:r>
      <w:bookmarkEnd w:id="4"/>
      <w:r>
        <w:rPr>
          <w:color w:val="000000"/>
          <w:spacing w:val="0"/>
          <w:w w:val="100"/>
          <w:position w:val="0"/>
        </w:rPr>
        <w:t>一）经营管理风险</w:t>
      </w:r>
    </w:p>
    <w:p>
      <w:pPr>
        <w:pStyle w:val="Style12"/>
        <w:keepNext w:val="0"/>
        <w:keepLines w:val="0"/>
        <w:widowControl w:val="0"/>
        <w:shd w:val="clear" w:color="auto" w:fill="auto"/>
        <w:bidi w:val="0"/>
        <w:spacing w:before="0" w:after="100" w:line="614" w:lineRule="exact"/>
        <w:ind w:left="0" w:right="0"/>
        <w:jc w:val="both"/>
      </w:pPr>
      <w:r>
        <w:rPr>
          <w:color w:val="000000"/>
          <w:spacing w:val="0"/>
          <w:w w:val="100"/>
          <w:position w:val="0"/>
        </w:rPr>
        <w:t>随着公司业务发展，特别是募投项目实施和投资并购工作的推进，公司业 务方向、经营模式等不断出现新的变化，管理的跨度进一步扩大，对公司运营 管理、人才发展、技术开发、业务拓展等各方面的能力带来更大的挑战。若公 司的组织结构和管理模式等不能适应并进行及时的调整、完善，将导致一定的 经营管理风险。</w:t>
      </w:r>
    </w:p>
    <w:p>
      <w:pPr>
        <w:pStyle w:val="Style12"/>
        <w:keepNext w:val="0"/>
        <w:keepLines w:val="0"/>
        <w:widowControl w:val="0"/>
        <w:shd w:val="clear" w:color="auto" w:fill="auto"/>
        <w:bidi w:val="0"/>
        <w:spacing w:before="0" w:after="100" w:line="622" w:lineRule="exact"/>
        <w:ind w:left="0" w:right="0"/>
        <w:jc w:val="both"/>
      </w:pPr>
      <w:r>
        <w:rPr>
          <w:color w:val="000000"/>
          <w:spacing w:val="0"/>
          <w:w w:val="100"/>
          <w:position w:val="0"/>
        </w:rPr>
        <w:t>应对措施：公司加强集团化管理力度，制定相应管理机制，提升集团管理</w:t>
      </w:r>
    </w:p>
    <w:p>
      <w:pPr>
        <w:pStyle w:val="Style12"/>
        <w:keepNext w:val="0"/>
        <w:keepLines w:val="0"/>
        <w:widowControl w:val="0"/>
        <w:shd w:val="clear" w:color="auto" w:fill="auto"/>
        <w:bidi w:val="0"/>
        <w:spacing w:before="0" w:line="634" w:lineRule="exact"/>
        <w:ind w:left="0" w:right="0" w:firstLine="0"/>
        <w:jc w:val="both"/>
      </w:pPr>
      <w:r>
        <w:rPr>
          <w:color w:val="000000"/>
          <w:spacing w:val="0"/>
          <w:w w:val="100"/>
          <w:position w:val="0"/>
        </w:rPr>
        <w:t>水平，完善组织结构，改进内部控制和考核制度，以满足新形势下集团管控的 业务需求。</w:t>
      </w:r>
    </w:p>
    <w:p>
      <w:pPr>
        <w:pStyle w:val="Style12"/>
        <w:keepNext w:val="0"/>
        <w:keepLines w:val="0"/>
        <w:widowControl w:val="0"/>
        <w:shd w:val="clear" w:color="auto" w:fill="auto"/>
        <w:tabs>
          <w:tab w:pos="1274" w:val="left"/>
        </w:tabs>
        <w:bidi w:val="0"/>
        <w:spacing w:before="0"/>
        <w:ind w:left="0" w:right="0"/>
        <w:jc w:val="both"/>
      </w:pPr>
      <w:bookmarkStart w:id="5" w:name="bookmark5"/>
      <w:r>
        <w:rPr>
          <w:color w:val="000000"/>
          <w:spacing w:val="0"/>
          <w:w w:val="100"/>
          <w:position w:val="0"/>
        </w:rPr>
        <w:t>（</w:t>
      </w:r>
      <w:bookmarkEnd w:id="5"/>
      <w:r>
        <w:rPr>
          <w:color w:val="000000"/>
          <w:spacing w:val="0"/>
          <w:w w:val="100"/>
          <w:position w:val="0"/>
        </w:rPr>
        <w:t>二）</w:t>
        <w:tab/>
        <w:t>新行业整合风险</w:t>
      </w:r>
    </w:p>
    <w:p>
      <w:pPr>
        <w:pStyle w:val="Style12"/>
        <w:keepNext w:val="0"/>
        <w:keepLines w:val="0"/>
        <w:widowControl w:val="0"/>
        <w:shd w:val="clear" w:color="auto" w:fill="auto"/>
        <w:bidi w:val="0"/>
        <w:spacing w:before="0" w:line="625" w:lineRule="exact"/>
        <w:ind w:left="0" w:right="0"/>
        <w:jc w:val="both"/>
      </w:pPr>
      <w:r>
        <w:rPr>
          <w:color w:val="000000"/>
          <w:spacing w:val="0"/>
          <w:w w:val="100"/>
          <w:position w:val="0"/>
        </w:rPr>
        <w:t>公司通过投资并购进入医疗健康产业，该业务领域及运营模式对公司的发 展具有重要影响。虽然公司根据发展战略进行了多次投资、并购，以对业务拓 展、客户资源、技术开发等方面进行有效整合，但该业务板块的协同效应是否 能充分发挥尚存在一定的不确定性。若整合过程中不能有效实现协同管理，可 能会一定程度上影响公司的运营效率和效益。</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应对措施：重视企业文化建设，进一步增进理解和认同各方现有企业文化 和经营理念，使得各方在公司管理风格、员工认同、创新文化等方面保持一致； 成立中元华电医疗健康产业发展委员会，推进医疗管理团队整合，为同一产业 链上各企业提供沟通了解、协作发展的产业发展平台，有利于公司在医疗健康 产业链上相关资源不断渗透与整合，达成不断深化的多维度合作；通过制度建 设，规范公司运作、科学决策、控制风险。</w:t>
      </w:r>
    </w:p>
    <w:p>
      <w:pPr>
        <w:pStyle w:val="Style12"/>
        <w:keepNext w:val="0"/>
        <w:keepLines w:val="0"/>
        <w:widowControl w:val="0"/>
        <w:shd w:val="clear" w:color="auto" w:fill="auto"/>
        <w:tabs>
          <w:tab w:pos="1274" w:val="left"/>
        </w:tabs>
        <w:bidi w:val="0"/>
        <w:spacing w:before="0"/>
        <w:ind w:left="0" w:right="0"/>
        <w:jc w:val="both"/>
      </w:pPr>
      <w:bookmarkStart w:id="6" w:name="bookmark6"/>
      <w:r>
        <w:rPr>
          <w:color w:val="000000"/>
          <w:spacing w:val="0"/>
          <w:w w:val="100"/>
          <w:position w:val="0"/>
        </w:rPr>
        <w:t>（</w:t>
      </w:r>
      <w:bookmarkEnd w:id="6"/>
      <w:r>
        <w:rPr>
          <w:color w:val="000000"/>
          <w:spacing w:val="0"/>
          <w:w w:val="100"/>
          <w:position w:val="0"/>
        </w:rPr>
        <w:t>三）</w:t>
        <w:tab/>
        <w:t>行业风险</w:t>
      </w:r>
    </w:p>
    <w:p>
      <w:pPr>
        <w:pStyle w:val="Style12"/>
        <w:keepNext w:val="0"/>
        <w:keepLines w:val="0"/>
        <w:widowControl w:val="0"/>
        <w:shd w:val="clear" w:color="auto" w:fill="auto"/>
        <w:bidi w:val="0"/>
        <w:spacing w:before="0"/>
        <w:ind w:left="0" w:right="0"/>
        <w:jc w:val="both"/>
      </w:pPr>
      <w:r>
        <w:rPr>
          <w:color w:val="000000"/>
          <w:spacing w:val="0"/>
          <w:w w:val="100"/>
          <w:position w:val="0"/>
        </w:rPr>
        <w:t>电力行业的发展对包括公司在内的电力系统二次设备制造企业有重大影响。 经济发展对电力的需求、国家产业政策以及电力规划等方面的变化与公司所处 细分行业发展紧密联系，如政策发生偏移或执行放缓，存在着影响公司成长性 的风险。医疗健康行业与国民经济及宏观政策密切相关，国家对医疗健康行业 的政策及医疗改革的进度会直接影响其发展的速度和方向，各地政策的落实情 况及相关医疗改革的进度直接影响公司业绩。</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应对措施：公司密切关注国家电力行业、医疗行业发展动态，坚持根据国 家政策、市场需求，做好前瞻性判断，积极开发新产品，丰富产品线。同时随 着电力体制及医疗体制改革的推进，适时通过投资并购拓展产业范围，增加公 司利润增长点，降低行业风险对公司发展的影响。</w:t>
      </w:r>
    </w:p>
    <w:p>
      <w:pPr>
        <w:pStyle w:val="Style12"/>
        <w:keepNext w:val="0"/>
        <w:keepLines w:val="0"/>
        <w:widowControl w:val="0"/>
        <w:shd w:val="clear" w:color="auto" w:fill="auto"/>
        <w:tabs>
          <w:tab w:pos="1274" w:val="left"/>
        </w:tabs>
        <w:bidi w:val="0"/>
        <w:spacing w:before="0" w:line="624" w:lineRule="exact"/>
        <w:ind w:left="0" w:right="0"/>
        <w:jc w:val="both"/>
      </w:pPr>
      <w:bookmarkStart w:id="7" w:name="bookmark7"/>
      <w:r>
        <w:rPr>
          <w:color w:val="000000"/>
          <w:spacing w:val="0"/>
          <w:w w:val="100"/>
          <w:position w:val="0"/>
        </w:rPr>
        <w:t>（</w:t>
      </w:r>
      <w:bookmarkEnd w:id="7"/>
      <w:r>
        <w:rPr>
          <w:color w:val="000000"/>
          <w:spacing w:val="0"/>
          <w:w w:val="100"/>
          <w:position w:val="0"/>
        </w:rPr>
        <w:t>四）</w:t>
        <w:tab/>
        <w:t>技术风险</w:t>
      </w:r>
    </w:p>
    <w:p>
      <w:pPr>
        <w:pStyle w:val="Style12"/>
        <w:keepNext w:val="0"/>
        <w:keepLines w:val="0"/>
        <w:widowControl w:val="0"/>
        <w:shd w:val="clear" w:color="auto" w:fill="auto"/>
        <w:bidi w:val="0"/>
        <w:spacing w:before="0" w:line="623" w:lineRule="exact"/>
        <w:ind w:left="0" w:right="0"/>
        <w:jc w:val="both"/>
      </w:pPr>
      <w:r>
        <w:rPr>
          <w:color w:val="000000"/>
          <w:spacing w:val="0"/>
          <w:w w:val="100"/>
          <w:position w:val="0"/>
        </w:rPr>
        <w:t>公司在电力领域的主营业务为电力设备的研发、制造、销售和服务，该领 域具有技术更新快、产品需求多样的特点，特别在目前智能电网、智能配网、 新能源等新技术发展和应用方面，客观上要求公司能够超前洞悉行业和技术发 展趋势，把握需求变动方向，及时推出满足客户需求产品。公司在医疗领域的 主营业务为医疗信息化和体外诊断产品的研发、销售与服务。随着国家政策的 落实和医疗体制改革的推进，要求公司医疗信息化和体外诊断相关技术及产品 能精准适应各地医疗机构的需求，以满足市场变化。如果公司技术开发滞后， 产品不能适时满足客户需求，存在丧失现有客户和新客户开拓不佳的风险。</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应对措施：公司坚持加大研发投入、积极参加各种相关标准制定等行业活 动，加强与各级电网公司、相关学校、电力研究院、医疗机构合作，跟踪行业 发展方向，研发相关技术，降低技术落后风险；</w:t>
      </w:r>
    </w:p>
    <w:p>
      <w:pPr>
        <w:pStyle w:val="Style12"/>
        <w:keepNext w:val="0"/>
        <w:keepLines w:val="0"/>
        <w:widowControl w:val="0"/>
        <w:shd w:val="clear" w:color="auto" w:fill="auto"/>
        <w:tabs>
          <w:tab w:pos="1274" w:val="left"/>
        </w:tabs>
        <w:bidi w:val="0"/>
        <w:spacing w:before="0" w:line="624" w:lineRule="exact"/>
        <w:ind w:left="0" w:right="0"/>
        <w:jc w:val="both"/>
      </w:pPr>
      <w:bookmarkStart w:id="8" w:name="bookmark8"/>
      <w:r>
        <w:rPr>
          <w:color w:val="000000"/>
          <w:spacing w:val="0"/>
          <w:w w:val="100"/>
          <w:position w:val="0"/>
        </w:rPr>
        <w:t>（</w:t>
      </w:r>
      <w:bookmarkEnd w:id="8"/>
      <w:r>
        <w:rPr>
          <w:color w:val="000000"/>
          <w:spacing w:val="0"/>
          <w:w w:val="100"/>
          <w:position w:val="0"/>
        </w:rPr>
        <w:t>五）</w:t>
        <w:tab/>
        <w:t>并购风险</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公司将坚持通过积极稳妥推进投资并购的发展战略，实现外延式扩张。公 司与并购标的在业务模式、运营管理等方面均存在不同程度的差异。如果选择 的并购标的不当，或者并购完成后未能做好资源整合，将存在并购目的不能实 现或不能完全实现的风险。</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应对措施：公司将标的公司诚信规范运作、管理团队务实经营作为选择标 的的重要条件，利用广泛的社会资源，精挑细选目标项目，审慎做好尽职调查， 聘请经验丰富的专业团队制定方案，科学决策。加强与投后企业资源共享，互 相支持，精诚合作，定期对投后企业进行内部审计，完善投后企业管理制度， 促进双方的文化融合，和谐发展。</w:t>
      </w:r>
    </w:p>
    <w:p>
      <w:pPr>
        <w:pStyle w:val="Style12"/>
        <w:keepNext w:val="0"/>
        <w:keepLines w:val="0"/>
        <w:widowControl w:val="0"/>
        <w:shd w:val="clear" w:color="auto" w:fill="auto"/>
        <w:tabs>
          <w:tab w:pos="1313" w:val="left"/>
        </w:tabs>
        <w:bidi w:val="0"/>
        <w:spacing w:before="0" w:line="626" w:lineRule="exact"/>
        <w:ind w:left="0" w:right="0"/>
        <w:jc w:val="both"/>
      </w:pPr>
      <w:bookmarkStart w:id="9" w:name="bookmark9"/>
      <w:r>
        <w:rPr>
          <w:color w:val="000000"/>
          <w:spacing w:val="0"/>
          <w:w w:val="100"/>
          <w:position w:val="0"/>
        </w:rPr>
        <w:t>（</w:t>
      </w:r>
      <w:bookmarkEnd w:id="9"/>
      <w:r>
        <w:rPr>
          <w:color w:val="000000"/>
          <w:spacing w:val="0"/>
          <w:w w:val="100"/>
          <w:position w:val="0"/>
        </w:rPr>
        <w:t>六）</w:t>
        <w:tab/>
        <w:t>市场风险</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国家在持续推动电力建设及医疗健康服务的同时，带来相关领域的市场变 化，给公司带来良好的发展机遇，同时公司技术能力、产品成本、销售价格、 售后服务面临的竞争愈加激烈，公司面对更多挑战，存在业绩波动较大的风险。</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应对措施：公司紧密关注国家和行业在相关领域的政策变化，加强与用户 的沟通，根据市场变化，提升技术水平，加强成本管理，坚持全员为客户服务 的理念，努力提高投标中标比例，同时加强与总承包企业的合作，拓展市场新 区域、新的利润增长点，减小公司业绩波动。</w:t>
      </w:r>
    </w:p>
    <w:p>
      <w:pPr>
        <w:pStyle w:val="Style12"/>
        <w:keepNext w:val="0"/>
        <w:keepLines w:val="0"/>
        <w:widowControl w:val="0"/>
        <w:shd w:val="clear" w:color="auto" w:fill="auto"/>
        <w:tabs>
          <w:tab w:pos="1313" w:val="left"/>
        </w:tabs>
        <w:bidi w:val="0"/>
        <w:spacing w:before="0" w:line="626" w:lineRule="exact"/>
        <w:ind w:left="0" w:right="0"/>
        <w:jc w:val="both"/>
      </w:pPr>
      <w:bookmarkStart w:id="10" w:name="bookmark10"/>
      <w:r>
        <w:rPr>
          <w:color w:val="000000"/>
          <w:spacing w:val="0"/>
          <w:w w:val="100"/>
          <w:position w:val="0"/>
        </w:rPr>
        <w:t>（</w:t>
      </w:r>
      <w:bookmarkEnd w:id="10"/>
      <w:r>
        <w:rPr>
          <w:color w:val="000000"/>
          <w:spacing w:val="0"/>
          <w:w w:val="100"/>
          <w:position w:val="0"/>
        </w:rPr>
        <w:t>七）</w:t>
        <w:tab/>
        <w:t>资产减值风险</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通过非同一控制下企业合并形成的商誉，若被并购公司盈利不及预期，将 面临商誉减值的风险。公司生产经营、投资等过程中形成的长期股权投资、应 收款项等资产也存在一定的减值风险，资产减值将直接减少公司当期损益。</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应对措施：公司将密切关注被并购公司的经营情况，严抓投后管理，通过 提升管理水平、整合技术及业务资源、开拓市场等措施，保障其稳健发展。同 时公司也将积极做好应收款项催收工作，从而降低资产减值风险对公司的影响。</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55" w:val="left"/>
          <w:tab w:leader="dot" w:pos="9612" w:val="right"/>
        </w:tabs>
        <w:bidi w:val="0"/>
        <w:spacing w:before="0" w:line="240" w:lineRule="auto"/>
        <w:ind w:left="0" w:right="0" w:firstLine="0"/>
        <w:jc w:val="left"/>
        <w:rPr>
          <w:sz w:val="24"/>
          <w:szCs w:val="24"/>
        </w:rPr>
      </w:pPr>
      <w:hyperlink w:anchor="bookmark17"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9"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15"/>
        <w:keepNext w:val="0"/>
        <w:keepLines w:val="0"/>
        <w:widowControl w:val="0"/>
        <w:shd w:val="clear" w:color="auto" w:fill="auto"/>
        <w:tabs>
          <w:tab w:pos="955" w:val="left"/>
          <w:tab w:leader="dot" w:pos="9612" w:val="right"/>
        </w:tabs>
        <w:bidi w:val="0"/>
        <w:spacing w:before="0" w:line="240" w:lineRule="auto"/>
        <w:ind w:left="0" w:right="0" w:firstLine="0"/>
        <w:jc w:val="left"/>
        <w:rPr>
          <w:sz w:val="24"/>
          <w:szCs w:val="24"/>
        </w:rPr>
      </w:pPr>
      <w:hyperlink w:anchor="bookmark256" w:tooltip="Current Document">
        <w:r>
          <w:rPr>
            <w:color w:val="000000"/>
            <w:spacing w:val="0"/>
            <w:w w:val="100"/>
            <w:position w:val="0"/>
            <w:sz w:val="22"/>
            <w:szCs w:val="22"/>
          </w:rPr>
          <w:t>第四节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404"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41"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03"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99</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08"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100</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282" w:right="881" w:bottom="1556" w:left="1058" w:header="0" w:footer="3" w:gutter="0"/>
          <w:cols w:space="720"/>
          <w:noEndnote/>
          <w:rtlGutter w:val="0"/>
          <w:docGrid w:linePitch="360"/>
        </w:sectPr>
      </w:pPr>
      <w:hyperlink w:anchor="bookmark611"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r>
        <w:fldChar w:fldCharType="end"/>
      </w:r>
    </w:p>
    <w:p>
      <w:pPr>
        <w:pStyle w:val="Style4"/>
        <w:keepNext w:val="0"/>
        <w:keepLines w:val="0"/>
        <w:widowControl w:val="0"/>
        <w:shd w:val="clear" w:color="auto" w:fill="auto"/>
        <w:bidi w:val="0"/>
        <w:spacing w:before="680" w:after="76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992" w:val="left"/>
        </w:tabs>
        <w:bidi w:val="0"/>
        <w:spacing w:before="0" w:after="0" w:line="451" w:lineRule="exact"/>
        <w:ind w:left="0" w:right="0" w:firstLine="480"/>
        <w:jc w:val="left"/>
      </w:pPr>
      <w:bookmarkStart w:id="11" w:name="bookmark11"/>
      <w:r>
        <w:rPr>
          <w:color w:val="000000"/>
          <w:spacing w:val="0"/>
          <w:w w:val="100"/>
          <w:position w:val="0"/>
        </w:rPr>
        <w:t>一</w:t>
      </w:r>
      <w:bookmarkEnd w:id="11"/>
      <w:r>
        <w:rPr>
          <w:color w:val="000000"/>
          <w:spacing w:val="0"/>
          <w:w w:val="100"/>
          <w:position w:val="0"/>
        </w:rPr>
        <w:t>、</w:t>
        <w:tab/>
        <w:t>载有公司法定代表人王永业先生、主管会计工作负责人卢春明先生及会计机构负责 人黄伟兵先生签名并盖章的财务报表。</w:t>
      </w:r>
    </w:p>
    <w:p>
      <w:pPr>
        <w:pStyle w:val="Style18"/>
        <w:keepNext w:val="0"/>
        <w:keepLines w:val="0"/>
        <w:widowControl w:val="0"/>
        <w:shd w:val="clear" w:color="auto" w:fill="auto"/>
        <w:tabs>
          <w:tab w:pos="992" w:val="left"/>
        </w:tabs>
        <w:bidi w:val="0"/>
        <w:spacing w:before="0" w:after="0" w:line="451" w:lineRule="exact"/>
        <w:ind w:left="0" w:right="0" w:firstLine="480"/>
        <w:jc w:val="left"/>
      </w:pPr>
      <w:bookmarkStart w:id="12" w:name="bookmark12"/>
      <w:r>
        <w:rPr>
          <w:color w:val="000000"/>
          <w:spacing w:val="0"/>
          <w:w w:val="100"/>
          <w:position w:val="0"/>
        </w:rPr>
        <w:t>二</w:t>
      </w:r>
      <w:bookmarkEnd w:id="12"/>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992" w:val="left"/>
        </w:tabs>
        <w:bidi w:val="0"/>
        <w:spacing w:before="0" w:after="0" w:line="451" w:lineRule="exact"/>
        <w:ind w:left="0" w:right="0" w:firstLine="480"/>
        <w:jc w:val="left"/>
      </w:pPr>
      <w:bookmarkStart w:id="13" w:name="bookmark13"/>
      <w:r>
        <w:rPr>
          <w:color w:val="000000"/>
          <w:spacing w:val="0"/>
          <w:w w:val="100"/>
          <w:position w:val="0"/>
        </w:rPr>
        <w:t>三</w:t>
      </w:r>
      <w:bookmarkEnd w:id="13"/>
      <w:r>
        <w:rPr>
          <w:color w:val="000000"/>
          <w:spacing w:val="0"/>
          <w:w w:val="100"/>
          <w:position w:val="0"/>
        </w:rPr>
        <w:t>、</w:t>
        <w:tab/>
        <w:t>报告期内在中国证监会规定网站上公开披露过的所有公司文件的正本及公告的原稿。</w:t>
      </w:r>
    </w:p>
    <w:p>
      <w:pPr>
        <w:pStyle w:val="Style18"/>
        <w:keepNext w:val="0"/>
        <w:keepLines w:val="0"/>
        <w:widowControl w:val="0"/>
        <w:shd w:val="clear" w:color="auto" w:fill="auto"/>
        <w:tabs>
          <w:tab w:pos="992" w:val="left"/>
        </w:tabs>
        <w:bidi w:val="0"/>
        <w:spacing w:before="0" w:after="0" w:line="451" w:lineRule="exact"/>
        <w:ind w:left="0" w:right="0" w:firstLine="480"/>
        <w:jc w:val="left"/>
      </w:pPr>
      <w:bookmarkStart w:id="14" w:name="bookmark14"/>
      <w:r>
        <w:rPr>
          <w:color w:val="000000"/>
          <w:spacing w:val="0"/>
          <w:w w:val="100"/>
          <w:position w:val="0"/>
        </w:rPr>
        <w:t>四</w:t>
      </w:r>
      <w:bookmarkEnd w:id="14"/>
      <w:r>
        <w:rPr>
          <w:color w:val="000000"/>
          <w:spacing w:val="0"/>
          <w:w w:val="100"/>
          <w:position w:val="0"/>
        </w:rPr>
        <w:t>、</w:t>
        <w:tab/>
        <w:t>经公司法定代表人王永业先生签名的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年年度报告文本原件。</w:t>
      </w:r>
    </w:p>
    <w:p>
      <w:pPr>
        <w:pStyle w:val="Style18"/>
        <w:keepNext w:val="0"/>
        <w:keepLines w:val="0"/>
        <w:widowControl w:val="0"/>
        <w:shd w:val="clear" w:color="auto" w:fill="auto"/>
        <w:tabs>
          <w:tab w:pos="987" w:val="left"/>
        </w:tabs>
        <w:bidi w:val="0"/>
        <w:spacing w:before="0" w:after="0" w:line="451" w:lineRule="exact"/>
        <w:ind w:left="0" w:right="0" w:firstLine="480"/>
        <w:jc w:val="left"/>
      </w:pPr>
      <w:bookmarkStart w:id="15" w:name="bookmark15"/>
      <w:r>
        <w:rPr>
          <w:color w:val="000000"/>
          <w:spacing w:val="0"/>
          <w:w w:val="100"/>
          <w:position w:val="0"/>
        </w:rPr>
        <w:t>五</w:t>
      </w:r>
      <w:bookmarkEnd w:id="15"/>
      <w:r>
        <w:rPr>
          <w:color w:val="000000"/>
          <w:spacing w:val="0"/>
          <w:w w:val="100"/>
          <w:position w:val="0"/>
        </w:rPr>
        <w:t>、</w:t>
        <w:tab/>
        <w:t>以上备查文件的备置地点：公司董事会办公室。</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42"/>
        <w:gridCol w:w="624"/>
        <w:gridCol w:w="5429"/>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公司、本公司、发行人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中元股份的</w:t>
            </w:r>
            <w:r>
              <w:rPr>
                <w:rFonts w:ascii="Times New Roman" w:eastAsia="Times New Roman" w:hAnsi="Times New Roman" w:cs="Times New Roman"/>
                <w:color w:val="000000"/>
                <w:spacing w:val="0"/>
                <w:w w:val="100"/>
                <w:position w:val="0"/>
              </w:rPr>
              <w:t>8</w:t>
            </w:r>
            <w:r>
              <w:rPr>
                <w:color w:val="000000"/>
                <w:spacing w:val="0"/>
                <w:w w:val="100"/>
                <w:position w:val="0"/>
              </w:rPr>
              <w:t>位自然人股东：王永业、尹健、卢春明、邓志 刚、张小波、刘屹、尹力光、陈志兵</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武汉中元华电软件有限公司</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武汉中元华电电力设备有限公司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成都智达电力自动控制有限公司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安徽大千生物工程有限公司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埃克森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广州埃克森生物科技有限公司</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广州穗华能源科技有限公司（原广州至德电力科技有限公 司、简称广州至德）</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江苏世轩科技股份有限公司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中元汇（武汉）产业投资有限公司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高新医疗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常州高新医疗服务有限公司</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中元健康科技有限公司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中元惠台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武汉中元惠合科技有限公司</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《武汉中元华电科技股份有限公司章程》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对一次设备进行监视、测量、控制、调节、保护以及为运行、 维护人员提供运行工况或产生指挥信号所需的电气设备。包 括继电保护装置、各种安全自动装置、测量计量设备、通信 设备、操作电源、电力故障录波装置、时间同步系统等部分</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特高压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在我国电网中，特高压是指</w:t>
            </w:r>
            <w:r>
              <w:rPr>
                <w:rFonts w:ascii="Times New Roman" w:eastAsia="Times New Roman" w:hAnsi="Times New Roman" w:cs="Times New Roman"/>
                <w:color w:val="000000"/>
                <w:spacing w:val="0"/>
                <w:w w:val="100"/>
                <w:position w:val="0"/>
              </w:rPr>
              <w:t>1000kV</w:t>
            </w:r>
            <w:r>
              <w:rPr>
                <w:color w:val="000000"/>
                <w:spacing w:val="0"/>
                <w:w w:val="100"/>
                <w:position w:val="0"/>
              </w:rPr>
              <w:t>交流电压和</w:t>
            </w:r>
            <w:r>
              <w:rPr>
                <w:color w:val="000000"/>
                <w:spacing w:val="0"/>
                <w:w w:val="100"/>
                <w:position w:val="0"/>
              </w:rPr>
              <w:t>土</w:t>
            </w:r>
            <w:r>
              <w:rPr>
                <w:rFonts w:ascii="Times New Roman" w:eastAsia="Times New Roman" w:hAnsi="Times New Roman" w:cs="Times New Roman"/>
                <w:color w:val="000000"/>
                <w:spacing w:val="0"/>
                <w:w w:val="100"/>
                <w:position w:val="0"/>
              </w:rPr>
              <w:t>800kV</w:t>
            </w:r>
            <w:r>
              <w:rPr>
                <w:color w:val="000000"/>
                <w:spacing w:val="0"/>
                <w:w w:val="100"/>
                <w:position w:val="0"/>
              </w:rPr>
              <w:t>直 流电压等级；</w:t>
            </w:r>
          </w:p>
        </w:tc>
      </w:tr>
      <w:tr>
        <w:trPr>
          <w:trHeight w:val="68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采用先进、可靠、集成、低碳、环保的智能设备，以全站信 息数字化、通信平台网络化、信息共享标准化为基本要求，</w:t>
            </w:r>
          </w:p>
        </w:tc>
      </w:tr>
    </w:tbl>
    <w:p>
      <w:pPr>
        <w:spacing w:lineRule="exact" w:line="1"/>
        <w:rPr>
          <w:sz w:val="2"/>
          <w:szCs w:val="2"/>
        </w:rPr>
      </w:pPr>
      <w:r>
        <w:br w:type="page"/>
      </w:r>
    </w:p>
    <w:tbl>
      <w:tblPr>
        <w:tblOverlap w:val="never"/>
        <w:jc w:val="center"/>
        <w:tblLayout w:type="fixed"/>
      </w:tblPr>
      <w:tblGrid>
        <w:gridCol w:w="3571"/>
        <w:gridCol w:w="624"/>
        <w:gridCol w:w="5453"/>
      </w:tblGrid>
      <w:tr>
        <w:trPr>
          <w:trHeight w:val="130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自动完成信息采集、测量、控制、保护、计量和监测等基本 功能，并可根据需要支持电网实时自动控制、智能调节、在 线分析决策、协同互动等高级功能，实现与相邻变电站、电 网调度等互动的变电站</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能自动、准确、完整、真实地记录电力系统发生大扰动前后 系统有关电气量的变化过程及继电保护与安全自动装置的 动作行为的装置，为电力系统故障定位及故障分析、各种继 电保护与安全自动装置动作行为评判和电网动态特性评价 提供依据</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网络内各级时钟都跟踪到同一个或一组时间基准源上，在一 定的时间准确度范围内保持时钟的时刻和时间间隔与协调 世界时</w:t>
            </w:r>
            <w:r>
              <w:rPr>
                <w:color w:val="000000"/>
                <w:spacing w:val="0"/>
                <w:w w:val="100"/>
                <w:position w:val="0"/>
              </w:rPr>
              <w:t>（</w:t>
            </w:r>
            <w:r>
              <w:rPr>
                <w:rFonts w:ascii="Times New Roman" w:eastAsia="Times New Roman" w:hAnsi="Times New Roman" w:cs="Times New Roman"/>
                <w:color w:val="000000"/>
                <w:spacing w:val="0"/>
                <w:w w:val="100"/>
                <w:position w:val="0"/>
              </w:rPr>
              <w:t>UTC</w:t>
            </w:r>
            <w:r>
              <w:rPr>
                <w:color w:val="000000"/>
                <w:spacing w:val="0"/>
                <w:w w:val="100"/>
                <w:position w:val="0"/>
              </w:rPr>
              <w:t>）</w:t>
            </w:r>
            <w:r>
              <w:rPr>
                <w:color w:val="000000"/>
                <w:spacing w:val="0"/>
                <w:w w:val="100"/>
                <w:position w:val="0"/>
              </w:rPr>
              <w:t>或北京时间同步</w:t>
            </w: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时间同步系统是一种能接收外部时间基准信号，并按照要求 的时间准确度向外输出时间同步信号和时间信息的系统，通 常由一台或多台时间同步装置和时间信号传输介质组成</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能接收外部时间基准信号，具有内部时间基准（晶振或原子 频标），并按照要求的时间准确度向外输出时间同步信号和 时间信息的装置</w:t>
            </w: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GPS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全球定位系统</w:t>
            </w:r>
            <w:r>
              <w:rPr>
                <w:color w:val="000000"/>
                <w:spacing w:val="0"/>
                <w:w w:val="100"/>
                <w:position w:val="0"/>
              </w:rPr>
              <w:t>（</w:t>
            </w:r>
            <w:r>
              <w:rPr>
                <w:rFonts w:ascii="Times New Roman" w:eastAsia="Times New Roman" w:hAnsi="Times New Roman" w:cs="Times New Roman"/>
                <w:color w:val="000000"/>
                <w:spacing w:val="0"/>
                <w:w w:val="100"/>
                <w:position w:val="0"/>
              </w:rPr>
              <w:t>GlobalPositioningSystem</w:t>
            </w:r>
            <w:r>
              <w:rPr>
                <w:color w:val="000000"/>
                <w:spacing w:val="0"/>
                <w:w w:val="100"/>
                <w:position w:val="0"/>
              </w:rPr>
              <w:t>），</w:t>
            </w:r>
            <w:r>
              <w:rPr>
                <w:color w:val="000000"/>
                <w:spacing w:val="0"/>
                <w:w w:val="100"/>
                <w:position w:val="0"/>
              </w:rPr>
              <w:t>一种由美国建立 的卫星导航定位系统。它由空间卫星星座、地面控制和用户 设备三部分组成，为全球用户提供全天候的导航定位和定时 服务</w:t>
            </w:r>
          </w:p>
        </w:tc>
      </w:tr>
      <w:tr>
        <w:trPr>
          <w:trHeight w:val="196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体外诊断（</w:t>
            </w:r>
            <w:r>
              <w:rPr>
                <w:rFonts w:ascii="Times New Roman" w:eastAsia="Times New Roman" w:hAnsi="Times New Roman" w:cs="Times New Roman"/>
                <w:color w:val="000000"/>
                <w:spacing w:val="0"/>
                <w:w w:val="100"/>
                <w:position w:val="0"/>
              </w:rPr>
              <w:t>invitrodiagnostic</w:t>
            </w:r>
            <w:r>
              <w:rPr>
                <w:color w:val="000000"/>
                <w:spacing w:val="0"/>
                <w:w w:val="100"/>
                <w:position w:val="0"/>
              </w:rPr>
              <w:t>），将样本（血液、体液、组织 等）从人体中取出后进行检测进而进行诊断，是相对于体内 诊断而言。检测过程中需要相应的仪器和试剂，而这些仪器 和试剂就组成了体外诊断系统，从事这些仪器和试剂研发、 生产和营销的企业就形成了体外诊断产行业，它汇集了生 物、医学、电子、机械等相关技术。</w:t>
            </w: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通过计算机技术、网络通信技术及数据库技术，为医疗机构 提供诊疗信息和管理信息的收集、储存、处理、提取和数据 交换，并满足授权用户的功能需求</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四梁八柱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四梁</w:t>
            </w:r>
            <w:r>
              <w:rPr>
                <w:rFonts w:ascii="Times New Roman" w:eastAsia="Times New Roman" w:hAnsi="Times New Roman" w:cs="Times New Roman"/>
                <w:color w:val="000000"/>
                <w:spacing w:val="0"/>
                <w:w w:val="100"/>
                <w:position w:val="0"/>
              </w:rPr>
              <w:t>"</w:t>
            </w:r>
            <w:r>
              <w:rPr>
                <w:color w:val="000000"/>
                <w:spacing w:val="0"/>
                <w:w w:val="100"/>
                <w:position w:val="0"/>
              </w:rPr>
              <w:t>指的是全面加强公共卫生服务体系建设、进一步完善 医疗服务体系、加快建设医疗保障体系、建立健全药品供应 保障体系；</w:t>
            </w:r>
            <w:r>
              <w:rPr>
                <w:rFonts w:ascii="Times New Roman" w:eastAsia="Times New Roman" w:hAnsi="Times New Roman" w:cs="Times New Roman"/>
                <w:color w:val="000000"/>
                <w:spacing w:val="0"/>
                <w:w w:val="100"/>
                <w:position w:val="0"/>
              </w:rPr>
              <w:t>"</w:t>
            </w:r>
            <w:r>
              <w:rPr>
                <w:color w:val="000000"/>
                <w:spacing w:val="0"/>
                <w:w w:val="100"/>
                <w:position w:val="0"/>
              </w:rPr>
              <w:t>八柱</w:t>
            </w:r>
            <w:r>
              <w:rPr>
                <w:rFonts w:ascii="Times New Roman" w:eastAsia="Times New Roman" w:hAnsi="Times New Roman" w:cs="Times New Roman"/>
                <w:color w:val="000000"/>
                <w:spacing w:val="0"/>
                <w:w w:val="100"/>
                <w:position w:val="0"/>
              </w:rPr>
              <w:t>"</w:t>
            </w:r>
            <w:r>
              <w:rPr>
                <w:color w:val="000000"/>
                <w:spacing w:val="0"/>
                <w:w w:val="100"/>
                <w:position w:val="0"/>
              </w:rPr>
              <w:t>指的是医疗管理机制、运行机制、投入机 制、价格形成机制、监管机制、科技和人才保障、信息系统、 法律制度。</w:t>
            </w:r>
          </w:p>
        </w:tc>
      </w:tr>
      <w:tr>
        <w:trPr>
          <w:trHeight w:val="1934"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紧密型医共体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医共体是以县级医院为龙头、乡镇卫生院为枢纽、村卫生室 为基础的县乡一体化管理，具备县乡村三级医疗卫生机构分 工协作机制的三级联动的县域医疗服务体系。紧密型医共体 实行行政管理、业务管理、后勤服务、信息系统等统一运作； 同时，实行药品耗材统一管理，统一用药目录、统一采购配 送、统一支付货款，实现集团内部人、财、物共管，责、权、</w:t>
            </w:r>
          </w:p>
        </w:tc>
      </w:tr>
    </w:tbl>
    <w:p>
      <w:pPr>
        <w:spacing w:lineRule="exact" w:line="1"/>
        <w:rPr>
          <w:sz w:val="2"/>
          <w:szCs w:val="2"/>
        </w:rPr>
      </w:pPr>
      <w:r>
        <w:br w:type="page"/>
      </w:r>
    </w:p>
    <w:tbl>
      <w:tblPr>
        <w:tblOverlap w:val="never"/>
        <w:jc w:val="center"/>
        <w:tblLayout w:type="fixed"/>
      </w:tblPr>
      <w:tblGrid>
        <w:gridCol w:w="3571"/>
        <w:gridCol w:w="624"/>
        <w:gridCol w:w="5453"/>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利统一。</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指利用计算机和数字通信网络等信息技术，实现语音、图像、 文字、数据、图表等信息的数字化采集、存储、阅读、复制、 处理、检索、传输、分析及挖掘的全面应用，帮助医院实现 资源整合、流程优化，降低运行成本，提高服务质量、工作 效率和管理水平。</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区域医疗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指通过建立区域卫生信息共享平台，实现区域范围内横向业 务机构和纵向管理机构的互联互通，以及各项卫生服务信息 的共享，提供信息展示、互动，加强卫生决策和监督，从而 建立完善的卫生信息系统体系，优化卫生资源配置，规范业 务管理流程，逐步提高居民整体健康水平。</w:t>
            </w: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指通过建立全程健康服务平台，整合各类可穿戴健康设备， 以移动联网为载体，提供个人及家庭的生命体征监测、健康 咨询、医疗、药品、保健、康复、养老等一站式健康服务。</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"HospitallnformationSystem</w:t>
            </w:r>
            <w:r>
              <w:rPr>
                <w:rFonts w:ascii="Times New Roman" w:eastAsia="Times New Roman" w:hAnsi="Times New Roman" w:cs="Times New Roman"/>
                <w:color w:val="000000"/>
                <w:spacing w:val="0"/>
                <w:w w:val="100"/>
                <w:position w:val="0"/>
              </w:rPr>
              <w:t>”</w:t>
            </w:r>
            <w:r>
              <w:rPr>
                <w:color w:val="000000"/>
                <w:spacing w:val="0"/>
                <w:w w:val="100"/>
                <w:position w:val="0"/>
              </w:rPr>
              <w:t>的简称，医院信息系统，是指覆 盖医院所有业务和业务全过程的信息管理系统，是利用电子 计算机和通讯设备，为医院所属各部门提供病人诊疗信息和 行政管理信息的收集、存储、处理、提取和数据交换的能力 并满足所有用户的功能需求的平台。</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"PictureArchivingandCommunicationsSystem”</w:t>
            </w:r>
            <w:r>
              <w:rPr>
                <w:color w:val="000000"/>
                <w:spacing w:val="0"/>
                <w:w w:val="100"/>
                <w:position w:val="0"/>
              </w:rPr>
              <w:t>的简称，图像存 储与传输系统，是对医院的数字医疗设备所产生的数字化医 学图像信息进行处理的综合应用系统。</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"RadiologyInformationSystem"</w:t>
            </w:r>
            <w:r>
              <w:rPr>
                <w:color w:val="000000"/>
                <w:spacing w:val="0"/>
                <w:w w:val="100"/>
                <w:position w:val="0"/>
              </w:rPr>
              <w:t>的简称，医院放射信息管理系 统，是指基于医院影像科室工作流程的任务执行过程管理的 计算机信息系统，主要实现医学影像学检验工作流程的计算 机网络化控制、管理和医学图文信息的共享，并在此基础上 实现远程医疗。</w:t>
            </w:r>
          </w:p>
        </w:tc>
      </w:tr>
      <w:tr>
        <w:trPr>
          <w:trHeight w:val="16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"LaboratoryInformationSystem"</w:t>
            </w:r>
            <w:r>
              <w:rPr>
                <w:color w:val="000000"/>
                <w:spacing w:val="0"/>
                <w:w w:val="100"/>
                <w:position w:val="0"/>
              </w:rPr>
              <w:t>的简称，医院检验信息管理系 统，是指采用了智能辅助功能来处理大信息量的检验工作的 应用系统。不仅能够自动接收检验数据、打印检验报告、系 统保存检验信息的工具，还能够根据实验室的需要实现智能 辅助功能。</w:t>
            </w: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EMR</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"ElectronicMedicalRecords"</w:t>
            </w:r>
            <w:r>
              <w:rPr>
                <w:color w:val="000000"/>
                <w:spacing w:val="0"/>
                <w:w w:val="100"/>
                <w:position w:val="0"/>
              </w:rPr>
              <w:t>的简称，电子病历，是指医务人 员在医疗活动过程中，通过医院信息系统生成的文字、符号、 图表、图形、数据、影像等数字化信息，并能实现储存、管 理、传输和重现医疗记录。</w:t>
            </w:r>
          </w:p>
        </w:tc>
      </w:tr>
      <w:tr>
        <w:trPr>
          <w:trHeight w:val="103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移动医疗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通过各种信息传感设备，实时采集任何需要监控、连接、互 动的物体或过程等各种需要的信息，与互联网结合形成的一 个巨大网络。</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5"/>
        <w:keepNext w:val="0"/>
        <w:keepLines w:val="0"/>
        <w:widowControl w:val="0"/>
        <w:shd w:val="clear" w:color="auto" w:fill="auto"/>
        <w:bidi w:val="0"/>
        <w:spacing w:before="0" w:after="0" w:line="240" w:lineRule="auto"/>
        <w:ind w:left="0" w:right="0" w:firstLine="0"/>
        <w:jc w:val="left"/>
      </w:pPr>
      <w:bookmarkStart w:id="19" w:name="bookmark19"/>
      <w:bookmarkStart w:id="20" w:name="bookmark20"/>
      <w:r>
        <w:rPr>
          <w:b/>
          <w:bCs/>
          <w:color w:val="000000"/>
          <w:spacing w:val="0"/>
          <w:w w:val="100"/>
          <w:position w:val="0"/>
        </w:rPr>
        <w:t>一、公司信息</w:t>
      </w:r>
      <w:bookmarkEnd w:id="20"/>
      <w:bookmarkEnd w:id="19"/>
    </w:p>
    <w:tbl>
      <w:tblPr>
        <w:tblOverlap w:val="never"/>
        <w:jc w:val="center"/>
        <w:tblLayout w:type="fixed"/>
      </w:tblPr>
      <w:tblGrid>
        <w:gridCol w:w="2299"/>
        <w:gridCol w:w="73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928" w:val="left"/>
                <w:tab w:pos="5083" w:val="left"/>
              </w:tabs>
              <w:bidi w:val="0"/>
              <w:spacing w:before="0" w:after="0" w:line="240" w:lineRule="auto"/>
              <w:ind w:left="0" w:right="0" w:firstLine="0"/>
              <w:jc w:val="left"/>
            </w:pPr>
            <w:r>
              <w:rPr>
                <w:color w:val="000000"/>
                <w:spacing w:val="0"/>
                <w:w w:val="100"/>
                <w:position w:val="0"/>
              </w:rPr>
              <w:t>中元股份</w:t>
              <w:tab/>
              <w:t>股票代码</w:t>
              <w:tab/>
            </w:r>
            <w:r>
              <w:rPr>
                <w:rFonts w:ascii="Times New Roman" w:eastAsia="Times New Roman" w:hAnsi="Times New Roman" w:cs="Times New Roman"/>
                <w:color w:val="000000"/>
                <w:spacing w:val="0"/>
                <w:w w:val="100"/>
                <w:position w:val="0"/>
              </w:rPr>
              <w:t>300018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中元股份</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WUHAN ZHONG YUAN HUA DIAN SCIENCE &amp; TECHNOLOGY CO., LTD.</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月上市以来，注册地址未发生变更</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//www.zyhd.com</w:t>
            </w:r>
            <w:r>
              <w:rPr>
                <w:rFonts w:ascii="Times New Roman" w:eastAsia="Times New Roman" w:hAnsi="Times New Roman" w:cs="Times New Roman"/>
                <w:color w:val="000000"/>
                <w:spacing w:val="0"/>
                <w:w w:val="100"/>
                <w:position w:val="0"/>
              </w:rPr>
              <w:t xml:space="preserve"> .cn</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pPr>
      <w:bookmarkStart w:id="21" w:name="bookmark21"/>
      <w:r>
        <w:rPr>
          <w:b/>
          <w:bCs/>
          <w:color w:val="000000"/>
          <w:spacing w:val="0"/>
          <w:w w:val="100"/>
          <w:position w:val="0"/>
        </w:rPr>
        <w:t>二、联系人和联系方式</w:t>
      </w:r>
      <w:bookmarkEnd w:id="21"/>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雷子昀</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中国湖北武汉东湖新技术开发区 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中国湖北武汉东湖新技术开发区 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027-87180719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"mailto:stock@zyhd.com.cn" </w:instrText>
            </w:r>
            <w:r>
              <w:fldChar w:fldCharType="separate"/>
            </w:r>
            <w:r>
              <w:rPr>
                <w:rFonts w:ascii="Times New Roman" w:eastAsia="Times New Roman" w:hAnsi="Times New Roman" w:cs="Times New Roman"/>
                <w:color w:val="000000"/>
                <w:spacing w:val="0"/>
                <w:w w:val="100"/>
                <w:position w:val="0"/>
              </w:rPr>
              <w:t>stock@zyhd.com.cn</w:t>
            </w:r>
            <w:r>
              <w:fldChar w:fldCharType="end"/>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 </w:instrText>
            </w:r>
            <w:r>
              <w:fldChar w:fldCharType="separate"/>
            </w:r>
            <w:r>
              <w:rPr>
                <w:rFonts w:ascii="Times New Roman" w:eastAsia="Times New Roman" w:hAnsi="Times New Roman" w:cs="Times New Roman"/>
                <w:color w:val="000000"/>
                <w:spacing w:val="0"/>
                <w:w w:val="100"/>
                <w:position w:val="0"/>
              </w:rPr>
              <w:t>stock@zyhd.com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4" w:right="0" w:firstLine="0"/>
        <w:jc w:val="left"/>
      </w:pPr>
      <w:bookmarkStart w:id="22" w:name="bookmark22"/>
      <w:r>
        <w:rPr>
          <w:b/>
          <w:bCs/>
          <w:color w:val="000000"/>
          <w:spacing w:val="0"/>
          <w:w w:val="100"/>
          <w:position w:val="0"/>
        </w:rPr>
        <w:t>三、信息披露及备置地点</w:t>
      </w:r>
      <w:bookmarkEnd w:id="22"/>
    </w:p>
    <w:tbl>
      <w:tblPr>
        <w:tblOverlap w:val="never"/>
        <w:jc w:val="center"/>
        <w:tblLayout w:type="fixed"/>
      </w:tblPr>
      <w:tblGrid>
        <w:gridCol w:w="3725"/>
        <w:gridCol w:w="5894"/>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|深圳证券交易所</w:t>
            </w:r>
            <w:r>
              <w:rPr>
                <w:color w:val="000000"/>
                <w:spacing w:val="0"/>
                <w:w w:val="100"/>
                <w:position w:val="0"/>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www.szse.cn</w:t>
            </w:r>
            <w:r>
              <w:fldChar w:fldCharType="end"/>
            </w:r>
            <w:r>
              <w:rPr>
                <w:color w:val="000000"/>
                <w:spacing w:val="0"/>
                <w:w w:val="100"/>
                <w:position w:val="0"/>
              </w:rPr>
              <w:t>)</w:t>
            </w:r>
          </w:p>
        </w:tc>
      </w:tr>
      <w:tr>
        <w:trPr>
          <w:trHeight w:val="1037"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|证券时才艮</w:t>
            </w:r>
            <w:r>
              <w:rPr>
                <w:color w:val="000000"/>
                <w:spacing w:val="0"/>
                <w:w w:val="100"/>
                <w:position w:val="0"/>
              </w:rPr>
              <w:t>(</w:t>
            </w:r>
            <w:r>
              <w:rPr>
                <w:rFonts w:ascii="Times New Roman" w:eastAsia="Times New Roman" w:hAnsi="Times New Roman" w:cs="Times New Roman"/>
                <w:color w:val="000000"/>
                <w:spacing w:val="0"/>
                <w:w w:val="100"/>
                <w:position w:val="0"/>
              </w:rPr>
              <w:t>www.stcn.com</w:t>
            </w:r>
            <w:r>
              <w:rPr>
                <w:color w:val="000000"/>
                <w:spacing w:val="0"/>
                <w:w w:val="100"/>
                <w:position w:val="0"/>
              </w:rPr>
              <w:t>)、</w:t>
            </w:r>
            <w:r>
              <w:rPr>
                <w:color w:val="000000"/>
                <w:spacing w:val="0"/>
                <w:w w:val="100"/>
                <w:position w:val="0"/>
              </w:rPr>
              <w:t>上海证券报.</w:t>
            </w:r>
            <w:r>
              <w:rPr>
                <w:color w:val="000000"/>
                <w:spacing w:val="0"/>
                <w:w w:val="100"/>
                <w:position w:val="0"/>
              </w:rPr>
              <w:t>(</w:t>
            </w:r>
            <w:r>
              <w:rPr>
                <w:rFonts w:ascii="Times New Roman" w:eastAsia="Times New Roman" w:hAnsi="Times New Roman" w:cs="Times New Roman"/>
                <w:color w:val="000000"/>
                <w:spacing w:val="0"/>
                <w:w w:val="100"/>
                <w:position w:val="0"/>
              </w:rPr>
              <w:t>www.cnstock.com</w:t>
            </w:r>
            <w:r>
              <w:rPr>
                <w:color w:val="000000"/>
                <w:spacing w:val="0"/>
                <w:w w:val="100"/>
                <w:position w:val="0"/>
              </w:rPr>
              <w:t>)、</w:t>
            </w:r>
          </w:p>
          <w:p>
            <w:pPr>
              <w:pStyle w:val="Style2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 中国证券才艮</w:t>
            </w:r>
            <w:r>
              <w:rPr>
                <w:color w:val="000000"/>
                <w:spacing w:val="0"/>
                <w:w w:val="100"/>
                <w:position w:val="0"/>
              </w:rPr>
              <w:t>(</w:t>
            </w:r>
            <w:r>
              <w:rPr>
                <w:rFonts w:ascii="Times New Roman" w:eastAsia="Times New Roman" w:hAnsi="Times New Roman" w:cs="Times New Roman"/>
                <w:color w:val="000000"/>
                <w:spacing w:val="0"/>
                <w:w w:val="100"/>
                <w:position w:val="0"/>
              </w:rPr>
              <w:t>www.cs.com.cn</w:t>
            </w:r>
            <w:r>
              <w:rPr>
                <w:color w:val="000000"/>
                <w:spacing w:val="0"/>
                <w:w w:val="100"/>
                <w:position w:val="0"/>
              </w:rPr>
              <w:t>)、</w:t>
            </w:r>
            <w:r>
              <w:rPr>
                <w:color w:val="000000"/>
                <w:spacing w:val="0"/>
                <w:w w:val="100"/>
                <w:position w:val="0"/>
              </w:rPr>
              <w:t>证券日才艮</w:t>
            </w:r>
            <w:r>
              <w:rPr>
                <w:color w:val="000000"/>
                <w:spacing w:val="0"/>
                <w:w w:val="100"/>
                <w:position w:val="0"/>
              </w:rPr>
              <w:t>(</w:t>
            </w:r>
            <w:r>
              <w:rPr>
                <w:rFonts w:ascii="Times New Roman" w:eastAsia="Times New Roman" w:hAnsi="Times New Roman" w:cs="Times New Roman"/>
                <w:color w:val="000000"/>
                <w:spacing w:val="0"/>
                <w:w w:val="100"/>
                <w:position w:val="0"/>
              </w:rPr>
              <w:t>www.ccstock.cn</w:t>
            </w:r>
            <w:r>
              <w:rPr>
                <w:color w:val="000000"/>
                <w:spacing w:val="0"/>
                <w:w w:val="100"/>
                <w:position w:val="0"/>
              </w:rPr>
              <w:t>)、</w:t>
            </w:r>
          </w:p>
          <w:p>
            <w:pPr>
              <w:pStyle w:val="Style2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 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www.cninfb.com.cn</w:t>
            </w:r>
            <w:r>
              <w:fldChar w:fldCharType="end"/>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30"/>
        <w:gridCol w:w="7104"/>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公司董事会办公室</w:t>
            </w:r>
          </w:p>
        </w:tc>
      </w:tr>
      <w:tr>
        <w:trPr>
          <w:trHeight w:val="1272"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360" w:line="240" w:lineRule="auto"/>
              <w:ind w:left="0" w:right="0" w:firstLine="0"/>
              <w:jc w:val="left"/>
              <w:rPr>
                <w:sz w:val="22"/>
                <w:szCs w:val="22"/>
              </w:rPr>
            </w:pPr>
            <w:bookmarkStart w:id="23" w:name="bookmark23"/>
            <w:r>
              <w:rPr>
                <w:b/>
                <w:bCs/>
                <w:color w:val="000000"/>
                <w:spacing w:val="0"/>
                <w:w w:val="100"/>
                <w:position w:val="0"/>
                <w:sz w:val="22"/>
                <w:szCs w:val="22"/>
              </w:rPr>
              <w:t>四、其他有关资料</w:t>
            </w:r>
            <w:bookmarkEnd w:id="23"/>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黄简、王文杰</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4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、主要会计数据和财务指标</w:t>
      </w:r>
      <w:bookmarkEnd w:id="24"/>
      <w:bookmarkEnd w:id="25"/>
      <w:bookmarkEnd w:id="27"/>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6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tbl>
      <w:tblPr>
        <w:tblOverlap w:val="never"/>
        <w:jc w:val="center"/>
        <w:tblLayout w:type="fixed"/>
      </w:tblPr>
      <w:tblGrid>
        <w:gridCol w:w="2630"/>
        <w:gridCol w:w="1747"/>
        <w:gridCol w:w="1742"/>
        <w:gridCol w:w="1728"/>
        <w:gridCol w:w="174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420,509,087.13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406,391,731.77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393,913,219.22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89,609,673.05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45,794,436.33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49,400,268.06</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11,315,477.01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11,063,935.69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43,996,286.51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40,721,419.75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88,012,804.24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71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1,420,920,283.73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1,322,615,923.51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1,243,785,602.14</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1,180,087,821.32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1,090,478,148.27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1,047,198,234.77</w:t>
            </w:r>
          </w:p>
        </w:tc>
      </w:tr>
    </w:tbl>
    <w:p>
      <w:pPr>
        <w:pStyle w:val="Style18"/>
        <w:keepNext w:val="0"/>
        <w:keepLines w:val="0"/>
        <w:widowControl w:val="0"/>
        <w:shd w:val="clear" w:color="auto" w:fill="auto"/>
        <w:bidi w:val="0"/>
        <w:spacing w:before="0" w:after="200" w:line="432" w:lineRule="exact"/>
        <w:ind w:left="0" w:right="0" w:firstLine="500"/>
        <w:jc w:val="both"/>
      </w:pPr>
      <w:r>
        <w:rPr>
          <w:color w:val="000000"/>
          <w:spacing w:val="0"/>
          <w:w w:val="100"/>
          <w:position w:val="0"/>
        </w:rPr>
        <w:t>公司最近三个会计年度扣除非经常性损益前后净利润孰低者均为负值，且最近一年审计 报告显示公司持续经营能力存在不确定性</w:t>
      </w:r>
    </w:p>
    <w:p>
      <w:pPr>
        <w:pStyle w:val="Style18"/>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8"/>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9"/>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、分季度主要财务指标</w:t>
      </w:r>
      <w:bookmarkEnd w:id="28"/>
      <w:bookmarkEnd w:id="29"/>
      <w:bookmarkEnd w:id="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52"/>
        <w:gridCol w:w="1738"/>
        <w:gridCol w:w="1738"/>
        <w:gridCol w:w="1738"/>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63,424,746.04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98,687,900.89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99,012,392.90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159,384,047.30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-5,734,167.79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64,675,065.97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12,579,617.52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18,089,157.35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-6,509,679.79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6,347,193.95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11,319,730.42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158,232.43</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-16,381,419.46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-4,049,404.72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5,625,897.06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55,526,346.87</w:t>
            </w:r>
          </w:p>
        </w:tc>
      </w:tr>
    </w:tbl>
    <w:p>
      <w:pPr>
        <w:pStyle w:val="Style18"/>
        <w:keepNext w:val="0"/>
        <w:keepLines w:val="0"/>
        <w:widowControl w:val="0"/>
        <w:shd w:val="clear" w:color="auto" w:fill="auto"/>
        <w:bidi w:val="0"/>
        <w:spacing w:before="0" w:after="0" w:line="446" w:lineRule="exact"/>
        <w:ind w:left="0" w:right="0" w:firstLine="500"/>
        <w:jc w:val="both"/>
      </w:pPr>
      <w:r>
        <w:rPr>
          <w:color w:val="000000"/>
          <w:spacing w:val="0"/>
          <w:w w:val="100"/>
          <w:position w:val="0"/>
        </w:rPr>
        <w:t>上述财务指标或其加总数是否与公司已披露季度报告、半年度报告相关财务指标存在重 大差异</w:t>
      </w:r>
    </w:p>
    <w:p>
      <w:pPr>
        <w:pStyle w:val="Style18"/>
        <w:keepNext w:val="0"/>
        <w:keepLines w:val="0"/>
        <w:widowControl w:val="0"/>
        <w:shd w:val="clear" w:color="auto" w:fill="auto"/>
        <w:bidi w:val="0"/>
        <w:spacing w:before="0" w:after="180" w:line="439"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29"/>
        <w:keepNext/>
        <w:keepLines/>
        <w:widowControl w:val="0"/>
        <w:shd w:val="clear" w:color="auto" w:fill="auto"/>
        <w:tabs>
          <w:tab w:pos="522" w:val="left"/>
        </w:tabs>
        <w:bidi w:val="0"/>
        <w:spacing w:before="0" w:after="180" w:line="439" w:lineRule="exact"/>
        <w:ind w:left="0" w:right="0" w:firstLine="0"/>
        <w:jc w:val="left"/>
      </w:pPr>
      <w:bookmarkStart w:id="32" w:name="bookmark32"/>
      <w:bookmarkStart w:id="33" w:name="bookmark33"/>
      <w:bookmarkStart w:id="34" w:name="bookmark34"/>
      <w:bookmarkStart w:id="35" w:name="bookmark35"/>
      <w:r>
        <w:rPr>
          <w:color w:val="000000"/>
          <w:spacing w:val="0"/>
          <w:w w:val="100"/>
          <w:position w:val="0"/>
        </w:rPr>
        <w:t>七</w:t>
      </w:r>
      <w:bookmarkEnd w:id="34"/>
      <w:r>
        <w:rPr>
          <w:color w:val="000000"/>
          <w:spacing w:val="0"/>
          <w:w w:val="100"/>
          <w:position w:val="0"/>
        </w:rPr>
        <w:t>、</w:t>
        <w:tab/>
        <w:t>境内外会计准则下会计数据差异</w:t>
      </w:r>
      <w:bookmarkEnd w:id="32"/>
      <w:bookmarkEnd w:id="33"/>
      <w:bookmarkEnd w:id="35"/>
    </w:p>
    <w:p>
      <w:pPr>
        <w:pStyle w:val="Style32"/>
        <w:keepNext/>
        <w:keepLines/>
        <w:widowControl w:val="0"/>
        <w:shd w:val="clear" w:color="auto" w:fill="auto"/>
        <w:tabs>
          <w:tab w:pos="433" w:val="left"/>
        </w:tabs>
        <w:bidi w:val="0"/>
        <w:spacing w:before="0" w:line="439" w:lineRule="exact"/>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sz w:val="24"/>
          <w:szCs w:val="24"/>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18"/>
        <w:keepNext w:val="0"/>
        <w:keepLines w:val="0"/>
        <w:widowControl w:val="0"/>
        <w:shd w:val="clear" w:color="auto" w:fill="auto"/>
        <w:bidi w:val="0"/>
        <w:spacing w:before="0" w:after="0" w:line="439"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8"/>
        <w:keepNext w:val="0"/>
        <w:keepLines w:val="0"/>
        <w:widowControl w:val="0"/>
        <w:shd w:val="clear" w:color="auto" w:fill="auto"/>
        <w:bidi w:val="0"/>
        <w:spacing w:before="0" w:after="180" w:line="437" w:lineRule="exact"/>
        <w:ind w:left="0" w:right="0" w:firstLine="500"/>
        <w:jc w:val="both"/>
      </w:pPr>
      <w:r>
        <w:rPr>
          <w:color w:val="000000"/>
          <w:spacing w:val="0"/>
          <w:w w:val="100"/>
          <w:position w:val="0"/>
        </w:rPr>
        <w:t>公司报告期不存在按照国际会计准则与按照中国会计准则披露的财务报告中净利润和净 资产差异情况。</w:t>
      </w:r>
    </w:p>
    <w:p>
      <w:pPr>
        <w:pStyle w:val="Style32"/>
        <w:keepNext/>
        <w:keepLines/>
        <w:widowControl w:val="0"/>
        <w:shd w:val="clear" w:color="auto" w:fill="auto"/>
        <w:tabs>
          <w:tab w:pos="433" w:val="left"/>
        </w:tabs>
        <w:bidi w:val="0"/>
        <w:spacing w:before="0" w:line="439" w:lineRule="exact"/>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sz w:val="24"/>
          <w:szCs w:val="24"/>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0" w:line="439"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公司报告期不存在按照境外会计准则与按照中国会计准则披露的财务报告中净利润和净 资产差异情况。</w:t>
      </w:r>
    </w:p>
    <w:p>
      <w:pPr>
        <w:pStyle w:val="Style29"/>
        <w:keepNext/>
        <w:keepLines/>
        <w:widowControl w:val="0"/>
        <w:shd w:val="clear" w:color="auto" w:fill="auto"/>
        <w:tabs>
          <w:tab w:pos="522" w:val="left"/>
        </w:tabs>
        <w:bidi w:val="0"/>
        <w:spacing w:before="0" w:after="440" w:line="439" w:lineRule="exact"/>
        <w:ind w:left="0" w:right="0" w:firstLine="0"/>
        <w:jc w:val="left"/>
      </w:pPr>
      <w:bookmarkStart w:id="44" w:name="bookmark44"/>
      <w:bookmarkStart w:id="45" w:name="bookmark45"/>
      <w:bookmarkStart w:id="46" w:name="bookmark46"/>
      <w:bookmarkStart w:id="47" w:name="bookmark47"/>
      <w:r>
        <w:rPr>
          <w:color w:val="000000"/>
          <w:spacing w:val="0"/>
          <w:w w:val="100"/>
          <w:position w:val="0"/>
        </w:rPr>
        <w:t>八</w:t>
      </w:r>
      <w:bookmarkEnd w:id="46"/>
      <w:r>
        <w:rPr>
          <w:color w:val="000000"/>
          <w:spacing w:val="0"/>
          <w:w w:val="100"/>
          <w:position w:val="0"/>
        </w:rPr>
        <w:t>、</w:t>
        <w:tab/>
        <w:t>非经常性损益项目及金额</w:t>
      </w:r>
      <w:bookmarkEnd w:id="44"/>
      <w:bookmarkEnd w:id="45"/>
      <w:bookmarkEnd w:id="47"/>
    </w:p>
    <w:p>
      <w:pPr>
        <w:pStyle w:val="Style18"/>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302"/>
        <w:gridCol w:w="1536"/>
        <w:gridCol w:w="1517"/>
        <w:gridCol w:w="1522"/>
        <w:gridCol w:w="1718"/>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非流动资产处置损益（包括己计提 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1,179,521.66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146,682.48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238,131.53</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 正常经营业务密切相关，符合国家 政策规定、按照一定标准定额或定 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6,275,662.72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9,461,996.97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8,007,736.91</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-1,238,395.98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6,606,832.89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7,747,535.59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与公司正常经营业务无关的或有事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-14,394,774.10</w:t>
            </w:r>
          </w:p>
        </w:tc>
        <w:tc>
          <w:tcPr>
            <w:tcBorders>
              <w:top w:val="single" w:sz="4"/>
              <w:left w:val="single" w:sz="4"/>
            </w:tcBorders>
            <w:shd w:val="clear" w:color="auto" w:fill="FFFFFF"/>
            <w:vAlign w:val="top"/>
          </w:tcPr>
          <w:p>
            <w:pPr>
              <w:widowControl w:val="0"/>
              <w:rPr>
                <w:sz w:val="10"/>
                <w:szCs w:val="10"/>
              </w:rPr>
            </w:pPr>
          </w:p>
        </w:tc>
      </w:tr>
      <w:tr>
        <w:trPr>
          <w:trHeight w:val="196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 套期保值业务外，持有交易性金融 资产、交易性金融负债产生的公允 价值变动损益，以及处置交易性金 融资产交易性金融负债和可供出售 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69,951,757.74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22,117,750.37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5,136,862.87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主要系公司参投</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基金公允价值变 动收益。</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-2,707,519.15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-265,355.61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-129,335.19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1,834,220.33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1,091,942.82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243,705.44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3,804,446.86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-6,789,064.97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78,294,196.04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34,730,500.64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5,403,981.55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200" w:line="442" w:lineRule="exact"/>
        <w:ind w:left="0" w:right="0" w:firstLine="48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84"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0" w:line="442" w:lineRule="exact"/>
        <w:ind w:left="0" w:right="0" w:firstLine="48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200" w:line="442" w:lineRule="exact"/>
        <w:ind w:left="0" w:right="0" w:firstLine="48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非经常性损益》中列举的非经 常性损益项目界定为经常性损益项目的情况说明</w:t>
      </w:r>
    </w:p>
    <w:p>
      <w:pPr>
        <w:pStyle w:val="Style18"/>
        <w:keepNext w:val="0"/>
        <w:keepLines w:val="0"/>
        <w:widowControl w:val="0"/>
        <w:shd w:val="clear" w:color="auto" w:fill="auto"/>
        <w:bidi w:val="0"/>
        <w:spacing w:before="0" w:after="0" w:line="384"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42" w:lineRule="exact"/>
        <w:ind w:left="0" w:right="0" w:firstLine="48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 益》中列举的非经常性损益项目界定为经常性损益的项目的情形。</w:t>
      </w:r>
    </w:p>
    <w:p>
      <w:pPr>
        <w:pStyle w:val="Style10"/>
        <w:keepNext/>
        <w:keepLines/>
        <w:widowControl w:val="0"/>
        <w:shd w:val="clear" w:color="auto" w:fill="auto"/>
        <w:bidi w:val="0"/>
        <w:spacing w:before="0" w:after="380" w:line="240" w:lineRule="auto"/>
        <w:ind w:left="0" w:right="0" w:firstLine="0"/>
        <w:jc w:val="center"/>
      </w:pPr>
      <w:bookmarkStart w:id="48" w:name="bookmark48"/>
      <w:bookmarkStart w:id="49" w:name="bookmark49"/>
      <w:bookmarkStart w:id="50" w:name="bookmark50"/>
      <w:r>
        <w:rPr>
          <w:color w:val="000000"/>
          <w:spacing w:val="0"/>
          <w:w w:val="100"/>
          <w:position w:val="0"/>
        </w:rPr>
        <w:t>第三节管理层讨论与分析</w:t>
      </w:r>
      <w:bookmarkEnd w:id="48"/>
      <w:bookmarkEnd w:id="49"/>
      <w:bookmarkEnd w:id="50"/>
    </w:p>
    <w:p>
      <w:pPr>
        <w:pStyle w:val="Style29"/>
        <w:keepNext/>
        <w:keepLines/>
        <w:widowControl w:val="0"/>
        <w:shd w:val="clear" w:color="auto" w:fill="auto"/>
        <w:bidi w:val="0"/>
        <w:spacing w:before="0" w:after="260" w:line="442" w:lineRule="exact"/>
        <w:ind w:left="0" w:right="0" w:firstLine="0"/>
        <w:jc w:val="both"/>
      </w:pPr>
      <w:bookmarkStart w:id="51" w:name="bookmark51"/>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、报告期内公司所处行业情况</w:t>
      </w:r>
      <w:bookmarkEnd w:id="52"/>
      <w:bookmarkEnd w:id="53"/>
      <w:bookmarkEnd w:id="55"/>
      <w:bookmarkEnd w:id="51"/>
    </w:p>
    <w:p>
      <w:pPr>
        <w:pStyle w:val="Style10"/>
        <w:keepNext/>
        <w:keepLines/>
        <w:widowControl w:val="0"/>
        <w:shd w:val="clear" w:color="auto" w:fill="auto"/>
        <w:bidi w:val="0"/>
        <w:spacing w:before="0" w:after="40" w:line="442" w:lineRule="exact"/>
        <w:ind w:left="0" w:right="0" w:firstLine="480"/>
        <w:jc w:val="both"/>
        <w:rPr>
          <w:sz w:val="22"/>
          <w:szCs w:val="22"/>
        </w:rPr>
      </w:pPr>
      <w:bookmarkStart w:id="56" w:name="bookmark56"/>
      <w:bookmarkStart w:id="57" w:name="bookmark57"/>
      <w:bookmarkStart w:id="58" w:name="bookmark58"/>
      <w:bookmarkStart w:id="59" w:name="bookmark59"/>
      <w:r>
        <w:rPr>
          <w:b w:val="0"/>
          <w:bCs w:val="0"/>
          <w:color w:val="000000"/>
          <w:spacing w:val="0"/>
          <w:w w:val="100"/>
          <w:position w:val="0"/>
          <w:sz w:val="22"/>
          <w:szCs w:val="22"/>
        </w:rPr>
        <w:t>（</w:t>
      </w:r>
      <w:bookmarkEnd w:id="58"/>
      <w:r>
        <w:rPr>
          <w:b w:val="0"/>
          <w:bCs w:val="0"/>
          <w:color w:val="000000"/>
          <w:spacing w:val="0"/>
          <w:w w:val="100"/>
          <w:position w:val="0"/>
          <w:sz w:val="22"/>
          <w:szCs w:val="22"/>
        </w:rPr>
        <w:t>一）智能电网业务</w:t>
      </w:r>
      <w:bookmarkEnd w:id="56"/>
      <w:bookmarkEnd w:id="57"/>
      <w:bookmarkEnd w:id="59"/>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电力行业是关系到国计民生的基础性行业，受宏观经济形势影响较大。</w:t>
      </w:r>
    </w:p>
    <w:p>
      <w:pPr>
        <w:pStyle w:val="Style18"/>
        <w:keepNext w:val="0"/>
        <w:keepLines w:val="0"/>
        <w:widowControl w:val="0"/>
        <w:shd w:val="clear" w:color="auto" w:fill="auto"/>
        <w:bidi w:val="0"/>
        <w:spacing w:before="0" w:line="44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月，国家电网印发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年重点工作任务，规划了特高压引入社会资本、电力 物联网、综合能源服务、电网建设、增量配电等十大类</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项小类及</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余项具体工作。</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电力物联网将充分应用移动互联、人工智能等现代信息技术和先进通信技术，实现电力 系统各个环节万物互联、人机交互，打造状态全面感知、信息高效处理、应用便捷灵活。</w:t>
      </w:r>
    </w:p>
    <w:p>
      <w:pPr>
        <w:pStyle w:val="Style18"/>
        <w:keepNext w:val="0"/>
        <w:keepLines w:val="0"/>
        <w:widowControl w:val="0"/>
        <w:shd w:val="clear" w:color="auto" w:fill="auto"/>
        <w:bidi w:val="0"/>
        <w:spacing w:before="0" w:line="451"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月，中央政治局常务委员会会议提出，要加快包括“工业互联网、大数据中心、 人工智能”在内的七大领域“新基建”的建设进度。</w:t>
      </w:r>
    </w:p>
    <w:p>
      <w:pPr>
        <w:pStyle w:val="Style18"/>
        <w:keepNext w:val="0"/>
        <w:keepLines w:val="0"/>
        <w:widowControl w:val="0"/>
        <w:shd w:val="clear" w:color="auto" w:fill="auto"/>
        <w:bidi w:val="0"/>
        <w:spacing w:before="0" w:line="442"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月，国家电网发布“碳达峰、碳中和”行动方案，将继续加快构建智能电网， 推动电网向能源互联网升级，同时通过加大跨区输送清洁能源力度、保障清洁能源及时同步 并网等措施着力打造清洁能源优化配置平台；加强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大云物移智链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等技术在能源电力领域的 融合创新和应用，加快信息采集、感知、处理、应用等环节建设，推进各能源品种的数据共 享和价值挖掘。到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年，初步建成国际领先的能源互联网。“十四五”期间，国家电网规 划建成</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回特高压直流，新增输电能力</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rPr>
        <w:t>万千瓦。到</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年，国家电网经营区风电、太 阳能发电总装机容量将达到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亿千瓦以上，水电装机达到</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亿千瓦，核电装机达到</w:t>
      </w:r>
      <w:r>
        <w:rPr>
          <w:rFonts w:ascii="Times New Roman" w:eastAsia="Times New Roman" w:hAnsi="Times New Roman" w:cs="Times New Roman"/>
          <w:color w:val="000000"/>
          <w:spacing w:val="0"/>
          <w:w w:val="100"/>
          <w:position w:val="0"/>
          <w:sz w:val="24"/>
          <w:szCs w:val="24"/>
        </w:rPr>
        <w:t xml:space="preserve">8000 </w:t>
      </w:r>
      <w:r>
        <w:rPr>
          <w:color w:val="000000"/>
          <w:spacing w:val="0"/>
          <w:w w:val="100"/>
          <w:position w:val="0"/>
        </w:rPr>
        <w:t>万千瓦。</w:t>
      </w:r>
    </w:p>
    <w:p>
      <w:pPr>
        <w:pStyle w:val="Style18"/>
        <w:keepNext w:val="0"/>
        <w:keepLines w:val="0"/>
        <w:widowControl w:val="0"/>
        <w:shd w:val="clear" w:color="auto" w:fill="auto"/>
        <w:bidi w:val="0"/>
        <w:spacing w:before="0" w:line="444" w:lineRule="exact"/>
        <w:ind w:left="0" w:right="0" w:firstLine="480"/>
        <w:jc w:val="both"/>
      </w:pPr>
      <w:r>
        <w:rPr>
          <w:rFonts w:ascii="Times New Roman" w:eastAsia="Times New Roman" w:hAnsi="Times New Roman" w:cs="Times New Roman"/>
          <w:color w:val="333333"/>
          <w:spacing w:val="0"/>
          <w:w w:val="100"/>
          <w:position w:val="0"/>
          <w:sz w:val="24"/>
          <w:szCs w:val="24"/>
        </w:rPr>
        <w:t>2021</w:t>
      </w:r>
      <w:r>
        <w:rPr>
          <w:color w:val="333333"/>
          <w:spacing w:val="0"/>
          <w:w w:val="100"/>
          <w:position w:val="0"/>
        </w:rPr>
        <w:t>年</w:t>
      </w:r>
      <w:r>
        <w:rPr>
          <w:rFonts w:ascii="Times New Roman" w:eastAsia="Times New Roman" w:hAnsi="Times New Roman" w:cs="Times New Roman"/>
          <w:color w:val="333333"/>
          <w:spacing w:val="0"/>
          <w:w w:val="100"/>
          <w:position w:val="0"/>
          <w:sz w:val="24"/>
          <w:szCs w:val="24"/>
        </w:rPr>
        <w:t>3</w:t>
      </w:r>
      <w:r>
        <w:rPr>
          <w:color w:val="333333"/>
          <w:spacing w:val="0"/>
          <w:w w:val="100"/>
          <w:position w:val="0"/>
        </w:rPr>
        <w:t>月，</w:t>
      </w:r>
      <w:r>
        <w:rPr>
          <w:color w:val="000000"/>
          <w:spacing w:val="0"/>
          <w:w w:val="100"/>
          <w:position w:val="0"/>
        </w:rPr>
        <w:t>十三届全国人大四次会议通过的</w:t>
      </w:r>
      <w:r>
        <w:rPr>
          <w:color w:val="333333"/>
          <w:spacing w:val="0"/>
          <w:w w:val="100"/>
          <w:position w:val="0"/>
        </w:rPr>
        <w:t>《中华人</w:t>
      </w:r>
      <w:r>
        <w:rPr>
          <w:color w:val="000000"/>
          <w:spacing w:val="0"/>
          <w:w w:val="100"/>
          <w:position w:val="0"/>
        </w:rPr>
        <w:t>民共和国国民经济和社会发展第 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年远景目标纲要》指出</w:t>
      </w:r>
      <w:r>
        <w:rPr>
          <w:color w:val="333333"/>
          <w:spacing w:val="0"/>
          <w:w w:val="100"/>
          <w:position w:val="0"/>
        </w:rPr>
        <w:t>加快电网基础设施智能化改造和智能微电网建 设，提高电力系统互补互济和智能调节能力，加强源网荷储衔接，提升清洁能源消纳和存储 能力，提升向边远地区输配电能力，推进煤电灵活性改造，加快抽水蓄能电站建设和新型储 能技术规模化应用。</w:t>
      </w:r>
    </w:p>
    <w:p>
      <w:pPr>
        <w:pStyle w:val="Style18"/>
        <w:keepNext w:val="0"/>
        <w:keepLines w:val="0"/>
        <w:widowControl w:val="0"/>
        <w:shd w:val="clear" w:color="auto" w:fill="auto"/>
        <w:bidi w:val="0"/>
        <w:spacing w:before="0" w:line="442" w:lineRule="exact"/>
        <w:ind w:left="0" w:right="0" w:firstLine="480"/>
        <w:jc w:val="both"/>
      </w:pPr>
      <w:r>
        <w:rPr>
          <w:rFonts w:ascii="Times New Roman" w:eastAsia="Times New Roman" w:hAnsi="Times New Roman" w:cs="Times New Roman"/>
          <w:color w:val="333333"/>
          <w:spacing w:val="0"/>
          <w:w w:val="100"/>
          <w:position w:val="0"/>
          <w:sz w:val="24"/>
          <w:szCs w:val="24"/>
        </w:rPr>
        <w:t>2021</w:t>
      </w:r>
      <w:r>
        <w:rPr>
          <w:color w:val="333333"/>
          <w:spacing w:val="0"/>
          <w:w w:val="100"/>
          <w:position w:val="0"/>
        </w:rPr>
        <w:t>年</w:t>
      </w:r>
      <w:r>
        <w:rPr>
          <w:rFonts w:ascii="Times New Roman" w:eastAsia="Times New Roman" w:hAnsi="Times New Roman" w:cs="Times New Roman"/>
          <w:color w:val="333333"/>
          <w:spacing w:val="0"/>
          <w:w w:val="100"/>
          <w:position w:val="0"/>
          <w:sz w:val="24"/>
          <w:szCs w:val="24"/>
        </w:rPr>
        <w:t>11</w:t>
      </w:r>
      <w:r>
        <w:rPr>
          <w:color w:val="333333"/>
          <w:spacing w:val="0"/>
          <w:w w:val="100"/>
          <w:position w:val="0"/>
        </w:rPr>
        <w:t>月，南方电网印发</w:t>
      </w:r>
      <w:r>
        <w:rPr>
          <w:color w:val="191919"/>
          <w:spacing w:val="0"/>
          <w:w w:val="100"/>
          <w:position w:val="0"/>
        </w:rPr>
        <w:t>《南方电网“十四五”电网发展规划》，提出</w:t>
      </w:r>
      <w:r>
        <w:rPr>
          <w:color w:val="333333"/>
          <w:spacing w:val="0"/>
          <w:w w:val="100"/>
          <w:position w:val="0"/>
        </w:rPr>
        <w:t>“十四五”期 间，电网建设将规划投资约</w:t>
      </w:r>
      <w:r>
        <w:rPr>
          <w:rFonts w:ascii="Times New Roman" w:eastAsia="Times New Roman" w:hAnsi="Times New Roman" w:cs="Times New Roman"/>
          <w:color w:val="333333"/>
          <w:spacing w:val="0"/>
          <w:w w:val="100"/>
          <w:position w:val="0"/>
          <w:sz w:val="24"/>
          <w:szCs w:val="24"/>
        </w:rPr>
        <w:t>6700</w:t>
      </w:r>
      <w:r>
        <w:rPr>
          <w:color w:val="333333"/>
          <w:spacing w:val="0"/>
          <w:w w:val="100"/>
          <w:position w:val="0"/>
        </w:rPr>
        <w:t>亿元，</w:t>
      </w:r>
      <w:r>
        <w:rPr>
          <w:color w:val="191919"/>
          <w:spacing w:val="0"/>
          <w:w w:val="100"/>
          <w:position w:val="0"/>
        </w:rPr>
        <w:t>以加快数字电网建设和现代化电网进程，推动以新能 源为主体的新型电力系统构建，支撑公司基本建成具有全球竞争力的世界一流企业。</w:t>
      </w:r>
      <w:r>
        <w:rPr>
          <w:color w:val="333333"/>
          <w:spacing w:val="0"/>
          <w:w w:val="100"/>
          <w:position w:val="0"/>
        </w:rPr>
        <w:t>配电网 建设列入南方电网“十四五”工作重点，规划投资达到</w:t>
      </w:r>
      <w:r>
        <w:rPr>
          <w:rFonts w:ascii="Times New Roman" w:eastAsia="Times New Roman" w:hAnsi="Times New Roman" w:cs="Times New Roman"/>
          <w:color w:val="333333"/>
          <w:spacing w:val="0"/>
          <w:w w:val="100"/>
          <w:position w:val="0"/>
          <w:sz w:val="24"/>
          <w:szCs w:val="24"/>
        </w:rPr>
        <w:t>3200</w:t>
      </w:r>
      <w:r>
        <w:rPr>
          <w:color w:val="333333"/>
          <w:spacing w:val="0"/>
          <w:w w:val="100"/>
          <w:position w:val="0"/>
        </w:rPr>
        <w:t>亿元。</w:t>
      </w:r>
    </w:p>
    <w:p>
      <w:pPr>
        <w:pStyle w:val="Style18"/>
        <w:keepNext w:val="0"/>
        <w:keepLines w:val="0"/>
        <w:widowControl w:val="0"/>
        <w:shd w:val="clear" w:color="auto" w:fill="auto"/>
        <w:bidi w:val="0"/>
        <w:spacing w:before="0" w:line="442" w:lineRule="exact"/>
        <w:ind w:left="0" w:right="0" w:firstLine="480"/>
        <w:jc w:val="left"/>
      </w:pPr>
      <w:r>
        <w:rPr>
          <w:rFonts w:ascii="Times New Roman" w:eastAsia="Times New Roman" w:hAnsi="Times New Roman" w:cs="Times New Roman"/>
          <w:color w:val="333333"/>
          <w:spacing w:val="0"/>
          <w:w w:val="100"/>
          <w:position w:val="0"/>
          <w:sz w:val="24"/>
          <w:szCs w:val="24"/>
        </w:rPr>
        <w:t>2022</w:t>
      </w:r>
      <w:r>
        <w:rPr>
          <w:color w:val="333333"/>
          <w:spacing w:val="0"/>
          <w:w w:val="100"/>
          <w:position w:val="0"/>
        </w:rPr>
        <w:t>年</w:t>
      </w:r>
      <w:r>
        <w:rPr>
          <w:rFonts w:ascii="Times New Roman" w:eastAsia="Times New Roman" w:hAnsi="Times New Roman" w:cs="Times New Roman"/>
          <w:color w:val="333333"/>
          <w:spacing w:val="0"/>
          <w:w w:val="100"/>
          <w:position w:val="0"/>
          <w:sz w:val="24"/>
          <w:szCs w:val="24"/>
        </w:rPr>
        <w:t>1</w:t>
      </w:r>
      <w:r>
        <w:rPr>
          <w:color w:val="333333"/>
          <w:spacing w:val="0"/>
          <w:w w:val="100"/>
          <w:position w:val="0"/>
        </w:rPr>
        <w:t>月，国家电网召开</w:t>
      </w:r>
      <w:r>
        <w:rPr>
          <w:color w:val="000000"/>
          <w:spacing w:val="0"/>
          <w:w w:val="100"/>
          <w:position w:val="0"/>
        </w:rPr>
        <w:t>了年度工作会议，</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年国家电网计划发展总投入为</w:t>
      </w:r>
      <w:r>
        <w:rPr>
          <w:rFonts w:ascii="Times New Roman" w:eastAsia="Times New Roman" w:hAnsi="Times New Roman" w:cs="Times New Roman"/>
          <w:color w:val="000000"/>
          <w:spacing w:val="0"/>
          <w:w w:val="100"/>
          <w:position w:val="0"/>
          <w:sz w:val="24"/>
          <w:szCs w:val="24"/>
        </w:rPr>
        <w:t xml:space="preserve">5795 </w:t>
      </w:r>
      <w:r>
        <w:rPr>
          <w:color w:val="000000"/>
          <w:spacing w:val="0"/>
          <w:w w:val="100"/>
          <w:position w:val="0"/>
        </w:rPr>
        <w:t>亿元，其中计划电网投资</w:t>
      </w:r>
      <w:r>
        <w:rPr>
          <w:rFonts w:ascii="Times New Roman" w:eastAsia="Times New Roman" w:hAnsi="Times New Roman" w:cs="Times New Roman"/>
          <w:color w:val="000000"/>
          <w:spacing w:val="0"/>
          <w:w w:val="100"/>
          <w:position w:val="0"/>
          <w:sz w:val="24"/>
          <w:szCs w:val="24"/>
        </w:rPr>
        <w:t>5012</w:t>
      </w:r>
      <w:r>
        <w:rPr>
          <w:color w:val="000000"/>
          <w:spacing w:val="0"/>
          <w:w w:val="100"/>
          <w:position w:val="0"/>
        </w:rPr>
        <w:t>亿元。</w:t>
      </w:r>
    </w:p>
    <w:p>
      <w:pPr>
        <w:pStyle w:val="Style18"/>
        <w:keepNext w:val="0"/>
        <w:keepLines w:val="0"/>
        <w:widowControl w:val="0"/>
        <w:shd w:val="clear" w:color="auto" w:fill="auto"/>
        <w:bidi w:val="0"/>
        <w:spacing w:before="0" w:line="444" w:lineRule="exact"/>
        <w:ind w:left="0" w:right="0" w:firstLine="480"/>
        <w:jc w:val="both"/>
      </w:pPr>
      <w:r>
        <w:rPr>
          <w:rFonts w:ascii="Times New Roman" w:eastAsia="Times New Roman" w:hAnsi="Times New Roman" w:cs="Times New Roman"/>
          <w:color w:val="333333"/>
          <w:spacing w:val="0"/>
          <w:w w:val="100"/>
          <w:position w:val="0"/>
          <w:sz w:val="24"/>
          <w:szCs w:val="24"/>
        </w:rPr>
        <w:t>2022</w:t>
      </w:r>
      <w:r>
        <w:rPr>
          <w:color w:val="333333"/>
          <w:spacing w:val="0"/>
          <w:w w:val="100"/>
          <w:position w:val="0"/>
        </w:rPr>
        <w:t>年</w:t>
      </w:r>
      <w:r>
        <w:rPr>
          <w:i/>
          <w:iCs/>
          <w:color w:val="333333"/>
          <w:spacing w:val="0"/>
          <w:w w:val="100"/>
          <w:position w:val="0"/>
        </w:rPr>
        <w:t>4</w:t>
      </w:r>
      <w:r>
        <w:rPr>
          <w:color w:val="333333"/>
          <w:spacing w:val="0"/>
          <w:w w:val="100"/>
          <w:position w:val="0"/>
        </w:rPr>
        <w:t>月，国家能源局、科学技术部印发了《“十四五”能源领域科技创新规划》，提 出加快电网核心技术攻关，支撑建设适应大规模可再生能源和分布式电源友好并网、源网荷 双向互动、智能高效的先进电网，突破储能关键技术、核心装备，满足能源系统发展需要。</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根据国家能源局发布数据，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年度，全社会用电量</w:t>
      </w:r>
      <w:r>
        <w:rPr>
          <w:rFonts w:ascii="Times New Roman" w:eastAsia="Times New Roman" w:hAnsi="Times New Roman" w:cs="Times New Roman"/>
          <w:color w:val="000000"/>
          <w:spacing w:val="0"/>
          <w:w w:val="100"/>
          <w:position w:val="0"/>
          <w:sz w:val="24"/>
          <w:szCs w:val="24"/>
        </w:rPr>
        <w:t>83128</w:t>
      </w:r>
      <w:r>
        <w:rPr>
          <w:color w:val="000000"/>
          <w:spacing w:val="0"/>
          <w:w w:val="100"/>
          <w:position w:val="0"/>
        </w:rPr>
        <w:t>亿千瓦时，同比增长</w:t>
      </w:r>
      <w:r>
        <w:rPr>
          <w:rFonts w:ascii="Times New Roman" w:eastAsia="Times New Roman" w:hAnsi="Times New Roman" w:cs="Times New Roman"/>
          <w:color w:val="000000"/>
          <w:spacing w:val="0"/>
          <w:w w:val="100"/>
          <w:position w:val="0"/>
          <w:sz w:val="24"/>
          <w:szCs w:val="24"/>
        </w:rPr>
        <w:t>10.3%</w:t>
      </w:r>
      <w:r>
        <w:rPr>
          <w:color w:val="000000"/>
          <w:spacing w:val="0"/>
          <w:w w:val="100"/>
          <w:position w:val="0"/>
        </w:rPr>
        <w:t>； 电源工程投资完成</w:t>
      </w:r>
      <w:r>
        <w:rPr>
          <w:rFonts w:ascii="Times New Roman" w:eastAsia="Times New Roman" w:hAnsi="Times New Roman" w:cs="Times New Roman"/>
          <w:color w:val="000000"/>
          <w:spacing w:val="0"/>
          <w:w w:val="100"/>
          <w:position w:val="0"/>
          <w:sz w:val="24"/>
          <w:szCs w:val="24"/>
        </w:rPr>
        <w:t>5530</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；电网工程投资完成</w:t>
      </w:r>
      <w:r>
        <w:rPr>
          <w:rFonts w:ascii="Times New Roman" w:eastAsia="Times New Roman" w:hAnsi="Times New Roman" w:cs="Times New Roman"/>
          <w:color w:val="000000"/>
          <w:spacing w:val="0"/>
          <w:w w:val="100"/>
          <w:position w:val="0"/>
          <w:sz w:val="24"/>
          <w:szCs w:val="24"/>
        </w:rPr>
        <w:t>4951</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r>
    </w:p>
    <w:p>
      <w:pPr>
        <w:pStyle w:val="Style10"/>
        <w:keepNext/>
        <w:keepLines/>
        <w:widowControl w:val="0"/>
        <w:shd w:val="clear" w:color="auto" w:fill="auto"/>
        <w:bidi w:val="0"/>
        <w:spacing w:before="0" w:after="40" w:line="444" w:lineRule="exact"/>
        <w:ind w:left="0" w:right="0" w:firstLine="480"/>
        <w:jc w:val="both"/>
        <w:rPr>
          <w:sz w:val="22"/>
          <w:szCs w:val="22"/>
        </w:rPr>
      </w:pPr>
      <w:bookmarkStart w:id="60" w:name="bookmark60"/>
      <w:bookmarkStart w:id="61" w:name="bookmark61"/>
      <w:bookmarkStart w:id="62" w:name="bookmark62"/>
      <w:bookmarkStart w:id="63" w:name="bookmark63"/>
      <w:r>
        <w:rPr>
          <w:b w:val="0"/>
          <w:bCs w:val="0"/>
          <w:color w:val="000000"/>
          <w:spacing w:val="0"/>
          <w:w w:val="100"/>
          <w:position w:val="0"/>
          <w:sz w:val="22"/>
          <w:szCs w:val="22"/>
        </w:rPr>
        <w:t>（</w:t>
      </w:r>
      <w:bookmarkEnd w:id="62"/>
      <w:r>
        <w:rPr>
          <w:b w:val="0"/>
          <w:bCs w:val="0"/>
          <w:color w:val="000000"/>
          <w:spacing w:val="0"/>
          <w:w w:val="100"/>
          <w:position w:val="0"/>
          <w:sz w:val="22"/>
          <w:szCs w:val="22"/>
        </w:rPr>
        <w:t>二）医疗健康业务</w:t>
      </w:r>
      <w:bookmarkEnd w:id="60"/>
      <w:bookmarkEnd w:id="61"/>
      <w:bookmarkEnd w:id="63"/>
    </w:p>
    <w:p>
      <w:pPr>
        <w:pStyle w:val="Style18"/>
        <w:keepNext w:val="0"/>
        <w:keepLines w:val="0"/>
        <w:widowControl w:val="0"/>
        <w:shd w:val="clear" w:color="auto" w:fill="auto"/>
        <w:bidi w:val="0"/>
        <w:spacing w:before="0" w:line="444" w:lineRule="exact"/>
        <w:ind w:left="0" w:right="0" w:firstLine="480"/>
        <w:jc w:val="both"/>
      </w:pPr>
      <w:bookmarkStart w:id="64" w:name="bookmark64"/>
      <w:r>
        <w:rPr>
          <w:rFonts w:ascii="Times New Roman" w:eastAsia="Times New Roman" w:hAnsi="Times New Roman" w:cs="Times New Roman"/>
          <w:color w:val="000000"/>
          <w:spacing w:val="0"/>
          <w:w w:val="100"/>
          <w:position w:val="0"/>
          <w:sz w:val="24"/>
          <w:szCs w:val="24"/>
        </w:rPr>
        <w:t>1</w:t>
      </w:r>
      <w:bookmarkEnd w:id="64"/>
      <w:r>
        <w:rPr>
          <w:color w:val="000000"/>
          <w:spacing w:val="0"/>
          <w:w w:val="100"/>
          <w:position w:val="0"/>
        </w:rPr>
        <w:t>、医疗信息化及医疗服务业务</w:t>
      </w:r>
    </w:p>
    <w:p>
      <w:pPr>
        <w:pStyle w:val="Style18"/>
        <w:keepNext w:val="0"/>
        <w:keepLines w:val="0"/>
        <w:widowControl w:val="0"/>
        <w:shd w:val="clear" w:color="auto" w:fill="auto"/>
        <w:bidi w:val="0"/>
        <w:spacing w:before="0" w:line="456"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月，国务院办公厅发布了《关于推进医疗联合体建设和发展的指导意见》，正 式确定了由包括县域医疗共同体在内的多种形式构成的实施模式。</w:t>
      </w:r>
    </w:p>
    <w:p>
      <w:pPr>
        <w:pStyle w:val="Style18"/>
        <w:keepNext w:val="0"/>
        <w:keepLines w:val="0"/>
        <w:widowControl w:val="0"/>
        <w:shd w:val="clear" w:color="auto" w:fill="auto"/>
        <w:bidi w:val="0"/>
        <w:spacing w:before="0" w:line="444"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月，国家卫生健康委员会发布《全国医院信息化建设标准与规范（试行）》，针 对目前医院信息化建设现状，着眼未来</w:t>
      </w:r>
      <w:r>
        <w:rPr>
          <w:rFonts w:ascii="Times New Roman" w:eastAsia="Times New Roman" w:hAnsi="Times New Roman" w:cs="Times New Roman"/>
          <w:color w:val="000000"/>
          <w:spacing w:val="0"/>
          <w:w w:val="100"/>
          <w:position w:val="0"/>
          <w:sz w:val="24"/>
          <w:szCs w:val="24"/>
        </w:rPr>
        <w:t>5-10</w:t>
      </w:r>
      <w:r>
        <w:rPr>
          <w:color w:val="000000"/>
          <w:spacing w:val="0"/>
          <w:w w:val="100"/>
          <w:position w:val="0"/>
        </w:rPr>
        <w:t>年全国医院信息化应用发展的建设要求，针对二 级医院、三级乙等医院和三级甲等医院的临床业务、医院管理等工作需要，覆盖医院信息化 建设的主要业务和建设需求，从软硬件建设、安全保障、新兴技术应用等方面标准，规范了 医院信息化建设的主要内容和要求。</w:t>
      </w:r>
    </w:p>
    <w:p>
      <w:pPr>
        <w:pStyle w:val="Style18"/>
        <w:keepNext w:val="0"/>
        <w:keepLines w:val="0"/>
        <w:widowControl w:val="0"/>
        <w:shd w:val="clear" w:color="auto" w:fill="auto"/>
        <w:bidi w:val="0"/>
        <w:spacing w:before="0" w:line="451"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月，国务院办公厅发布《关于促进“互联网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医疗健康”发展的意见》，鼓励医 疗机构运用“互联网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”优化现有医疗服务，推动互联网与医疗健康深度融合，丰富服务供给。</w:t>
      </w:r>
    </w:p>
    <w:p>
      <w:pPr>
        <w:pStyle w:val="Style18"/>
        <w:keepNext w:val="0"/>
        <w:keepLines w:val="0"/>
        <w:widowControl w:val="0"/>
        <w:shd w:val="clear" w:color="auto" w:fill="auto"/>
        <w:bidi w:val="0"/>
        <w:spacing w:before="0" w:line="442" w:lineRule="exact"/>
        <w:ind w:left="0" w:right="0" w:firstLine="480"/>
        <w:jc w:val="both"/>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月，国家卫生健康委员会、国家中医药管理局组织制定了《互联网诊疗管理办 法（试行）》、《互联网医院管理办法（试行）》、《远程医疗服务管理规范（试行）》，要进一步 规范互联网诊疗行为，发挥远程医疗服务积极作用，提高医疗服务效率，保证医疗质量和医 疗安全。</w:t>
      </w:r>
    </w:p>
    <w:p>
      <w:pPr>
        <w:pStyle w:val="Style18"/>
        <w:keepNext w:val="0"/>
        <w:keepLines w:val="0"/>
        <w:widowControl w:val="0"/>
        <w:shd w:val="clear" w:color="auto" w:fill="auto"/>
        <w:bidi w:val="0"/>
        <w:spacing w:before="0" w:line="442"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月，国家卫健委、国家中医药管理局发布了《关于推进紧密型县域医疗卫生共 同体建设的通知》及相应具体指导方案，并于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月发布了《关于印发紧密型县域医疗 卫生共同体建设试点省和试点县名单的通知》，明确了第一批拟建立紧密型县域医共体的试点 县共</w:t>
      </w:r>
      <w:r>
        <w:rPr>
          <w:rFonts w:ascii="Times New Roman" w:eastAsia="Times New Roman" w:hAnsi="Times New Roman" w:cs="Times New Roman"/>
          <w:color w:val="000000"/>
          <w:spacing w:val="0"/>
          <w:w w:val="100"/>
          <w:position w:val="0"/>
          <w:sz w:val="24"/>
          <w:szCs w:val="24"/>
        </w:rPr>
        <w:t>567</w:t>
      </w:r>
      <w:r>
        <w:rPr>
          <w:color w:val="000000"/>
          <w:spacing w:val="0"/>
          <w:w w:val="100"/>
          <w:position w:val="0"/>
        </w:rPr>
        <w:t>个，并从四个方面明确了紧密型医共体建设的</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项具体工作内容。</w:t>
      </w:r>
    </w:p>
    <w:p>
      <w:pPr>
        <w:pStyle w:val="Style18"/>
        <w:keepNext w:val="0"/>
        <w:keepLines w:val="0"/>
        <w:widowControl w:val="0"/>
        <w:shd w:val="clear" w:color="auto" w:fill="auto"/>
        <w:bidi w:val="0"/>
        <w:spacing w:before="0" w:line="446"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月，国家卫生健康委规划发展与信息化司、国家卫生健康委疾病预防控制局、 国家中医药管理局规划财务司联合发布了《全国公共卫生信息化建设标准与规范（试行）》。</w:t>
      </w:r>
    </w:p>
    <w:p>
      <w:pPr>
        <w:pStyle w:val="Style18"/>
        <w:keepNext w:val="0"/>
        <w:keepLines w:val="0"/>
        <w:widowControl w:val="0"/>
        <w:shd w:val="clear" w:color="auto" w:fill="auto"/>
        <w:bidi w:val="0"/>
        <w:spacing w:before="0" w:line="444"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月，国家卫生健康委医院管理研究所发布了《国家卫生健康委医院管理研究所 关于印发电子病历系统应用水平分级评价工作规程和专家管理办法的通知》，制定了《电子病 历系统应用水平分级评价工作规程》和《电子病历系统应用水平评价专家管理办法》。</w:t>
      </w:r>
    </w:p>
    <w:p>
      <w:pPr>
        <w:pStyle w:val="Style18"/>
        <w:keepNext w:val="0"/>
        <w:keepLines w:val="0"/>
        <w:widowControl w:val="0"/>
        <w:shd w:val="clear" w:color="auto" w:fill="auto"/>
        <w:bidi w:val="0"/>
        <w:spacing w:before="0" w:line="44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月，国务院办公厅印发《关于印发“十四五”全民医疗保障规划的通知》，指 出要医疗保障信息化、标准化建设取得突破，医疗保障信息国家平台建成并投入使用，医保 信息业务编码标准和医保电子凭证推广应用。</w:t>
      </w:r>
    </w:p>
    <w:p>
      <w:pPr>
        <w:pStyle w:val="Style18"/>
        <w:keepNext w:val="0"/>
        <w:keepLines w:val="0"/>
        <w:widowControl w:val="0"/>
        <w:shd w:val="clear" w:color="auto" w:fill="auto"/>
        <w:bidi w:val="0"/>
        <w:spacing w:before="0" w:line="445"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月，中央网络安全和信息化委员会印发《“十四五”国家信息化规划》指出要 积极探索运营信息化手段优化医疗服务流程，创造舒心就医体验。要加快建设医疗重大基础 平台及医疗专属云建设，推动各级医疗卫生机构信息系统数据共享及业务协同，建设权威统 一互通共享的各级全民健康信息平台。</w:t>
      </w:r>
    </w:p>
    <w:p>
      <w:pPr>
        <w:pStyle w:val="Style18"/>
        <w:keepNext w:val="0"/>
        <w:keepLines w:val="0"/>
        <w:widowControl w:val="0"/>
        <w:shd w:val="clear" w:color="auto" w:fill="auto"/>
        <w:bidi w:val="0"/>
        <w:spacing w:before="0" w:line="446" w:lineRule="exact"/>
        <w:ind w:left="0" w:right="0" w:firstLine="480"/>
        <w:jc w:val="both"/>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月，国家卫生健康委印发《医疗机构设置规划指导原则（</w:t>
      </w:r>
      <w:r>
        <w:rPr>
          <w:rFonts w:ascii="Times New Roman" w:eastAsia="Times New Roman" w:hAnsi="Times New Roman" w:cs="Times New Roman"/>
          <w:color w:val="000000"/>
          <w:spacing w:val="0"/>
          <w:w w:val="100"/>
          <w:position w:val="0"/>
          <w:sz w:val="24"/>
          <w:szCs w:val="24"/>
        </w:rPr>
        <w:t>2021-2025</w:t>
      </w:r>
      <w:r>
        <w:rPr>
          <w:color w:val="000000"/>
          <w:spacing w:val="0"/>
          <w:w w:val="100"/>
          <w:position w:val="0"/>
        </w:rPr>
        <w:t>年）》，提 出合理规划发展紧密型城市医疗集团和县域医共体，充分发挥信息化的支撑作用，加强医防 融合、平急结合、医养结合，推动区域医疗资源融合共享。</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医疗信息化建设作为“四梁八柱”之一，利用现代化的信息手段推动医药卫生体制改革， 为百姓提供安全、有效、方便的卫生服务具有重要意义。</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未来，医疗信息化行业将持续发展，随着国家政策和国家健康事业的逐步实施，市场空 间将持续壮大。</w:t>
      </w:r>
    </w:p>
    <w:p>
      <w:pPr>
        <w:pStyle w:val="Style18"/>
        <w:keepNext w:val="0"/>
        <w:keepLines w:val="0"/>
        <w:widowControl w:val="0"/>
        <w:shd w:val="clear" w:color="auto" w:fill="auto"/>
        <w:bidi w:val="0"/>
        <w:spacing w:before="0" w:line="446" w:lineRule="exact"/>
        <w:ind w:left="0" w:right="0" w:firstLine="4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、体外诊断</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业务</w:t>
      </w:r>
    </w:p>
    <w:p>
      <w:pPr>
        <w:pStyle w:val="Style18"/>
        <w:keepNext w:val="0"/>
        <w:keepLines w:val="0"/>
        <w:widowControl w:val="0"/>
        <w:shd w:val="clear" w:color="auto" w:fill="auto"/>
        <w:bidi w:val="0"/>
        <w:spacing w:before="0" w:line="430" w:lineRule="exact"/>
        <w:ind w:left="0" w:right="0" w:firstLine="480"/>
        <w:jc w:val="both"/>
      </w:pPr>
      <w:r>
        <w:rPr>
          <w:color w:val="000000"/>
          <w:spacing w:val="0"/>
          <w:w w:val="100"/>
          <w:position w:val="0"/>
        </w:rPr>
        <w:t>在国家加大预防投入、治未病理念推广的背景下，人们的生活方式的改变、社会经济的 不断发展促使医疗消费水平逐步提高；随着国家医疗体制改革的推动以及支持国产医疗设备 的产业政策扶持，</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行业发展迅速。</w:t>
      </w:r>
    </w:p>
    <w:p>
      <w:pPr>
        <w:pStyle w:val="Style18"/>
        <w:keepNext w:val="0"/>
        <w:keepLines w:val="0"/>
        <w:widowControl w:val="0"/>
        <w:shd w:val="clear" w:color="auto" w:fill="auto"/>
        <w:bidi w:val="0"/>
        <w:spacing w:before="0" w:line="446" w:lineRule="exact"/>
        <w:ind w:left="0" w:right="0" w:firstLine="48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月，《健康中国“</w:t>
      </w:r>
      <w:r>
        <w:rPr>
          <w:rFonts w:ascii="Times New Roman" w:eastAsia="Times New Roman" w:hAnsi="Times New Roman" w:cs="Times New Roman"/>
          <w:color w:val="000000"/>
          <w:spacing w:val="0"/>
          <w:w w:val="100"/>
          <w:position w:val="0"/>
          <w:sz w:val="24"/>
          <w:szCs w:val="24"/>
        </w:rPr>
        <w:t>2030</w:t>
      </w:r>
      <w:r>
        <w:rPr>
          <w:color w:val="000000"/>
          <w:spacing w:val="0"/>
          <w:w w:val="100"/>
          <w:position w:val="0"/>
        </w:rPr>
        <w:t>”规划纲要》指出加快发展体外诊断技术与产品。</w:t>
      </w:r>
    </w:p>
    <w:p>
      <w:pPr>
        <w:pStyle w:val="Style18"/>
        <w:keepNext w:val="0"/>
        <w:keepLines w:val="0"/>
        <w:widowControl w:val="0"/>
        <w:shd w:val="clear" w:color="auto" w:fill="auto"/>
        <w:bidi w:val="0"/>
        <w:spacing w:before="0" w:line="450"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月，国家卫生健康委办公厅关于开展社区医院建设试点工作的通知》社区医院 在在医技科室设置时，必须设置医学检验科，并且具有配套的检验能力。</w:t>
      </w:r>
    </w:p>
    <w:p>
      <w:pPr>
        <w:pStyle w:val="Style18"/>
        <w:keepNext w:val="0"/>
        <w:keepLines w:val="0"/>
        <w:widowControl w:val="0"/>
        <w:shd w:val="clear" w:color="auto" w:fill="auto"/>
        <w:bidi w:val="0"/>
        <w:spacing w:before="0" w:line="450" w:lineRule="exact"/>
        <w:ind w:left="0" w:right="0" w:firstLine="480"/>
        <w:jc w:val="both"/>
      </w:pPr>
      <w:r>
        <w:rPr>
          <w:rFonts w:ascii="Times New Roman" w:eastAsia="Times New Roman" w:hAnsi="Times New Roman" w:cs="Times New Roman"/>
          <w:color w:val="333333"/>
          <w:spacing w:val="0"/>
          <w:w w:val="100"/>
          <w:position w:val="0"/>
          <w:sz w:val="24"/>
          <w:szCs w:val="24"/>
        </w:rPr>
        <w:t>2021</w:t>
      </w:r>
      <w:r>
        <w:rPr>
          <w:color w:val="333333"/>
          <w:spacing w:val="0"/>
          <w:w w:val="100"/>
          <w:position w:val="0"/>
        </w:rPr>
        <w:t>年</w:t>
      </w:r>
      <w:r>
        <w:rPr>
          <w:rFonts w:ascii="Times New Roman" w:eastAsia="Times New Roman" w:hAnsi="Times New Roman" w:cs="Times New Roman"/>
          <w:color w:val="333333"/>
          <w:spacing w:val="0"/>
          <w:w w:val="100"/>
          <w:position w:val="0"/>
          <w:sz w:val="24"/>
          <w:szCs w:val="24"/>
        </w:rPr>
        <w:t>3</w:t>
      </w:r>
      <w:r>
        <w:rPr>
          <w:color w:val="333333"/>
          <w:spacing w:val="0"/>
          <w:w w:val="100"/>
          <w:position w:val="0"/>
        </w:rPr>
        <w:t>月，</w:t>
      </w:r>
      <w:r>
        <w:rPr>
          <w:color w:val="000000"/>
          <w:spacing w:val="0"/>
          <w:w w:val="100"/>
          <w:position w:val="0"/>
        </w:rPr>
        <w:t>十三届全国人大四次会议通过的《中华人民共和国国民经济和社会发展第 十四个五年规划和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年远景目标纲要》指出聚焦壮大生物技术等战略性新兴产业，加强生 物安全风险防控。</w:t>
      </w:r>
    </w:p>
    <w:p>
      <w:pPr>
        <w:pStyle w:val="Style18"/>
        <w:keepNext w:val="0"/>
        <w:keepLines w:val="0"/>
        <w:widowControl w:val="0"/>
        <w:shd w:val="clear" w:color="auto" w:fill="auto"/>
        <w:bidi w:val="0"/>
        <w:spacing w:before="0" w:after="180" w:line="446"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月，国家卫生健康委、国家药监局等十部门联合印发《“十四五”医疗装备产 业发展规划》，诊断检验装备是</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个重点领域之一。</w:t>
      </w:r>
    </w:p>
    <w:p>
      <w:pPr>
        <w:pStyle w:val="Style29"/>
        <w:keepNext/>
        <w:keepLines/>
        <w:widowControl w:val="0"/>
        <w:shd w:val="clear" w:color="auto" w:fill="auto"/>
        <w:bidi w:val="0"/>
        <w:spacing w:before="0" w:after="480" w:line="446" w:lineRule="exact"/>
        <w:ind w:left="0" w:right="0" w:firstLine="0"/>
        <w:jc w:val="both"/>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、报告期内公司从事的主要业务</w:t>
      </w:r>
      <w:bookmarkEnd w:id="65"/>
      <w:bookmarkEnd w:id="66"/>
      <w:bookmarkEnd w:id="68"/>
    </w:p>
    <w:p>
      <w:pPr>
        <w:pStyle w:val="Style18"/>
        <w:keepNext w:val="0"/>
        <w:keepLines w:val="0"/>
        <w:widowControl w:val="0"/>
        <w:shd w:val="clear" w:color="auto" w:fill="auto"/>
        <w:bidi w:val="0"/>
        <w:spacing w:before="0" w:after="220" w:line="240" w:lineRule="auto"/>
        <w:ind w:left="0" w:right="0" w:firstLine="480"/>
        <w:jc w:val="both"/>
      </w:pPr>
      <w:bookmarkStart w:id="69" w:name="bookmark69"/>
      <w:r>
        <w:rPr>
          <w:color w:val="000000"/>
          <w:spacing w:val="0"/>
          <w:w w:val="100"/>
          <w:position w:val="0"/>
        </w:rPr>
        <w:t>（</w:t>
      </w:r>
      <w:bookmarkEnd w:id="69"/>
      <w:r>
        <w:rPr>
          <w:color w:val="000000"/>
          <w:spacing w:val="0"/>
          <w:w w:val="100"/>
          <w:position w:val="0"/>
        </w:rPr>
        <w:t>一）智能电网业务</w:t>
      </w:r>
    </w:p>
    <w:p>
      <w:pPr>
        <w:pStyle w:val="Style18"/>
        <w:keepNext w:val="0"/>
        <w:keepLines w:val="0"/>
        <w:widowControl w:val="0"/>
        <w:shd w:val="clear" w:color="auto" w:fill="auto"/>
        <w:bidi w:val="0"/>
        <w:spacing w:before="0" w:line="240" w:lineRule="auto"/>
        <w:ind w:left="0" w:right="0" w:firstLine="480"/>
        <w:jc w:val="both"/>
      </w:pPr>
      <w:bookmarkStart w:id="70" w:name="bookmark70"/>
      <w:r>
        <w:rPr>
          <w:rFonts w:ascii="Times New Roman" w:eastAsia="Times New Roman" w:hAnsi="Times New Roman" w:cs="Times New Roman"/>
          <w:color w:val="000000"/>
          <w:spacing w:val="0"/>
          <w:w w:val="100"/>
          <w:position w:val="0"/>
          <w:sz w:val="24"/>
          <w:szCs w:val="24"/>
        </w:rPr>
        <w:t>1</w:t>
      </w:r>
      <w:bookmarkEnd w:id="70"/>
      <w:r>
        <w:rPr>
          <w:color w:val="000000"/>
          <w:spacing w:val="0"/>
          <w:w w:val="100"/>
          <w:position w:val="0"/>
        </w:rPr>
        <w:t>、智能电网产品</w:t>
      </w:r>
    </w:p>
    <w:p>
      <w:pPr>
        <w:pStyle w:val="Style18"/>
        <w:keepNext w:val="0"/>
        <w:keepLines w:val="0"/>
        <w:widowControl w:val="0"/>
        <w:shd w:val="clear" w:color="auto" w:fill="auto"/>
        <w:bidi w:val="0"/>
        <w:spacing w:before="0" w:after="200" w:line="440" w:lineRule="exact"/>
        <w:ind w:left="0" w:right="0" w:firstLine="500"/>
        <w:jc w:val="both"/>
      </w:pPr>
      <w:r>
        <w:rPr>
          <w:color w:val="000000"/>
          <w:spacing w:val="0"/>
          <w:w w:val="100"/>
          <w:position w:val="0"/>
        </w:rPr>
        <w:t>公司主要从事电力系统智能化记录分析、时间同步、变电站综合自动化和配网自动化相 关产品的研发、制造、销售和服务。主营产品有电力故障录波装置、时间同步装置和变电站 综合自动化装置、智能配网设备、智能电网测试仪器仪表等。公司智能电网产品广泛应用于 电网建设、电源建设、配网建设、用户工程建设及其技术改造等。公司电力故障录波装置、 时间同步装置处于细分行业领先地位。</w:t>
      </w:r>
    </w:p>
    <w:p>
      <w:pPr>
        <w:pStyle w:val="Style18"/>
        <w:keepNext w:val="0"/>
        <w:keepLines w:val="0"/>
        <w:widowControl w:val="0"/>
        <w:shd w:val="clear" w:color="auto" w:fill="auto"/>
        <w:bidi w:val="0"/>
        <w:spacing w:before="0" w:after="0" w:line="386" w:lineRule="auto"/>
        <w:ind w:left="0" w:right="0" w:firstLine="500"/>
        <w:jc w:val="both"/>
      </w:pPr>
      <w:bookmarkStart w:id="71" w:name="bookmark71"/>
      <w:r>
        <w:rPr>
          <w:rFonts w:ascii="Times New Roman" w:eastAsia="Times New Roman" w:hAnsi="Times New Roman" w:cs="Times New Roman"/>
          <w:color w:val="000000"/>
          <w:spacing w:val="0"/>
          <w:w w:val="100"/>
          <w:position w:val="0"/>
          <w:sz w:val="24"/>
          <w:szCs w:val="24"/>
        </w:rPr>
        <w:t>2</w:t>
      </w:r>
      <w:bookmarkEnd w:id="71"/>
      <w:r>
        <w:rPr>
          <w:color w:val="000000"/>
          <w:spacing w:val="0"/>
          <w:w w:val="100"/>
          <w:position w:val="0"/>
        </w:rPr>
        <w:t>、经营模式和业绩驱动因素</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公司电力行业业务主要通过投标方式获取订单，进行“订单式生产”、现场安装调试、交 付投运，实现向客户的直接销售。用户的建设规模、技改需求，公司产品技术水平、质量控 制、服务质量、过往业绩均是影响业绩的重要因素。</w:t>
      </w:r>
    </w:p>
    <w:p>
      <w:pPr>
        <w:pStyle w:val="Style18"/>
        <w:keepNext w:val="0"/>
        <w:keepLines w:val="0"/>
        <w:widowControl w:val="0"/>
        <w:shd w:val="clear" w:color="auto" w:fill="auto"/>
        <w:bidi w:val="0"/>
        <w:spacing w:before="0" w:after="0" w:line="443" w:lineRule="exact"/>
        <w:ind w:left="0" w:right="0" w:firstLine="500"/>
        <w:jc w:val="both"/>
      </w:pPr>
      <w:bookmarkStart w:id="72" w:name="bookmark72"/>
      <w:r>
        <w:rPr>
          <w:color w:val="000000"/>
          <w:spacing w:val="0"/>
          <w:w w:val="100"/>
          <w:position w:val="0"/>
        </w:rPr>
        <w:t>（</w:t>
      </w:r>
      <w:bookmarkEnd w:id="72"/>
      <w:r>
        <w:rPr>
          <w:color w:val="000000"/>
          <w:spacing w:val="0"/>
          <w:w w:val="100"/>
          <w:position w:val="0"/>
        </w:rPr>
        <w:t>二）医疗健康业务</w:t>
      </w:r>
    </w:p>
    <w:p>
      <w:pPr>
        <w:pStyle w:val="Style18"/>
        <w:keepNext w:val="0"/>
        <w:keepLines w:val="0"/>
        <w:widowControl w:val="0"/>
        <w:shd w:val="clear" w:color="auto" w:fill="auto"/>
        <w:bidi w:val="0"/>
        <w:spacing w:before="0" w:after="200" w:line="442" w:lineRule="exact"/>
        <w:ind w:left="0" w:right="0" w:firstLine="500"/>
        <w:jc w:val="both"/>
      </w:pPr>
      <w:r>
        <w:rPr>
          <w:color w:val="000000"/>
          <w:spacing w:val="0"/>
          <w:w w:val="100"/>
          <w:position w:val="0"/>
        </w:rPr>
        <w:t>公司医疗健康业务正从医疗信息化和体外诊断，拓展至医疗综合服务，稳步实施“数据</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服务”发展战略。</w:t>
      </w:r>
    </w:p>
    <w:p>
      <w:pPr>
        <w:pStyle w:val="Style18"/>
        <w:keepNext w:val="0"/>
        <w:keepLines w:val="0"/>
        <w:widowControl w:val="0"/>
        <w:shd w:val="clear" w:color="auto" w:fill="auto"/>
        <w:tabs>
          <w:tab w:pos="934" w:val="left"/>
        </w:tabs>
        <w:bidi w:val="0"/>
        <w:spacing w:before="0" w:after="0" w:line="384" w:lineRule="auto"/>
        <w:ind w:left="0" w:right="0" w:firstLine="500"/>
        <w:jc w:val="both"/>
      </w:pPr>
      <w:bookmarkStart w:id="73" w:name="bookmark73"/>
      <w:r>
        <w:rPr>
          <w:rFonts w:ascii="Times New Roman" w:eastAsia="Times New Roman" w:hAnsi="Times New Roman" w:cs="Times New Roman"/>
          <w:color w:val="000000"/>
          <w:spacing w:val="0"/>
          <w:w w:val="100"/>
          <w:position w:val="0"/>
          <w:sz w:val="24"/>
          <w:szCs w:val="24"/>
        </w:rPr>
        <w:t>1</w:t>
      </w:r>
      <w:bookmarkEnd w:id="73"/>
      <w:r>
        <w:rPr>
          <w:color w:val="000000"/>
          <w:spacing w:val="0"/>
          <w:w w:val="100"/>
          <w:position w:val="0"/>
        </w:rPr>
        <w:t>、</w:t>
        <w:tab/>
        <w:t>医疗信息化及医疗服务业务</w:t>
      </w:r>
    </w:p>
    <w:p>
      <w:pPr>
        <w:pStyle w:val="Style18"/>
        <w:keepNext w:val="0"/>
        <w:keepLines w:val="0"/>
        <w:widowControl w:val="0"/>
        <w:shd w:val="clear" w:color="auto" w:fill="auto"/>
        <w:tabs>
          <w:tab w:pos="1026" w:val="left"/>
        </w:tabs>
        <w:bidi w:val="0"/>
        <w:spacing w:before="0" w:after="0" w:line="443" w:lineRule="exact"/>
        <w:ind w:left="0" w:right="0" w:firstLine="50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医疗信息化及医疗服务</w:t>
      </w:r>
    </w:p>
    <w:p>
      <w:pPr>
        <w:pStyle w:val="Style18"/>
        <w:keepNext w:val="0"/>
        <w:keepLines w:val="0"/>
        <w:widowControl w:val="0"/>
        <w:shd w:val="clear" w:color="auto" w:fill="auto"/>
        <w:bidi w:val="0"/>
        <w:spacing w:before="0" w:after="0" w:line="443" w:lineRule="exact"/>
        <w:ind w:left="0" w:right="0" w:firstLine="500"/>
        <w:jc w:val="both"/>
      </w:pPr>
      <w:r>
        <w:rPr>
          <w:color w:val="000000"/>
          <w:spacing w:val="0"/>
          <w:w w:val="100"/>
          <w:position w:val="0"/>
        </w:rPr>
        <w:t>公司全资子公司世轩科技及中元健康聚焦智慧医共体、智慧医院、</w:t>
      </w:r>
      <w:r>
        <w:rPr>
          <w:rFonts w:ascii="Times New Roman" w:eastAsia="Times New Roman" w:hAnsi="Times New Roman" w:cs="Times New Roman"/>
          <w:color w:val="000000"/>
          <w:spacing w:val="0"/>
          <w:w w:val="100"/>
          <w:position w:val="0"/>
          <w:sz w:val="24"/>
          <w:szCs w:val="24"/>
        </w:rPr>
        <w:t>AI+</w:t>
      </w:r>
      <w:r>
        <w:rPr>
          <w:color w:val="000000"/>
          <w:spacing w:val="0"/>
          <w:w w:val="100"/>
          <w:position w:val="0"/>
        </w:rPr>
        <w:t>大数据及互联网服 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运营四大方向，以全新的微服务架构理念，打造国内领先的自主研发医疗产品系列，包括 </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EMR</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PACS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RIS</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HRP</w:t>
      </w:r>
      <w:r>
        <w:rPr>
          <w:color w:val="000000"/>
          <w:spacing w:val="0"/>
          <w:w w:val="100"/>
          <w:position w:val="0"/>
        </w:rPr>
        <w:t>、</w:t>
      </w:r>
      <w:r>
        <w:rPr>
          <w:color w:val="000000"/>
          <w:spacing w:val="0"/>
          <w:w w:val="100"/>
          <w:position w:val="0"/>
        </w:rPr>
        <w:t>集成平台、数据中心、移动医疗、互联网医院、人口健康 信息平台、医共体信息平台、分级诊疗平台等</w:t>
      </w:r>
    </w:p>
    <w:p>
      <w:pPr>
        <w:pStyle w:val="Style18"/>
        <w:keepNext w:val="0"/>
        <w:keepLines w:val="0"/>
        <w:widowControl w:val="0"/>
        <w:shd w:val="clear" w:color="auto" w:fill="auto"/>
        <w:tabs>
          <w:tab w:pos="1026" w:val="left"/>
        </w:tabs>
        <w:bidi w:val="0"/>
        <w:spacing w:before="0" w:after="0" w:line="443" w:lineRule="exact"/>
        <w:ind w:left="0" w:right="0" w:firstLine="50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经营模式和业绩驱动因素</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公司医疗信息化业务主要通过向医院、卫生主管机构等客户以直销方式提供软件产品或 技术服务获得盈利。提供医疗信息化产品的过程就是软件的研发与工程实施的过程。工程实 施分阶段实现软件销售合同约定的服务内容，用户通过分阶段验收并交付后完成销售。</w:t>
      </w:r>
    </w:p>
    <w:p>
      <w:pPr>
        <w:pStyle w:val="Style18"/>
        <w:keepNext w:val="0"/>
        <w:keepLines w:val="0"/>
        <w:widowControl w:val="0"/>
        <w:shd w:val="clear" w:color="auto" w:fill="auto"/>
        <w:bidi w:val="0"/>
        <w:spacing w:before="0" w:after="200" w:line="427" w:lineRule="exact"/>
        <w:ind w:left="0" w:right="0" w:firstLine="500"/>
        <w:jc w:val="both"/>
      </w:pPr>
      <w:r>
        <w:rPr>
          <w:color w:val="000000"/>
          <w:spacing w:val="0"/>
          <w:w w:val="100"/>
          <w:position w:val="0"/>
        </w:rPr>
        <w:t>国家政策的驱动、行业发展的需求、领先的技术、深厚的医疗系统资源构成公司医疗信 息化业务业绩增长的主要因素。</w:t>
      </w:r>
    </w:p>
    <w:p>
      <w:pPr>
        <w:pStyle w:val="Style18"/>
        <w:keepNext w:val="0"/>
        <w:keepLines w:val="0"/>
        <w:widowControl w:val="0"/>
        <w:shd w:val="clear" w:color="auto" w:fill="auto"/>
        <w:tabs>
          <w:tab w:pos="934" w:val="left"/>
        </w:tabs>
        <w:bidi w:val="0"/>
        <w:spacing w:before="0" w:after="0" w:line="386" w:lineRule="auto"/>
        <w:ind w:left="0" w:right="0" w:firstLine="500"/>
        <w:jc w:val="both"/>
      </w:pPr>
      <w:bookmarkStart w:id="76" w:name="bookmark76"/>
      <w:r>
        <w:rPr>
          <w:rFonts w:ascii="Times New Roman" w:eastAsia="Times New Roman" w:hAnsi="Times New Roman" w:cs="Times New Roman"/>
          <w:color w:val="000000"/>
          <w:spacing w:val="0"/>
          <w:w w:val="100"/>
          <w:position w:val="0"/>
          <w:sz w:val="24"/>
          <w:szCs w:val="24"/>
        </w:rPr>
        <w:t>2</w:t>
      </w:r>
      <w:bookmarkEnd w:id="76"/>
      <w:r>
        <w:rPr>
          <w:color w:val="000000"/>
          <w:spacing w:val="0"/>
          <w:w w:val="100"/>
          <w:position w:val="0"/>
        </w:rPr>
        <w:t>、</w:t>
        <w:tab/>
        <w:t>体外诊断</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业务</w:t>
      </w:r>
    </w:p>
    <w:p>
      <w:pPr>
        <w:pStyle w:val="Style18"/>
        <w:keepNext w:val="0"/>
        <w:keepLines w:val="0"/>
        <w:widowControl w:val="0"/>
        <w:shd w:val="clear" w:color="auto" w:fill="auto"/>
        <w:tabs>
          <w:tab w:pos="1026" w:val="left"/>
        </w:tabs>
        <w:bidi w:val="0"/>
        <w:spacing w:before="0" w:after="0" w:line="443" w:lineRule="exact"/>
        <w:ind w:left="0" w:right="0" w:firstLine="50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体外诊断产品</w:t>
      </w:r>
    </w:p>
    <w:p>
      <w:pPr>
        <w:pStyle w:val="Style18"/>
        <w:keepNext w:val="0"/>
        <w:keepLines w:val="0"/>
        <w:widowControl w:val="0"/>
        <w:shd w:val="clear" w:color="auto" w:fill="auto"/>
        <w:bidi w:val="0"/>
        <w:spacing w:before="0" w:after="0" w:line="449"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领域产品覆盖十一大类生化类体外诊断试剂，包含肝脏功能类、肾脏功能类、 风湿类、糖代谢功能类、特定蛋白类、无机离子类、心血管类、心脏功能类、血脂类、胰腺 类及其他类测定试剂盒。</w:t>
      </w:r>
    </w:p>
    <w:p>
      <w:pPr>
        <w:pStyle w:val="Style18"/>
        <w:keepNext w:val="0"/>
        <w:keepLines w:val="0"/>
        <w:widowControl w:val="0"/>
        <w:shd w:val="clear" w:color="auto" w:fill="auto"/>
        <w:tabs>
          <w:tab w:pos="1026" w:val="left"/>
        </w:tabs>
        <w:bidi w:val="0"/>
        <w:spacing w:before="0" w:after="0" w:line="449" w:lineRule="exact"/>
        <w:ind w:left="0" w:right="0" w:firstLine="50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经营模式和业绩驱动因素</w:t>
      </w:r>
    </w:p>
    <w:p>
      <w:pPr>
        <w:pStyle w:val="Style18"/>
        <w:keepNext w:val="0"/>
        <w:keepLines w:val="0"/>
        <w:widowControl w:val="0"/>
        <w:shd w:val="clear" w:color="auto" w:fill="auto"/>
        <w:bidi w:val="0"/>
        <w:spacing w:before="0" w:after="180" w:line="442" w:lineRule="exact"/>
        <w:ind w:left="0" w:right="0" w:firstLine="600"/>
        <w:jc w:val="left"/>
      </w:pPr>
      <w:r>
        <w:rPr>
          <w:color w:val="000000"/>
          <w:spacing w:val="0"/>
          <w:w w:val="100"/>
          <w:position w:val="0"/>
        </w:rPr>
        <w:t xml:space="preserve">公司实行以销定产的生产模式，采取“经销和直销相结合，经销为主”的营销模式，对 </w:t>
      </w:r>
      <w:r>
        <w:rPr>
          <w:rFonts w:ascii="Times New Roman" w:eastAsia="Times New Roman" w:hAnsi="Times New Roman" w:cs="Times New Roman"/>
          <w:color w:val="000000"/>
          <w:spacing w:val="0"/>
          <w:w w:val="100"/>
          <w:position w:val="0"/>
          <w:sz w:val="24"/>
          <w:szCs w:val="24"/>
        </w:rPr>
        <w:t>IVD</w:t>
      </w:r>
      <w:r>
        <w:rPr>
          <w:color w:val="000000"/>
          <w:spacing w:val="0"/>
          <w:w w:val="100"/>
          <w:position w:val="0"/>
        </w:rPr>
        <w:t>领域产品进行销售。国内体外诊断产业相对基数小、增速快，各种新技术的兴起以及国 家医疗保障政策的完善成为我国诊断产业长期利好的重要驱动因素。此外，大千生物经营团 队拥有较强的研发能力以及较为广泛的客户资源，有利支持其业务拓展。</w:t>
      </w:r>
    </w:p>
    <w:p>
      <w:pPr>
        <w:pStyle w:val="Style29"/>
        <w:keepNext/>
        <w:keepLines/>
        <w:widowControl w:val="0"/>
        <w:shd w:val="clear" w:color="auto" w:fill="auto"/>
        <w:bidi w:val="0"/>
        <w:spacing w:before="0" w:after="460" w:line="442"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18"/>
        <w:keepNext w:val="0"/>
        <w:keepLines w:val="0"/>
        <w:widowControl w:val="0"/>
        <w:shd w:val="clear" w:color="auto" w:fill="auto"/>
        <w:bidi w:val="0"/>
        <w:spacing w:before="0" w:after="0" w:line="384" w:lineRule="auto"/>
        <w:ind w:left="0" w:right="0" w:firstLine="600"/>
        <w:jc w:val="left"/>
      </w:pPr>
      <w:bookmarkStart w:id="83" w:name="bookmark83"/>
      <w:r>
        <w:rPr>
          <w:rFonts w:ascii="Times New Roman" w:eastAsia="Times New Roman" w:hAnsi="Times New Roman" w:cs="Times New Roman"/>
          <w:color w:val="000000"/>
          <w:spacing w:val="0"/>
          <w:w w:val="100"/>
          <w:position w:val="0"/>
          <w:sz w:val="24"/>
          <w:szCs w:val="24"/>
        </w:rPr>
        <w:t>1</w:t>
      </w:r>
      <w:bookmarkEnd w:id="83"/>
      <w:r>
        <w:rPr>
          <w:color w:val="000000"/>
          <w:spacing w:val="0"/>
          <w:w w:val="100"/>
          <w:position w:val="0"/>
        </w:rPr>
        <w:t>、公司参与的国家、行业、企业标准制定情况</w:t>
      </w:r>
    </w:p>
    <w:p>
      <w:pPr>
        <w:pStyle w:val="Style18"/>
        <w:keepNext w:val="0"/>
        <w:keepLines w:val="0"/>
        <w:widowControl w:val="0"/>
        <w:shd w:val="clear" w:color="auto" w:fill="auto"/>
        <w:bidi w:val="0"/>
        <w:spacing w:before="0" w:after="60" w:line="444" w:lineRule="exact"/>
        <w:ind w:left="0" w:right="0" w:firstLine="600"/>
        <w:jc w:val="left"/>
      </w:pPr>
      <w:r>
        <w:rPr>
          <w:color w:val="000000"/>
          <w:spacing w:val="0"/>
          <w:w w:val="100"/>
          <w:position w:val="0"/>
        </w:rPr>
        <w:t>报告期内，公司积极参与电力领域各项标准的起草工作，引领行业发展。截至报告期末， 公司累计参与</w:t>
      </w:r>
      <w:r>
        <w:rPr>
          <w:rFonts w:ascii="Times New Roman" w:eastAsia="Times New Roman" w:hAnsi="Times New Roman" w:cs="Times New Roman"/>
          <w:color w:val="000000"/>
          <w:spacing w:val="0"/>
          <w:w w:val="100"/>
          <w:position w:val="0"/>
          <w:sz w:val="24"/>
          <w:szCs w:val="24"/>
        </w:rPr>
        <w:t>54</w:t>
      </w:r>
      <w:r>
        <w:rPr>
          <w:color w:val="000000"/>
          <w:spacing w:val="0"/>
          <w:w w:val="100"/>
          <w:position w:val="0"/>
        </w:rPr>
        <w:t>项国家、行业、企业、团体标准起草、制定工作，其中已颁布、实施</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项 标准。报告期内新增发布的标准如下：</w:t>
      </w:r>
    </w:p>
    <w:tbl>
      <w:tblPr>
        <w:tblOverlap w:val="never"/>
        <w:jc w:val="center"/>
        <w:tblLayout w:type="fixed"/>
      </w:tblPr>
      <w:tblGrid>
        <w:gridCol w:w="898"/>
        <w:gridCol w:w="1277"/>
        <w:gridCol w:w="6437"/>
        <w:gridCol w:w="1070"/>
      </w:tblGrid>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标准状态</w:t>
            </w:r>
          </w:p>
        </w:tc>
      </w:tr>
      <w:tr>
        <w:trPr>
          <w:trHeight w:val="658" w:hRule="exact"/>
        </w:trPr>
        <w:tc>
          <w:tcPr>
            <w:tcBorders>
              <w:top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DL/T 2144.6-2021-2021</w:t>
            </w:r>
            <w:r>
              <w:rPr>
                <w:color w:val="000000"/>
                <w:spacing w:val="0"/>
                <w:w w:val="100"/>
                <w:position w:val="0"/>
              </w:rPr>
              <w:t>变电站自动化系统及设备检测规范第</w:t>
            </w:r>
            <w:r>
              <w:rPr>
                <w:rFonts w:ascii="Times New Roman" w:eastAsia="Times New Roman" w:hAnsi="Times New Roman" w:cs="Times New Roman"/>
                <w:color w:val="000000"/>
                <w:spacing w:val="0"/>
                <w:w w:val="100"/>
                <w:position w:val="0"/>
              </w:rPr>
              <w:t>6</w:t>
            </w:r>
            <w:r>
              <w:rPr>
                <w:color w:val="000000"/>
                <w:spacing w:val="0"/>
                <w:w w:val="100"/>
                <w:position w:val="0"/>
              </w:rPr>
              <w:t>部分： 网络报文记录分析装置》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w:t>
            </w:r>
          </w:p>
        </w:tc>
      </w:tr>
      <w:tr>
        <w:trPr>
          <w:trHeight w:val="662" w:hRule="exact"/>
        </w:trPr>
        <w:tc>
          <w:tcPr>
            <w:tcBorders>
              <w:top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DL/T 2378-2021</w:t>
            </w:r>
            <w:r>
              <w:rPr>
                <w:color w:val="000000"/>
                <w:spacing w:val="0"/>
                <w:w w:val="100"/>
                <w:position w:val="0"/>
              </w:rPr>
              <w:t>变电站继电保护综合记录与智能运维装置通用技术 条件》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600"/>
        <w:jc w:val="both"/>
      </w:pPr>
      <w:bookmarkStart w:id="84" w:name="bookmark84"/>
      <w:r>
        <w:rPr>
          <w:rFonts w:ascii="Times New Roman" w:eastAsia="Times New Roman" w:hAnsi="Times New Roman" w:cs="Times New Roman"/>
          <w:color w:val="000000"/>
          <w:spacing w:val="0"/>
          <w:w w:val="100"/>
          <w:position w:val="0"/>
          <w:sz w:val="24"/>
          <w:szCs w:val="24"/>
        </w:rPr>
        <w:t>2</w:t>
      </w:r>
      <w:bookmarkEnd w:id="84"/>
      <w:r>
        <w:rPr>
          <w:color w:val="000000"/>
          <w:spacing w:val="0"/>
          <w:w w:val="100"/>
          <w:position w:val="0"/>
        </w:rPr>
        <w:t>、公司专利情况</w:t>
      </w:r>
    </w:p>
    <w:p>
      <w:pPr>
        <w:pStyle w:val="Style18"/>
        <w:keepNext w:val="0"/>
        <w:keepLines w:val="0"/>
        <w:widowControl w:val="0"/>
        <w:shd w:val="clear" w:color="auto" w:fill="auto"/>
        <w:bidi w:val="0"/>
        <w:spacing w:before="0" w:after="60" w:line="240" w:lineRule="auto"/>
        <w:ind w:left="0" w:right="0" w:firstLine="600"/>
        <w:jc w:val="both"/>
      </w:pPr>
      <w:r>
        <w:rPr>
          <w:color w:val="000000"/>
          <w:spacing w:val="0"/>
          <w:w w:val="100"/>
          <w:position w:val="0"/>
        </w:rPr>
        <w:t>报告期内，公司及子公司共申请专利</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项，获得专利</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 xml:space="preserve">项。截至报告期末，公司及子公 </w:t>
      </w:r>
      <w:r>
        <w:rPr>
          <w:color w:val="000000"/>
          <w:spacing w:val="0"/>
          <w:w w:val="100"/>
          <w:position w:val="0"/>
        </w:rPr>
        <w:t>司拥有发明专利</w:t>
      </w:r>
      <w:r>
        <w:rPr>
          <w:rFonts w:ascii="Times New Roman" w:eastAsia="Times New Roman" w:hAnsi="Times New Roman" w:cs="Times New Roman"/>
          <w:color w:val="000000"/>
          <w:spacing w:val="0"/>
          <w:w w:val="100"/>
          <w:position w:val="0"/>
          <w:sz w:val="24"/>
          <w:szCs w:val="24"/>
        </w:rPr>
        <w:t>68</w:t>
      </w:r>
      <w:r>
        <w:rPr>
          <w:color w:val="000000"/>
          <w:spacing w:val="0"/>
          <w:w w:val="100"/>
          <w:position w:val="0"/>
        </w:rPr>
        <w:t>项、实用新型</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项、外观设计</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项。报告期内新获得专利情况如下:</w:t>
      </w:r>
    </w:p>
    <w:tbl>
      <w:tblPr>
        <w:tblOverlap w:val="never"/>
        <w:jc w:val="center"/>
        <w:tblLayout w:type="fixed"/>
      </w:tblPr>
      <w:tblGrid>
        <w:gridCol w:w="600"/>
        <w:gridCol w:w="1368"/>
        <w:gridCol w:w="4536"/>
        <w:gridCol w:w="2126"/>
        <w:gridCol w:w="1248"/>
      </w:tblGrid>
      <w:tr>
        <w:trPr>
          <w:trHeight w:val="643"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序</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号</w:t>
            </w:r>
          </w:p>
        </w:tc>
        <w:tc>
          <w:tcPr>
            <w:tcBorders>
              <w:top w:val="single" w:sz="4"/>
              <w:left w:val="single" w:sz="4"/>
            </w:tcBorders>
            <w:shd w:val="clear" w:color="auto" w:fill="BFBFBF"/>
            <w:vAlign w:val="top"/>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专利类型</w:t>
            </w:r>
          </w:p>
        </w:tc>
        <w:tc>
          <w:tcPr>
            <w:tcBorders>
              <w:top w:val="single" w:sz="4"/>
              <w:left w:val="single" w:sz="4"/>
            </w:tcBorders>
            <w:shd w:val="clear" w:color="auto" w:fill="BFBFB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专利名称</w:t>
            </w:r>
          </w:p>
        </w:tc>
        <w:tc>
          <w:tcPr>
            <w:tcBorders>
              <w:top w:val="single" w:sz="4"/>
              <w:left w:val="single" w:sz="4"/>
            </w:tcBorders>
            <w:shd w:val="clear" w:color="auto" w:fill="BFBFB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BFBFB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授权日</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一种由</w:t>
            </w:r>
            <w:r>
              <w:rPr>
                <w:rFonts w:ascii="Times New Roman" w:eastAsia="Times New Roman" w:hAnsi="Times New Roman" w:cs="Times New Roman"/>
                <w:color w:val="000000"/>
                <w:spacing w:val="0"/>
                <w:w w:val="100"/>
                <w:position w:val="0"/>
              </w:rPr>
              <w:t>FPGA</w:t>
            </w:r>
            <w:r>
              <w:rPr>
                <w:color w:val="000000"/>
                <w:spacing w:val="0"/>
                <w:w w:val="100"/>
                <w:position w:val="0"/>
              </w:rPr>
              <w:t>实现</w:t>
            </w:r>
            <w:r>
              <w:rPr>
                <w:rFonts w:ascii="Times New Roman" w:eastAsia="Times New Roman" w:hAnsi="Times New Roman" w:cs="Times New Roman"/>
                <w:color w:val="000000"/>
                <w:spacing w:val="0"/>
                <w:w w:val="100"/>
                <w:position w:val="0"/>
              </w:rPr>
              <w:t>SV</w:t>
            </w:r>
            <w:r>
              <w:rPr>
                <w:color w:val="000000"/>
                <w:spacing w:val="0"/>
                <w:w w:val="100"/>
                <w:position w:val="0"/>
              </w:rPr>
              <w:t>报文组帧及发送的方法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ZL201810496312.4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2021/1/8</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一种外设主动实现与</w:t>
            </w:r>
            <w:r>
              <w:rPr>
                <w:rFonts w:ascii="Times New Roman" w:eastAsia="Times New Roman" w:hAnsi="Times New Roman" w:cs="Times New Roman"/>
                <w:color w:val="000000"/>
                <w:spacing w:val="0"/>
                <w:w w:val="100"/>
                <w:position w:val="0"/>
              </w:rPr>
              <w:t>CPU</w:t>
            </w:r>
            <w:r>
              <w:rPr>
                <w:color w:val="000000"/>
                <w:spacing w:val="0"/>
                <w:w w:val="100"/>
                <w:position w:val="0"/>
              </w:rPr>
              <w:t>间数据交换的方法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ZL201810078793.7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2021/1/28</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一种基于硬件</w:t>
            </w:r>
            <w:r>
              <w:rPr>
                <w:rFonts w:ascii="Times New Roman" w:eastAsia="Times New Roman" w:hAnsi="Times New Roman" w:cs="Times New Roman"/>
                <w:color w:val="000000"/>
                <w:spacing w:val="0"/>
                <w:w w:val="100"/>
                <w:position w:val="0"/>
              </w:rPr>
              <w:t>FPGA</w:t>
            </w:r>
            <w:r>
              <w:rPr>
                <w:color w:val="000000"/>
                <w:spacing w:val="0"/>
                <w:w w:val="100"/>
                <w:position w:val="0"/>
              </w:rPr>
              <w:t>快速实现最优二叉树的方 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ZL201810079382.X</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2021/2/9</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基于路口点和路段的变电站作业机器人路径规 划及导航定位方法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ZL201711167278.8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2021/2/19</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一种时间同步信号异常自动记录方法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ZL201810362133.1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2021/4/12</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一种基于智能变电站状态估计的采样环节状态 评估方法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ZL201810332808.8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2021/5/25</w:t>
            </w:r>
          </w:p>
        </w:tc>
      </w:tr>
      <w:tr>
        <w:trPr>
          <w:trHeight w:val="32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一种高压室</w:t>
            </w:r>
            <w:r>
              <w:rPr>
                <w:rFonts w:ascii="Times New Roman" w:eastAsia="Times New Roman" w:hAnsi="Times New Roman" w:cs="Times New Roman"/>
                <w:color w:val="000000"/>
                <w:spacing w:val="0"/>
                <w:w w:val="100"/>
                <w:position w:val="0"/>
              </w:rPr>
              <w:t>AVC</w:t>
            </w:r>
            <w:r>
              <w:rPr>
                <w:color w:val="000000"/>
                <w:spacing w:val="0"/>
                <w:w w:val="100"/>
                <w:position w:val="0"/>
              </w:rPr>
              <w:t>安防联动系统及其控制方法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ZL201911054679.1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2021/7/27</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一种适用于电力作业机器人的电力设备外观变 化识别方法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ZL201711166123.2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2021/9/10</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一种考虑微网系统可调度性的储能配置方法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ZL201810847462.5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2021/9/24</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一种适用于电力作业机器人的呼吸器状态识别 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ZL201711166110.5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2021/10/12</w:t>
            </w:r>
          </w:p>
        </w:tc>
      </w:tr>
      <w:tr>
        <w:trPr>
          <w:trHeight w:val="643" w:hRule="exact"/>
        </w:trPr>
        <w:tc>
          <w:tcPr>
            <w:tcBorders>
              <w:top w:val="single" w:sz="4"/>
              <w:bottom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基于机器视觉的可实现小数点读取的数码管读 数识别方法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ZL201711166125.1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2021/10/12</w:t>
            </w:r>
          </w:p>
        </w:tc>
      </w:tr>
    </w:tbl>
    <w:p>
      <w:pPr>
        <w:spacing w:lineRule="exact" w:line="1"/>
        <w:rPr>
          <w:sz w:val="2"/>
          <w:szCs w:val="2"/>
        </w:rPr>
      </w:pPr>
      <w:r>
        <w:br w:type="page"/>
      </w:r>
    </w:p>
    <w:tbl>
      <w:tblPr>
        <w:tblOverlap w:val="never"/>
        <w:jc w:val="center"/>
        <w:tblLayout w:type="fixed"/>
      </w:tblPr>
      <w:tblGrid>
        <w:gridCol w:w="600"/>
        <w:gridCol w:w="1368"/>
        <w:gridCol w:w="4536"/>
        <w:gridCol w:w="2126"/>
        <w:gridCol w:w="1272"/>
      </w:tblGrid>
      <w:tr>
        <w:trPr>
          <w:trHeight w:val="643"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一种适用于电力作业机器人的颜色型状态指示 器识别方法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ZL201711167244.9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2021/10/12</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适用于电力作业机器人的电力刀闸分合位状态 识别方法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ZL201711168115.1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2021/10/26</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一种基于机器视觉的转换开关状态识别方法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ZL201810044686.2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2021/10/26</w:t>
            </w:r>
          </w:p>
        </w:tc>
      </w:tr>
      <w:tr>
        <w:trPr>
          <w:trHeight w:val="634"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一种适用于电力作业机器人的指向型状态指示 器识别方法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ZL201711168143.3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一种电气柜自动开关门装置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ZL202021169685.X</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2021/3/9</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一种锁紧式高压开关柜分盒闸装置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ZL202021896920.3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2021/4/27</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一种变电站双电源切换电路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ZL202021885077.9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2021/5/18</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一种变电站双电源切换电路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ZL202021884056.5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2021/6/29</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一种多接口的铁芯接地电流在线监测装置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ZL202120404760.4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2021/9/10</w:t>
            </w:r>
          </w:p>
        </w:tc>
      </w:tr>
      <w:tr>
        <w:trPr>
          <w:trHeight w:val="32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一种特高压智能控制柜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ZL2021120618887.6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w:t>
            </w:r>
          </w:p>
        </w:tc>
      </w:tr>
      <w:tr>
        <w:trPr>
          <w:trHeight w:val="322"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一种新型智能配变终端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ZL202120620566.X</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w:t>
            </w:r>
          </w:p>
        </w:tc>
      </w:tr>
      <w:tr>
        <w:trPr>
          <w:trHeight w:val="331" w:hRule="exact"/>
        </w:trPr>
        <w:tc>
          <w:tcPr>
            <w:tcBorders>
              <w:top w:val="single" w:sz="4"/>
              <w:bottom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一种低压回路测控终端仪表伸缩旋转支架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ZL2021206205661.7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2021/10/12</w:t>
            </w:r>
          </w:p>
        </w:tc>
      </w:tr>
    </w:tbl>
    <w:p>
      <w:pPr>
        <w:pStyle w:val="Style18"/>
        <w:keepNext w:val="0"/>
        <w:keepLines w:val="0"/>
        <w:widowControl w:val="0"/>
        <w:shd w:val="clear" w:color="auto" w:fill="auto"/>
        <w:bidi w:val="0"/>
        <w:spacing w:before="0" w:after="0" w:line="446" w:lineRule="exact"/>
        <w:ind w:left="0" w:right="0" w:firstLine="600"/>
        <w:jc w:val="left"/>
      </w:pPr>
      <w:bookmarkStart w:id="85" w:name="bookmark85"/>
      <w:r>
        <w:rPr>
          <w:rFonts w:ascii="Times New Roman" w:eastAsia="Times New Roman" w:hAnsi="Times New Roman" w:cs="Times New Roman"/>
          <w:color w:val="000000"/>
          <w:spacing w:val="0"/>
          <w:w w:val="100"/>
          <w:position w:val="0"/>
          <w:sz w:val="24"/>
          <w:szCs w:val="24"/>
        </w:rPr>
        <w:t>3</w:t>
      </w:r>
      <w:bookmarkEnd w:id="85"/>
      <w:r>
        <w:rPr>
          <w:color w:val="000000"/>
          <w:spacing w:val="0"/>
          <w:w w:val="100"/>
          <w:position w:val="0"/>
        </w:rPr>
        <w:t>、公司软件著作权情况</w:t>
      </w:r>
    </w:p>
    <w:p>
      <w:pPr>
        <w:pStyle w:val="Style18"/>
        <w:keepNext w:val="0"/>
        <w:keepLines w:val="0"/>
        <w:widowControl w:val="0"/>
        <w:shd w:val="clear" w:color="auto" w:fill="auto"/>
        <w:bidi w:val="0"/>
        <w:spacing w:before="0" w:after="80" w:line="446" w:lineRule="exact"/>
        <w:ind w:left="0" w:right="0" w:firstLine="600"/>
        <w:jc w:val="left"/>
      </w:pPr>
      <w:r>
        <w:rPr>
          <w:color w:val="000000"/>
          <w:spacing w:val="0"/>
          <w:w w:val="100"/>
          <w:position w:val="0"/>
        </w:rPr>
        <w:t>报告期内，公司及子公司新登记软件著作权</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件。截至报告期末，公司及子公司拥有软 件著作权</w:t>
      </w:r>
      <w:r>
        <w:rPr>
          <w:rFonts w:ascii="Times New Roman" w:eastAsia="Times New Roman" w:hAnsi="Times New Roman" w:cs="Times New Roman"/>
          <w:color w:val="000000"/>
          <w:spacing w:val="0"/>
          <w:w w:val="100"/>
          <w:position w:val="0"/>
          <w:sz w:val="24"/>
          <w:szCs w:val="24"/>
        </w:rPr>
        <w:t>279</w:t>
      </w:r>
      <w:r>
        <w:rPr>
          <w:color w:val="000000"/>
          <w:spacing w:val="0"/>
          <w:w w:val="100"/>
          <w:position w:val="0"/>
        </w:rPr>
        <w:t>件。报告期内新获得的软件著作权情况如下：</w:t>
      </w:r>
    </w:p>
    <w:tbl>
      <w:tblPr>
        <w:tblOverlap w:val="never"/>
        <w:jc w:val="center"/>
        <w:tblLayout w:type="fixed"/>
      </w:tblPr>
      <w:tblGrid>
        <w:gridCol w:w="998"/>
        <w:gridCol w:w="6802"/>
        <w:gridCol w:w="1882"/>
      </w:tblGrid>
      <w:tr>
        <w:trPr>
          <w:trHeight w:val="35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管康医院综合运营管理系统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2021SR0057012</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管康医院预算管理信息系统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2021SR0057011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管康医院物流管理信息系统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2021SR0057010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管康医院人力资源管理系统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2021SR0057009</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管康医院配送管理系统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2021SR0057008</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管康医院奖金分配系统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2021SR0057007</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管康医院绩效考核管理系统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2021SR0057006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管康医院固定资产管理信息系统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2021SR0061776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管康医院成本核算管理系统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2021SR0061775</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中元健康院内预约管理平台</w:t>
            </w:r>
            <w:r>
              <w:rPr>
                <w:rFonts w:ascii="Times New Roman" w:eastAsia="Times New Roman" w:hAnsi="Times New Roman" w:cs="Times New Roman"/>
                <w:color w:val="000000"/>
                <w:spacing w:val="0"/>
                <w:w w:val="100"/>
                <w:position w:val="0"/>
              </w:rPr>
              <w:t>V2.5.0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2021SR0734262</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世轩血液管理系统软件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2021SR0786280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中元健康基于微服务的电子病历系统软件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2021SR0939279</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中元健康基于微服务的医院信息管理系统软件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2021SR0939379</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中元健康基于微服务的数据中心软件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2021SR1074757</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中元健康医疗信息集成微服务平台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2021SR1074781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中元健康基于微服务的电子病历编辑器系统软件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2021SR1074780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中元健康基于微服务的数据整合平台软件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2021SR1217222</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中元健康基于微服务的运营数据分析软件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2021SR1217244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中元健康基于微服务的医学影像存储与传输系统软件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2021SR1217223</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中元健康基于微服务的中台管理系统软件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2021SR1217243</w:t>
            </w:r>
          </w:p>
        </w:tc>
      </w:tr>
      <w:tr>
        <w:trPr>
          <w:trHeight w:val="35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中元健康基于微服务的药房管理系统软件</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2021SR1388796</w:t>
            </w:r>
          </w:p>
        </w:tc>
      </w:tr>
    </w:tbl>
    <w:p>
      <w:pPr>
        <w:spacing w:lineRule="exact" w:line="1"/>
        <w:rPr>
          <w:sz w:val="2"/>
          <w:szCs w:val="2"/>
        </w:rPr>
      </w:pPr>
      <w:r>
        <w:br w:type="page"/>
      </w:r>
    </w:p>
    <w:tbl>
      <w:tblPr>
        <w:tblOverlap w:val="never"/>
        <w:jc w:val="center"/>
        <w:tblLayout w:type="fixed"/>
      </w:tblPr>
      <w:tblGrid>
        <w:gridCol w:w="998"/>
        <w:gridCol w:w="6802"/>
        <w:gridCol w:w="1910"/>
      </w:tblGrid>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中元健康基于微服务的药库管理系统软件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2021SR1389163</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中元健康基于微服务的分诊导诊系统软件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2021SR1388795</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中元健康基于微服务的门诊护士站系统软件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2021SR1389162</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中元健康基于微服务的互联网医院软件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2021SR1388792</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中元健康基于微服务的全院患者主索引管理软件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2021SR1483750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中元健康基于微服务的医护技主索引管理软件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2021SR1483746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中元健康基于微服务的危急值管理软件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2021SR1484754</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中元健康基于微服务的共享文档配置与管理软件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2021SR1483751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中元健康基于微服务的数据元配置管理软件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2021SR1484755</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中元健康基于微服务的数据集配置与浏览管理软件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2021SR1483749</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中元健康基于微服务的移动医疗平台软件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2021SR1789037</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中元健康基于微服务的单点登录系统软件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2021SR1789036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世轩单病种上报系统软件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2021SR1815541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智能录波器主站模拟系统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IRMMS］V1.0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2021SR1211676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二次设备智能运检</w:t>
            </w:r>
            <w:r>
              <w:rPr>
                <w:rFonts w:ascii="Times New Roman" w:eastAsia="Times New Roman" w:hAnsi="Times New Roman" w:cs="Times New Roman"/>
                <w:color w:val="000000"/>
                <w:spacing w:val="0"/>
                <w:w w:val="100"/>
                <w:position w:val="0"/>
              </w:rPr>
              <w:t>APP 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2021SR1320907</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ZH-8103B</w:t>
            </w:r>
            <w:r>
              <w:rPr>
                <w:color w:val="000000"/>
                <w:spacing w:val="0"/>
                <w:w w:val="100"/>
                <w:position w:val="0"/>
              </w:rPr>
              <w:t>电能质量在线监测嵌入式软件</w:t>
            </w:r>
            <w:r>
              <w:rPr>
                <w:rFonts w:ascii="Times New Roman" w:eastAsia="Times New Roman" w:hAnsi="Times New Roman" w:cs="Times New Roman"/>
                <w:color w:val="000000"/>
                <w:spacing w:val="0"/>
                <w:w w:val="100"/>
                <w:position w:val="0"/>
              </w:rPr>
              <w:t>［</w:t>
            </w:r>
            <w:r>
              <w:rPr>
                <w:color w:val="000000"/>
                <w:spacing w:val="0"/>
                <w:w w:val="100"/>
                <w:position w:val="0"/>
              </w:rPr>
              <w:t>简称：检测软件</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2021SR0204936</w:t>
            </w:r>
          </w:p>
        </w:tc>
      </w:tr>
      <w:tr>
        <w:trPr>
          <w:trHeight w:val="35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物联网信号采集系统</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ZH-903］V1.0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2021SR0245871</w:t>
            </w:r>
          </w:p>
        </w:tc>
      </w:tr>
    </w:tbl>
    <w:p>
      <w:pPr>
        <w:widowControl w:val="0"/>
        <w:spacing w:after="159" w:line="1" w:lineRule="exact"/>
      </w:pPr>
    </w:p>
    <w:p>
      <w:pPr>
        <w:pStyle w:val="Style18"/>
        <w:keepNext w:val="0"/>
        <w:keepLines w:val="0"/>
        <w:widowControl w:val="0"/>
        <w:shd w:val="clear" w:color="auto" w:fill="auto"/>
        <w:tabs>
          <w:tab w:pos="1002" w:val="left"/>
        </w:tabs>
        <w:bidi w:val="0"/>
        <w:spacing w:before="0" w:after="200" w:line="240" w:lineRule="auto"/>
        <w:ind w:left="0" w:right="0" w:firstLine="600"/>
        <w:jc w:val="left"/>
      </w:pPr>
      <w:bookmarkStart w:id="86" w:name="bookmark86"/>
      <w:r>
        <w:rPr>
          <w:rFonts w:ascii="Times New Roman" w:eastAsia="Times New Roman" w:hAnsi="Times New Roman" w:cs="Times New Roman"/>
          <w:color w:val="000000"/>
          <w:spacing w:val="0"/>
          <w:w w:val="100"/>
          <w:position w:val="0"/>
          <w:sz w:val="24"/>
          <w:szCs w:val="24"/>
        </w:rPr>
        <w:t>4</w:t>
      </w:r>
      <w:bookmarkEnd w:id="86"/>
      <w:r>
        <w:rPr>
          <w:color w:val="000000"/>
          <w:spacing w:val="0"/>
          <w:w w:val="100"/>
          <w:position w:val="0"/>
        </w:rPr>
        <w:t>、</w:t>
        <w:tab/>
        <w:t>公司医疗器械注册证情况</w:t>
      </w:r>
    </w:p>
    <w:p>
      <w:pPr>
        <w:pStyle w:val="Style18"/>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截至本报告期末，公司及子公司合计拥有医疗器械注册证</w:t>
      </w:r>
      <w:r>
        <w:rPr>
          <w:rFonts w:ascii="Times New Roman" w:eastAsia="Times New Roman" w:hAnsi="Times New Roman" w:cs="Times New Roman"/>
          <w:color w:val="000000"/>
          <w:spacing w:val="0"/>
          <w:w w:val="100"/>
          <w:position w:val="0"/>
          <w:sz w:val="24"/>
          <w:szCs w:val="24"/>
        </w:rPr>
        <w:t>135</w:t>
      </w:r>
      <w:r>
        <w:rPr>
          <w:color w:val="000000"/>
          <w:spacing w:val="0"/>
          <w:w w:val="100"/>
          <w:position w:val="0"/>
        </w:rPr>
        <w:t>件。</w:t>
      </w:r>
    </w:p>
    <w:p>
      <w:pPr>
        <w:pStyle w:val="Style18"/>
        <w:keepNext w:val="0"/>
        <w:keepLines w:val="0"/>
        <w:widowControl w:val="0"/>
        <w:shd w:val="clear" w:color="auto" w:fill="auto"/>
        <w:tabs>
          <w:tab w:pos="1002" w:val="left"/>
        </w:tabs>
        <w:bidi w:val="0"/>
        <w:spacing w:before="0" w:after="200" w:line="240" w:lineRule="auto"/>
        <w:ind w:left="0" w:right="0" w:firstLine="600"/>
        <w:jc w:val="left"/>
      </w:pPr>
      <w:bookmarkStart w:id="87" w:name="bookmark87"/>
      <w:r>
        <w:rPr>
          <w:rFonts w:ascii="Times New Roman" w:eastAsia="Times New Roman" w:hAnsi="Times New Roman" w:cs="Times New Roman"/>
          <w:color w:val="000000"/>
          <w:spacing w:val="0"/>
          <w:w w:val="100"/>
          <w:position w:val="0"/>
          <w:sz w:val="24"/>
          <w:szCs w:val="24"/>
        </w:rPr>
        <w:t>5</w:t>
      </w:r>
      <w:bookmarkEnd w:id="87"/>
      <w:r>
        <w:rPr>
          <w:color w:val="000000"/>
          <w:spacing w:val="0"/>
          <w:w w:val="100"/>
          <w:position w:val="0"/>
        </w:rPr>
        <w:t>、</w:t>
        <w:tab/>
        <w:t>资质及荣誉</w:t>
      </w:r>
    </w:p>
    <w:p>
      <w:pPr>
        <w:pStyle w:val="Style18"/>
        <w:keepNext w:val="0"/>
        <w:keepLines w:val="0"/>
        <w:widowControl w:val="0"/>
        <w:shd w:val="clear" w:color="auto" w:fill="auto"/>
        <w:bidi w:val="0"/>
        <w:spacing w:before="0" w:after="80" w:line="240" w:lineRule="auto"/>
        <w:ind w:left="0" w:right="0" w:firstLine="600"/>
        <w:jc w:val="left"/>
      </w:pPr>
      <w:r>
        <w:rPr>
          <w:color w:val="000000"/>
          <w:spacing w:val="0"/>
          <w:w w:val="100"/>
          <w:position w:val="0"/>
        </w:rPr>
        <w:t>报告期内，公司及子公司获得资质及荣誉情况如下：</w:t>
      </w:r>
    </w:p>
    <w:tbl>
      <w:tblPr>
        <w:tblOverlap w:val="never"/>
        <w:jc w:val="center"/>
        <w:tblLayout w:type="fixed"/>
      </w:tblPr>
      <w:tblGrid>
        <w:gridCol w:w="485"/>
        <w:gridCol w:w="1056"/>
        <w:gridCol w:w="4258"/>
        <w:gridCol w:w="4080"/>
      </w:tblGrid>
      <w:tr>
        <w:trPr>
          <w:trHeight w:val="63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所属公司</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个人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w:t>
            </w:r>
            <w:r>
              <w:rPr>
                <w:rFonts w:ascii="Times New Roman" w:eastAsia="Times New Roman" w:hAnsi="Times New Roman" w:cs="Times New Roman"/>
                <w:color w:val="000000"/>
                <w:spacing w:val="0"/>
                <w:w w:val="100"/>
                <w:position w:val="0"/>
              </w:rPr>
              <w:t>/</w:t>
            </w:r>
            <w:r>
              <w:rPr>
                <w:color w:val="000000"/>
                <w:spacing w:val="0"/>
                <w:w w:val="100"/>
                <w:position w:val="0"/>
              </w:rPr>
              <w:t>荣誉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w:t>
            </w:r>
            <w:r>
              <w:rPr>
                <w:rFonts w:ascii="Times New Roman" w:eastAsia="Times New Roman" w:hAnsi="Times New Roman" w:cs="Times New Roman"/>
                <w:color w:val="000000"/>
                <w:spacing w:val="0"/>
                <w:w w:val="100"/>
                <w:position w:val="0"/>
              </w:rPr>
              <w:t>/</w:t>
            </w:r>
            <w:r>
              <w:rPr>
                <w:color w:val="000000"/>
                <w:spacing w:val="0"/>
                <w:w w:val="100"/>
                <w:position w:val="0"/>
              </w:rPr>
              <w:t>批准机关</w:t>
            </w:r>
          </w:p>
        </w:tc>
      </w:tr>
      <w:tr>
        <w:trPr>
          <w:trHeight w:val="32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质量管理体系认证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环境管理体系认证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职业健康安全管理体系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新世纪检验认证股份有限公司</w:t>
            </w:r>
          </w:p>
        </w:tc>
      </w:tr>
      <w:tr>
        <w:trPr>
          <w:trHeight w:val="634"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AAA</w:t>
            </w:r>
            <w:r>
              <w:rPr>
                <w:color w:val="000000"/>
                <w:spacing w:val="0"/>
                <w:w w:val="100"/>
                <w:position w:val="0"/>
              </w:rPr>
              <w:t>级信用企业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中国诚信信用管理股份有限公司中南分公 司</w:t>
            </w:r>
          </w:p>
        </w:tc>
      </w:tr>
      <w:tr>
        <w:trPr>
          <w:trHeight w:val="547"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湖北省支柱产业细分领域隐形冠军示范企业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湖北省经济和信息化厅</w:t>
            </w:r>
          </w:p>
        </w:tc>
      </w:tr>
      <w:tr>
        <w:trPr>
          <w:trHeight w:val="634"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ITSS</w:t>
            </w:r>
            <w:r>
              <w:rPr>
                <w:color w:val="000000"/>
                <w:spacing w:val="0"/>
                <w:w w:val="100"/>
                <w:position w:val="0"/>
              </w:rPr>
              <w:t>信息技术服务标准符合性证书（三级）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中国电子工业标准化技术协会信息技术服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务分会</w:t>
            </w:r>
          </w:p>
        </w:tc>
      </w:tr>
      <w:tr>
        <w:trPr>
          <w:trHeight w:val="32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年度安全生产优秀单位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武汉光谷光电子信息产业园建设服务中心</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武汉制造业企业</w:t>
            </w:r>
            <w:r>
              <w:rPr>
                <w:rFonts w:ascii="Times New Roman" w:eastAsia="Times New Roman" w:hAnsi="Times New Roman" w:cs="Times New Roman"/>
                <w:color w:val="000000"/>
                <w:spacing w:val="0"/>
                <w:w w:val="100"/>
                <w:position w:val="0"/>
              </w:rPr>
              <w:t>100</w:t>
            </w:r>
            <w:r>
              <w:rPr>
                <w:color w:val="000000"/>
                <w:spacing w:val="0"/>
                <w:w w:val="100"/>
                <w:position w:val="0"/>
              </w:rPr>
              <w:t>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武汉企业联合会、武汉企业家协会</w:t>
            </w:r>
          </w:p>
        </w:tc>
      </w:tr>
      <w:tr>
        <w:trPr>
          <w:trHeight w:val="634"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AAA</w:t>
            </w:r>
            <w:r>
              <w:rPr>
                <w:color w:val="000000"/>
                <w:spacing w:val="0"/>
                <w:w w:val="100"/>
                <w:position w:val="0"/>
              </w:rPr>
              <w:t>级信用企业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中国诚信信用管理股份有限公司中南分公 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湖北软件</w:t>
            </w:r>
            <w:r>
              <w:rPr>
                <w:rFonts w:ascii="Times New Roman" w:eastAsia="Times New Roman" w:hAnsi="Times New Roman" w:cs="Times New Roman"/>
                <w:color w:val="000000"/>
                <w:spacing w:val="0"/>
                <w:w w:val="100"/>
                <w:position w:val="0"/>
              </w:rPr>
              <w:t>20</w:t>
            </w:r>
            <w:r>
              <w:rPr>
                <w:color w:val="000000"/>
                <w:spacing w:val="0"/>
                <w:w w:val="100"/>
                <w:position w:val="0"/>
              </w:rPr>
              <w:t>年突出贡献奖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w:t>
            </w:r>
          </w:p>
        </w:tc>
      </w:tr>
      <w:tr>
        <w:trPr>
          <w:trHeight w:val="581"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R&amp;D</w:t>
            </w:r>
            <w:r>
              <w:rPr>
                <w:color w:val="000000"/>
                <w:spacing w:val="0"/>
                <w:w w:val="100"/>
                <w:position w:val="0"/>
              </w:rPr>
              <w:t>经费支出</w:t>
            </w:r>
            <w:r>
              <w:rPr>
                <w:rFonts w:ascii="Times New Roman" w:eastAsia="Times New Roman" w:hAnsi="Times New Roman" w:cs="Times New Roman"/>
                <w:color w:val="000000"/>
                <w:spacing w:val="0"/>
                <w:w w:val="100"/>
                <w:position w:val="0"/>
              </w:rPr>
              <w:t>“</w:t>
            </w:r>
            <w:r>
              <w:rPr>
                <w:color w:val="000000"/>
                <w:spacing w:val="0"/>
                <w:w w:val="100"/>
                <w:position w:val="0"/>
              </w:rPr>
              <w:t>双百强''规上企业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合肥市科技局</w:t>
            </w:r>
          </w:p>
        </w:tc>
      </w:tr>
      <w:tr>
        <w:trPr>
          <w:trHeight w:val="331"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合肥市优质小微企业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合肥市经信局</w:t>
            </w:r>
          </w:p>
        </w:tc>
      </w:tr>
    </w:tbl>
    <w:tbl>
      <w:tblPr>
        <w:tblOverlap w:val="never"/>
        <w:jc w:val="center"/>
        <w:tblLayout w:type="fixed"/>
      </w:tblPr>
      <w:tblGrid>
        <w:gridCol w:w="485"/>
        <w:gridCol w:w="1056"/>
        <w:gridCol w:w="4258"/>
        <w:gridCol w:w="4104"/>
      </w:tblGrid>
      <w:tr>
        <w:trPr>
          <w:trHeight w:val="33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安徽省第二届健康产业</w:t>
            </w:r>
            <w:r>
              <w:rPr>
                <w:rFonts w:ascii="Times New Roman" w:eastAsia="Times New Roman" w:hAnsi="Times New Roman" w:cs="Times New Roman"/>
                <w:color w:val="000000"/>
                <w:spacing w:val="0"/>
                <w:w w:val="100"/>
                <w:position w:val="0"/>
              </w:rPr>
              <w:t>-</w:t>
            </w:r>
            <w:r>
              <w:rPr>
                <w:color w:val="000000"/>
                <w:spacing w:val="0"/>
                <w:w w:val="100"/>
                <w:position w:val="0"/>
              </w:rPr>
              <w:t>十大创新企业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安徽省健康产业协会</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合肥市关键共性技术研发项目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合肥市科技局</w:t>
            </w:r>
          </w:p>
        </w:tc>
      </w:tr>
      <w:tr>
        <w:trPr>
          <w:trHeight w:val="634"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信息技术服务运行维护标准符合性证书（贰 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中国电子工业标准化技术协会</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云计算服务能力标准符合性证书（贰级）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中国电子工业标准化技术协会</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ISO9001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ISO14001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ISO45001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ISO9001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ISO14001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ISO45001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ISO20000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r>
      <w:tr>
        <w:trPr>
          <w:trHeight w:val="331"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守合同重信用''企业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广州市市场监督管理局</w:t>
            </w:r>
          </w:p>
        </w:tc>
      </w:tr>
    </w:tbl>
    <w:p>
      <w:pPr>
        <w:pStyle w:val="Style25"/>
        <w:keepNext w:val="0"/>
        <w:keepLines w:val="0"/>
        <w:widowControl w:val="0"/>
        <w:shd w:val="clear" w:color="auto" w:fill="auto"/>
        <w:bidi w:val="0"/>
        <w:spacing w:before="0" w:after="0" w:line="240" w:lineRule="auto"/>
        <w:ind w:left="125" w:right="0" w:firstLine="0"/>
        <w:jc w:val="left"/>
        <w:rPr>
          <w:sz w:val="22"/>
          <w:szCs w:val="22"/>
        </w:rPr>
      </w:pPr>
      <w:bookmarkStart w:id="88" w:name="bookmark88"/>
      <w:r>
        <w:rPr>
          <w:b/>
          <w:bCs/>
          <w:color w:val="000000"/>
          <w:spacing w:val="0"/>
          <w:w w:val="100"/>
          <w:position w:val="0"/>
          <w:sz w:val="22"/>
          <w:szCs w:val="22"/>
        </w:rPr>
        <w:t>四、主营业务分析</w:t>
      </w:r>
      <w:bookmarkEnd w:id="88"/>
    </w:p>
    <w:p>
      <w:pPr>
        <w:widowControl w:val="0"/>
        <w:spacing w:after="159" w:line="1" w:lineRule="exact"/>
      </w:pPr>
    </w:p>
    <w:p>
      <w:pPr>
        <w:pStyle w:val="Style32"/>
        <w:keepNext/>
        <w:keepLines/>
        <w:widowControl w:val="0"/>
        <w:shd w:val="clear" w:color="auto" w:fill="auto"/>
        <w:bidi w:val="0"/>
        <w:spacing w:before="0" w:after="240" w:line="443" w:lineRule="exact"/>
        <w:ind w:left="0" w:right="0" w:firstLine="0"/>
        <w:jc w:val="both"/>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sz w:val="24"/>
          <w:szCs w:val="24"/>
        </w:rPr>
        <w:t>1</w:t>
      </w:r>
      <w:bookmarkEnd w:id="91"/>
      <w:r>
        <w:rPr>
          <w:color w:val="000000"/>
          <w:spacing w:val="0"/>
          <w:w w:val="100"/>
          <w:position w:val="0"/>
        </w:rPr>
        <w:t>、概述</w:t>
      </w:r>
      <w:bookmarkEnd w:id="89"/>
      <w:bookmarkEnd w:id="90"/>
      <w:bookmarkEnd w:id="92"/>
    </w:p>
    <w:p>
      <w:pPr>
        <w:pStyle w:val="Style18"/>
        <w:keepNext w:val="0"/>
        <w:keepLines w:val="0"/>
        <w:widowControl w:val="0"/>
        <w:shd w:val="clear" w:color="auto" w:fill="auto"/>
        <w:bidi w:val="0"/>
        <w:spacing w:before="0" w:after="0" w:line="443" w:lineRule="exact"/>
        <w:ind w:left="0" w:right="0" w:firstLine="600"/>
        <w:jc w:val="both"/>
      </w:pPr>
      <w:r>
        <w:rPr>
          <w:color w:val="000000"/>
          <w:spacing w:val="0"/>
          <w:w w:val="100"/>
          <w:position w:val="0"/>
        </w:rPr>
        <w:t>报告期内，公司聚焦主业，把握行业发展机遇，加快推动技术创新及产品升级，提升服 务意识，强化市场开拓，完善资源配置，稳步推进各项工作。公司智能电网业务呈现良好、 稳定的发展态势，签订合同额及营业收入均平稳增长；医疗健康业务签订合同额同比略有增 长，因研发新项目投入较大，且全资子公司中元健康处于投入期，目前未能盈利。</w:t>
      </w:r>
    </w:p>
    <w:p>
      <w:pPr>
        <w:pStyle w:val="Style18"/>
        <w:keepNext w:val="0"/>
        <w:keepLines w:val="0"/>
        <w:widowControl w:val="0"/>
        <w:shd w:val="clear" w:color="auto" w:fill="auto"/>
        <w:tabs>
          <w:tab w:pos="958" w:val="left"/>
        </w:tabs>
        <w:bidi w:val="0"/>
        <w:spacing w:before="0" w:after="0" w:line="443" w:lineRule="exact"/>
        <w:ind w:left="0" w:right="0" w:firstLine="600"/>
        <w:jc w:val="both"/>
      </w:pPr>
      <w:bookmarkStart w:id="93" w:name="bookmark93"/>
      <w:r>
        <w:rPr>
          <w:rFonts w:ascii="Times New Roman" w:eastAsia="Times New Roman" w:hAnsi="Times New Roman" w:cs="Times New Roman"/>
          <w:color w:val="000000"/>
          <w:spacing w:val="0"/>
          <w:w w:val="100"/>
          <w:position w:val="0"/>
          <w:sz w:val="24"/>
          <w:szCs w:val="24"/>
        </w:rPr>
        <w:t>1</w:t>
      </w:r>
      <w:bookmarkEnd w:id="93"/>
      <w:r>
        <w:rPr>
          <w:color w:val="000000"/>
          <w:spacing w:val="0"/>
          <w:w w:val="100"/>
          <w:position w:val="0"/>
        </w:rPr>
        <w:t>、</w:t>
        <w:tab/>
        <w:t>经营指标情况</w:t>
      </w:r>
    </w:p>
    <w:p>
      <w:pPr>
        <w:pStyle w:val="Style43"/>
        <w:keepNext w:val="0"/>
        <w:keepLines w:val="0"/>
        <w:widowControl w:val="0"/>
        <w:shd w:val="clear" w:color="auto" w:fill="auto"/>
        <w:bidi w:val="0"/>
        <w:spacing w:before="0" w:after="0"/>
        <w:ind w:left="0" w:right="0"/>
        <w:jc w:val="both"/>
        <w:rPr>
          <w:sz w:val="22"/>
          <w:szCs w:val="22"/>
        </w:rPr>
      </w:pPr>
      <w:r>
        <w:rPr>
          <w:rFonts w:ascii="SimSun" w:eastAsia="SimSun" w:hAnsi="SimSun" w:cs="SimSun"/>
          <w:color w:val="000000"/>
          <w:spacing w:val="0"/>
          <w:w w:val="100"/>
          <w:position w:val="0"/>
          <w:sz w:val="22"/>
          <w:szCs w:val="22"/>
        </w:rPr>
        <w:t>公司实现营业收入为</w:t>
      </w:r>
      <w:r>
        <w:rPr>
          <w:color w:val="000000"/>
          <w:spacing w:val="0"/>
          <w:w w:val="100"/>
          <w:position w:val="0"/>
          <w:sz w:val="24"/>
          <w:szCs w:val="24"/>
        </w:rPr>
        <w:t>420,509,087.13</w:t>
      </w:r>
      <w:r>
        <w:rPr>
          <w:rFonts w:ascii="SimSun" w:eastAsia="SimSun" w:hAnsi="SimSun" w:cs="SimSun"/>
          <w:color w:val="000000"/>
          <w:spacing w:val="0"/>
          <w:w w:val="100"/>
          <w:position w:val="0"/>
          <w:sz w:val="22"/>
          <w:szCs w:val="22"/>
        </w:rPr>
        <w:t>元，同比上升</w:t>
      </w:r>
      <w:r>
        <w:rPr>
          <w:color w:val="000000"/>
          <w:spacing w:val="0"/>
          <w:w w:val="100"/>
          <w:position w:val="0"/>
          <w:sz w:val="24"/>
          <w:szCs w:val="24"/>
        </w:rPr>
        <w:t>3.47%</w:t>
      </w:r>
      <w:r>
        <w:rPr>
          <w:rFonts w:ascii="SimSun" w:eastAsia="SimSun" w:hAnsi="SimSun" w:cs="SimSun"/>
          <w:color w:val="000000"/>
          <w:spacing w:val="0"/>
          <w:w w:val="100"/>
          <w:position w:val="0"/>
          <w:sz w:val="22"/>
          <w:szCs w:val="22"/>
        </w:rPr>
        <w:t>；营业利润为</w:t>
      </w:r>
      <w:r>
        <w:rPr>
          <w:color w:val="000000"/>
          <w:spacing w:val="0"/>
          <w:w w:val="100"/>
          <w:position w:val="0"/>
          <w:sz w:val="24"/>
          <w:szCs w:val="24"/>
        </w:rPr>
        <w:t>90,030,725.17</w:t>
      </w:r>
      <w:r>
        <w:rPr>
          <w:rFonts w:ascii="SimSun" w:eastAsia="SimSun" w:hAnsi="SimSun" w:cs="SimSun"/>
          <w:color w:val="000000"/>
          <w:spacing w:val="0"/>
          <w:w w:val="100"/>
          <w:position w:val="0"/>
          <w:sz w:val="22"/>
          <w:szCs w:val="22"/>
        </w:rPr>
        <w:t>元， 同比上升</w:t>
      </w:r>
      <w:r>
        <w:rPr>
          <w:color w:val="000000"/>
          <w:spacing w:val="0"/>
          <w:w w:val="100"/>
          <w:position w:val="0"/>
          <w:sz w:val="24"/>
          <w:szCs w:val="24"/>
        </w:rPr>
        <w:t>84.62%</w:t>
      </w:r>
      <w:r>
        <w:rPr>
          <w:rFonts w:ascii="SimSun" w:eastAsia="SimSun" w:hAnsi="SimSun" w:cs="SimSun"/>
          <w:color w:val="000000"/>
          <w:spacing w:val="0"/>
          <w:w w:val="100"/>
          <w:position w:val="0"/>
          <w:sz w:val="22"/>
          <w:szCs w:val="22"/>
        </w:rPr>
        <w:t>；利润总额为</w:t>
      </w:r>
      <w:r>
        <w:rPr>
          <w:color w:val="000000"/>
          <w:spacing w:val="0"/>
          <w:w w:val="100"/>
          <w:position w:val="0"/>
          <w:sz w:val="24"/>
          <w:szCs w:val="24"/>
        </w:rPr>
        <w:t>90,986,256.8</w:t>
      </w:r>
      <w:r>
        <w:rPr>
          <w:rFonts w:ascii="SimSun" w:eastAsia="SimSun" w:hAnsi="SimSun" w:cs="SimSun"/>
          <w:color w:val="000000"/>
          <w:spacing w:val="0"/>
          <w:w w:val="100"/>
          <w:position w:val="0"/>
          <w:sz w:val="22"/>
          <w:szCs w:val="22"/>
        </w:rPr>
        <w:t>元，同比上升</w:t>
      </w:r>
      <w:r>
        <w:rPr>
          <w:color w:val="000000"/>
          <w:spacing w:val="0"/>
          <w:w w:val="100"/>
          <w:position w:val="0"/>
          <w:sz w:val="24"/>
          <w:szCs w:val="24"/>
        </w:rPr>
        <w:t>67.27%</w:t>
      </w:r>
      <w:r>
        <w:rPr>
          <w:rFonts w:ascii="SimSun" w:eastAsia="SimSun" w:hAnsi="SimSun" w:cs="SimSun"/>
          <w:color w:val="000000"/>
          <w:spacing w:val="0"/>
          <w:w w:val="100"/>
          <w:position w:val="0"/>
          <w:sz w:val="22"/>
          <w:szCs w:val="22"/>
        </w:rPr>
        <w:t>；归属于上市公司股东的净 利润为</w:t>
      </w:r>
      <w:r>
        <w:rPr>
          <w:color w:val="000000"/>
          <w:spacing w:val="0"/>
          <w:w w:val="100"/>
          <w:position w:val="0"/>
          <w:sz w:val="24"/>
          <w:szCs w:val="24"/>
        </w:rPr>
        <w:t>89,609,673.05</w:t>
      </w:r>
      <w:r>
        <w:rPr>
          <w:rFonts w:ascii="SimSun" w:eastAsia="SimSun" w:hAnsi="SimSun" w:cs="SimSun"/>
          <w:color w:val="000000"/>
          <w:spacing w:val="0"/>
          <w:w w:val="100"/>
          <w:position w:val="0"/>
          <w:sz w:val="22"/>
          <w:szCs w:val="22"/>
        </w:rPr>
        <w:t>元，同比上升</w:t>
      </w:r>
      <w:r>
        <w:rPr>
          <w:color w:val="000000"/>
          <w:spacing w:val="0"/>
          <w:w w:val="100"/>
          <w:position w:val="0"/>
          <w:sz w:val="24"/>
          <w:szCs w:val="24"/>
        </w:rPr>
        <w:t>95.68%</w:t>
      </w:r>
      <w:r>
        <w:rPr>
          <w:rFonts w:ascii="SimSun" w:eastAsia="SimSun" w:hAnsi="SimSun" w:cs="SimSun"/>
          <w:color w:val="000000"/>
          <w:spacing w:val="0"/>
          <w:w w:val="100"/>
          <w:position w:val="0"/>
          <w:sz w:val="22"/>
          <w:szCs w:val="22"/>
        </w:rPr>
        <w:t>；基本每股收益为</w:t>
      </w:r>
      <w:r>
        <w:rPr>
          <w:color w:val="000000"/>
          <w:spacing w:val="0"/>
          <w:w w:val="100"/>
          <w:position w:val="0"/>
          <w:sz w:val="24"/>
          <w:szCs w:val="24"/>
        </w:rPr>
        <w:t>0.19</w:t>
      </w:r>
      <w:r>
        <w:rPr>
          <w:rFonts w:ascii="SimSun" w:eastAsia="SimSun" w:hAnsi="SimSun" w:cs="SimSun"/>
          <w:color w:val="000000"/>
          <w:spacing w:val="0"/>
          <w:w w:val="100"/>
          <w:position w:val="0"/>
          <w:sz w:val="22"/>
          <w:szCs w:val="22"/>
        </w:rPr>
        <w:t>元，同比上升</w:t>
      </w:r>
      <w:r>
        <w:rPr>
          <w:color w:val="000000"/>
          <w:spacing w:val="0"/>
          <w:w w:val="100"/>
          <w:position w:val="0"/>
          <w:sz w:val="24"/>
          <w:szCs w:val="24"/>
        </w:rPr>
        <w:t>95.68%</w:t>
      </w:r>
      <w:r>
        <w:rPr>
          <w:rFonts w:ascii="SimSun" w:eastAsia="SimSun" w:hAnsi="SimSun" w:cs="SimSun"/>
          <w:color w:val="000000"/>
          <w:spacing w:val="0"/>
          <w:w w:val="100"/>
          <w:position w:val="0"/>
          <w:sz w:val="22"/>
          <w:szCs w:val="22"/>
        </w:rPr>
        <w:t>。</w:t>
      </w:r>
    </w:p>
    <w:p>
      <w:pPr>
        <w:pStyle w:val="Style18"/>
        <w:keepNext w:val="0"/>
        <w:keepLines w:val="0"/>
        <w:widowControl w:val="0"/>
        <w:shd w:val="clear" w:color="auto" w:fill="auto"/>
        <w:bidi w:val="0"/>
        <w:spacing w:before="0" w:after="0" w:line="442" w:lineRule="exact"/>
        <w:ind w:left="0" w:right="0" w:firstLine="600"/>
        <w:jc w:val="both"/>
      </w:pPr>
      <w:r>
        <w:rPr>
          <w:color w:val="000000"/>
          <w:spacing w:val="0"/>
          <w:w w:val="100"/>
          <w:position w:val="0"/>
        </w:rPr>
        <w:t>公司秉持创新驱动发展理念，坚持以市场需求为导向，积极拓展市场，加强技术研发， 优化产品结构，整体业务保持了健康稳定的发展态势，本年度公司签订合同额、营业收入均 有所提升。报告期公司净利润大幅上升的主要原因是：公司参投基金的公允价值大幅增长， 其变动收益达</w:t>
      </w:r>
      <w:r>
        <w:rPr>
          <w:rFonts w:ascii="Times New Roman" w:eastAsia="Times New Roman" w:hAnsi="Times New Roman" w:cs="Times New Roman"/>
          <w:color w:val="000000"/>
          <w:spacing w:val="0"/>
          <w:w w:val="100"/>
          <w:position w:val="0"/>
          <w:sz w:val="24"/>
          <w:szCs w:val="24"/>
        </w:rPr>
        <w:t>69,047,957.74</w:t>
      </w:r>
      <w:r>
        <w:rPr>
          <w:color w:val="000000"/>
          <w:spacing w:val="0"/>
          <w:w w:val="100"/>
          <w:position w:val="0"/>
        </w:rPr>
        <w:t>元，主要是因参投基金有部分项目上市，且股价大幅上涨。上述 公允价值变动收益与标的公司股价波动相关，不具有稳定性。</w:t>
      </w:r>
    </w:p>
    <w:p>
      <w:pPr>
        <w:pStyle w:val="Style18"/>
        <w:keepNext w:val="0"/>
        <w:keepLines w:val="0"/>
        <w:widowControl w:val="0"/>
        <w:shd w:val="clear" w:color="auto" w:fill="auto"/>
        <w:tabs>
          <w:tab w:pos="982" w:val="left"/>
        </w:tabs>
        <w:bidi w:val="0"/>
        <w:spacing w:before="0" w:after="0" w:line="443" w:lineRule="exact"/>
        <w:ind w:left="0" w:right="0" w:firstLine="600"/>
        <w:jc w:val="both"/>
      </w:pPr>
      <w:bookmarkStart w:id="94" w:name="bookmark94"/>
      <w:r>
        <w:rPr>
          <w:rFonts w:ascii="Times New Roman" w:eastAsia="Times New Roman" w:hAnsi="Times New Roman" w:cs="Times New Roman"/>
          <w:color w:val="000000"/>
          <w:spacing w:val="0"/>
          <w:w w:val="100"/>
          <w:position w:val="0"/>
          <w:sz w:val="24"/>
          <w:szCs w:val="24"/>
        </w:rPr>
        <w:t>2</w:t>
      </w:r>
      <w:bookmarkEnd w:id="94"/>
      <w:r>
        <w:rPr>
          <w:color w:val="000000"/>
          <w:spacing w:val="0"/>
          <w:w w:val="100"/>
          <w:position w:val="0"/>
        </w:rPr>
        <w:t>、</w:t>
        <w:tab/>
        <w:t>市场推广及规划</w:t>
      </w:r>
    </w:p>
    <w:p>
      <w:pPr>
        <w:pStyle w:val="Style18"/>
        <w:keepNext w:val="0"/>
        <w:keepLines w:val="0"/>
        <w:widowControl w:val="0"/>
        <w:shd w:val="clear" w:color="auto" w:fill="auto"/>
        <w:bidi w:val="0"/>
        <w:spacing w:before="0" w:after="0" w:line="451" w:lineRule="exact"/>
        <w:ind w:left="0" w:right="0" w:firstLine="600"/>
        <w:jc w:val="both"/>
      </w:pPr>
      <w:r>
        <w:rPr>
          <w:color w:val="000000"/>
          <w:spacing w:val="0"/>
          <w:w w:val="100"/>
          <w:position w:val="0"/>
        </w:rPr>
        <w:t>报告期内，公司强化营销竞争机制，提升市场反应速度，夯实传统主营产品，积极推广 新产品、新服务，稳步推进公司订单增长。</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报告期内，公司签订合同额总计</w:t>
      </w:r>
      <w:r>
        <w:rPr>
          <w:rFonts w:ascii="Times New Roman" w:eastAsia="Times New Roman" w:hAnsi="Times New Roman" w:cs="Times New Roman"/>
          <w:color w:val="000000"/>
          <w:spacing w:val="0"/>
          <w:w w:val="100"/>
          <w:position w:val="0"/>
          <w:sz w:val="24"/>
          <w:szCs w:val="24"/>
        </w:rPr>
        <w:t>54,041.93</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9.44%</w:t>
      </w:r>
      <w:r>
        <w:rPr>
          <w:color w:val="000000"/>
          <w:spacing w:val="0"/>
          <w:w w:val="100"/>
          <w:position w:val="0"/>
        </w:rPr>
        <w:t>；其中，智能电网业务 签订合同额为</w:t>
      </w:r>
      <w:r>
        <w:rPr>
          <w:rFonts w:ascii="Times New Roman" w:eastAsia="Times New Roman" w:hAnsi="Times New Roman" w:cs="Times New Roman"/>
          <w:color w:val="000000"/>
          <w:spacing w:val="0"/>
          <w:w w:val="100"/>
          <w:position w:val="0"/>
          <w:sz w:val="24"/>
          <w:szCs w:val="24"/>
        </w:rPr>
        <w:t>41,439.94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11.74%</w:t>
      </w:r>
      <w:r>
        <w:rPr>
          <w:color w:val="000000"/>
          <w:spacing w:val="0"/>
          <w:w w:val="100"/>
          <w:position w:val="0"/>
        </w:rPr>
        <w:t>；医疗健康业务签订合同额为</w:t>
      </w:r>
      <w:r>
        <w:rPr>
          <w:rFonts w:ascii="Times New Roman" w:eastAsia="Times New Roman" w:hAnsi="Times New Roman" w:cs="Times New Roman"/>
          <w:color w:val="000000"/>
          <w:spacing w:val="0"/>
          <w:w w:val="100"/>
          <w:position w:val="0"/>
          <w:sz w:val="24"/>
          <w:szCs w:val="24"/>
        </w:rPr>
        <w:t>12,601.99</w:t>
      </w:r>
      <w:r>
        <w:rPr>
          <w:color w:val="000000"/>
          <w:spacing w:val="0"/>
          <w:w w:val="100"/>
          <w:position w:val="0"/>
        </w:rPr>
        <w:t>万元， 同比上升</w:t>
      </w:r>
      <w:r>
        <w:rPr>
          <w:rFonts w:ascii="Times New Roman" w:eastAsia="Times New Roman" w:hAnsi="Times New Roman" w:cs="Times New Roman"/>
          <w:color w:val="000000"/>
          <w:spacing w:val="0"/>
          <w:w w:val="100"/>
          <w:position w:val="0"/>
          <w:sz w:val="24"/>
          <w:szCs w:val="24"/>
        </w:rPr>
        <w:t>2.51%</w:t>
      </w:r>
      <w:r>
        <w:rPr>
          <w:color w:val="000000"/>
          <w:spacing w:val="0"/>
          <w:w w:val="100"/>
          <w:position w:val="0"/>
        </w:rPr>
        <w:t>。</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智能电网领域，公司主营产品持续保持市场优势地位，中标西藏大古水电站工程、</w:t>
      </w:r>
      <w:r>
        <w:rPr>
          <w:rFonts w:ascii="Times New Roman" w:eastAsia="Times New Roman" w:hAnsi="Times New Roman" w:cs="Times New Roman"/>
          <w:color w:val="000000"/>
          <w:spacing w:val="0"/>
          <w:w w:val="100"/>
          <w:position w:val="0"/>
          <w:sz w:val="24"/>
          <w:szCs w:val="24"/>
        </w:rPr>
        <w:t xml:space="preserve">1000 </w:t>
      </w:r>
      <w:r>
        <w:rPr>
          <w:color w:val="000000"/>
          <w:spacing w:val="0"/>
          <w:w w:val="100"/>
          <w:position w:val="0"/>
        </w:rPr>
        <w:t>千伏特高压南阳站技改工程、白鹤滩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江苏</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千伏特高压直流工程虞城（姑苏）换流站工程、 荆门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武汉</w:t>
      </w:r>
      <w:r>
        <w:rPr>
          <w:rFonts w:ascii="Times New Roman" w:eastAsia="Times New Roman" w:hAnsi="Times New Roman" w:cs="Times New Roman"/>
          <w:color w:val="000000"/>
          <w:spacing w:val="0"/>
          <w:w w:val="100"/>
          <w:position w:val="0"/>
          <w:sz w:val="24"/>
          <w:szCs w:val="24"/>
        </w:rPr>
        <w:t>1000kV</w:t>
      </w:r>
      <w:r>
        <w:rPr>
          <w:color w:val="000000"/>
          <w:spacing w:val="0"/>
          <w:w w:val="100"/>
          <w:position w:val="0"/>
        </w:rPr>
        <w:t>特高压交流输变电工程武汉变电站新建工程、闽粤联网工程等多个重点项 目。此外，公司亦中标多个协议库存、框架招标项目，如国家电网江苏省电力有限公司、国 家电网湖南省电力有限公司、南方电网有限责任公司、南方电网贵州电网有限责任公司等。</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西藏大古水电站是国家重点水电工程、西藏在建最大水电站，水电站建成后将对加快西 藏电力基础设施建设，缓解西藏缺电问题，对促进西藏经济社会发展具有重要意义。白鹤滩</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江苏</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千伏特高压直流工程在世界上将首次研发柔直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常规的混合级联特高压直流输电技 术，研发应用能够快速实现毫秒级能量平衡的可控自恢复消能装置，将特高压直流馈入由依 赖电网转变为支撑电网，缓解华东电网火电机组减少导致的电压稳定压力，大幅提升了华东 电网受电能力。白鹤滩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江苏</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千伏特高压直流工程的虞城换流站将成为世界首座采用常规 直流和柔性直流混合级联接线的换流站。闽粤联网工程已纳入国家“十四五”发展规划，是 广东、福建两省和南方电网、国家电网两网深化合作的标志性工程，该工程建成后，将推进 闽粤两省电力互补余缺，进一步优化粤港澳大湾区和海西区能源结构，提高粤港澳大湾区能 源保障能力，同时可促进梅州清洁能源消纳，助力实现碳达峰、碳中和目标。荆门至武汉</w:t>
      </w:r>
      <w:r>
        <w:rPr>
          <w:rFonts w:ascii="Times New Roman" w:eastAsia="Times New Roman" w:hAnsi="Times New Roman" w:cs="Times New Roman"/>
          <w:color w:val="000000"/>
          <w:spacing w:val="0"/>
          <w:w w:val="100"/>
          <w:position w:val="0"/>
          <w:sz w:val="24"/>
          <w:szCs w:val="24"/>
        </w:rPr>
        <w:t xml:space="preserve">1000 </w:t>
      </w:r>
      <w:r>
        <w:rPr>
          <w:color w:val="000000"/>
          <w:spacing w:val="0"/>
          <w:w w:val="100"/>
          <w:position w:val="0"/>
        </w:rPr>
        <w:t>千伏特高压交流输变电工程投运后，将大大提高湖北省西电东送通道送电能力，为陕北至武 汉特高压直流工程达到额定功率运行奠定基础。</w:t>
      </w:r>
    </w:p>
    <w:p>
      <w:pPr>
        <w:pStyle w:val="Style18"/>
        <w:keepNext w:val="0"/>
        <w:keepLines w:val="0"/>
        <w:widowControl w:val="0"/>
        <w:shd w:val="clear" w:color="auto" w:fill="auto"/>
        <w:bidi w:val="0"/>
        <w:spacing w:before="0" w:after="200" w:line="439" w:lineRule="exact"/>
        <w:ind w:left="0" w:right="0" w:firstLine="480"/>
        <w:jc w:val="both"/>
      </w:pPr>
      <w:r>
        <w:rPr>
          <w:color w:val="000000"/>
          <w:spacing w:val="0"/>
          <w:w w:val="100"/>
          <w:position w:val="0"/>
        </w:rPr>
        <w:t>医疗健康领域，公司中标永济市医疗集团市镇村医疗一体化项目、常州市第三人民医院 住院智慧化项目、陕西省肿瘤医院疑难病症诊治能力提升工程（肿瘤方向）</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升级改造项 目等智慧城市或三甲医院项目。</w:t>
      </w:r>
    </w:p>
    <w:p>
      <w:pPr>
        <w:pStyle w:val="Style18"/>
        <w:keepNext w:val="0"/>
        <w:keepLines w:val="0"/>
        <w:widowControl w:val="0"/>
        <w:shd w:val="clear" w:color="auto" w:fill="auto"/>
        <w:bidi w:val="0"/>
        <w:spacing w:before="0" w:after="0" w:line="382" w:lineRule="auto"/>
        <w:ind w:left="0" w:right="0" w:firstLine="480"/>
        <w:jc w:val="both"/>
      </w:pPr>
      <w:bookmarkStart w:id="95" w:name="bookmark95"/>
      <w:r>
        <w:rPr>
          <w:rFonts w:ascii="Times New Roman" w:eastAsia="Times New Roman" w:hAnsi="Times New Roman" w:cs="Times New Roman"/>
          <w:color w:val="000000"/>
          <w:spacing w:val="0"/>
          <w:w w:val="100"/>
          <w:position w:val="0"/>
          <w:sz w:val="24"/>
          <w:szCs w:val="24"/>
        </w:rPr>
        <w:t>3</w:t>
      </w:r>
      <w:bookmarkEnd w:id="95"/>
      <w:r>
        <w:rPr>
          <w:color w:val="000000"/>
          <w:spacing w:val="0"/>
          <w:w w:val="100"/>
          <w:position w:val="0"/>
        </w:rPr>
        <w:t>、研发进展情况</w:t>
      </w:r>
    </w:p>
    <w:p>
      <w:pPr>
        <w:pStyle w:val="Style18"/>
        <w:keepNext w:val="0"/>
        <w:keepLines w:val="0"/>
        <w:widowControl w:val="0"/>
        <w:shd w:val="clear" w:color="auto" w:fill="auto"/>
        <w:bidi w:val="0"/>
        <w:spacing w:before="0" w:line="451" w:lineRule="exact"/>
        <w:ind w:left="0" w:right="0" w:firstLine="480"/>
        <w:jc w:val="both"/>
      </w:pPr>
      <w:r>
        <w:rPr>
          <w:color w:val="000000"/>
          <w:spacing w:val="0"/>
          <w:w w:val="100"/>
          <w:position w:val="0"/>
        </w:rPr>
        <w:t>报告期内，公司持续秉持创新驱动发展的理念，以市场需求为依托，加大研发投入，拓 展新的研究方向，研发项目进展顺利。</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智能电网领域，报告期共有</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个主要研发项目，本年度新增</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个，相关项目进展情况 如下：中低压保护成套装置、发电机监测及特性测试仪、配网环境监控系统已转产，动模实 验自动测试软件系统、基于多维全景数据融合的电网故障智能诊断及分析系统、能源管理系 统等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个研发项目已验收，国网自主可控新一代智能故障录波装置、智能配电网高压高精测 试平台、智能辅助控制系统等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个研发项目进入样机试制阶段，配网信号采集物联网装置、 </w:t>
      </w:r>
      <w:r>
        <w:rPr>
          <w:color w:val="000000"/>
          <w:spacing w:val="0"/>
          <w:w w:val="100"/>
          <w:position w:val="0"/>
        </w:rPr>
        <w:t>配网信号采集物联网装置已开始试运行，新版轨道机器人研发、列车智能化电气柜综合监控 系统、物联网电力监控网关等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个项目正在开发中，自主可控继电保护测试仪、锂电池配网 消缺装置已立项。</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医疗健康领域，报告期共有</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个主要研发项目，本年度新增</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个，相关项目进展如下： 世轩大数据搜索引擎软件</w:t>
      </w:r>
      <w:r>
        <w:rPr>
          <w:rFonts w:ascii="Times New Roman" w:eastAsia="Times New Roman" w:hAnsi="Times New Roman" w:cs="Times New Roman"/>
          <w:color w:val="000000"/>
          <w:spacing w:val="0"/>
          <w:w w:val="100"/>
          <w:position w:val="0"/>
          <w:sz w:val="24"/>
          <w:szCs w:val="24"/>
        </w:rPr>
        <w:t>V1.0</w:t>
      </w:r>
      <w:r>
        <w:rPr>
          <w:color w:val="000000"/>
          <w:spacing w:val="0"/>
          <w:w w:val="100"/>
          <w:position w:val="0"/>
        </w:rPr>
        <w:t>、</w:t>
      </w:r>
      <w:r>
        <w:rPr>
          <w:color w:val="000000"/>
          <w:spacing w:val="0"/>
          <w:w w:val="100"/>
          <w:position w:val="0"/>
        </w:rPr>
        <w:t>世轩医院信息管理系统软件</w:t>
      </w:r>
      <w:r>
        <w:rPr>
          <w:rFonts w:ascii="Times New Roman" w:eastAsia="Times New Roman" w:hAnsi="Times New Roman" w:cs="Times New Roman"/>
          <w:color w:val="000000"/>
          <w:spacing w:val="0"/>
          <w:w w:val="100"/>
          <w:position w:val="0"/>
          <w:sz w:val="24"/>
          <w:szCs w:val="24"/>
        </w:rPr>
        <w:t>V3.0</w:t>
      </w:r>
      <w:r>
        <w:rPr>
          <w:color w:val="000000"/>
          <w:spacing w:val="0"/>
          <w:w w:val="100"/>
          <w:position w:val="0"/>
        </w:rPr>
        <w:t>、</w:t>
      </w:r>
      <w:r>
        <w:rPr>
          <w:color w:val="000000"/>
          <w:spacing w:val="0"/>
          <w:w w:val="100"/>
          <w:position w:val="0"/>
        </w:rPr>
        <w:t>世轩电子病案管理平台软 件</w:t>
      </w:r>
      <w:r>
        <w:rPr>
          <w:rFonts w:ascii="Times New Roman" w:eastAsia="Times New Roman" w:hAnsi="Times New Roman" w:cs="Times New Roman"/>
          <w:color w:val="000000"/>
          <w:spacing w:val="0"/>
          <w:w w:val="100"/>
          <w:position w:val="0"/>
          <w:sz w:val="24"/>
          <w:szCs w:val="24"/>
        </w:rPr>
        <w:t>V1.0</w:t>
      </w:r>
      <w:r>
        <w:rPr>
          <w:color w:val="000000"/>
          <w:spacing w:val="0"/>
          <w:w w:val="100"/>
          <w:position w:val="0"/>
        </w:rPr>
        <w:t>已转产，基于微服务的新一代医院信息系统、智慧医共体平台、胃泌素</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（胶乳增 强免疫比浊法）、补体价（脂质体免疫测定法）等</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个研发项目正在开发中。</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国网自主可控新一代智能故障录波装置是一种可同时应用于智能变电站、常规变电站和 就地化变电站，集成了故障录波、网络记录分析、二次系统可视化、智能运维功能的设备， 设备核心元器件及操作系统均自主可控，可为智能变电站二次系统的日常运维、异常处理及 电网事故智能分析提供决策依据。</w:t>
      </w:r>
    </w:p>
    <w:p>
      <w:pPr>
        <w:pStyle w:val="Style18"/>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ZH-8103</w:t>
      </w:r>
      <w:r>
        <w:rPr>
          <w:color w:val="000000"/>
          <w:spacing w:val="0"/>
          <w:w w:val="100"/>
          <w:position w:val="0"/>
        </w:rPr>
        <w:t>数模混合电能质量在线监测装置的设计以高速大规模</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rPr>
        <w:t>、</w:t>
      </w:r>
      <w:r>
        <w:rPr>
          <w:color w:val="000000"/>
          <w:spacing w:val="0"/>
          <w:w w:val="100"/>
          <w:position w:val="0"/>
        </w:rPr>
        <w:t>高性能</w:t>
      </w:r>
      <w:r>
        <w:rPr>
          <w:rFonts w:ascii="Times New Roman" w:eastAsia="Times New Roman" w:hAnsi="Times New Roman" w:cs="Times New Roman"/>
          <w:color w:val="000000"/>
          <w:spacing w:val="0"/>
          <w:w w:val="100"/>
          <w:position w:val="0"/>
          <w:sz w:val="24"/>
          <w:szCs w:val="24"/>
        </w:rPr>
        <w:t>CPU</w:t>
      </w:r>
      <w:r>
        <w:rPr>
          <w:color w:val="000000"/>
          <w:spacing w:val="0"/>
          <w:w w:val="100"/>
          <w:position w:val="0"/>
        </w:rPr>
        <w:t>为核 心，运行自研嵌入式</w:t>
      </w:r>
      <w:r>
        <w:rPr>
          <w:rFonts w:ascii="Times New Roman" w:eastAsia="Times New Roman" w:hAnsi="Times New Roman" w:cs="Times New Roman"/>
          <w:color w:val="000000"/>
          <w:spacing w:val="0"/>
          <w:w w:val="100"/>
          <w:position w:val="0"/>
          <w:sz w:val="24"/>
          <w:szCs w:val="24"/>
        </w:rPr>
        <w:t>Linux</w:t>
      </w:r>
      <w:r>
        <w:rPr>
          <w:color w:val="000000"/>
          <w:spacing w:val="0"/>
          <w:w w:val="100"/>
          <w:position w:val="0"/>
        </w:rPr>
        <w:t>操作系统并集成嵌入式图形系统，适用于变电站、换流站、电厂 及工矿企业等需要不间断在线监测谐波及电能质量的场合。</w:t>
      </w:r>
    </w:p>
    <w:p>
      <w:pPr>
        <w:pStyle w:val="Style18"/>
        <w:keepNext w:val="0"/>
        <w:keepLines w:val="0"/>
        <w:widowControl w:val="0"/>
        <w:shd w:val="clear" w:color="auto" w:fill="auto"/>
        <w:bidi w:val="0"/>
        <w:spacing w:before="0" w:after="0" w:line="445" w:lineRule="exact"/>
        <w:ind w:left="0" w:right="0" w:firstLine="480"/>
        <w:jc w:val="both"/>
      </w:pPr>
      <w:r>
        <w:rPr>
          <w:color w:val="000000"/>
          <w:spacing w:val="0"/>
          <w:w w:val="100"/>
          <w:position w:val="0"/>
        </w:rPr>
        <w:t>智能配电网高压高精测试平台，覆盖配电终端装置、综合自动化装置和</w:t>
      </w:r>
      <w:r>
        <w:rPr>
          <w:rFonts w:ascii="Times New Roman" w:eastAsia="Times New Roman" w:hAnsi="Times New Roman" w:cs="Times New Roman"/>
          <w:color w:val="000000"/>
          <w:spacing w:val="0"/>
          <w:w w:val="100"/>
          <w:position w:val="0"/>
          <w:sz w:val="24"/>
          <w:szCs w:val="24"/>
        </w:rPr>
        <w:t>PMU</w:t>
      </w:r>
      <w:r>
        <w:rPr>
          <w:color w:val="000000"/>
          <w:spacing w:val="0"/>
          <w:w w:val="100"/>
          <w:position w:val="0"/>
        </w:rPr>
        <w:t>装置的现 场全方位功能与性能测试，支持电流大小量程切换，满足保护与测量不同精度的测试需求， 同时具备数字报文输出、脉冲输出、协议控制的扩展接口，以满足越来越多元化的电力测试 需求。</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配网环境监控系统针对电力户外开关站、箱变的运行环境进行远程集中监控和整治。配 网环境监控系统由现场动环传感器、通信网关及</w:t>
      </w:r>
      <w:r>
        <w:rPr>
          <w:rFonts w:ascii="Times New Roman" w:eastAsia="Times New Roman" w:hAnsi="Times New Roman" w:cs="Times New Roman"/>
          <w:color w:val="000000"/>
          <w:spacing w:val="0"/>
          <w:w w:val="100"/>
          <w:position w:val="0"/>
          <w:sz w:val="24"/>
          <w:szCs w:val="24"/>
        </w:rPr>
        <w:t>WEB</w:t>
      </w:r>
      <w:r>
        <w:rPr>
          <w:color w:val="000000"/>
          <w:spacing w:val="0"/>
          <w:w w:val="100"/>
          <w:position w:val="0"/>
        </w:rPr>
        <w:t>监控后台构成，用户能在远方实时监 控开关站、箱变的运行环境数据。在环境数据异常时，系统能与现场的治理设备（如除湿机、 摄像头、报警器等）进行</w:t>
      </w:r>
      <w:r>
        <w:rPr>
          <w:rFonts w:ascii="Times New Roman" w:eastAsia="Times New Roman" w:hAnsi="Times New Roman" w:cs="Times New Roman"/>
          <w:color w:val="000000"/>
          <w:spacing w:val="0"/>
          <w:w w:val="100"/>
          <w:position w:val="0"/>
          <w:sz w:val="24"/>
          <w:szCs w:val="24"/>
        </w:rPr>
        <w:t>M2M</w:t>
      </w:r>
      <w:r>
        <w:rPr>
          <w:color w:val="000000"/>
          <w:spacing w:val="0"/>
          <w:w w:val="100"/>
          <w:position w:val="0"/>
        </w:rPr>
        <w:t>联动，消除设备运行安全隐患。</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基于微服务架构搭建的新一代医院信息化平台，包括基础平台建设、基于业务</w:t>
      </w:r>
      <w:r>
        <w:rPr>
          <w:rFonts w:ascii="Times New Roman" w:eastAsia="Times New Roman" w:hAnsi="Times New Roman" w:cs="Times New Roman"/>
          <w:color w:val="000000"/>
          <w:spacing w:val="0"/>
          <w:w w:val="100"/>
          <w:position w:val="0"/>
          <w:sz w:val="24"/>
          <w:szCs w:val="24"/>
        </w:rPr>
        <w:t>HIS</w:t>
      </w:r>
      <w:r>
        <w:rPr>
          <w:color w:val="000000"/>
          <w:spacing w:val="0"/>
          <w:w w:val="100"/>
          <w:position w:val="0"/>
        </w:rPr>
        <w:t>系统， 对接第三方接口模块等，为医院提供全方位信息系统。</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智慧医共体平台探索以“县医院为龙头，乡镇卫生院为枢纽，村卫生室为基础”的县乡 一体化管理，构建县、乡、村三级联动的县域医疗服务体系，完成区域型信息化建设。</w:t>
      </w:r>
    </w:p>
    <w:p>
      <w:pPr>
        <w:pStyle w:val="Style18"/>
        <w:keepNext w:val="0"/>
        <w:keepLines w:val="0"/>
        <w:widowControl w:val="0"/>
        <w:shd w:val="clear" w:color="auto" w:fill="auto"/>
        <w:bidi w:val="0"/>
        <w:spacing w:before="0" w:after="200" w:line="456" w:lineRule="exact"/>
        <w:ind w:left="0" w:right="0" w:firstLine="480"/>
        <w:jc w:val="both"/>
      </w:pPr>
      <w:r>
        <w:rPr>
          <w:color w:val="000000"/>
          <w:spacing w:val="0"/>
          <w:w w:val="100"/>
          <w:position w:val="0"/>
        </w:rPr>
        <w:t>报告期内，公司获得</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项软件著作权，申请</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项发 明专利。</w:t>
      </w:r>
    </w:p>
    <w:p>
      <w:pPr>
        <w:pStyle w:val="Style18"/>
        <w:keepNext w:val="0"/>
        <w:keepLines w:val="0"/>
        <w:widowControl w:val="0"/>
        <w:shd w:val="clear" w:color="auto" w:fill="auto"/>
        <w:bidi w:val="0"/>
        <w:spacing w:before="0" w:after="0" w:line="384" w:lineRule="auto"/>
        <w:ind w:left="0" w:right="0" w:firstLine="480"/>
        <w:jc w:val="both"/>
      </w:pPr>
      <w:bookmarkStart w:id="96" w:name="bookmark96"/>
      <w:r>
        <w:rPr>
          <w:rFonts w:ascii="Times New Roman" w:eastAsia="Times New Roman" w:hAnsi="Times New Roman" w:cs="Times New Roman"/>
          <w:color w:val="000000"/>
          <w:spacing w:val="0"/>
          <w:w w:val="100"/>
          <w:position w:val="0"/>
          <w:sz w:val="24"/>
          <w:szCs w:val="24"/>
        </w:rPr>
        <w:t>4</w:t>
      </w:r>
      <w:bookmarkEnd w:id="96"/>
      <w:r>
        <w:rPr>
          <w:color w:val="000000"/>
          <w:spacing w:val="0"/>
          <w:w w:val="100"/>
          <w:position w:val="0"/>
        </w:rPr>
        <w:t>、投资领域进展情况</w:t>
      </w:r>
    </w:p>
    <w:p>
      <w:pPr>
        <w:pStyle w:val="Style18"/>
        <w:keepNext w:val="0"/>
        <w:keepLines w:val="0"/>
        <w:widowControl w:val="0"/>
        <w:shd w:val="clear" w:color="auto" w:fill="auto"/>
        <w:bidi w:val="0"/>
        <w:spacing w:before="0" w:line="384" w:lineRule="auto"/>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月，公司参股的湖北中元九派产业投资基金合伙企业（有限合伙）（以下简称 </w:t>
      </w:r>
      <w:r>
        <w:rPr>
          <w:color w:val="000000"/>
          <w:spacing w:val="0"/>
          <w:w w:val="100"/>
          <w:position w:val="0"/>
        </w:rPr>
        <w:t xml:space="preserve">“中元九派基金”）投资上海博志研新药物技术有限公司（以下简称“博志研”），投资金额为 </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万元，持有其</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股权，博志研是一家以小分子创新药、改良型创新药、高难度药物制 剂、</w:t>
      </w:r>
      <w:r>
        <w:rPr>
          <w:rFonts w:ascii="Times New Roman" w:eastAsia="Times New Roman" w:hAnsi="Times New Roman" w:cs="Times New Roman"/>
          <w:color w:val="000000"/>
          <w:spacing w:val="0"/>
          <w:w w:val="100"/>
          <w:position w:val="0"/>
          <w:sz w:val="24"/>
          <w:szCs w:val="24"/>
        </w:rPr>
        <w:t>DMF&amp;MAH</w:t>
      </w:r>
      <w:r>
        <w:rPr>
          <w:color w:val="000000"/>
          <w:spacing w:val="0"/>
          <w:w w:val="100"/>
          <w:position w:val="0"/>
        </w:rPr>
        <w:t>及临床研究为核心的一体化研发公司，致力于为全球医药企业提供极具市场 竞争力的药物品种，着力打造国际化、前沿化的医药研发和创新平台。</w:t>
      </w:r>
    </w:p>
    <w:p>
      <w:pPr>
        <w:pStyle w:val="Style18"/>
        <w:keepNext w:val="0"/>
        <w:keepLines w:val="0"/>
        <w:widowControl w:val="0"/>
        <w:shd w:val="clear" w:color="auto" w:fill="auto"/>
        <w:bidi w:val="0"/>
        <w:spacing w:before="0" w:line="44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月，公司转让持有的中元惠合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股权，主要原因是中元惠合业绩未达预期， 将其股权转让将有助于盘活存量资产，增加公司现金流，增强公司资产的流动性，亦符合公 司实际经营和未来发展需要。转让后公司持有中元惠合实缴资本的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w:t>
      </w:r>
    </w:p>
    <w:p>
      <w:pPr>
        <w:pStyle w:val="Style18"/>
        <w:keepNext w:val="0"/>
        <w:keepLines w:val="0"/>
        <w:widowControl w:val="0"/>
        <w:shd w:val="clear" w:color="auto" w:fill="auto"/>
        <w:bidi w:val="0"/>
        <w:spacing w:before="0" w:line="44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月，公司转让持有的埃克森</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股权，主要原因是埃克森近年来连续亏损，业 绩未达预期，本次股权转让有利于公司优化资源配置，降低公司运营风险，符合公司实际经 营和未来发展需要。转让后公司不再持有埃克森股权，不将其纳入公司合并报表范围。</w:t>
      </w:r>
    </w:p>
    <w:p>
      <w:pPr>
        <w:pStyle w:val="Style18"/>
        <w:keepNext w:val="0"/>
        <w:keepLines w:val="0"/>
        <w:widowControl w:val="0"/>
        <w:shd w:val="clear" w:color="auto" w:fill="auto"/>
        <w:bidi w:val="0"/>
        <w:spacing w:before="0" w:line="444"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月，中元九派基金投资湖北嘉辐达节能科技股份有限公司（以下简称“嘉福 达”），投资金额为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万元，持有其</w:t>
      </w:r>
      <w:r>
        <w:rPr>
          <w:rFonts w:ascii="Times New Roman" w:eastAsia="Times New Roman" w:hAnsi="Times New Roman" w:cs="Times New Roman"/>
          <w:color w:val="000000"/>
          <w:spacing w:val="0"/>
          <w:w w:val="100"/>
          <w:position w:val="0"/>
          <w:sz w:val="24"/>
          <w:szCs w:val="24"/>
        </w:rPr>
        <w:t>5.88%</w:t>
      </w:r>
      <w:r>
        <w:rPr>
          <w:color w:val="000000"/>
          <w:spacing w:val="0"/>
          <w:w w:val="100"/>
          <w:position w:val="0"/>
        </w:rPr>
        <w:t>股权。嘉福达是一家主要从事离心玻璃棉的研发、 生产与销售的高新技术企业。公司产品目前主要通过经销商的模式进行销售，经销商客户有 一百多家分布在全国各地，产品覆盖二十多个省市。嘉福达凭借国内领先的数字化生产线及 产能上的规模优势在玻璃棉行业稳居第一梯队。</w:t>
      </w:r>
    </w:p>
    <w:p>
      <w:pPr>
        <w:pStyle w:val="Style18"/>
        <w:keepNext w:val="0"/>
        <w:keepLines w:val="0"/>
        <w:widowControl w:val="0"/>
        <w:shd w:val="clear" w:color="auto" w:fill="auto"/>
        <w:bidi w:val="0"/>
        <w:spacing w:before="0" w:after="200" w:line="44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月，中元九派基金投资武汉恒立工程钻具股份有限公司（以下简称“恒立钻 具”），投资金额为</w:t>
      </w:r>
      <w:r>
        <w:rPr>
          <w:rFonts w:ascii="Times New Roman" w:eastAsia="Times New Roman" w:hAnsi="Times New Roman" w:cs="Times New Roman"/>
          <w:color w:val="000000"/>
          <w:spacing w:val="0"/>
          <w:w w:val="100"/>
          <w:position w:val="0"/>
          <w:sz w:val="24"/>
          <w:szCs w:val="24"/>
        </w:rPr>
        <w:t>2802.36</w:t>
      </w:r>
      <w:r>
        <w:rPr>
          <w:color w:val="000000"/>
          <w:spacing w:val="0"/>
          <w:w w:val="100"/>
          <w:position w:val="0"/>
        </w:rPr>
        <w:t>万元，持有其</w:t>
      </w:r>
      <w:r>
        <w:rPr>
          <w:rFonts w:ascii="Times New Roman" w:eastAsia="Times New Roman" w:hAnsi="Times New Roman" w:cs="Times New Roman"/>
          <w:color w:val="000000"/>
          <w:spacing w:val="0"/>
          <w:w w:val="100"/>
          <w:position w:val="0"/>
          <w:sz w:val="24"/>
          <w:szCs w:val="24"/>
        </w:rPr>
        <w:t>5.11%</w:t>
      </w:r>
      <w:r>
        <w:rPr>
          <w:color w:val="000000"/>
          <w:spacing w:val="0"/>
          <w:w w:val="100"/>
          <w:position w:val="0"/>
        </w:rPr>
        <w:t>股权。恒立钻具专业从事各类工程破岩钻具的 研发、制造、销售及服务一体化，是国内知名的破岩工具供应商，特别是在盾构及水平定向 穿越钻具领域，已经成为引领行业发展的标杆。</w:t>
      </w:r>
    </w:p>
    <w:p>
      <w:pPr>
        <w:pStyle w:val="Style18"/>
        <w:keepNext w:val="0"/>
        <w:keepLines w:val="0"/>
        <w:widowControl w:val="0"/>
        <w:shd w:val="clear" w:color="auto" w:fill="auto"/>
        <w:bidi w:val="0"/>
        <w:spacing w:before="0" w:after="0" w:line="386" w:lineRule="auto"/>
        <w:ind w:left="0" w:right="0" w:firstLine="500"/>
        <w:jc w:val="both"/>
      </w:pPr>
      <w:bookmarkStart w:id="97" w:name="bookmark97"/>
      <w:r>
        <w:rPr>
          <w:rFonts w:ascii="Times New Roman" w:eastAsia="Times New Roman" w:hAnsi="Times New Roman" w:cs="Times New Roman"/>
          <w:color w:val="000000"/>
          <w:spacing w:val="0"/>
          <w:w w:val="100"/>
          <w:position w:val="0"/>
          <w:sz w:val="24"/>
          <w:szCs w:val="24"/>
        </w:rPr>
        <w:t>5</w:t>
      </w:r>
      <w:bookmarkEnd w:id="97"/>
      <w:r>
        <w:rPr>
          <w:color w:val="000000"/>
          <w:spacing w:val="0"/>
          <w:w w:val="100"/>
          <w:position w:val="0"/>
        </w:rPr>
        <w:t>、完善公司制度，强化内控管理</w:t>
      </w:r>
    </w:p>
    <w:p>
      <w:pPr>
        <w:pStyle w:val="Style18"/>
        <w:keepNext w:val="0"/>
        <w:keepLines w:val="0"/>
        <w:widowControl w:val="0"/>
        <w:shd w:val="clear" w:color="auto" w:fill="auto"/>
        <w:bidi w:val="0"/>
        <w:spacing w:before="0" w:after="360" w:line="444" w:lineRule="exact"/>
        <w:ind w:left="0" w:right="0" w:firstLine="500"/>
        <w:jc w:val="both"/>
      </w:pPr>
      <w:r>
        <w:rPr>
          <w:color w:val="000000"/>
          <w:spacing w:val="0"/>
          <w:w w:val="100"/>
          <w:position w:val="0"/>
        </w:rPr>
        <w:t>报告期内，公司加强内部治理工作，积极组织董事、监事及高级管理人员对相关法律、 法规的学习，增强了管理层法治理念。同时，公司出台了《集团投后管理制度》等公司内部 控制制度，签订年度业绩责任书，明确管理层责任分工，完善了公司内部控制体系。</w:t>
      </w:r>
    </w:p>
    <w:p>
      <w:pPr>
        <w:pStyle w:val="Style32"/>
        <w:keepNext/>
        <w:keepLines/>
        <w:widowControl w:val="0"/>
        <w:shd w:val="clear" w:color="auto" w:fill="auto"/>
        <w:bidi w:val="0"/>
        <w:spacing w:before="0" w:after="0" w:line="386"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sz w:val="24"/>
          <w:szCs w:val="24"/>
        </w:rPr>
        <w:t>2</w:t>
      </w:r>
      <w:bookmarkEnd w:id="100"/>
      <w:r>
        <w:rPr>
          <w:color w:val="000000"/>
          <w:spacing w:val="0"/>
          <w:w w:val="100"/>
          <w:position w:val="0"/>
        </w:rPr>
        <w:t>、收入与成本</w:t>
      </w:r>
      <w:bookmarkEnd w:id="101"/>
      <w:bookmarkEnd w:id="98"/>
      <w:bookmarkEnd w:id="99"/>
    </w:p>
    <w:p>
      <w:pPr>
        <w:pStyle w:val="Style46"/>
        <w:keepNext/>
        <w:keepLines/>
        <w:widowControl w:val="0"/>
        <w:shd w:val="clear" w:color="auto" w:fill="auto"/>
        <w:bidi w:val="0"/>
        <w:spacing w:before="0" w:after="260" w:line="444" w:lineRule="exact"/>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）营业收入构成</w:t>
      </w:r>
      <w:bookmarkEnd w:id="102"/>
      <w:bookmarkEnd w:id="103"/>
      <w:bookmarkEnd w:id="105"/>
    </w:p>
    <w:p>
      <w:pPr>
        <w:pStyle w:val="Style18"/>
        <w:keepNext w:val="0"/>
        <w:keepLines w:val="0"/>
        <w:widowControl w:val="0"/>
        <w:shd w:val="clear" w:color="auto" w:fill="auto"/>
        <w:bidi w:val="0"/>
        <w:spacing w:before="0" w:after="120" w:line="444" w:lineRule="exact"/>
        <w:ind w:left="0" w:right="0" w:firstLine="500"/>
        <w:jc w:val="both"/>
      </w:pPr>
      <w:r>
        <w:rPr>
          <w:color w:val="000000"/>
          <w:spacing w:val="0"/>
          <w:w w:val="100"/>
          <w:position w:val="0"/>
        </w:rPr>
        <w:t>营业收入整体情况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8"/>
        <w:gridCol w:w="1594"/>
        <w:gridCol w:w="1598"/>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tcBorders/>
            <w:shd w:val="clear" w:color="auto" w:fill="D3D3D3"/>
            <w:vAlign w:val="top"/>
          </w:tcPr>
          <w:p>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420,509,087.13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406,391,731.77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r>
    </w:tbl>
    <w:p>
      <w:pPr>
        <w:spacing w:lineRule="exact" w:line="1"/>
        <w:rPr>
          <w:sz w:val="2"/>
          <w:szCs w:val="2"/>
        </w:rPr>
      </w:pPr>
      <w:r>
        <w:br w:type="page"/>
      </w:r>
    </w:p>
    <w:tbl>
      <w:tblPr>
        <w:tblOverlap w:val="never"/>
        <w:jc w:val="center"/>
        <w:tblLayout w:type="fixed"/>
      </w:tblPr>
      <w:tblGrid>
        <w:gridCol w:w="1613"/>
        <w:gridCol w:w="1594"/>
        <w:gridCol w:w="1594"/>
        <w:gridCol w:w="1598"/>
        <w:gridCol w:w="1594"/>
        <w:gridCol w:w="1598"/>
      </w:tblGrid>
      <w:tr>
        <w:trPr>
          <w:trHeight w:val="403" w:hRule="exact"/>
        </w:trPr>
        <w:tc>
          <w:tcPr>
            <w:gridSpan w:val="6"/>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342,062,078.40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324,741,808.55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78,447,008.73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81,649,923.22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-3.92%</w:t>
            </w:r>
          </w:p>
        </w:tc>
      </w:tr>
      <w:tr>
        <w:trPr>
          <w:trHeight w:val="403" w:hRule="exact"/>
        </w:trPr>
        <w:tc>
          <w:tcPr>
            <w:gridSpan w:val="6"/>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电力故障录波装 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both"/>
            </w:pPr>
            <w:r>
              <w:rPr>
                <w:rFonts w:ascii="Times New Roman" w:eastAsia="Times New Roman" w:hAnsi="Times New Roman" w:cs="Times New Roman"/>
                <w:color w:val="000000"/>
                <w:spacing w:val="0"/>
                <w:w w:val="100"/>
                <w:position w:val="0"/>
              </w:rPr>
              <w:t>120,225,033.14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20"/>
              <w:jc w:val="both"/>
            </w:pPr>
            <w:r>
              <w:rPr>
                <w:rFonts w:ascii="Times New Roman" w:eastAsia="Times New Roman" w:hAnsi="Times New Roman" w:cs="Times New Roman"/>
                <w:color w:val="000000"/>
                <w:spacing w:val="0"/>
                <w:w w:val="100"/>
                <w:position w:val="0"/>
              </w:rPr>
              <w:t>28.59%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both"/>
            </w:pPr>
            <w:r>
              <w:rPr>
                <w:rFonts w:ascii="Times New Roman" w:eastAsia="Times New Roman" w:hAnsi="Times New Roman" w:cs="Times New Roman"/>
                <w:color w:val="000000"/>
                <w:spacing w:val="0"/>
                <w:w w:val="100"/>
                <w:position w:val="0"/>
              </w:rPr>
              <w:t>127,348,400.34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20"/>
              <w:jc w:val="both"/>
            </w:pPr>
            <w:r>
              <w:rPr>
                <w:rFonts w:ascii="Times New Roman" w:eastAsia="Times New Roman" w:hAnsi="Times New Roman" w:cs="Times New Roman"/>
                <w:color w:val="000000"/>
                <w:spacing w:val="0"/>
                <w:w w:val="100"/>
                <w:position w:val="0"/>
              </w:rPr>
              <w:t>31.34%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20"/>
              <w:jc w:val="both"/>
            </w:pPr>
            <w:r>
              <w:rPr>
                <w:rFonts w:ascii="Times New Roman" w:eastAsia="Times New Roman" w:hAnsi="Times New Roman" w:cs="Times New Roman"/>
                <w:color w:val="000000"/>
                <w:spacing w:val="0"/>
                <w:w w:val="100"/>
                <w:position w:val="0"/>
              </w:rPr>
              <w:t>-5.59%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41,789,292.33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31,637,666.28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变电站综合自动 化系统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20,866,889.55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020" w:right="0" w:firstLine="0"/>
              <w:jc w:val="both"/>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pPr>
            <w:r>
              <w:rPr>
                <w:rFonts w:ascii="Times New Roman" w:eastAsia="Times New Roman" w:hAnsi="Times New Roman" w:cs="Times New Roman"/>
                <w:color w:val="000000"/>
                <w:spacing w:val="0"/>
                <w:w w:val="100"/>
                <w:position w:val="0"/>
              </w:rPr>
              <w:t>22,221,682.98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020" w:right="0" w:firstLine="0"/>
              <w:jc w:val="both"/>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20"/>
              <w:jc w:val="both"/>
            </w:pPr>
            <w:r>
              <w:rPr>
                <w:rFonts w:ascii="Times New Roman" w:eastAsia="Times New Roman" w:hAnsi="Times New Roman" w:cs="Times New Roman"/>
                <w:color w:val="000000"/>
                <w:spacing w:val="0"/>
                <w:w w:val="100"/>
                <w:position w:val="0"/>
              </w:rPr>
              <w:t>-6.10%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43,177,328.78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54,135,902.75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综合能源服务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29,534,476.58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8,882,953.11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25,629,075.01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17,310,582.53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28,206,044.39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29,347,378.88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50,117,653.65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51,604,328.69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-2.88%</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60,963,293.70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63,902,836.20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-4.60%</w:t>
            </w:r>
          </w:p>
        </w:tc>
      </w:tr>
      <w:tr>
        <w:trPr>
          <w:trHeight w:val="403" w:hRule="exact"/>
        </w:trPr>
        <w:tc>
          <w:tcPr>
            <w:gridSpan w:val="6"/>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9,578,961.04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10,177,792.02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56,602,403.61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65,309,790.41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114,015,997.46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108,956,173.87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72,165,607.92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62,686,976.00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53,504,332.06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46,377,892.33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18,414,069.55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15,427,204.29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92,454,021.67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92,422,636.20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3,773,693.82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5,033,266.65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w:t>
            </w:r>
          </w:p>
        </w:tc>
      </w:tr>
      <w:tr>
        <w:trPr>
          <w:trHeight w:val="403" w:hRule="exact"/>
        </w:trPr>
        <w:tc>
          <w:tcPr>
            <w:gridSpan w:val="6"/>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46,522,777.90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48,700,785.43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-4.47%</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373,986,309.23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357,690,946.34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r>
    </w:tbl>
    <w:p>
      <w:pPr>
        <w:widowControl w:val="0"/>
        <w:spacing w:after="299" w:line="1" w:lineRule="exact"/>
      </w:pPr>
    </w:p>
    <w:p>
      <w:pPr>
        <w:pStyle w:val="Style46"/>
        <w:keepNext/>
        <w:keepLines/>
        <w:widowControl w:val="0"/>
        <w:numPr>
          <w:ilvl w:val="0"/>
          <w:numId w:val="1"/>
        </w:numPr>
        <w:shd w:val="clear" w:color="auto" w:fill="auto"/>
        <w:bidi w:val="0"/>
        <w:spacing w:before="0" w:after="44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以上的行业、产品、地区、销售模式的情况</w:t>
      </w:r>
      <w:bookmarkEnd w:id="106"/>
      <w:bookmarkEnd w:id="107"/>
      <w:bookmarkEnd w:id="109"/>
    </w:p>
    <w:p>
      <w:pPr>
        <w:pStyle w:val="Style18"/>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565"/>
        <w:gridCol w:w="1699"/>
        <w:gridCol w:w="1133"/>
        <w:gridCol w:w="1277"/>
        <w:gridCol w:w="1286"/>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framePr w:w="6960" w:h="1042" w:hSpace="1118" w:wrap="notBeside" w:vAnchor="text" w:hAnchor="text" w:x="1825" w:y="1"/>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framePr w:w="6960" w:h="1042" w:hSpace="1118" w:wrap="notBeside" w:vAnchor="text" w:hAnchor="text" w:x="1825" w:y="1"/>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1"/>
              <w:keepNext w:val="0"/>
              <w:keepLines w:val="0"/>
              <w:framePr w:w="6960" w:h="1042" w:hSpace="1118" w:wrap="notBeside" w:vAnchor="text" w:hAnchor="text" w:x="1825" w:y="1"/>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1"/>
              <w:keepNext w:val="0"/>
              <w:keepLines w:val="0"/>
              <w:framePr w:w="6960" w:h="1042" w:hSpace="1118" w:wrap="notBeside" w:vAnchor="text" w:hAnchor="text" w:x="1825" w:y="1"/>
              <w:widowControl w:val="0"/>
              <w:shd w:val="clear" w:color="auto" w:fill="auto"/>
              <w:bidi w:val="0"/>
              <w:spacing w:before="0" w:after="0" w:line="317" w:lineRule="exact"/>
              <w:ind w:left="0" w:right="0" w:firstLine="0"/>
              <w:jc w:val="center"/>
            </w:pPr>
            <w:r>
              <w:rPr>
                <w:color w:val="000000"/>
                <w:spacing w:val="0"/>
                <w:w w:val="100"/>
                <w:position w:val="0"/>
              </w:rPr>
              <w:t>营业收入比</w:t>
            </w:r>
          </w:p>
          <w:p>
            <w:pPr>
              <w:pStyle w:val="Style21"/>
              <w:keepNext w:val="0"/>
              <w:keepLines w:val="0"/>
              <w:framePr w:w="6960" w:h="1042" w:hSpace="1118" w:wrap="notBeside" w:vAnchor="text" w:hAnchor="text" w:x="1825" w:y="1"/>
              <w:widowControl w:val="0"/>
              <w:shd w:val="clear" w:color="auto" w:fill="auto"/>
              <w:bidi w:val="0"/>
              <w:spacing w:before="0" w:after="0" w:line="317" w:lineRule="exact"/>
              <w:ind w:left="0" w:right="0" w:firstLine="0"/>
              <w:jc w:val="center"/>
            </w:pPr>
            <w:r>
              <w:rPr>
                <w:color w:val="000000"/>
                <w:spacing w:val="0"/>
                <w:w w:val="100"/>
                <w:position w:val="0"/>
              </w:rPr>
              <w:t>上年同期增 减</w:t>
            </w:r>
          </w:p>
        </w:tc>
        <w:tc>
          <w:tcPr>
            <w:tcBorders>
              <w:top w:val="single" w:sz="4"/>
              <w:left w:val="single" w:sz="4"/>
              <w:bottom w:val="single" w:sz="4"/>
              <w:right w:val="single" w:sz="4"/>
            </w:tcBorders>
            <w:shd w:val="clear" w:color="auto" w:fill="D3D3D3"/>
            <w:vAlign w:val="center"/>
          </w:tcPr>
          <w:p>
            <w:pPr>
              <w:pStyle w:val="Style21"/>
              <w:keepNext w:val="0"/>
              <w:keepLines w:val="0"/>
              <w:framePr w:w="6960" w:h="1042" w:hSpace="1118" w:wrap="notBeside" w:vAnchor="text" w:hAnchor="text" w:x="1825" w:y="1"/>
              <w:widowControl w:val="0"/>
              <w:shd w:val="clear" w:color="auto" w:fill="auto"/>
              <w:bidi w:val="0"/>
              <w:spacing w:before="0" w:after="0" w:line="317" w:lineRule="exact"/>
              <w:ind w:left="0" w:right="0" w:firstLine="0"/>
              <w:jc w:val="center"/>
            </w:pPr>
            <w:r>
              <w:rPr>
                <w:color w:val="000000"/>
                <w:spacing w:val="0"/>
                <w:w w:val="100"/>
                <w:position w:val="0"/>
              </w:rPr>
              <w:t>营业成本比</w:t>
            </w:r>
          </w:p>
          <w:p>
            <w:pPr>
              <w:pStyle w:val="Style21"/>
              <w:keepNext w:val="0"/>
              <w:keepLines w:val="0"/>
              <w:framePr w:w="6960" w:h="1042" w:hSpace="1118" w:wrap="notBeside" w:vAnchor="text" w:hAnchor="text" w:x="1825" w:y="1"/>
              <w:widowControl w:val="0"/>
              <w:shd w:val="clear" w:color="auto" w:fill="auto"/>
              <w:bidi w:val="0"/>
              <w:spacing w:before="0" w:after="0" w:line="317" w:lineRule="exact"/>
              <w:ind w:left="0" w:right="0" w:firstLine="0"/>
              <w:jc w:val="center"/>
            </w:pPr>
            <w:r>
              <w:rPr>
                <w:color w:val="000000"/>
                <w:spacing w:val="0"/>
                <w:w w:val="100"/>
                <w:position w:val="0"/>
              </w:rPr>
              <w:t>上年同期增 减</w:t>
            </w:r>
          </w:p>
        </w:tc>
      </w:tr>
    </w:tbl>
    <w:p>
      <w:pPr>
        <w:pStyle w:val="Style25"/>
        <w:keepNext w:val="0"/>
        <w:keepLines w:val="0"/>
        <w:framePr w:w="1090" w:h="576" w:hSpace="1824" w:wrap="notBeside" w:vAnchor="text" w:hAnchor="text" w:x="8814" w:y="241"/>
        <w:widowControl w:val="0"/>
        <w:shd w:val="clear" w:color="auto" w:fill="auto"/>
        <w:bidi w:val="0"/>
        <w:spacing w:before="0" w:after="80" w:line="240" w:lineRule="auto"/>
        <w:ind w:left="0" w:right="0" w:firstLine="0"/>
        <w:jc w:val="right"/>
      </w:pPr>
      <w:r>
        <w:rPr>
          <w:color w:val="000000"/>
          <w:spacing w:val="0"/>
          <w:w w:val="100"/>
          <w:position w:val="0"/>
        </w:rPr>
        <w:t>毛利率比上</w:t>
      </w:r>
    </w:p>
    <w:p>
      <w:pPr>
        <w:pStyle w:val="Style25"/>
        <w:keepNext w:val="0"/>
        <w:keepLines w:val="0"/>
        <w:framePr w:w="1090" w:h="576" w:hSpace="1824" w:wrap="notBeside" w:vAnchor="text" w:hAnchor="text" w:x="8814" w:y="241"/>
        <w:widowControl w:val="0"/>
        <w:shd w:val="clear" w:color="auto" w:fill="auto"/>
        <w:bidi w:val="0"/>
        <w:spacing w:before="0" w:after="0" w:line="240" w:lineRule="auto"/>
        <w:ind w:left="0" w:right="0" w:firstLine="0"/>
        <w:jc w:val="right"/>
      </w:pPr>
      <w:r>
        <w:rPr>
          <w:color w:val="000000"/>
          <w:spacing w:val="0"/>
          <w:w w:val="100"/>
          <w:position w:val="0"/>
        </w:rPr>
        <w:t>年同期增减</w:t>
      </w:r>
    </w:p>
    <w:p>
      <w:pPr>
        <w:widowControl w:val="0"/>
        <w:spacing w:line="1" w:lineRule="exact"/>
      </w:pPr>
      <w:r>
        <w:br w:type="page"/>
      </w:r>
    </w:p>
    <w:tbl>
      <w:tblPr>
        <w:tblOverlap w:val="never"/>
        <w:jc w:val="center"/>
        <w:tblLayout w:type="fixed"/>
      </w:tblPr>
      <w:tblGrid>
        <w:gridCol w:w="1608"/>
        <w:gridCol w:w="1560"/>
        <w:gridCol w:w="1704"/>
        <w:gridCol w:w="1133"/>
        <w:gridCol w:w="1277"/>
        <w:gridCol w:w="1272"/>
        <w:gridCol w:w="1166"/>
      </w:tblGrid>
      <w:tr>
        <w:trPr>
          <w:trHeight w:val="403" w:hRule="exact"/>
        </w:trPr>
        <w:tc>
          <w:tcPr>
            <w:gridSpan w:val="7"/>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342,062,078.40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172,966,706.84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78,447,008.73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45,936,285.21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w:t>
            </w:r>
          </w:p>
        </w:tc>
      </w:tr>
      <w:tr>
        <w:trPr>
          <w:trHeight w:val="403" w:hRule="exact"/>
        </w:trPr>
        <w:tc>
          <w:tcPr>
            <w:gridSpan w:val="7"/>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电力故障录波装 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120,225,033.14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50,480,604.89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43,177,328.78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29,114,843.62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50,117,653.65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21,526,518.13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r>
      <w:tr>
        <w:trPr>
          <w:trHeight w:val="403" w:hRule="exact"/>
        </w:trPr>
        <w:tc>
          <w:tcPr>
            <w:gridSpan w:val="7"/>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56,602,403.61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26,513,806.78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114,015,997.46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58,720,359.82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72,165,607.92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34,755,136.10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53,504,332.06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24,971,409.62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92,454,021.67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52,502,183.30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-4.77%</w:t>
            </w:r>
          </w:p>
        </w:tc>
      </w:tr>
      <w:tr>
        <w:trPr>
          <w:trHeight w:val="403" w:hRule="exact"/>
        </w:trPr>
        <w:tc>
          <w:tcPr>
            <w:gridSpan w:val="7"/>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46,522,777.90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19,996,327.72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373,986,309.23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198,906,664.34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-4.98%</w:t>
            </w:r>
          </w:p>
        </w:tc>
      </w:tr>
    </w:tbl>
    <w:p>
      <w:pPr>
        <w:widowControl w:val="0"/>
        <w:spacing w:after="159" w:line="1" w:lineRule="exact"/>
      </w:pP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年按报告期末口径 </w:t>
      </w:r>
      <w:r>
        <w:rPr>
          <w:color w:val="000000"/>
          <w:spacing w:val="0"/>
          <w:w w:val="100"/>
          <w:position w:val="0"/>
        </w:rPr>
        <w:t>调整后的主营业务数据</w:t>
      </w:r>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6"/>
        <w:keepNext/>
        <w:keepLines/>
        <w:widowControl w:val="0"/>
        <w:shd w:val="clear" w:color="auto" w:fill="auto"/>
        <w:bidi w:val="0"/>
        <w:spacing w:before="0" w:after="44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）公司实物销售收入是否大于劳务收入</w:t>
      </w:r>
      <w:bookmarkEnd w:id="110"/>
      <w:bookmarkEnd w:id="111"/>
      <w:bookmarkEnd w:id="113"/>
    </w:p>
    <w:p>
      <w:pPr>
        <w:pStyle w:val="Style18"/>
        <w:keepNext w:val="0"/>
        <w:keepLines w:val="0"/>
        <w:widowControl w:val="0"/>
        <w:shd w:val="clear" w:color="auto" w:fill="auto"/>
        <w:bidi w:val="0"/>
        <w:spacing w:before="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r>
      <w:tr>
        <w:trPr>
          <w:trHeight w:val="398"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40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医疗健康（试剂）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69,401,595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122,274,308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w:t>
            </w:r>
          </w:p>
        </w:tc>
      </w:tr>
      <w:tr>
        <w:trPr>
          <w:trHeight w:val="398"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72,253,775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123,114,420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毫升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7,719,235.00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w:t>
            </w:r>
          </w:p>
        </w:tc>
      </w:tr>
      <w:tr>
        <w:trPr>
          <w:trHeight w:val="40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医疗健康（仪器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w:t>
            </w:r>
          </w:p>
        </w:tc>
      </w:tr>
      <w:tr>
        <w:trPr>
          <w:trHeight w:val="403"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w:t>
            </w:r>
          </w:p>
        </w:tc>
      </w:tr>
      <w:tr>
        <w:trPr>
          <w:trHeight w:val="40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8"/>
        <w:keepNext w:val="0"/>
        <w:keepLines w:val="0"/>
        <w:widowControl w:val="0"/>
        <w:shd w:val="clear" w:color="auto" w:fill="auto"/>
        <w:bidi w:val="0"/>
        <w:spacing w:before="0" w:after="160" w:line="437" w:lineRule="exact"/>
        <w:ind w:left="0" w:right="0" w:firstLine="52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79" w:lineRule="auto"/>
        <w:ind w:left="0" w:right="0" w:firstLine="52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tabs>
          <w:tab w:pos="901" w:val="left"/>
        </w:tabs>
        <w:bidi w:val="0"/>
        <w:spacing w:before="0" w:after="0" w:line="427" w:lineRule="exact"/>
        <w:ind w:left="0" w:right="0" w:firstLine="520"/>
        <w:jc w:val="both"/>
      </w:pPr>
      <w:bookmarkStart w:id="114" w:name="bookmark114"/>
      <w:r>
        <w:rPr>
          <w:rFonts w:ascii="Times New Roman" w:eastAsia="Times New Roman" w:hAnsi="Times New Roman" w:cs="Times New Roman"/>
          <w:color w:val="000000"/>
          <w:spacing w:val="0"/>
          <w:w w:val="100"/>
          <w:position w:val="0"/>
          <w:sz w:val="24"/>
          <w:szCs w:val="24"/>
        </w:rPr>
        <w:t>1</w:t>
      </w:r>
      <w:bookmarkEnd w:id="114"/>
      <w:r>
        <w:rPr>
          <w:color w:val="000000"/>
          <w:spacing w:val="0"/>
          <w:w w:val="100"/>
          <w:position w:val="0"/>
        </w:rPr>
        <w:t>）</w:t>
        <w:tab/>
        <w:t>本期医疗健康（试剂）行业销售量、生产量、库存量相比去年同期分别减少</w:t>
      </w:r>
      <w:r>
        <w:rPr>
          <w:rFonts w:ascii="Times New Roman" w:eastAsia="Times New Roman" w:hAnsi="Times New Roman" w:cs="Times New Roman"/>
          <w:color w:val="000000"/>
          <w:spacing w:val="0"/>
          <w:w w:val="100"/>
          <w:position w:val="0"/>
          <w:sz w:val="24"/>
          <w:szCs w:val="24"/>
        </w:rPr>
        <w:t>43.24%</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41.31%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44.67%</w:t>
      </w:r>
      <w:r>
        <w:rPr>
          <w:color w:val="000000"/>
          <w:spacing w:val="0"/>
          <w:w w:val="100"/>
          <w:position w:val="0"/>
        </w:rPr>
        <w:t>，主要系本期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月转让埃克森股权不再纳入合并所致。</w:t>
      </w:r>
    </w:p>
    <w:p>
      <w:pPr>
        <w:pStyle w:val="Style18"/>
        <w:keepNext w:val="0"/>
        <w:keepLines w:val="0"/>
        <w:widowControl w:val="0"/>
        <w:shd w:val="clear" w:color="auto" w:fill="auto"/>
        <w:tabs>
          <w:tab w:pos="896" w:val="left"/>
        </w:tabs>
        <w:bidi w:val="0"/>
        <w:spacing w:before="0" w:after="160" w:line="446" w:lineRule="exact"/>
        <w:ind w:left="0" w:right="0" w:firstLine="520"/>
        <w:jc w:val="both"/>
      </w:pPr>
      <w:bookmarkStart w:id="115" w:name="bookmark115"/>
      <w:r>
        <w:rPr>
          <w:rFonts w:ascii="Times New Roman" w:eastAsia="Times New Roman" w:hAnsi="Times New Roman" w:cs="Times New Roman"/>
          <w:color w:val="000000"/>
          <w:spacing w:val="0"/>
          <w:w w:val="100"/>
          <w:position w:val="0"/>
          <w:sz w:val="24"/>
          <w:szCs w:val="24"/>
        </w:rPr>
        <w:t>2</w:t>
      </w:r>
      <w:bookmarkEnd w:id="115"/>
      <w:r>
        <w:rPr>
          <w:color w:val="000000"/>
          <w:spacing w:val="0"/>
          <w:w w:val="100"/>
          <w:position w:val="0"/>
        </w:rPr>
        <w:t>）</w:t>
        <w:tab/>
        <w:t>本期医疗健康（仪器设备）行业销售量、生产量、库存量相比去年同期分别减少</w:t>
      </w:r>
      <w:r>
        <w:rPr>
          <w:rFonts w:ascii="Times New Roman" w:eastAsia="Times New Roman" w:hAnsi="Times New Roman" w:cs="Times New Roman"/>
          <w:color w:val="000000"/>
          <w:spacing w:val="0"/>
          <w:w w:val="100"/>
          <w:position w:val="0"/>
          <w:sz w:val="24"/>
          <w:szCs w:val="24"/>
        </w:rPr>
        <w:t>36.93%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34.20%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，主要系本期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月转让埃克森股权不再纳入合并所致。</w:t>
      </w:r>
    </w:p>
    <w:p>
      <w:pPr>
        <w:pStyle w:val="Style46"/>
        <w:keepNext/>
        <w:keepLines/>
        <w:widowControl w:val="0"/>
        <w:shd w:val="clear" w:color="auto" w:fill="auto"/>
        <w:tabs>
          <w:tab w:pos="536" w:val="left"/>
        </w:tabs>
        <w:bidi w:val="0"/>
        <w:spacing w:before="0" w:after="460" w:line="437" w:lineRule="exact"/>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公司已签订的重大销售合同、重大采购合同截至本报告期的履行情况</w:t>
      </w:r>
      <w:bookmarkEnd w:id="116"/>
      <w:bookmarkEnd w:id="117"/>
      <w:bookmarkEnd w:id="119"/>
    </w:p>
    <w:p>
      <w:pPr>
        <w:pStyle w:val="Style18"/>
        <w:keepNext w:val="0"/>
        <w:keepLines w:val="0"/>
        <w:widowControl w:val="0"/>
        <w:shd w:val="clear" w:color="auto" w:fill="auto"/>
        <w:bidi w:val="0"/>
        <w:spacing w:before="0" w:after="0" w:line="379"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46"/>
        <w:keepNext/>
        <w:keepLines/>
        <w:widowControl w:val="0"/>
        <w:shd w:val="clear" w:color="auto" w:fill="auto"/>
        <w:tabs>
          <w:tab w:pos="536" w:val="left"/>
        </w:tabs>
        <w:bidi w:val="0"/>
        <w:spacing w:before="0" w:after="300" w:line="437" w:lineRule="exact"/>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营业成本构成</w:t>
      </w:r>
      <w:bookmarkEnd w:id="120"/>
      <w:bookmarkEnd w:id="121"/>
      <w:bookmarkEnd w:id="123"/>
    </w:p>
    <w:p>
      <w:pPr>
        <w:pStyle w:val="Style18"/>
        <w:keepNext w:val="0"/>
        <w:keepLines w:val="0"/>
        <w:widowControl w:val="0"/>
        <w:shd w:val="clear" w:color="auto" w:fill="auto"/>
        <w:bidi w:val="0"/>
        <w:spacing w:before="0" w:after="100" w:line="437" w:lineRule="exact"/>
        <w:ind w:left="0" w:right="0" w:firstLine="520"/>
        <w:jc w:val="both"/>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87"/>
        <w:gridCol w:w="1382"/>
        <w:gridCol w:w="1387"/>
        <w:gridCol w:w="1382"/>
        <w:gridCol w:w="1387"/>
        <w:gridCol w:w="1387"/>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同比增减</w:t>
            </w: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 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 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120,825,158.77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111,694,594.66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 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23,859,506.38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32,936,517.75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r>
    </w:tbl>
    <w:p>
      <w:pPr>
        <w:pStyle w:val="Style25"/>
        <w:keepNext w:val="0"/>
        <w:keepLines w:val="0"/>
        <w:widowControl w:val="0"/>
        <w:shd w:val="clear" w:color="auto" w:fill="auto"/>
        <w:bidi w:val="0"/>
        <w:spacing w:before="0" w:after="0" w:line="240" w:lineRule="auto"/>
        <w:ind w:left="514" w:right="0" w:firstLine="0"/>
        <w:jc w:val="left"/>
        <w:rPr>
          <w:sz w:val="22"/>
          <w:szCs w:val="22"/>
        </w:rPr>
      </w:pPr>
      <w:r>
        <w:rPr>
          <w:color w:val="000000"/>
          <w:spacing w:val="0"/>
          <w:w w:val="100"/>
          <w:position w:val="0"/>
          <w:sz w:val="22"/>
          <w:szCs w:val="22"/>
        </w:rPr>
        <w:t>说明</w:t>
      </w:r>
    </w:p>
    <w:p>
      <w:pPr>
        <w:pStyle w:val="Style18"/>
        <w:keepNext w:val="0"/>
        <w:keepLines w:val="0"/>
        <w:widowControl w:val="0"/>
        <w:shd w:val="clear" w:color="auto" w:fill="auto"/>
        <w:bidi w:val="0"/>
        <w:spacing w:before="0" w:after="160" w:line="443" w:lineRule="exact"/>
        <w:ind w:left="0" w:right="0" w:firstLine="520"/>
        <w:jc w:val="both"/>
      </w:pPr>
      <w:r>
        <w:rPr>
          <w:color w:val="000000"/>
          <w:spacing w:val="0"/>
          <w:w w:val="100"/>
          <w:position w:val="0"/>
        </w:rPr>
        <w:t>本期医疗健康营业成本中材料占比相比去年同期减少</w:t>
      </w:r>
      <w:r>
        <w:rPr>
          <w:rFonts w:ascii="Times New Roman" w:eastAsia="Times New Roman" w:hAnsi="Times New Roman" w:cs="Times New Roman"/>
          <w:color w:val="000000"/>
          <w:spacing w:val="0"/>
          <w:w w:val="100"/>
          <w:position w:val="0"/>
          <w:sz w:val="24"/>
          <w:szCs w:val="24"/>
        </w:rPr>
        <w:t>18.44%</w:t>
      </w:r>
      <w:r>
        <w:rPr>
          <w:color w:val="000000"/>
          <w:spacing w:val="0"/>
          <w:w w:val="100"/>
          <w:position w:val="0"/>
        </w:rPr>
        <w:t>，主要原因为世轩科技收入 类别中的硬件产品中材料成本占比较高，而本期实现硬件收入</w:t>
      </w:r>
      <w:r>
        <w:rPr>
          <w:rFonts w:ascii="Times New Roman" w:eastAsia="Times New Roman" w:hAnsi="Times New Roman" w:cs="Times New Roman"/>
          <w:color w:val="000000"/>
          <w:spacing w:val="0"/>
          <w:w w:val="100"/>
          <w:position w:val="0"/>
          <w:sz w:val="24"/>
          <w:szCs w:val="24"/>
        </w:rPr>
        <w:t>3,418,959.61,</w:t>
      </w:r>
      <w:r>
        <w:rPr>
          <w:color w:val="000000"/>
          <w:spacing w:val="0"/>
          <w:w w:val="100"/>
          <w:position w:val="0"/>
        </w:rPr>
        <w:t xml:space="preserve">元，占总收入的 </w:t>
      </w:r>
      <w:r>
        <w:rPr>
          <w:rFonts w:ascii="Times New Roman" w:eastAsia="Times New Roman" w:hAnsi="Times New Roman" w:cs="Times New Roman"/>
          <w:color w:val="000000"/>
          <w:spacing w:val="0"/>
          <w:w w:val="100"/>
          <w:position w:val="0"/>
          <w:sz w:val="24"/>
          <w:szCs w:val="24"/>
        </w:rPr>
        <w:t>14.48%</w:t>
      </w:r>
      <w:r>
        <w:rPr>
          <w:color w:val="000000"/>
          <w:spacing w:val="0"/>
          <w:w w:val="100"/>
          <w:position w:val="0"/>
        </w:rPr>
        <w:t>，上年同期硬件收入</w:t>
      </w:r>
      <w:r>
        <w:rPr>
          <w:rFonts w:ascii="Times New Roman" w:eastAsia="Times New Roman" w:hAnsi="Times New Roman" w:cs="Times New Roman"/>
          <w:color w:val="000000"/>
          <w:spacing w:val="0"/>
          <w:w w:val="100"/>
          <w:position w:val="0"/>
          <w:sz w:val="24"/>
          <w:szCs w:val="24"/>
        </w:rPr>
        <w:t>16,912,243.58</w:t>
      </w:r>
      <w:r>
        <w:rPr>
          <w:color w:val="000000"/>
          <w:spacing w:val="0"/>
          <w:w w:val="100"/>
          <w:position w:val="0"/>
        </w:rPr>
        <w:t>元，占总收入的</w:t>
      </w:r>
      <w:r>
        <w:rPr>
          <w:rFonts w:ascii="Times New Roman" w:eastAsia="Times New Roman" w:hAnsi="Times New Roman" w:cs="Times New Roman"/>
          <w:color w:val="000000"/>
          <w:spacing w:val="0"/>
          <w:w w:val="100"/>
          <w:position w:val="0"/>
          <w:sz w:val="24"/>
          <w:szCs w:val="24"/>
        </w:rPr>
        <w:t>57.63%</w:t>
      </w:r>
      <w:r>
        <w:rPr>
          <w:color w:val="000000"/>
          <w:spacing w:val="0"/>
          <w:w w:val="100"/>
          <w:position w:val="0"/>
        </w:rPr>
        <w:t>，硬件收入减少</w:t>
      </w:r>
      <w:r>
        <w:rPr>
          <w:rFonts w:ascii="Times New Roman" w:eastAsia="Times New Roman" w:hAnsi="Times New Roman" w:cs="Times New Roman"/>
          <w:color w:val="000000"/>
          <w:spacing w:val="0"/>
          <w:w w:val="100"/>
          <w:position w:val="0"/>
          <w:sz w:val="24"/>
          <w:szCs w:val="24"/>
        </w:rPr>
        <w:t>79.78%</w:t>
      </w:r>
      <w:r>
        <w:rPr>
          <w:color w:val="000000"/>
          <w:spacing w:val="0"/>
          <w:w w:val="100"/>
          <w:position w:val="0"/>
        </w:rPr>
        <w:t>所 致。</w:t>
      </w:r>
    </w:p>
    <w:p>
      <w:pPr>
        <w:pStyle w:val="Style46"/>
        <w:keepNext/>
        <w:keepLines/>
        <w:widowControl w:val="0"/>
        <w:shd w:val="clear" w:color="auto" w:fill="auto"/>
        <w:bidi w:val="0"/>
        <w:spacing w:before="0" w:after="460" w:line="443" w:lineRule="exact"/>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sz w:val="24"/>
          <w:szCs w:val="24"/>
        </w:rPr>
        <w:t>6</w:t>
      </w:r>
      <w:r>
        <w:rPr>
          <w:color w:val="000000"/>
          <w:spacing w:val="0"/>
          <w:w w:val="100"/>
          <w:position w:val="0"/>
        </w:rPr>
        <w:t>）报告期内合并范围是否发生变动</w:t>
      </w:r>
      <w:bookmarkEnd w:id="124"/>
      <w:bookmarkEnd w:id="125"/>
      <w:bookmarkEnd w:id="127"/>
    </w:p>
    <w:p>
      <w:pPr>
        <w:pStyle w:val="Style18"/>
        <w:keepNext w:val="0"/>
        <w:keepLines w:val="0"/>
        <w:widowControl w:val="0"/>
        <w:shd w:val="clear" w:color="auto" w:fill="auto"/>
        <w:bidi w:val="0"/>
        <w:spacing w:before="0" w:after="0" w:line="386" w:lineRule="auto"/>
        <w:ind w:left="0" w:right="0" w:firstLine="52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8"/>
        <w:keepNext w:val="0"/>
        <w:keepLines w:val="0"/>
        <w:widowControl w:val="0"/>
        <w:shd w:val="clear" w:color="auto" w:fill="auto"/>
        <w:tabs>
          <w:tab w:pos="891" w:val="left"/>
        </w:tabs>
        <w:bidi w:val="0"/>
        <w:spacing w:before="0" w:after="0" w:line="442" w:lineRule="exact"/>
        <w:ind w:left="0" w:right="0" w:firstLine="520"/>
        <w:jc w:val="both"/>
      </w:pPr>
      <w:bookmarkStart w:id="128" w:name="bookmark128"/>
      <w:r>
        <w:rPr>
          <w:rFonts w:ascii="Times New Roman" w:eastAsia="Times New Roman" w:hAnsi="Times New Roman" w:cs="Times New Roman"/>
          <w:color w:val="000000"/>
          <w:spacing w:val="0"/>
          <w:w w:val="100"/>
          <w:position w:val="0"/>
          <w:sz w:val="24"/>
          <w:szCs w:val="24"/>
        </w:rPr>
        <w:t>1</w:t>
      </w:r>
      <w:bookmarkEnd w:id="12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月，公司转让持有的广州埃克森生物科技有限公司</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股权，转让后不再 持有其股权，不纳入合并范围。本年埃克森影响归母净利润为</w:t>
      </w:r>
      <w:r>
        <w:rPr>
          <w:rFonts w:ascii="Times New Roman" w:eastAsia="Times New Roman" w:hAnsi="Times New Roman" w:cs="Times New Roman"/>
          <w:color w:val="000000"/>
          <w:spacing w:val="0"/>
          <w:w w:val="100"/>
          <w:position w:val="0"/>
          <w:sz w:val="24"/>
          <w:szCs w:val="24"/>
        </w:rPr>
        <w:t>-692,713.01</w:t>
      </w:r>
      <w:r>
        <w:rPr>
          <w:color w:val="000000"/>
          <w:spacing w:val="0"/>
          <w:w w:val="100"/>
          <w:position w:val="0"/>
        </w:rPr>
        <w:t>元，上年同期归属 于母公司净利润为</w:t>
      </w:r>
      <w:r>
        <w:rPr>
          <w:rFonts w:ascii="Times New Roman" w:eastAsia="Times New Roman" w:hAnsi="Times New Roman" w:cs="Times New Roman"/>
          <w:color w:val="000000"/>
          <w:spacing w:val="0"/>
          <w:w w:val="100"/>
          <w:position w:val="0"/>
          <w:sz w:val="24"/>
          <w:szCs w:val="24"/>
        </w:rPr>
        <w:t>-2,606,900.98</w:t>
      </w:r>
      <w:r>
        <w:rPr>
          <w:color w:val="000000"/>
          <w:spacing w:val="0"/>
          <w:w w:val="100"/>
          <w:position w:val="0"/>
        </w:rPr>
        <w:t>元。</w:t>
      </w:r>
    </w:p>
    <w:p>
      <w:pPr>
        <w:pStyle w:val="Style18"/>
        <w:keepNext w:val="0"/>
        <w:keepLines w:val="0"/>
        <w:widowControl w:val="0"/>
        <w:shd w:val="clear" w:color="auto" w:fill="auto"/>
        <w:tabs>
          <w:tab w:pos="421" w:val="left"/>
        </w:tabs>
        <w:bidi w:val="0"/>
        <w:spacing w:before="0" w:after="60" w:line="443" w:lineRule="exact"/>
        <w:ind w:left="0" w:right="0" w:firstLine="520"/>
        <w:jc w:val="both"/>
      </w:pPr>
      <w:bookmarkStart w:id="129" w:name="bookmark129"/>
      <w:r>
        <w:rPr>
          <w:rFonts w:ascii="Times New Roman" w:eastAsia="Times New Roman" w:hAnsi="Times New Roman" w:cs="Times New Roman"/>
          <w:color w:val="000000"/>
          <w:spacing w:val="0"/>
          <w:w w:val="100"/>
          <w:position w:val="0"/>
          <w:sz w:val="24"/>
          <w:szCs w:val="24"/>
        </w:rPr>
        <w:t>2</w:t>
      </w:r>
      <w:bookmarkEnd w:id="129"/>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月，公司转让持有的武汉中元惠合科技有限公司</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股权，转让后持有其 </w:t>
      </w:r>
      <w:r>
        <w:rPr>
          <w:color w:val="000000"/>
          <w:spacing w:val="0"/>
          <w:w w:val="100"/>
          <w:position w:val="0"/>
        </w:rPr>
        <w:t>实缴资本的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股权，采用权益法核算，不纳入合并范围。本年中元惠合影响归母净利润为</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406,267.30</w:t>
      </w:r>
      <w:r>
        <w:rPr>
          <w:color w:val="000000"/>
          <w:spacing w:val="0"/>
          <w:w w:val="100"/>
          <w:position w:val="0"/>
        </w:rPr>
        <w:t>元，上年同期归属于母公司净利润为</w:t>
      </w:r>
      <w:r>
        <w:rPr>
          <w:rFonts w:ascii="Times New Roman" w:eastAsia="Times New Roman" w:hAnsi="Times New Roman" w:cs="Times New Roman"/>
          <w:color w:val="000000"/>
          <w:spacing w:val="0"/>
          <w:w w:val="100"/>
          <w:position w:val="0"/>
          <w:sz w:val="24"/>
          <w:szCs w:val="24"/>
        </w:rPr>
        <w:t>-1,812,292.09</w:t>
      </w:r>
      <w:r>
        <w:rPr>
          <w:color w:val="000000"/>
          <w:spacing w:val="0"/>
          <w:w w:val="100"/>
          <w:position w:val="0"/>
        </w:rPr>
        <w:t>元。</w:t>
      </w:r>
    </w:p>
    <w:p>
      <w:pPr>
        <w:pStyle w:val="Style18"/>
        <w:keepNext w:val="0"/>
        <w:keepLines w:val="0"/>
        <w:widowControl w:val="0"/>
        <w:shd w:val="clear" w:color="auto" w:fill="auto"/>
        <w:bidi w:val="0"/>
        <w:spacing w:before="0" w:after="180" w:line="432" w:lineRule="exact"/>
        <w:ind w:left="0" w:right="0" w:firstLine="500"/>
        <w:jc w:val="left"/>
      </w:pPr>
      <w:bookmarkStart w:id="130" w:name="bookmark130"/>
      <w:r>
        <w:rPr>
          <w:rFonts w:ascii="Times New Roman" w:eastAsia="Times New Roman" w:hAnsi="Times New Roman" w:cs="Times New Roman"/>
          <w:color w:val="000000"/>
          <w:spacing w:val="0"/>
          <w:w w:val="100"/>
          <w:position w:val="0"/>
          <w:sz w:val="24"/>
          <w:szCs w:val="24"/>
        </w:rPr>
        <w:t>3</w:t>
      </w:r>
      <w:bookmarkEnd w:id="130"/>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月，世轩科技注销全资子公司南京鸣珂软件技术有限公司。</w:t>
      </w:r>
    </w:p>
    <w:p>
      <w:pPr>
        <w:pStyle w:val="Style46"/>
        <w:keepNext/>
        <w:keepLines/>
        <w:widowControl w:val="0"/>
        <w:shd w:val="clear" w:color="auto" w:fill="auto"/>
        <w:bidi w:val="0"/>
        <w:spacing w:before="0" w:after="340" w:line="432"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sz w:val="24"/>
          <w:szCs w:val="24"/>
        </w:rPr>
        <w:t>7</w:t>
      </w:r>
      <w:r>
        <w:rPr>
          <w:color w:val="000000"/>
          <w:spacing w:val="0"/>
          <w:w w:val="100"/>
          <w:position w:val="0"/>
        </w:rPr>
        <w:t>）公司报告期内业务、产品或服务发生重大变化或调整有关情况</w:t>
      </w:r>
      <w:bookmarkEnd w:id="131"/>
      <w:bookmarkEnd w:id="132"/>
      <w:bookmarkEnd w:id="134"/>
    </w:p>
    <w:p>
      <w:pPr>
        <w:pStyle w:val="Style18"/>
        <w:keepNext w:val="0"/>
        <w:keepLines w:val="0"/>
        <w:widowControl w:val="0"/>
        <w:shd w:val="clear" w:color="auto" w:fill="auto"/>
        <w:bidi w:val="0"/>
        <w:spacing w:before="0" w:after="340" w:line="432"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）主要销售客户和主要供应商情况</w:t>
      </w:r>
      <w:bookmarkEnd w:id="135"/>
      <w:bookmarkEnd w:id="136"/>
      <w:bookmarkEnd w:id="138"/>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公司主要销售客户情况</w:t>
      </w:r>
    </w:p>
    <w:tbl>
      <w:tblPr>
        <w:tblOverlap w:val="never"/>
        <w:jc w:val="center"/>
        <w:tblLayout w:type="fixed"/>
      </w:tblPr>
      <w:tblGrid>
        <w:gridCol w:w="4253"/>
        <w:gridCol w:w="536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46,614,378.29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 总额比例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79" w:line="1" w:lineRule="exact"/>
      </w:pPr>
    </w:p>
    <w:p>
      <w:pPr>
        <w:pStyle w:val="Style18"/>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大客户资料</w:t>
      </w:r>
    </w:p>
    <w:tbl>
      <w:tblPr>
        <w:tblOverlap w:val="never"/>
        <w:jc w:val="center"/>
        <w:tblLayout w:type="fixed"/>
      </w:tblPr>
      <w:tblGrid>
        <w:gridCol w:w="677"/>
        <w:gridCol w:w="3302"/>
        <w:gridCol w:w="2318"/>
        <w:gridCol w:w="3149"/>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13,223,603.59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3.14%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10,580,940.35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2.52%</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9,931,987.30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2.36%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7,233,703.24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1.72%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5,644,143.81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1.34%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46,614,378.29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公司主要供应商情况</w:t>
      </w:r>
    </w:p>
    <w:tbl>
      <w:tblPr>
        <w:tblOverlap w:val="never"/>
        <w:jc w:val="center"/>
        <w:tblLayout w:type="fixed"/>
      </w:tblPr>
      <w:tblGrid>
        <w:gridCol w:w="4253"/>
        <w:gridCol w:w="5366"/>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24,431,373.18</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前五名供应商合计采购金额占年度采购总额比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 购总额比例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79" w:line="1" w:lineRule="exact"/>
      </w:pPr>
    </w:p>
    <w:p>
      <w:pPr>
        <w:pStyle w:val="Style18"/>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672"/>
        <w:gridCol w:w="3168"/>
        <w:gridCol w:w="2323"/>
        <w:gridCol w:w="3154"/>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5,827,499.01</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5,075,017.75</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r>
    </w:tbl>
    <w:p>
      <w:pPr>
        <w:spacing w:lineRule="exact" w:line="1"/>
        <w:rPr>
          <w:sz w:val="2"/>
          <w:szCs w:val="2"/>
        </w:rPr>
      </w:pPr>
      <w:r>
        <w:br w:type="page"/>
      </w:r>
    </w:p>
    <w:tbl>
      <w:tblPr>
        <w:tblOverlap w:val="never"/>
        <w:jc w:val="center"/>
        <w:tblLayout w:type="fixed"/>
      </w:tblPr>
      <w:tblGrid>
        <w:gridCol w:w="677"/>
        <w:gridCol w:w="3168"/>
        <w:gridCol w:w="2323"/>
        <w:gridCol w:w="3173"/>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4,980,044.70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4,425,500.28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4,123,311.44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24,431,373.18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4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sz w:val="24"/>
          <w:szCs w:val="24"/>
        </w:rPr>
        <w:t>3</w:t>
      </w:r>
      <w:bookmarkEnd w:id="141"/>
      <w:r>
        <w:rPr>
          <w:color w:val="000000"/>
          <w:spacing w:val="0"/>
          <w:w w:val="100"/>
          <w:position w:val="0"/>
        </w:rPr>
        <w:t>、费用</w:t>
      </w:r>
      <w:bookmarkEnd w:id="139"/>
      <w:bookmarkEnd w:id="140"/>
      <w:bookmarkEnd w:id="1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37"/>
        <w:gridCol w:w="1637"/>
        <w:gridCol w:w="1464"/>
        <w:gridCol w:w="2923"/>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68,509,935.48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62,565,416.66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44,002,086.89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42,109,987.30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-6,325,007.05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-7,634,657.93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79,862,236.24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79,660,655.48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398" w:right="998" w:bottom="1460" w:left="999" w:header="0" w:footer="3" w:gutter="0"/>
          <w:cols w:space="720"/>
          <w:noEndnote/>
          <w:rtlGutter w:val="0"/>
          <w:docGrid w:linePitch="360"/>
        </w:sectPr>
      </w:pPr>
    </w:p>
    <w:p>
      <w:pPr>
        <w:pStyle w:val="Style32"/>
        <w:keepNext/>
        <w:keepLines/>
        <w:widowControl w:val="0"/>
        <w:shd w:val="clear" w:color="auto" w:fill="auto"/>
        <w:bidi w:val="0"/>
        <w:spacing w:before="0" w:after="32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sz w:val="24"/>
          <w:szCs w:val="24"/>
        </w:rPr>
        <w:t>4</w:t>
      </w:r>
      <w:bookmarkEnd w:id="145"/>
      <w:r>
        <w:rPr>
          <w:color w:val="000000"/>
          <w:spacing w:val="0"/>
          <w:w w:val="100"/>
          <w:position w:val="0"/>
        </w:rPr>
        <w:t>、研发投入</w:t>
      </w:r>
      <w:bookmarkEnd w:id="143"/>
      <w:bookmarkEnd w:id="144"/>
      <w:bookmarkEnd w:id="146"/>
    </w:p>
    <w:p>
      <w:pPr>
        <w:pStyle w:val="Style2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04"/>
        <w:gridCol w:w="3192"/>
        <w:gridCol w:w="725"/>
        <w:gridCol w:w="4075"/>
        <w:gridCol w:w="3902"/>
      </w:tblGrid>
      <w:tr>
        <w:trPr>
          <w:trHeight w:val="65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64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中低压保护成套装置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打造适合环保、交通等领域等非 电网用户的继保装置。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定制化功能和通信，接入特定用户已有监 控系统，监控电气数据。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拓展综自产品的应用领域和市场板块。</w:t>
            </w:r>
          </w:p>
        </w:tc>
      </w:tr>
      <w:tr>
        <w:trPr>
          <w:trHeight w:val="220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发电机监测及特性测 试仪</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便携装置能够实现发电机的电气 特性试验，还能进行故障录波和 分析，满足电力系统各种故障的 快速分析定位，为电力运行维护 提供有利手段。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具备电气参数实时监测功能，能够以稳态 录波和暂态录波的方式显示定子、转子的 相关幅值、相位、频率、功角、</w:t>
            </w:r>
            <w:r>
              <w:rPr>
                <w:rFonts w:ascii="Times New Roman" w:eastAsia="Times New Roman" w:hAnsi="Times New Roman" w:cs="Times New Roman"/>
                <w:color w:val="000000"/>
                <w:spacing w:val="0"/>
                <w:w w:val="100"/>
                <w:position w:val="0"/>
              </w:rPr>
              <w:t>PQ</w:t>
            </w:r>
            <w:r>
              <w:rPr>
                <w:color w:val="000000"/>
                <w:spacing w:val="0"/>
                <w:w w:val="100"/>
                <w:position w:val="0"/>
              </w:rPr>
              <w:t>图等电 气参数；具备发电机电气特性试验功能， 能够进行发电机空载、短路、频率特性、 灭磁、励磁、阶跃响应等试验，并自动生 成相关测试报告。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发电机监测及特性测试仪的开发，能够进 一步拓展公司在一、二次采样录波测试方 面的产品种类，提升公司测试仪器产品的 竞争力。</w:t>
            </w:r>
          </w:p>
        </w:tc>
      </w:tr>
      <w:tr>
        <w:trPr>
          <w:trHeight w:val="95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配网环境监控系统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对配电站房环境进行监测预警， 预防绝缘击穿爆炸，通过调节环 境参数延长设备寿命。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针对环境温度、湿度、臭氧等参量捕捉局 放特征，自动触发环境整治，并实现远传 和远控。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老旧配网设施众多，环境监控还属于盲 区。该系统可拓展公司业务板块，创造增 值点。</w:t>
            </w:r>
          </w:p>
        </w:tc>
      </w:tr>
      <w:tr>
        <w:trPr>
          <w:trHeight w:val="189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动模实验自动测试软 件系统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解决用户对于动模测试自动化的 需求，实现保护、录波智能记录、 分析、生成报告的功能。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围绕用户对于动模试验系统的管理需求实 现对波形文件实现自动打开并入库、</w:t>
            </w:r>
            <w:r>
              <w:rPr>
                <w:rFonts w:ascii="Times New Roman" w:eastAsia="Times New Roman" w:hAnsi="Times New Roman" w:cs="Times New Roman"/>
                <w:color w:val="000000"/>
                <w:spacing w:val="0"/>
                <w:w w:val="100"/>
                <w:position w:val="0"/>
              </w:rPr>
              <w:t xml:space="preserve">web </w:t>
            </w:r>
            <w:r>
              <w:rPr>
                <w:color w:val="000000"/>
                <w:spacing w:val="0"/>
                <w:w w:val="100"/>
                <w:position w:val="0"/>
              </w:rPr>
              <w:t>代替</w:t>
            </w:r>
            <w:r>
              <w:rPr>
                <w:rFonts w:ascii="Times New Roman" w:eastAsia="Times New Roman" w:hAnsi="Times New Roman" w:cs="Times New Roman"/>
                <w:color w:val="000000"/>
                <w:spacing w:val="0"/>
                <w:w w:val="100"/>
                <w:position w:val="0"/>
              </w:rPr>
              <w:t>Excel</w:t>
            </w:r>
            <w:r>
              <w:rPr>
                <w:color w:val="000000"/>
                <w:spacing w:val="0"/>
                <w:w w:val="100"/>
                <w:position w:val="0"/>
              </w:rPr>
              <w:t>对试验结果进行分析、一键导出 信息规范报告及检测报告等功能，同时兼 具台账、通断状态、遥信、遥测查看等基 本功能。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该项目完成后，公司将具有可为用户开发 具备动模试验自动记录平台的能力。项目 经验对于公司电力仪器、录波等装置的开 发亦有推动作用。</w:t>
            </w:r>
          </w:p>
        </w:tc>
      </w:tr>
      <w:tr>
        <w:trPr>
          <w:trHeight w:val="95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远动工作站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支持国网各地市公司运维集控主 站接入。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w:t>
            </w:r>
            <w:r>
              <w:rPr>
                <w:rFonts w:ascii="Times New Roman" w:eastAsia="Times New Roman" w:hAnsi="Times New Roman" w:cs="Times New Roman"/>
                <w:color w:val="000000"/>
                <w:spacing w:val="0"/>
                <w:w w:val="100"/>
                <w:position w:val="0"/>
              </w:rPr>
              <w:t>JBK3500</w:t>
            </w:r>
            <w:r>
              <w:rPr>
                <w:color w:val="000000"/>
                <w:spacing w:val="0"/>
                <w:w w:val="100"/>
                <w:position w:val="0"/>
              </w:rPr>
              <w:t>机箱及板件尺寸、将主控板 升级至</w:t>
            </w:r>
            <w:r>
              <w:rPr>
                <w:rFonts w:ascii="Times New Roman" w:eastAsia="Times New Roman" w:hAnsi="Times New Roman" w:cs="Times New Roman"/>
                <w:color w:val="000000"/>
                <w:spacing w:val="0"/>
                <w:w w:val="100"/>
                <w:position w:val="0"/>
              </w:rPr>
              <w:t>6</w:t>
            </w:r>
            <w:r>
              <w:rPr>
                <w:color w:val="000000"/>
                <w:spacing w:val="0"/>
                <w:w w:val="100"/>
                <w:position w:val="0"/>
              </w:rPr>
              <w:t>物理网口，或软件升级支持虚拟 网口。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延续公司原有变电站综合自动化产品的 生命周期，属高附加值产品，能够持续升 级产品获利。</w:t>
            </w:r>
          </w:p>
        </w:tc>
      </w:tr>
      <w:tr>
        <w:trPr>
          <w:trHeight w:val="970"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能源管理系统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实现对电网用户、电力运维公司 的设备资产管理、数据监控、派 工管理。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实现微服务架构的云端平台及</w:t>
            </w:r>
            <w:r>
              <w:rPr>
                <w:rFonts w:ascii="Times New Roman" w:eastAsia="Times New Roman" w:hAnsi="Times New Roman" w:cs="Times New Roman"/>
                <w:color w:val="000000"/>
                <w:spacing w:val="0"/>
                <w:w w:val="100"/>
                <w:position w:val="0"/>
              </w:rPr>
              <w:t>uniapp</w:t>
            </w:r>
            <w:r>
              <w:rPr>
                <w:color w:val="000000"/>
                <w:spacing w:val="0"/>
                <w:w w:val="100"/>
                <w:position w:val="0"/>
              </w:rPr>
              <w:t>框架 的移动应用。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实现各类设备资产的精益化管理，提升公 司及其他电网用户的派工管理、执行、结 算效率。</w:t>
            </w:r>
          </w:p>
        </w:tc>
      </w:tr>
    </w:tbl>
    <w:p>
      <w:pPr>
        <w:spacing w:lineRule="exact" w:line="1"/>
        <w:rPr>
          <w:sz w:val="2"/>
          <w:szCs w:val="2"/>
        </w:rPr>
      </w:pPr>
      <w:r>
        <w:br w:type="page"/>
      </w:r>
    </w:p>
    <w:tbl>
      <w:tblPr>
        <w:tblOverlap w:val="never"/>
        <w:jc w:val="center"/>
        <w:tblLayout w:type="fixed"/>
      </w:tblPr>
      <w:tblGrid>
        <w:gridCol w:w="2304"/>
        <w:gridCol w:w="3192"/>
        <w:gridCol w:w="730"/>
        <w:gridCol w:w="4075"/>
        <w:gridCol w:w="3898"/>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1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基于多维全景数据融</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合的电网故障智能诊 断及分析系统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为有机融合来自不同信息源的故 障数据，建立全面故障档案，改 善故障信息管理方式，加强多专 业故障信息的联合诊断，精确定 位故障并向技术人员提供强大的 诊断数据支撑</w:t>
            </w:r>
            <w:r>
              <w:rPr>
                <w:rFonts w:ascii="Times New Roman" w:eastAsia="Times New Roman" w:hAnsi="Times New Roman" w:cs="Times New Roman"/>
                <w:color w:val="000000"/>
                <w:spacing w:val="0"/>
                <w:w w:val="100"/>
                <w:position w:val="0"/>
              </w:rPr>
              <w:t>,</w:t>
            </w:r>
            <w:r>
              <w:rPr>
                <w:color w:val="000000"/>
                <w:spacing w:val="0"/>
                <w:w w:val="100"/>
                <w:position w:val="0"/>
              </w:rPr>
              <w:t>实现基于多维度 全景故障诊断及故障全过程管 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实现包括电力一二次设备多维全景数据监 测，故障智能分析等功能，可广泛应用于 现有电网及未来新增电网。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增加公司在调度端故障诊断系统的核心 竞争力，为现有产品的重要补充。</w:t>
            </w:r>
          </w:p>
        </w:tc>
      </w:tr>
      <w:tr>
        <w:trPr>
          <w:trHeight w:val="157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主配协同的安全稳定 与自愈控制技术研究 及系统开发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研究区域微网式控制策略，充分 调动区域微网内部的控制手段， 如对</w:t>
            </w:r>
            <w:r>
              <w:rPr>
                <w:rFonts w:ascii="Times New Roman" w:eastAsia="Times New Roman" w:hAnsi="Times New Roman" w:cs="Times New Roman"/>
                <w:color w:val="000000"/>
                <w:spacing w:val="0"/>
                <w:w w:val="100"/>
                <w:position w:val="0"/>
              </w:rPr>
              <w:t>DG</w:t>
            </w:r>
            <w:r>
              <w:rPr>
                <w:color w:val="000000"/>
                <w:spacing w:val="0"/>
                <w:w w:val="100"/>
                <w:position w:val="0"/>
              </w:rPr>
              <w:t>、</w:t>
            </w:r>
            <w:r>
              <w:rPr>
                <w:color w:val="000000"/>
                <w:spacing w:val="0"/>
                <w:w w:val="100"/>
                <w:position w:val="0"/>
              </w:rPr>
              <w:t>储能、可控负荷的控 制等，实现微电网的功率平衡、 安稳控制及优化运行。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构建具有快速保护、稳定控制、自愈恢复 的新一代配电网保护控制系统。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打通传统主网配网运行管理割裂的瓶颈， 实现主配网协同的安全防御新体系，提升 公司在配网保护领域的影响力。</w:t>
            </w:r>
          </w:p>
        </w:tc>
      </w:tr>
      <w:tr>
        <w:trPr>
          <w:trHeight w:val="257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配网信号采集物联网 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利用 </w:t>
            </w:r>
            <w:r>
              <w:rPr>
                <w:rFonts w:ascii="Times New Roman" w:eastAsia="Times New Roman" w:hAnsi="Times New Roman" w:cs="Times New Roman"/>
                <w:color w:val="000000"/>
                <w:spacing w:val="0"/>
                <w:w w:val="100"/>
                <w:position w:val="0"/>
              </w:rPr>
              <w:t>LoRa</w:t>
            </w:r>
            <w:r>
              <w:rPr>
                <w:color w:val="000000"/>
                <w:spacing w:val="0"/>
                <w:w w:val="100"/>
                <w:position w:val="0"/>
              </w:rPr>
              <w:t>、</w:t>
            </w:r>
            <w:r>
              <w:rPr>
                <w:rFonts w:ascii="Times New Roman" w:eastAsia="Times New Roman" w:hAnsi="Times New Roman" w:cs="Times New Roman"/>
                <w:color w:val="000000"/>
                <w:spacing w:val="0"/>
                <w:w w:val="100"/>
                <w:position w:val="0"/>
              </w:rPr>
              <w:t>ZigBee</w:t>
            </w:r>
            <w:r>
              <w:rPr>
                <w:color w:val="000000"/>
                <w:spacing w:val="0"/>
                <w:w w:val="100"/>
                <w:position w:val="0"/>
              </w:rPr>
              <w:t>、</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 xml:space="preserve">NB-IOT </w:t>
            </w:r>
            <w:r>
              <w:rPr>
                <w:color w:val="000000"/>
                <w:spacing w:val="0"/>
                <w:w w:val="100"/>
                <w:position w:val="0"/>
              </w:rPr>
              <w:t>等技术，远程采集模拟量、开关 量，控制开出节点，进行保护、 计费、遥控、耗电统计、发电预 测、温湿度监测等操作，节省大 量的抄表和核销人力、供电和采 集线缆铺设。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试运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实现向下接收采集节点数据、本机的遥信 遥测遥控功能、向上的数据传输。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该装置可搭配我公司现有采集录波单元 和网络服务器，实现完整的采集、检测、 录波、存储、故障判断等功能，具有重大 的拓展桥接意义，是公司切入配网自动化 的一个重要产品。</w:t>
            </w:r>
          </w:p>
        </w:tc>
      </w:tr>
      <w:tr>
        <w:trPr>
          <w:trHeight w:val="2074"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新型发电机故障录波 装置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记录船舶电力系统发生大扰动 前、后全过程的有关系统电参量 的变化过程及继电保护与安全自 动装置的动作行为。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试运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采用标准</w:t>
            </w:r>
            <w:r>
              <w:rPr>
                <w:rFonts w:ascii="Times New Roman" w:eastAsia="Times New Roman" w:hAnsi="Times New Roman" w:cs="Times New Roman"/>
                <w:color w:val="000000"/>
                <w:spacing w:val="0"/>
                <w:w w:val="100"/>
                <w:position w:val="0"/>
              </w:rPr>
              <w:t>19</w:t>
            </w:r>
            <w:r>
              <w:rPr>
                <w:color w:val="000000"/>
                <w:spacing w:val="0"/>
                <w:w w:val="100"/>
                <w:position w:val="0"/>
              </w:rPr>
              <w:t>寸机架式结构，安装于船用发 电机组控制箱内，记录发电机的转速、温 度、压强、供油流量等物理信号；模拟量 和开关量等电气信号；</w:t>
            </w:r>
            <w:r>
              <w:rPr>
                <w:rFonts w:ascii="Times New Roman" w:eastAsia="Times New Roman" w:hAnsi="Times New Roman" w:cs="Times New Roman"/>
                <w:color w:val="000000"/>
                <w:spacing w:val="0"/>
                <w:w w:val="100"/>
                <w:position w:val="0"/>
              </w:rPr>
              <w:t>RS485</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码、</w:t>
            </w:r>
            <w:r>
              <w:rPr>
                <w:rFonts w:ascii="Times New Roman" w:eastAsia="Times New Roman" w:hAnsi="Times New Roman" w:cs="Times New Roman"/>
                <w:color w:val="000000"/>
                <w:spacing w:val="0"/>
                <w:w w:val="100"/>
                <w:position w:val="0"/>
              </w:rPr>
              <w:t xml:space="preserve">CAN </w:t>
            </w:r>
            <w:r>
              <w:rPr>
                <w:color w:val="000000"/>
                <w:spacing w:val="0"/>
                <w:w w:val="100"/>
                <w:position w:val="0"/>
              </w:rPr>
              <w:t>等通信数据；最终完整准确地还原柴发机 组、汽发机组等的故障过程。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该装置是公司将陆用变电站故障录波装 置在高盐雾、高低频振动的海洋环境下的 再尝试，将公司的产品适用范围进一步拓 展到发电机组监测系统。</w:t>
            </w:r>
          </w:p>
        </w:tc>
      </w:tr>
    </w:tbl>
    <w:p>
      <w:pPr>
        <w:spacing w:lineRule="exact" w:line="1"/>
        <w:rPr>
          <w:sz w:val="2"/>
          <w:szCs w:val="2"/>
        </w:rPr>
      </w:pPr>
      <w:r>
        <w:br w:type="page"/>
      </w:r>
    </w:p>
    <w:tbl>
      <w:tblPr>
        <w:tblOverlap w:val="never"/>
        <w:jc w:val="center"/>
        <w:tblLayout w:type="fixed"/>
      </w:tblPr>
      <w:tblGrid>
        <w:gridCol w:w="2304"/>
        <w:gridCol w:w="3192"/>
        <w:gridCol w:w="730"/>
        <w:gridCol w:w="4075"/>
        <w:gridCol w:w="3898"/>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6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轻量化六压六流混合 继电保护测试仪</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为了用户日常使用体感，增加产 品市场竞争力，本项目开展轻量 化继电保护测试仪研究，以降低 产品重量，减小体积。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样机 试制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重量减轻至原有设备的</w:t>
            </w:r>
            <w:r>
              <w:rPr>
                <w:rFonts w:ascii="Times New Roman" w:eastAsia="Times New Roman" w:hAnsi="Times New Roman" w:cs="Times New Roman"/>
                <w:color w:val="000000"/>
                <w:spacing w:val="0"/>
                <w:w w:val="100"/>
                <w:position w:val="0"/>
              </w:rPr>
              <w:t>55%</w:t>
            </w:r>
            <w:r>
              <w:rPr>
                <w:color w:val="000000"/>
                <w:spacing w:val="0"/>
                <w:w w:val="100"/>
                <w:position w:val="0"/>
              </w:rPr>
              <w:t>，体积减小至 原有设备的</w:t>
            </w:r>
            <w:r>
              <w:rPr>
                <w:rFonts w:ascii="Times New Roman" w:eastAsia="Times New Roman" w:hAnsi="Times New Roman" w:cs="Times New Roman"/>
                <w:color w:val="000000"/>
                <w:spacing w:val="0"/>
                <w:w w:val="100"/>
                <w:position w:val="0"/>
              </w:rPr>
              <w:t>67%</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增加产品在行业内的竞争优势。</w:t>
            </w:r>
          </w:p>
        </w:tc>
      </w:tr>
      <w:tr>
        <w:trPr>
          <w:trHeight w:val="157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国网自主可控新一代 智能故障录波装置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研制一款自主可控的智能故障录 波装置。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样机 试制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采用自主可控芯片、平台，同时兼顾扩展 性、可靠性、成本、可升级性，统一软件 架构并保证足够的灵活性，基本满足未来 </w:t>
            </w:r>
            <w:r>
              <w:rPr>
                <w:rFonts w:ascii="Times New Roman" w:eastAsia="Times New Roman" w:hAnsi="Times New Roman" w:cs="Times New Roman"/>
                <w:color w:val="000000"/>
                <w:spacing w:val="0"/>
                <w:w w:val="100"/>
                <w:position w:val="0"/>
              </w:rPr>
              <w:t>5~10</w:t>
            </w:r>
            <w:r>
              <w:rPr>
                <w:color w:val="000000"/>
                <w:spacing w:val="0"/>
                <w:w w:val="100"/>
                <w:position w:val="0"/>
              </w:rPr>
              <w:t>年的现场需求。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不仅实现自主可控故障监测及定位装置 的研发与制造的自主可控，同时以此项目 为依托，公司初步掌握纯自主可控操作系 统以及包括</w:t>
            </w:r>
            <w:r>
              <w:rPr>
                <w:rFonts w:ascii="Times New Roman" w:eastAsia="Times New Roman" w:hAnsi="Times New Roman" w:cs="Times New Roman"/>
                <w:color w:val="000000"/>
                <w:spacing w:val="0"/>
                <w:w w:val="100"/>
                <w:position w:val="0"/>
              </w:rPr>
              <w:t>CPU</w:t>
            </w:r>
            <w:r>
              <w:rPr>
                <w:color w:val="000000"/>
                <w:spacing w:val="0"/>
                <w:w w:val="100"/>
                <w:position w:val="0"/>
              </w:rPr>
              <w:t>在内的各类自主可控芯 片特性、开发方法。</w:t>
            </w:r>
          </w:p>
        </w:tc>
      </w:tr>
      <w:tr>
        <w:trPr>
          <w:trHeight w:val="189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智能配电网高压高精 测试平台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实现配电终端的高精度全方位检 测，同时，也为以后开发的综合 自动化设备测试平台和</w:t>
            </w:r>
            <w:r>
              <w:rPr>
                <w:rFonts w:ascii="Times New Roman" w:eastAsia="Times New Roman" w:hAnsi="Times New Roman" w:cs="Times New Roman"/>
                <w:color w:val="000000"/>
                <w:spacing w:val="0"/>
                <w:w w:val="100"/>
                <w:position w:val="0"/>
              </w:rPr>
              <w:t>PMU</w:t>
            </w:r>
            <w:r>
              <w:rPr>
                <w:color w:val="000000"/>
                <w:spacing w:val="0"/>
                <w:w w:val="100"/>
                <w:position w:val="0"/>
              </w:rPr>
              <w:t>装 置测试平台提供一定的技术支 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样机 试制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覆盖配电终端装置、综合自动化装置和 </w:t>
            </w:r>
            <w:r>
              <w:rPr>
                <w:rFonts w:ascii="Times New Roman" w:eastAsia="Times New Roman" w:hAnsi="Times New Roman" w:cs="Times New Roman"/>
                <w:color w:val="000000"/>
                <w:spacing w:val="0"/>
                <w:w w:val="100"/>
                <w:position w:val="0"/>
              </w:rPr>
              <w:t>PMU</w:t>
            </w:r>
            <w:r>
              <w:rPr>
                <w:color w:val="000000"/>
                <w:spacing w:val="0"/>
                <w:w w:val="100"/>
                <w:position w:val="0"/>
              </w:rPr>
              <w:t>装置的现场全方位功能与性能测试， 支持电流大小量程切换，满足保护与测量 不同精度的测试需求，同时具备数字报文 输出、脉冲输出、协议控制的扩展接口， 以满足越来越多元化的电力测试需求。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高压高精平台的开发，能够进一步拓展公 司在二次保护设备测试方面的产品种类， 提升测试仪器产品的竞争力，有利于公司 产品功能提升和品牌效益提升。</w:t>
            </w:r>
          </w:p>
        </w:tc>
      </w:tr>
      <w:tr>
        <w:trPr>
          <w:trHeight w:val="95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发电机定子铁芯磁化 试验温度自动检测装 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水电站发电机定子铁芯巡检。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样机 试制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代替人工，实现对水轮发电机周期性巡检。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扩大公司机器人产品在水电站的应用领 域。</w:t>
            </w:r>
          </w:p>
        </w:tc>
      </w:tr>
      <w:tr>
        <w:trPr>
          <w:trHeight w:val="157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智能辅助控制系统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通过后台系统实现对监控区域在 线监测、安防守护、并对采集到 终端设备的数据进行数据管理、 数据浏览、统计分析、权限化管 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样机 试制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智能辅控系统监测当前电网的运行状态对 于综合治理和改善电网运行状态。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智能辅控目前市场需求较大，本系统成功 研发可以丰富公司主营产品类型。</w:t>
            </w:r>
          </w:p>
        </w:tc>
      </w:tr>
      <w:tr>
        <w:trPr>
          <w:trHeight w:val="974"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电能质量监测主站软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件系统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为满足电网公司及用户侧电能质 量监测与管理的实际需求而研发 新一代电能质量监测与管理系</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系统采集各监测点电能质量装置的事件数 据、实时数据、历史监测数据等电能质量 相关数据，并对相关数据检查、处理、统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提升电能质量装置的设备管理和数据管 理，满足客户需求的同时促进电能质量市 场引流，对于公司电能质量推广意义重</w:t>
            </w:r>
          </w:p>
        </w:tc>
      </w:tr>
    </w:tbl>
    <w:p>
      <w:pPr>
        <w:spacing w:lineRule="exact" w:line="1"/>
        <w:rPr>
          <w:sz w:val="2"/>
          <w:szCs w:val="2"/>
        </w:rPr>
      </w:pPr>
      <w:r>
        <w:br w:type="page"/>
      </w:r>
    </w:p>
    <w:tbl>
      <w:tblPr>
        <w:tblOverlap w:val="never"/>
        <w:jc w:val="center"/>
        <w:tblLayout w:type="fixed"/>
      </w:tblPr>
      <w:tblGrid>
        <w:gridCol w:w="2304"/>
        <w:gridCol w:w="3192"/>
        <w:gridCol w:w="730"/>
        <w:gridCol w:w="4075"/>
        <w:gridCol w:w="3898"/>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5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计、分析和展示，具备异构平台数据共享 和海量数据处理的能力，同时支持远程监 控，采用外网无线终端</w:t>
            </w:r>
            <w:r>
              <w:rPr>
                <w:rFonts w:ascii="Times New Roman" w:eastAsia="Times New Roman" w:hAnsi="Times New Roman" w:cs="Times New Roman"/>
                <w:color w:val="000000"/>
                <w:spacing w:val="0"/>
                <w:w w:val="100"/>
                <w:position w:val="0"/>
              </w:rPr>
              <w:t>+</w:t>
            </w:r>
            <w:r>
              <w:rPr>
                <w:color w:val="000000"/>
                <w:spacing w:val="0"/>
                <w:w w:val="100"/>
                <w:position w:val="0"/>
              </w:rPr>
              <w:t>外网光纤接入</w:t>
            </w:r>
            <w:r>
              <w:rPr>
                <w:rFonts w:ascii="Times New Roman" w:eastAsia="Times New Roman" w:hAnsi="Times New Roman" w:cs="Times New Roman"/>
                <w:color w:val="000000"/>
                <w:spacing w:val="0"/>
                <w:w w:val="100"/>
                <w:position w:val="0"/>
              </w:rPr>
              <w:t>+</w:t>
            </w:r>
            <w:r>
              <w:rPr>
                <w:color w:val="000000"/>
                <w:spacing w:val="0"/>
                <w:w w:val="100"/>
                <w:position w:val="0"/>
              </w:rPr>
              <w:t>其 他数据库来接入外网主站的数据、支持内 外网</w:t>
            </w:r>
            <w:r>
              <w:rPr>
                <w:rFonts w:ascii="Times New Roman" w:eastAsia="Times New Roman" w:hAnsi="Times New Roman" w:cs="Times New Roman"/>
                <w:color w:val="000000"/>
                <w:spacing w:val="0"/>
                <w:w w:val="100"/>
                <w:position w:val="0"/>
              </w:rPr>
              <w:t>web</w:t>
            </w:r>
            <w:r>
              <w:rPr>
                <w:color w:val="000000"/>
                <w:spacing w:val="0"/>
                <w:w w:val="100"/>
                <w:position w:val="0"/>
              </w:rPr>
              <w:t>发布</w:t>
            </w:r>
            <w:r>
              <w:rPr>
                <w:rFonts w:ascii="Times New Roman" w:eastAsia="Times New Roman" w:hAnsi="Times New Roman" w:cs="Times New Roman"/>
                <w:color w:val="000000"/>
                <w:spacing w:val="0"/>
                <w:w w:val="100"/>
                <w:position w:val="0"/>
              </w:rPr>
              <w:t>+APP</w:t>
            </w:r>
            <w:r>
              <w:rPr>
                <w:color w:val="000000"/>
                <w:spacing w:val="0"/>
                <w:w w:val="100"/>
                <w:position w:val="0"/>
              </w:rPr>
              <w:t>发布。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w:t>
            </w:r>
          </w:p>
        </w:tc>
      </w:tr>
      <w:tr>
        <w:trPr>
          <w:trHeight w:val="220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列车智能化电气柜综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合监控系统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为获得更小型化空间和集成化的 整车功能布局，实现电气柜智能 化设计。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将烟火、轴温、齿振等为代表的现车离散 的功能业务，用业务板卡形式接入新设计 机箱，并由机箱提供冗余电源、统一通讯 标准，利用总线技术、通讯技术和软件等， 实现各业务的链路汇聚和计算集群化。实 现无触点化智能逻辑控制功能，极大程度 上提升了逻辑控制装置的智能性。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建立列车智能控制集群系统框架奠定公 司相关领域技术基础。</w:t>
            </w:r>
          </w:p>
        </w:tc>
      </w:tr>
      <w:tr>
        <w:trPr>
          <w:trHeight w:val="960"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物联网电力监控网关</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实现配网物联网设备的接入、数 据分析及通信传输。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基于嵌入式一体机，实现配网主要传感器、 装置的接入及云端平台的数据传输。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配网自动化产品线的重要产品，是公司实 施配网在线监控项目的基础，为公司在该 领域扩大业务范围。</w:t>
            </w:r>
          </w:p>
        </w:tc>
      </w:tr>
      <w:tr>
        <w:trPr>
          <w:trHeight w:val="12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安全手环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为一线电力作业人员打造一款穿 戴设备，具备实时验电和监护功 能，为作业人员增加一道安全防 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适应多电压等级下人体安全距离的实时监 护，靠近强电环境时立即报警通知作业人 员退出危险点。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拓展智能安全工器具产品线，打造有创意 高附加值的特色产品，创造增值点。</w:t>
            </w:r>
          </w:p>
        </w:tc>
      </w:tr>
      <w:tr>
        <w:trPr>
          <w:trHeight w:val="133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新版轨道机器人研发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随着轨道机器人市场的不断推 广，工作环境越来越复杂，，项 目将提高机器人</w:t>
            </w:r>
            <w:r>
              <w:rPr>
                <w:rFonts w:ascii="Times New Roman" w:eastAsia="Times New Roman" w:hAnsi="Times New Roman" w:cs="Times New Roman"/>
                <w:color w:val="000000"/>
                <w:spacing w:val="0"/>
                <w:w w:val="100"/>
                <w:position w:val="0"/>
              </w:rPr>
              <w:t>IP</w:t>
            </w:r>
            <w:r>
              <w:rPr>
                <w:color w:val="000000"/>
                <w:spacing w:val="0"/>
                <w:w w:val="100"/>
                <w:position w:val="0"/>
              </w:rPr>
              <w:t>防护等级，增 强产品应用环境灵活性。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实现无线充电功能，体积更小，重量更轻 巧，兼容轨道供电结构，机器人防护等级 达到</w:t>
            </w:r>
            <w:r>
              <w:rPr>
                <w:rFonts w:ascii="Times New Roman" w:eastAsia="Times New Roman" w:hAnsi="Times New Roman" w:cs="Times New Roman"/>
                <w:color w:val="000000"/>
                <w:spacing w:val="0"/>
                <w:w w:val="100"/>
                <w:position w:val="0"/>
              </w:rPr>
              <w:t>IP55</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产品升级，增强市场的竞争力。</w:t>
            </w:r>
          </w:p>
        </w:tc>
      </w:tr>
      <w:tr>
        <w:trPr>
          <w:trHeight w:val="1363"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自主可控继电保护测 试仪</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研制一款自主可控的继电保护测 试仪。</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采用自主可控芯片、平台，同时兼顾扩展 性、可靠性、成本、可升级性，统一软件 架构并保证足够的灵活性，基本满足未来 </w:t>
            </w:r>
            <w:r>
              <w:rPr>
                <w:rFonts w:ascii="Times New Roman" w:eastAsia="Times New Roman" w:hAnsi="Times New Roman" w:cs="Times New Roman"/>
                <w:color w:val="000000"/>
                <w:spacing w:val="0"/>
                <w:w w:val="100"/>
                <w:position w:val="0"/>
              </w:rPr>
              <w:t>5~10</w:t>
            </w:r>
            <w:r>
              <w:rPr>
                <w:color w:val="000000"/>
                <w:spacing w:val="0"/>
                <w:w w:val="100"/>
                <w:position w:val="0"/>
              </w:rPr>
              <w:t>年的现场需求。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自主可控的平台是未来趋势，把握行业先 机有利于公司竞争优势。</w:t>
            </w:r>
          </w:p>
        </w:tc>
      </w:tr>
    </w:tbl>
    <w:p>
      <w:pPr>
        <w:spacing w:lineRule="exact" w:line="1"/>
        <w:rPr>
          <w:sz w:val="2"/>
          <w:szCs w:val="2"/>
        </w:rPr>
      </w:pPr>
      <w:r>
        <w:br w:type="page"/>
      </w:r>
    </w:p>
    <w:tbl>
      <w:tblPr>
        <w:tblOverlap w:val="never"/>
        <w:jc w:val="center"/>
        <w:tblLayout w:type="fixed"/>
      </w:tblPr>
      <w:tblGrid>
        <w:gridCol w:w="2294"/>
        <w:gridCol w:w="3192"/>
        <w:gridCol w:w="725"/>
        <w:gridCol w:w="4075"/>
        <w:gridCol w:w="3902"/>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285"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锂电池配网消缺装置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满足配电终端特别是</w:t>
            </w:r>
            <w:r>
              <w:rPr>
                <w:rFonts w:ascii="Times New Roman" w:eastAsia="Times New Roman" w:hAnsi="Times New Roman" w:cs="Times New Roman"/>
                <w:color w:val="000000"/>
                <w:spacing w:val="0"/>
                <w:w w:val="100"/>
                <w:position w:val="0"/>
              </w:rPr>
              <w:t>FTU</w:t>
            </w:r>
            <w:r>
              <w:rPr>
                <w:color w:val="000000"/>
                <w:spacing w:val="0"/>
                <w:w w:val="100"/>
                <w:position w:val="0"/>
              </w:rPr>
              <w:t>的户外 测试需求，实现对配电终端的全 方位检测。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立项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研发锂电池供电的轻量化功放硬件平台， 工作时间不低于</w:t>
            </w:r>
            <w:r>
              <w:rPr>
                <w:rFonts w:ascii="Times New Roman" w:eastAsia="Times New Roman" w:hAnsi="Times New Roman" w:cs="Times New Roman"/>
                <w:color w:val="000000"/>
                <w:spacing w:val="0"/>
                <w:w w:val="100"/>
                <w:position w:val="0"/>
              </w:rPr>
              <w:t>6</w:t>
            </w:r>
            <w:r>
              <w:rPr>
                <w:color w:val="000000"/>
                <w:spacing w:val="0"/>
                <w:w w:val="100"/>
                <w:position w:val="0"/>
              </w:rPr>
              <w:t>小时。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开发公司首套锂电池供电的功放平台，拓 展公司在配网测试方面产品的竞争力。同 时，锂电池供电的功放平台开发，有利于 提升公司在功放平台和锂电池应用方面 的技术储备，能够为公司产品提供有力的 技术支撑，有利于提升产品功能性和品牌 影响力。</w:t>
            </w:r>
          </w:p>
        </w:tc>
      </w:tr>
      <w:tr>
        <w:trPr>
          <w:trHeight w:val="1296"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世轩大数据搜索引擎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构建一个搜索引擎，专门负责索 引和查询，增强世轩科技医疗信 息化软件搜索效率。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完成新建索引、索引库列表、搜索查询、 搜索</w:t>
            </w:r>
            <w:r>
              <w:rPr>
                <w:rFonts w:ascii="Times New Roman" w:eastAsia="Times New Roman" w:hAnsi="Times New Roman" w:cs="Times New Roman"/>
                <w:color w:val="000000"/>
                <w:spacing w:val="0"/>
                <w:w w:val="100"/>
                <w:position w:val="0"/>
              </w:rPr>
              <w:t>API</w:t>
            </w:r>
            <w:r>
              <w:rPr>
                <w:color w:val="000000"/>
                <w:spacing w:val="0"/>
                <w:w w:val="100"/>
                <w:position w:val="0"/>
              </w:rPr>
              <w:t>等功能，能够给世轩科技医疗信 息化软件调用，提升搜索速度。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形成世轩科技的基础性软件，支撑世轩科 技各个系统。</w:t>
            </w:r>
          </w:p>
        </w:tc>
      </w:tr>
      <w:tr>
        <w:trPr>
          <w:trHeight w:val="12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世轩医院信息管理系 统软件</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2.0</w:t>
            </w:r>
            <w:r>
              <w:rPr>
                <w:color w:val="000000"/>
                <w:spacing w:val="0"/>
                <w:w w:val="100"/>
                <w:position w:val="0"/>
              </w:rPr>
              <w:t>产品的基础上进行功能扩 充与改造，满足医院电子病历等 级评审五级的要求。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对标五级要求，对原有功能进行改造升级， 并新增一站式门诊服务、一站式住院服务、 统一预约管理、治疗管理、电子病历集成 等功能模块。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对世轩科技已有客户进行评级提供产品 支持，并对评级增补项目提供新的市场竞 争力。</w:t>
            </w:r>
          </w:p>
        </w:tc>
      </w:tr>
      <w:tr>
        <w:trPr>
          <w:trHeight w:val="12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世轩电子病案管理平 台软件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丰富产品维度，完善新</w:t>
            </w:r>
            <w:r>
              <w:rPr>
                <w:rFonts w:ascii="Times New Roman" w:eastAsia="Times New Roman" w:hAnsi="Times New Roman" w:cs="Times New Roman"/>
                <w:color w:val="000000"/>
                <w:spacing w:val="0"/>
                <w:w w:val="100"/>
                <w:position w:val="0"/>
              </w:rPr>
              <w:t>HIS</w:t>
            </w:r>
            <w:r>
              <w:rPr>
                <w:color w:val="000000"/>
                <w:spacing w:val="0"/>
                <w:w w:val="100"/>
                <w:position w:val="0"/>
              </w:rPr>
              <w:t>系统 周边配套系统。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实现病案管理，病案上报，病案借调流程 一系列闭环管控，达到高质量病案要求。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病案管理是每个医院不可或缺的一部分， 加强病案管理系统研发既能满足产品市 场的需求，也能够提高产品的完整性，从 而提高世轩科技整体竞争优势。</w:t>
            </w:r>
          </w:p>
        </w:tc>
      </w:tr>
      <w:tr>
        <w:trPr>
          <w:trHeight w:val="955"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胃泌素</w:t>
            </w:r>
            <w:r>
              <w:rPr>
                <w:rFonts w:ascii="Times New Roman" w:eastAsia="Times New Roman" w:hAnsi="Times New Roman" w:cs="Times New Roman"/>
                <w:color w:val="000000"/>
                <w:spacing w:val="0"/>
                <w:w w:val="100"/>
                <w:position w:val="0"/>
              </w:rPr>
              <w:t>17(</w:t>
            </w:r>
            <w:r>
              <w:rPr>
                <w:color w:val="000000"/>
                <w:spacing w:val="0"/>
                <w:w w:val="100"/>
                <w:position w:val="0"/>
              </w:rPr>
              <w:t>胶乳增强免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疫比浊法</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用于体外定量检测人血清中胃泌 素</w:t>
            </w:r>
            <w:r>
              <w:rPr>
                <w:rFonts w:ascii="Times New Roman" w:eastAsia="Times New Roman" w:hAnsi="Times New Roman" w:cs="Times New Roman"/>
                <w:color w:val="000000"/>
                <w:spacing w:val="0"/>
                <w:w w:val="100"/>
                <w:position w:val="0"/>
              </w:rPr>
              <w:t>17(G-17)</w:t>
            </w:r>
            <w:r>
              <w:rPr>
                <w:color w:val="000000"/>
                <w:spacing w:val="0"/>
                <w:w w:val="100"/>
                <w:position w:val="0"/>
              </w:rPr>
              <w:t>的含量，临床上主要 用于反映胃黏膜的功能状态。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产品实现配方和工艺的全部自研成功，并 完成产品的注册检验，取得产品注册证。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填补公司在该项目上的空白，增强公司核 心竞争力，在胃肠道健康检测领域开拓新 市场。</w:t>
            </w:r>
          </w:p>
        </w:tc>
      </w:tr>
      <w:tr>
        <w:trPr>
          <w:trHeight w:val="1286"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补体价</w:t>
            </w:r>
            <w:r>
              <w:rPr>
                <w:rFonts w:ascii="Times New Roman" w:eastAsia="Times New Roman" w:hAnsi="Times New Roman" w:cs="Times New Roman"/>
                <w:color w:val="000000"/>
                <w:spacing w:val="0"/>
                <w:w w:val="100"/>
                <w:position w:val="0"/>
              </w:rPr>
              <w:t>(</w:t>
            </w:r>
            <w:r>
              <w:rPr>
                <w:color w:val="000000"/>
                <w:spacing w:val="0"/>
                <w:w w:val="100"/>
                <w:position w:val="0"/>
              </w:rPr>
              <w:t>脂质体免疫测 定法</w:t>
            </w:r>
            <w:r>
              <w:rPr>
                <w:color w:val="000000"/>
                <w:spacing w:val="0"/>
                <w:w w:val="100"/>
                <w:position w:val="0"/>
              </w:rPr>
              <w:t>)</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用于体外定量检测人血清中补体 价</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CH50)</w:t>
            </w:r>
            <w:r>
              <w:rPr>
                <w:color w:val="000000"/>
                <w:spacing w:val="0"/>
                <w:w w:val="100"/>
                <w:position w:val="0"/>
              </w:rPr>
              <w:t>的活性，临床上主要用 于自身免疫疾病及炎症的诊断。</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产品实现配方和工艺的全部自研成功，并 完成产品的注册检验，取得产品注册证。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填补公司在该项目上的空白，在机体免疫 及炎症检测领域与公司其他产品协同检 测能更有效的提供患者病症信息，提高公 司在该领域的核心竞争力。</w:t>
            </w:r>
          </w:p>
        </w:tc>
      </w:tr>
    </w:tbl>
    <w:p>
      <w:pPr>
        <w:spacing w:lineRule="exact" w:line="1"/>
        <w:rPr>
          <w:sz w:val="2"/>
          <w:szCs w:val="2"/>
        </w:rPr>
      </w:pPr>
      <w:r>
        <w:br w:type="page"/>
      </w:r>
    </w:p>
    <w:tbl>
      <w:tblPr>
        <w:tblOverlap w:val="never"/>
        <w:jc w:val="center"/>
        <w:tblLayout w:type="fixed"/>
      </w:tblPr>
      <w:tblGrid>
        <w:gridCol w:w="2304"/>
        <w:gridCol w:w="3192"/>
        <w:gridCol w:w="730"/>
        <w:gridCol w:w="4075"/>
        <w:gridCol w:w="3898"/>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267"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涎液化糖链抗原</w:t>
            </w:r>
            <w:r>
              <w:rPr>
                <w:rFonts w:ascii="Times New Roman" w:eastAsia="Times New Roman" w:hAnsi="Times New Roman" w:cs="Times New Roman"/>
                <w:color w:val="000000"/>
                <w:spacing w:val="0"/>
                <w:w w:val="100"/>
                <w:position w:val="0"/>
              </w:rPr>
              <w:t>(</w:t>
            </w:r>
            <w:r>
              <w:rPr>
                <w:color w:val="000000"/>
                <w:spacing w:val="0"/>
                <w:w w:val="100"/>
                <w:position w:val="0"/>
              </w:rPr>
              <w:t>胶乳 增强免疫比浊法</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用于体外定量检测人血清或血浆 中涎液化糖链抗原</w:t>
            </w:r>
            <w:r>
              <w:rPr>
                <w:rFonts w:ascii="Times New Roman" w:eastAsia="Times New Roman" w:hAnsi="Times New Roman" w:cs="Times New Roman"/>
                <w:color w:val="000000"/>
                <w:spacing w:val="0"/>
                <w:w w:val="100"/>
                <w:position w:val="0"/>
              </w:rPr>
              <w:t>(KL-6)</w:t>
            </w:r>
            <w:r>
              <w:rPr>
                <w:color w:val="000000"/>
                <w:spacing w:val="0"/>
                <w:w w:val="100"/>
                <w:position w:val="0"/>
              </w:rPr>
              <w:t>的含 量，临床上主要用于间质性肺炎 的辅助诊断。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产品实现配方和工艺的全部自研成功，并 完成产品的注册检验，取得产品注册证。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目前，国内使用</w:t>
            </w:r>
            <w:r>
              <w:rPr>
                <w:rFonts w:ascii="Times New Roman" w:eastAsia="Times New Roman" w:hAnsi="Times New Roman" w:cs="Times New Roman"/>
                <w:color w:val="000000"/>
                <w:spacing w:val="0"/>
                <w:w w:val="100"/>
                <w:position w:val="0"/>
              </w:rPr>
              <w:t>KL-6</w:t>
            </w:r>
            <w:r>
              <w:rPr>
                <w:color w:val="000000"/>
                <w:spacing w:val="0"/>
                <w:w w:val="100"/>
                <w:position w:val="0"/>
              </w:rPr>
              <w:t>做了大量临床研究， 用途得到证实，迫切需要投入临床使用， 该项目的研发成功将填补公司在该项目 上的空白，增强公司核心竞争力。</w:t>
            </w:r>
          </w:p>
        </w:tc>
      </w:tr>
      <w:tr>
        <w:trPr>
          <w:trHeight w:val="189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抗心磷脂抗体</w:t>
            </w:r>
            <w:r>
              <w:rPr>
                <w:rFonts w:ascii="Times New Roman" w:eastAsia="Times New Roman" w:hAnsi="Times New Roman" w:cs="Times New Roman"/>
                <w:color w:val="000000"/>
                <w:spacing w:val="0"/>
                <w:w w:val="100"/>
                <w:position w:val="0"/>
              </w:rPr>
              <w:t>(</w:t>
            </w:r>
            <w:r>
              <w:rPr>
                <w:color w:val="000000"/>
                <w:spacing w:val="0"/>
                <w:w w:val="100"/>
                <w:position w:val="0"/>
              </w:rPr>
              <w:t>胶乳增 强免疫比浊法</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用于体外定量检测人血清中抗心 磷脂抗体</w:t>
            </w:r>
            <w:r>
              <w:rPr>
                <w:rFonts w:ascii="Times New Roman" w:eastAsia="Times New Roman" w:hAnsi="Times New Roman" w:cs="Times New Roman"/>
                <w:color w:val="000000"/>
                <w:spacing w:val="0"/>
                <w:w w:val="100"/>
                <w:position w:val="0"/>
              </w:rPr>
              <w:t>(ACA</w:t>
            </w:r>
            <w:r>
              <w:rPr>
                <w:rFonts w:ascii="Times New Roman" w:eastAsia="Times New Roman" w:hAnsi="Times New Roman" w:cs="Times New Roman"/>
                <w:color w:val="000000"/>
                <w:spacing w:val="0"/>
                <w:w w:val="100"/>
                <w:position w:val="0"/>
              </w:rPr>
              <w:t>)</w:t>
            </w:r>
            <w:r>
              <w:rPr>
                <w:color w:val="000000"/>
                <w:spacing w:val="0"/>
                <w:w w:val="100"/>
                <w:position w:val="0"/>
              </w:rPr>
              <w:t>的含量，临床上 主要用于心肌炎、特发性扩张性 心肌病、风湿热及风湿性心脏病、 心梗后综合征、心包切开术后综 合征以及重症肌无力的辅助诊断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产品实现配方和工艺的全部自研成功，并 完成产品的注册检验，取得产品注册证。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填补公司在该项目上的空白，在系统性红 斑狼疮及其他自身免疫性疾病检测领域 增强公司的市场竞争力。</w:t>
            </w:r>
          </w:p>
        </w:tc>
      </w:tr>
      <w:tr>
        <w:trPr>
          <w:trHeight w:val="127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a-L-</w:t>
            </w:r>
            <w:r>
              <w:rPr>
                <w:color w:val="000000"/>
                <w:spacing w:val="0"/>
                <w:w w:val="100"/>
                <w:position w:val="0"/>
              </w:rPr>
              <w:t>岩藻糖苷酶</w:t>
            </w:r>
            <w:r>
              <w:rPr>
                <w:rFonts w:ascii="Times New Roman" w:eastAsia="Times New Roman" w:hAnsi="Times New Roman" w:cs="Times New Roman"/>
                <w:color w:val="000000"/>
                <w:spacing w:val="0"/>
                <w:w w:val="100"/>
                <w:position w:val="0"/>
              </w:rPr>
              <w:t>(</w:t>
            </w:r>
            <w:r>
              <w:rPr>
                <w:color w:val="000000"/>
                <w:spacing w:val="0"/>
                <w:w w:val="100"/>
                <w:position w:val="0"/>
              </w:rPr>
              <w:t>速率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用于体外定量检测人血清中</w:t>
            </w:r>
            <w:r>
              <w:rPr>
                <w:rFonts w:ascii="Times New Roman" w:eastAsia="Times New Roman" w:hAnsi="Times New Roman" w:cs="Times New Roman"/>
                <w:color w:val="000000"/>
                <w:spacing w:val="0"/>
                <w:w w:val="100"/>
                <w:position w:val="0"/>
              </w:rPr>
              <w:t xml:space="preserve">a-L- </w:t>
            </w:r>
            <w:r>
              <w:rPr>
                <w:color w:val="000000"/>
                <w:spacing w:val="0"/>
                <w:w w:val="100"/>
                <w:position w:val="0"/>
              </w:rPr>
              <w:t>岩藻糖苷酶</w:t>
            </w:r>
            <w:r>
              <w:rPr>
                <w:rFonts w:ascii="Times New Roman" w:eastAsia="Times New Roman" w:hAnsi="Times New Roman" w:cs="Times New Roman"/>
                <w:color w:val="000000"/>
                <w:spacing w:val="0"/>
                <w:w w:val="100"/>
                <w:position w:val="0"/>
              </w:rPr>
              <w:t>(AFU)</w:t>
            </w:r>
            <w:r>
              <w:rPr>
                <w:color w:val="000000"/>
                <w:spacing w:val="0"/>
                <w:w w:val="100"/>
                <w:position w:val="0"/>
              </w:rPr>
              <w:t>的活性，临床上 主要用于肝癌的辅助诊断。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产品实现配方和工艺的全部自研成功，并 完成产品的注册检验，取得产品注册证。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在原发性肝癌患者血清中增高，是原发性 肝癌的标志物之一，填补公司在该项目上 的空白，增强公司在癌症检测领域的市场 竞争力。</w:t>
            </w:r>
          </w:p>
        </w:tc>
      </w:tr>
      <w:tr>
        <w:trPr>
          <w:trHeight w:val="1891"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医院</w:t>
            </w:r>
            <w:r>
              <w:rPr>
                <w:rFonts w:ascii="Times New Roman" w:eastAsia="Times New Roman" w:hAnsi="Times New Roman" w:cs="Times New Roman"/>
                <w:color w:val="000000"/>
                <w:spacing w:val="0"/>
                <w:w w:val="100"/>
                <w:position w:val="0"/>
              </w:rPr>
              <w:t>DRGS</w:t>
            </w:r>
            <w:r>
              <w:rPr>
                <w:color w:val="000000"/>
                <w:spacing w:val="0"/>
                <w:w w:val="100"/>
                <w:position w:val="0"/>
              </w:rPr>
              <w:t>智能管理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切合国家与地方</w:t>
            </w:r>
            <w:r>
              <w:rPr>
                <w:rFonts w:ascii="Times New Roman" w:eastAsia="Times New Roman" w:hAnsi="Times New Roman" w:cs="Times New Roman"/>
                <w:color w:val="000000"/>
                <w:spacing w:val="0"/>
                <w:w w:val="100"/>
                <w:position w:val="0"/>
              </w:rPr>
              <w:t>DRGs</w:t>
            </w:r>
            <w:r>
              <w:rPr>
                <w:color w:val="000000"/>
                <w:spacing w:val="0"/>
                <w:w w:val="100"/>
                <w:position w:val="0"/>
              </w:rPr>
              <w:t>付费政 策，为医院按病种付费改革提供 有效标准化的工具服务与支撑。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实现病人诊疗闭环流程做到事前提醒、事 中监控、事后分析，为管理决策层提供经 营决策的辅助依据，实现对医院运营情况 及时监控，提前预判，从而优化资源配置， 有效提高医务工作者的工作效率，提升医 院整体经济效益。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丰富公司的产品线，是现有公司产品线是 个有力补充，提高公司在医疗软件市场的 核心竞争力。</w:t>
            </w:r>
          </w:p>
        </w:tc>
      </w:tr>
      <w:tr>
        <w:trPr>
          <w:trHeight w:val="1594"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医院</w:t>
            </w:r>
            <w:r>
              <w:rPr>
                <w:rFonts w:ascii="Times New Roman" w:eastAsia="Times New Roman" w:hAnsi="Times New Roman" w:cs="Times New Roman"/>
                <w:color w:val="000000"/>
                <w:spacing w:val="0"/>
                <w:w w:val="100"/>
                <w:position w:val="0"/>
              </w:rPr>
              <w:t>CIS</w:t>
            </w:r>
            <w:r>
              <w:rPr>
                <w:color w:val="000000"/>
                <w:spacing w:val="0"/>
                <w:w w:val="100"/>
                <w:position w:val="0"/>
              </w:rPr>
              <w:t>临床一体化系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统 </w:t>
            </w:r>
            <w:r>
              <w:rPr>
                <w:rFonts w:ascii="Times New Roman" w:eastAsia="Times New Roman" w:hAnsi="Times New Roman" w:cs="Times New Roman"/>
                <w:color w:val="000000"/>
                <w:spacing w:val="0"/>
                <w:w w:val="100"/>
                <w:position w:val="0"/>
              </w:rPr>
              <w:t>V1.0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解决医院电子病历功能评级达到 五六级问题，提升医院核心业务 系统使用，满足国家对医疗业的 结构化数据标准要求。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CIS</w:t>
            </w:r>
            <w:r>
              <w:rPr>
                <w:color w:val="000000"/>
                <w:spacing w:val="0"/>
                <w:w w:val="100"/>
                <w:position w:val="0"/>
              </w:rPr>
              <w:t>是以医疗过程为主要内容，而医疗过程 是一个基于医学知识和医疗经验的推理、 决策的智能化过程，整合</w:t>
            </w:r>
            <w:r>
              <w:rPr>
                <w:rFonts w:ascii="Times New Roman" w:eastAsia="Times New Roman" w:hAnsi="Times New Roman" w:cs="Times New Roman"/>
                <w:color w:val="000000"/>
                <w:spacing w:val="0"/>
                <w:w w:val="100"/>
                <w:position w:val="0"/>
              </w:rPr>
              <w:t>HIS</w:t>
            </w:r>
            <w:r>
              <w:rPr>
                <w:color w:val="000000"/>
                <w:spacing w:val="0"/>
                <w:w w:val="100"/>
                <w:position w:val="0"/>
              </w:rPr>
              <w:t>、</w:t>
            </w:r>
            <w:r>
              <w:rPr>
                <w:rFonts w:ascii="Times New Roman" w:eastAsia="Times New Roman" w:hAnsi="Times New Roman" w:cs="Times New Roman"/>
                <w:color w:val="000000"/>
                <w:spacing w:val="0"/>
                <w:w w:val="100"/>
                <w:position w:val="0"/>
              </w:rPr>
              <w:t>EMR</w:t>
            </w:r>
            <w:r>
              <w:rPr>
                <w:color w:val="000000"/>
                <w:spacing w:val="0"/>
                <w:w w:val="100"/>
                <w:position w:val="0"/>
              </w:rPr>
              <w:t>、</w:t>
            </w:r>
            <w:r>
              <w:rPr>
                <w:color w:val="000000"/>
                <w:spacing w:val="0"/>
                <w:w w:val="100"/>
                <w:position w:val="0"/>
              </w:rPr>
              <w:t>诊 疗等系统。满足电子病历功能评级五、六 级要求。</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CIS</w:t>
            </w:r>
            <w:r>
              <w:rPr>
                <w:color w:val="000000"/>
                <w:spacing w:val="0"/>
                <w:w w:val="100"/>
                <w:position w:val="0"/>
              </w:rPr>
              <w:t>是以患者治疗过程为中心，是医院的 核心系统之一，该产品的研发满足市场需 求，对公司市场开拓产生积极影响。</w:t>
            </w:r>
          </w:p>
        </w:tc>
      </w:tr>
    </w:tbl>
    <w:p>
      <w:pPr>
        <w:spacing w:lineRule="exact" w:line="1"/>
        <w:rPr>
          <w:sz w:val="2"/>
          <w:szCs w:val="2"/>
        </w:rPr>
      </w:pPr>
      <w:r>
        <w:br w:type="page"/>
      </w:r>
    </w:p>
    <w:tbl>
      <w:tblPr>
        <w:tblOverlap w:val="never"/>
        <w:jc w:val="center"/>
        <w:tblLayout w:type="fixed"/>
      </w:tblPr>
      <w:tblGrid>
        <w:gridCol w:w="2294"/>
        <w:gridCol w:w="3192"/>
        <w:gridCol w:w="730"/>
        <w:gridCol w:w="4075"/>
        <w:gridCol w:w="3898"/>
      </w:tblGrid>
      <w:tr>
        <w:trPr>
          <w:trHeight w:val="68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642"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微服务护理管理系统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目前护理管理系统存在大量市场 缺口，软件市场广阔，公司基于 微服务架构研发微服务护理管理 系统，拓展新产品。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实现检查、护士长手册、不良事件、管教 学、护士排班等核心功能，满足目前大部 分客户对护理管理系统的需求。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依据市场需求研发，丰富产品线，提升公 司核心竞争力。</w:t>
            </w:r>
          </w:p>
        </w:tc>
      </w:tr>
      <w:tr>
        <w:trPr>
          <w:trHeight w:val="157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微服务的新一代医院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基于微服务架构新一代</w:t>
            </w:r>
            <w:r>
              <w:rPr>
                <w:rFonts w:ascii="Times New Roman" w:eastAsia="Times New Roman" w:hAnsi="Times New Roman" w:cs="Times New Roman"/>
                <w:color w:val="000000"/>
                <w:spacing w:val="0"/>
                <w:w w:val="100"/>
                <w:position w:val="0"/>
              </w:rPr>
              <w:t>HIS</w:t>
            </w:r>
            <w:r>
              <w:rPr>
                <w:color w:val="000000"/>
                <w:spacing w:val="0"/>
                <w:w w:val="100"/>
                <w:position w:val="0"/>
              </w:rPr>
              <w:t>系 统，方便医院信息化扩展，强化 远程实施，节省项目成本和研发 成本。</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基于微服务架构新一代</w:t>
            </w:r>
            <w:r>
              <w:rPr>
                <w:rFonts w:ascii="Times New Roman" w:eastAsia="Times New Roman" w:hAnsi="Times New Roman" w:cs="Times New Roman"/>
                <w:color w:val="000000"/>
                <w:spacing w:val="0"/>
                <w:w w:val="100"/>
                <w:position w:val="0"/>
              </w:rPr>
              <w:t>HIS</w:t>
            </w:r>
            <w:r>
              <w:rPr>
                <w:color w:val="000000"/>
                <w:spacing w:val="0"/>
                <w:w w:val="100"/>
                <w:position w:val="0"/>
              </w:rPr>
              <w:t>系统，集成与 整合院方业务流和数据流，实现新</w:t>
            </w:r>
            <w:r>
              <w:rPr>
                <w:rFonts w:ascii="Times New Roman" w:eastAsia="Times New Roman" w:hAnsi="Times New Roman" w:cs="Times New Roman"/>
                <w:color w:val="000000"/>
                <w:spacing w:val="0"/>
                <w:w w:val="100"/>
                <w:position w:val="0"/>
              </w:rPr>
              <w:t>HIS</w:t>
            </w:r>
            <w:r>
              <w:rPr>
                <w:color w:val="000000"/>
                <w:spacing w:val="0"/>
                <w:w w:val="100"/>
                <w:position w:val="0"/>
              </w:rPr>
              <w:t>自 动集成数据中台，业务中台，使得</w:t>
            </w:r>
            <w:r>
              <w:rPr>
                <w:rFonts w:ascii="Times New Roman" w:eastAsia="Times New Roman" w:hAnsi="Times New Roman" w:cs="Times New Roman"/>
                <w:color w:val="000000"/>
                <w:spacing w:val="0"/>
                <w:w w:val="100"/>
                <w:position w:val="0"/>
              </w:rPr>
              <w:t>HIS</w:t>
            </w:r>
            <w:r>
              <w:rPr>
                <w:color w:val="000000"/>
                <w:spacing w:val="0"/>
                <w:w w:val="100"/>
                <w:position w:val="0"/>
              </w:rPr>
              <w:t>系 统真正以开放的接口形式达到互联互通， 可向其他服务提供数据服务。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降低研发成本和实施成本，增加公司产品 竞争力。</w:t>
            </w:r>
          </w:p>
        </w:tc>
      </w:tr>
      <w:tr>
        <w:trPr>
          <w:trHeight w:val="217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智慧医共体平台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探索以</w:t>
            </w:r>
            <w:r>
              <w:rPr>
                <w:rFonts w:ascii="Times New Roman" w:eastAsia="Times New Roman" w:hAnsi="Times New Roman" w:cs="Times New Roman"/>
                <w:color w:val="000000"/>
                <w:spacing w:val="0"/>
                <w:w w:val="100"/>
                <w:position w:val="0"/>
              </w:rPr>
              <w:t>“</w:t>
            </w:r>
            <w:r>
              <w:rPr>
                <w:color w:val="000000"/>
                <w:spacing w:val="0"/>
                <w:w w:val="100"/>
                <w:position w:val="0"/>
              </w:rPr>
              <w:t>县医院为龙头，乡镇卫生 院为枢纽，村卫生室为基础</w:t>
            </w:r>
            <w:r>
              <w:rPr>
                <w:rFonts w:ascii="Times New Roman" w:eastAsia="Times New Roman" w:hAnsi="Times New Roman" w:cs="Times New Roman"/>
                <w:color w:val="000000"/>
                <w:spacing w:val="0"/>
                <w:w w:val="100"/>
                <w:position w:val="0"/>
              </w:rPr>
              <w:t>''</w:t>
            </w:r>
            <w:r>
              <w:rPr>
                <w:color w:val="000000"/>
                <w:spacing w:val="0"/>
                <w:w w:val="100"/>
                <w:position w:val="0"/>
              </w:rPr>
              <w:t>的县 乡一体化管理，构建县、乡、村 三级联动的县域医疗服务体系， 完成区域型信息化建设。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为医共体提供一套完整的信息化平台，从 信息化系统的角度帮助县域医共体实现 人、财、物的统一，辅助医共体落实国家 关于提高医疗卫生服务能力、推动落实分 级诊疗制度、推进健康中国行动和中医药 综合改革等要求。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目前国内医联体、医共体的建设还处在探 索阶段，提供一套完整、高效、可靠的</w:t>
            </w:r>
            <w:r>
              <w:rPr>
                <w:rFonts w:ascii="Times New Roman" w:eastAsia="Times New Roman" w:hAnsi="Times New Roman" w:cs="Times New Roman"/>
                <w:color w:val="000000"/>
                <w:spacing w:val="0"/>
                <w:w w:val="100"/>
                <w:position w:val="0"/>
              </w:rPr>
              <w:t>“</w:t>
            </w:r>
            <w:r>
              <w:rPr>
                <w:color w:val="000000"/>
                <w:spacing w:val="0"/>
                <w:w w:val="100"/>
                <w:position w:val="0"/>
              </w:rPr>
              <w:t>医 共体平台信息系统</w:t>
            </w:r>
            <w:r>
              <w:rPr>
                <w:rFonts w:ascii="Times New Roman" w:eastAsia="Times New Roman" w:hAnsi="Times New Roman" w:cs="Times New Roman"/>
                <w:color w:val="000000"/>
                <w:spacing w:val="0"/>
                <w:w w:val="100"/>
                <w:position w:val="0"/>
              </w:rPr>
              <w:t>”</w:t>
            </w:r>
            <w:r>
              <w:rPr>
                <w:color w:val="000000"/>
                <w:spacing w:val="0"/>
                <w:w w:val="100"/>
                <w:position w:val="0"/>
              </w:rPr>
              <w:t>，有利于公司抢占医 共体信息系统话语权，进一步提高公司医 共体信息系统市场占有率，提升公司核心 竞争力。</w:t>
            </w:r>
          </w:p>
        </w:tc>
      </w:tr>
      <w:tr>
        <w:trPr>
          <w:trHeight w:val="220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集团化医疗机构综合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系统以医院管理战略为引领，根 据新的产品设计理念和前沿研发 技术架构发挥后发优势，规避传 统产品的不足之处，能更符合医 院未来发展和管理的现实需要， 全面支持业财一体化创新应用， 建设新一代医院智慧运营平台。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实现新应用场景产品快速部署和随需调 整，支持集团化、多维度决策模式的智慧 运营管理系统。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系统满足未来十年单体医院、集团化医疗 机构的</w:t>
            </w:r>
            <w:r>
              <w:rPr>
                <w:rFonts w:ascii="Times New Roman" w:eastAsia="Times New Roman" w:hAnsi="Times New Roman" w:cs="Times New Roman"/>
                <w:color w:val="000000"/>
                <w:spacing w:val="0"/>
                <w:w w:val="100"/>
                <w:position w:val="0"/>
              </w:rPr>
              <w:t>HRP</w:t>
            </w:r>
            <w:r>
              <w:rPr>
                <w:color w:val="000000"/>
                <w:spacing w:val="0"/>
                <w:w w:val="100"/>
                <w:position w:val="0"/>
              </w:rPr>
              <w:t>建设，丰富公司产品线。</w:t>
            </w:r>
          </w:p>
        </w:tc>
      </w:tr>
      <w:tr>
        <w:trPr>
          <w:trHeight w:val="1286"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医院综合运营管理系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r>
              <w:rPr>
                <w:color w:val="000000"/>
                <w:spacing w:val="0"/>
                <w:w w:val="100"/>
                <w:position w:val="0"/>
              </w:rPr>
              <w:t>（</w:t>
            </w:r>
            <w:r>
              <w:rPr>
                <w:rFonts w:ascii="Times New Roman" w:eastAsia="Times New Roman" w:hAnsi="Times New Roman" w:cs="Times New Roman"/>
                <w:color w:val="000000"/>
                <w:spacing w:val="0"/>
                <w:w w:val="100"/>
                <w:position w:val="0"/>
              </w:rPr>
              <w:t>HRP</w:t>
            </w:r>
            <w:r>
              <w:rPr>
                <w:color w:val="000000"/>
                <w:spacing w:val="0"/>
                <w:w w:val="100"/>
                <w:position w:val="0"/>
              </w:rPr>
              <w:t>）</w:t>
            </w:r>
            <w:r>
              <w:rPr>
                <w:rFonts w:ascii="Times New Roman" w:eastAsia="Times New Roman" w:hAnsi="Times New Roman" w:cs="Times New Roman"/>
                <w:color w:val="000000"/>
                <w:spacing w:val="0"/>
                <w:w w:val="100"/>
                <w:position w:val="0"/>
              </w:rPr>
              <w:t>V4.0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通过现有的医院综合运营管理系 统（</w:t>
            </w:r>
            <w:r>
              <w:rPr>
                <w:rFonts w:ascii="Times New Roman" w:eastAsia="Times New Roman" w:hAnsi="Times New Roman" w:cs="Times New Roman"/>
                <w:color w:val="000000"/>
                <w:spacing w:val="0"/>
                <w:w w:val="100"/>
                <w:position w:val="0"/>
              </w:rPr>
              <w:t>HRP</w:t>
            </w:r>
            <w:r>
              <w:rPr>
                <w:color w:val="000000"/>
                <w:spacing w:val="0"/>
                <w:w w:val="100"/>
                <w:position w:val="0"/>
              </w:rPr>
              <w:t>）</w:t>
            </w:r>
            <w:r>
              <w:rPr>
                <w:rFonts w:ascii="Times New Roman" w:eastAsia="Times New Roman" w:hAnsi="Times New Roman" w:cs="Times New Roman"/>
                <w:color w:val="000000"/>
                <w:spacing w:val="0"/>
                <w:w w:val="100"/>
                <w:position w:val="0"/>
              </w:rPr>
              <w:t>v3.0</w:t>
            </w:r>
            <w:r>
              <w:rPr>
                <w:color w:val="000000"/>
                <w:spacing w:val="0"/>
                <w:w w:val="100"/>
                <w:position w:val="0"/>
              </w:rPr>
              <w:t>的基础上根据现 阶段市场的实际需求对产品的升 级改造满足项目快速交付。</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对现有的模块功能进行完善和新功能开 发、升级，部分模块能支持集团化应用、 和移动应用。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产品升级，增强市场竞争力。</w:t>
            </w:r>
          </w:p>
        </w:tc>
      </w:tr>
    </w:tbl>
    <w:p>
      <w:pPr>
        <w:sectPr>
          <w:footnotePr>
            <w:pos w:val="pageBottom"/>
            <w:numFmt w:val="decimal"/>
            <w:numRestart w:val="continuous"/>
          </w:footnotePr>
          <w:pgSz w:w="16840" w:h="11900" w:orient="landscape"/>
          <w:pgMar w:top="1108" w:right="1324" w:bottom="1220" w:left="1317" w:header="0" w:footer="3" w:gutter="0"/>
          <w:cols w:space="720"/>
          <w:noEndnote/>
          <w:rtlGutter w:val="0"/>
          <w:docGrid w:linePitch="360"/>
        </w:sectPr>
      </w:pPr>
    </w:p>
    <w:p>
      <w:pPr>
        <w:pStyle w:val="Style18"/>
        <w:keepNext w:val="0"/>
        <w:keepLines w:val="0"/>
        <w:widowControl w:val="0"/>
        <w:shd w:val="clear" w:color="auto" w:fill="auto"/>
        <w:bidi w:val="0"/>
        <w:spacing w:before="140" w:after="60" w:line="240" w:lineRule="auto"/>
        <w:ind w:left="0" w:right="0" w:firstLine="480"/>
        <w:jc w:val="left"/>
      </w:pPr>
      <w:r>
        <w:rPr>
          <w:color w:val="000000"/>
          <w:spacing w:val="0"/>
          <w:w w:val="100"/>
          <w:position w:val="0"/>
        </w:rPr>
        <w:t>公司研发人员情况</w:t>
      </w:r>
    </w:p>
    <w:tbl>
      <w:tblPr>
        <w:tblOverlap w:val="never"/>
        <w:jc w:val="center"/>
        <w:tblLayout w:type="fixed"/>
      </w:tblPr>
      <w:tblGrid>
        <w:gridCol w:w="2395"/>
        <w:gridCol w:w="2390"/>
        <w:gridCol w:w="2395"/>
        <w:gridCol w:w="2400"/>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研发人员学历</w:t>
      </w:r>
    </w:p>
    <w:tbl>
      <w:tblPr>
        <w:tblOverlap w:val="never"/>
        <w:jc w:val="center"/>
        <w:tblLayout w:type="fixed"/>
      </w:tblPr>
      <w:tblGrid>
        <w:gridCol w:w="2400"/>
        <w:gridCol w:w="2390"/>
        <w:gridCol w:w="2390"/>
        <w:gridCol w:w="240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-15.48%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-25.37%</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r>
    </w:tbl>
    <w:tbl>
      <w:tblPr>
        <w:tblOverlap w:val="never"/>
        <w:jc w:val="center"/>
        <w:tblLayout w:type="fixed"/>
      </w:tblPr>
      <w:tblGrid>
        <w:gridCol w:w="2400"/>
        <w:gridCol w:w="2390"/>
        <w:gridCol w:w="2390"/>
        <w:gridCol w:w="2400"/>
      </w:tblGrid>
      <w:tr>
        <w:trPr>
          <w:trHeight w:val="408" w:hRule="exact"/>
        </w:trPr>
        <w:tc>
          <w:tcPr>
            <w:gridSpan w:val="4"/>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-13.85%</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-18.26%</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5"/>
        <w:gridCol w:w="2390"/>
        <w:gridCol w:w="2400"/>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79,862,236.24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79,660,655.48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73,540,314.47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研发支出资本化的金额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 入的比例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资本化研发支出占当期净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48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）报告期内，埃克森、中元惠合均不再纳入公司合并报表范围内，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 </w:t>
      </w:r>
      <w:r>
        <w:rPr>
          <w:color w:val="000000"/>
          <w:spacing w:val="0"/>
          <w:w w:val="100"/>
          <w:position w:val="0"/>
        </w:rPr>
        <w:t>均未统计相关研发人员。</w:t>
      </w:r>
    </w:p>
    <w:p>
      <w:pPr>
        <w:pStyle w:val="Style18"/>
        <w:keepNext w:val="0"/>
        <w:keepLines w:val="0"/>
        <w:widowControl w:val="0"/>
        <w:shd w:val="clear" w:color="auto" w:fill="auto"/>
        <w:bidi w:val="0"/>
        <w:spacing w:before="0" w:after="0" w:line="446" w:lineRule="exact"/>
        <w:ind w:left="0" w:right="0" w:firstLine="48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）公司调整部分研发岗位为技术支持岗位。本次调整无研发核心人员变动，不影响公 司研发项目进度。</w:t>
      </w:r>
    </w:p>
    <w:p>
      <w:pPr>
        <w:pStyle w:val="Style18"/>
        <w:keepNext w:val="0"/>
        <w:keepLines w:val="0"/>
        <w:widowControl w:val="0"/>
        <w:shd w:val="clear" w:color="auto" w:fill="auto"/>
        <w:bidi w:val="0"/>
        <w:spacing w:before="0" w:after="200" w:line="446" w:lineRule="exact"/>
        <w:ind w:left="0" w:right="0" w:firstLine="48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0" w:line="389"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46" w:lineRule="exact"/>
        <w:ind w:left="0" w:right="0" w:firstLine="48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20" w:line="389"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r>
        <w:br w:type="page"/>
      </w:r>
    </w:p>
    <w:p>
      <w:pPr>
        <w:pStyle w:val="Style32"/>
        <w:keepNext/>
        <w:keepLines/>
        <w:widowControl w:val="0"/>
        <w:shd w:val="clear" w:color="auto" w:fill="auto"/>
        <w:bidi w:val="0"/>
        <w:spacing w:before="0" w:after="34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sz w:val="24"/>
          <w:szCs w:val="24"/>
        </w:rPr>
        <w:t>5</w:t>
      </w:r>
      <w:bookmarkEnd w:id="151"/>
      <w:r>
        <w:rPr>
          <w:color w:val="000000"/>
          <w:spacing w:val="0"/>
          <w:w w:val="100"/>
          <w:position w:val="0"/>
        </w:rPr>
        <w:t>、现金流</w:t>
      </w:r>
      <w:bookmarkEnd w:id="149"/>
      <w:bookmarkEnd w:id="150"/>
      <w:bookmarkEnd w:id="1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40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509,299,018.41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498,117,795.33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468,577,598.66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455,759,808.14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经营活动产生的现金流量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40,721,419.75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42,357,987.19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153,799,189.10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474,818,037.65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495,443,716.18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493,460,223.13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投资活动产生的现金流量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-341,644,527.08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-18,642,185.48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1,732.64%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11,048,300.00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11,710,000.00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10,584,441.49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17,094,305.15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筹资活动产生的现金流量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463,858.51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-5,384,305.15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-108.62%</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-300,459,248.82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18,331,496.56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-1,739.03%</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48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）投资活动现金流入小计较上年同期减少</w:t>
      </w:r>
      <w:r>
        <w:rPr>
          <w:rFonts w:ascii="Times New Roman" w:eastAsia="Times New Roman" w:hAnsi="Times New Roman" w:cs="Times New Roman"/>
          <w:color w:val="000000"/>
          <w:spacing w:val="0"/>
          <w:w w:val="100"/>
          <w:position w:val="0"/>
          <w:sz w:val="24"/>
          <w:szCs w:val="24"/>
        </w:rPr>
        <w:t>67.61%</w:t>
      </w:r>
      <w:r>
        <w:rPr>
          <w:color w:val="000000"/>
          <w:spacing w:val="0"/>
          <w:w w:val="100"/>
          <w:position w:val="0"/>
        </w:rPr>
        <w:t xml:space="preserve">，主要系本期购买银行理财产品未 </w:t>
      </w:r>
      <w:r>
        <w:rPr>
          <w:color w:val="000000"/>
          <w:spacing w:val="0"/>
          <w:w w:val="100"/>
          <w:position w:val="0"/>
        </w:rPr>
        <w:t>到期赎回所致。</w:t>
      </w:r>
    </w:p>
    <w:p>
      <w:pPr>
        <w:pStyle w:val="Style18"/>
        <w:keepNext w:val="0"/>
        <w:keepLines w:val="0"/>
        <w:widowControl w:val="0"/>
        <w:shd w:val="clear" w:color="auto" w:fill="auto"/>
        <w:tabs>
          <w:tab w:pos="1131" w:val="left"/>
        </w:tabs>
        <w:bidi w:val="0"/>
        <w:spacing w:before="0" w:after="0" w:line="456" w:lineRule="exact"/>
        <w:ind w:left="0" w:right="0" w:firstLine="480"/>
        <w:jc w:val="both"/>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筹资活动现金流出小计较上年同期减少</w:t>
      </w:r>
      <w:r>
        <w:rPr>
          <w:rFonts w:ascii="Times New Roman" w:eastAsia="Times New Roman" w:hAnsi="Times New Roman" w:cs="Times New Roman"/>
          <w:color w:val="000000"/>
          <w:spacing w:val="0"/>
          <w:w w:val="100"/>
          <w:position w:val="0"/>
          <w:sz w:val="24"/>
          <w:szCs w:val="24"/>
        </w:rPr>
        <w:t>38.08%</w:t>
      </w:r>
      <w:r>
        <w:rPr>
          <w:color w:val="000000"/>
          <w:spacing w:val="0"/>
          <w:w w:val="100"/>
          <w:position w:val="0"/>
        </w:rPr>
        <w:t>，主要系上期回购限制性股票而本 期无所致。</w:t>
      </w:r>
    </w:p>
    <w:p>
      <w:pPr>
        <w:pStyle w:val="Style18"/>
        <w:keepNext w:val="0"/>
        <w:keepLines w:val="0"/>
        <w:widowControl w:val="0"/>
        <w:shd w:val="clear" w:color="auto" w:fill="auto"/>
        <w:tabs>
          <w:tab w:pos="1136" w:val="left"/>
        </w:tabs>
        <w:bidi w:val="0"/>
        <w:spacing w:before="0" w:after="0" w:line="456" w:lineRule="exact"/>
        <w:ind w:left="0" w:right="0" w:firstLine="480"/>
        <w:jc w:val="both"/>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现金及现金等价物净增加额较上年同期减少</w:t>
      </w:r>
      <w:r>
        <w:rPr>
          <w:rFonts w:ascii="Times New Roman" w:eastAsia="Times New Roman" w:hAnsi="Times New Roman" w:cs="Times New Roman"/>
          <w:color w:val="000000"/>
          <w:spacing w:val="0"/>
          <w:w w:val="100"/>
          <w:position w:val="0"/>
          <w:sz w:val="24"/>
          <w:szCs w:val="24"/>
        </w:rPr>
        <w:t>1739.03%</w:t>
      </w:r>
      <w:r>
        <w:rPr>
          <w:color w:val="000000"/>
          <w:spacing w:val="0"/>
          <w:w w:val="100"/>
          <w:position w:val="0"/>
        </w:rPr>
        <w:t>，主要系本期购买银行理财 产品未到期赎回所致。</w:t>
      </w:r>
    </w:p>
    <w:p>
      <w:pPr>
        <w:pStyle w:val="Style18"/>
        <w:keepNext w:val="0"/>
        <w:keepLines w:val="0"/>
        <w:widowControl w:val="0"/>
        <w:shd w:val="clear" w:color="auto" w:fill="auto"/>
        <w:bidi w:val="0"/>
        <w:spacing w:before="0" w:after="200" w:line="456" w:lineRule="exact"/>
        <w:ind w:left="0" w:right="0" w:firstLine="48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96"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9"/>
        <w:keepNext/>
        <w:keepLines/>
        <w:widowControl w:val="0"/>
        <w:shd w:val="clear" w:color="auto" w:fill="auto"/>
        <w:bidi w:val="0"/>
        <w:spacing w:before="0" w:after="440" w:line="456"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、非主营业务情况</w:t>
      </w:r>
      <w:bookmarkEnd w:id="156"/>
      <w:bookmarkEnd w:id="157"/>
      <w:bookmarkEnd w:id="159"/>
    </w:p>
    <w:p>
      <w:pPr>
        <w:pStyle w:val="Style18"/>
        <w:keepNext w:val="0"/>
        <w:keepLines w:val="0"/>
        <w:widowControl w:val="0"/>
        <w:shd w:val="clear" w:color="auto" w:fill="auto"/>
        <w:bidi w:val="0"/>
        <w:spacing w:before="0" w:after="0" w:line="396" w:lineRule="auto"/>
        <w:ind w:left="0" w:right="0" w:firstLine="48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915"/>
        <w:gridCol w:w="1622"/>
        <w:gridCol w:w="2165"/>
        <w:gridCol w:w="234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是否具有可持续性</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26,883,579.51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、理财产品收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41"/>
        <w:gridCol w:w="1920"/>
        <w:gridCol w:w="1622"/>
        <w:gridCol w:w="2165"/>
        <w:gridCol w:w="2371"/>
      </w:tblGrid>
      <w:tr>
        <w:trPr>
          <w:trHeight w:val="989"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益；</w:t>
            </w:r>
            <w:r>
              <w:rPr>
                <w:rFonts w:ascii="Times New Roman" w:eastAsia="Times New Roman" w:hAnsi="Times New Roman" w:cs="Times New Roman"/>
                <w:color w:val="000000"/>
                <w:spacing w:val="0"/>
                <w:w w:val="100"/>
                <w:position w:val="0"/>
              </w:rPr>
              <w:t>2</w:t>
            </w:r>
            <w:r>
              <w:rPr>
                <w:color w:val="000000"/>
                <w:spacing w:val="0"/>
                <w:w w:val="100"/>
                <w:position w:val="0"/>
              </w:rPr>
              <w:t>、来自于按照权益 法核算的合营、联营企 业投资收益。</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公允价值变动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54,572,212.06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主要系海富长江成长股 权投资（湖北）合伙企 业（有限合伙）公允价 值变动收益。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-2,042,222.68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、计提存货跌 价准备；</w:t>
            </w:r>
            <w:r>
              <w:rPr>
                <w:rFonts w:ascii="Times New Roman" w:eastAsia="Times New Roman" w:hAnsi="Times New Roman" w:cs="Times New Roman"/>
                <w:color w:val="000000"/>
                <w:spacing w:val="0"/>
                <w:w w:val="100"/>
                <w:position w:val="0"/>
              </w:rPr>
              <w:t>2</w:t>
            </w:r>
            <w:r>
              <w:rPr>
                <w:color w:val="000000"/>
                <w:spacing w:val="0"/>
                <w:w w:val="100"/>
                <w:position w:val="0"/>
              </w:rPr>
              <w:t>、联营企业股 权投资减值准备。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4,729,056.53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政府补助形成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3,773,524.90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、高新医疗诉 讼逾期利息；</w:t>
            </w:r>
            <w:r>
              <w:rPr>
                <w:rFonts w:ascii="Times New Roman" w:eastAsia="Times New Roman" w:hAnsi="Times New Roman" w:cs="Times New Roman"/>
                <w:color w:val="000000"/>
                <w:spacing w:val="0"/>
                <w:w w:val="100"/>
                <w:position w:val="0"/>
              </w:rPr>
              <w:t>2</w:t>
            </w:r>
            <w:r>
              <w:rPr>
                <w:color w:val="000000"/>
                <w:spacing w:val="0"/>
                <w:w w:val="100"/>
                <w:position w:val="0"/>
              </w:rPr>
              <w:t>、存货报 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处置固定资产形成净损 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六</w:t>
      </w:r>
      <w:bookmarkEnd w:id="162"/>
      <w:r>
        <w:rPr>
          <w:color w:val="000000"/>
          <w:spacing w:val="0"/>
          <w:w w:val="100"/>
          <w:position w:val="0"/>
        </w:rPr>
        <w:t>、资产及负债状况分析</w:t>
      </w:r>
      <w:bookmarkEnd w:id="160"/>
      <w:bookmarkEnd w:id="161"/>
      <w:bookmarkEnd w:id="163"/>
    </w:p>
    <w:p>
      <w:pPr>
        <w:pStyle w:val="Style32"/>
        <w:keepNext/>
        <w:keepLines/>
        <w:widowControl w:val="0"/>
        <w:shd w:val="clear" w:color="auto" w:fill="auto"/>
        <w:bidi w:val="0"/>
        <w:spacing w:before="0" w:after="32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4"/>
          <w:szCs w:val="24"/>
        </w:rPr>
        <w:t>1</w:t>
      </w:r>
      <w:bookmarkEnd w:id="166"/>
      <w:r>
        <w:rPr>
          <w:color w:val="000000"/>
          <w:spacing w:val="0"/>
          <w:w w:val="100"/>
          <w:position w:val="0"/>
        </w:rPr>
        <w:t>、资产构成重大变动情况</w:t>
      </w:r>
      <w:bookmarkEnd w:id="164"/>
      <w:bookmarkEnd w:id="165"/>
      <w:bookmarkEnd w:id="1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1368"/>
        <w:gridCol w:w="1008"/>
        <w:gridCol w:w="1368"/>
        <w:gridCol w:w="1008"/>
        <w:gridCol w:w="773"/>
        <w:gridCol w:w="2856"/>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比重增 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250,669,248.43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551,547,412.25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主要系本期部分货币资金购买 银行理财产品所致。</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192,633,672.61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1,212,983.86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137,996,037.90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132,483,423.01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48,393,763.88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2,272,417.58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1,557,982.08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57,759,144.56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5,043,445.89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7,678,958.56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主要系房屋租赁资产摊销所 致。</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主要系本期银行短期借款减少 所致。</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42,996,416.57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主要系本期子公司穗华能源增</w:t>
            </w:r>
          </w:p>
        </w:tc>
      </w:tr>
    </w:tbl>
    <w:p>
      <w:pPr>
        <w:spacing w:lineRule="exact" w:line="1"/>
        <w:rPr>
          <w:sz w:val="2"/>
          <w:szCs w:val="2"/>
        </w:rPr>
      </w:pPr>
      <w:r>
        <w:br w:type="page"/>
      </w:r>
    </w:p>
    <w:tbl>
      <w:tblPr>
        <w:tblOverlap w:val="never"/>
        <w:jc w:val="center"/>
        <w:tblLayout w:type="fixed"/>
      </w:tblPr>
      <w:tblGrid>
        <w:gridCol w:w="1339"/>
        <w:gridCol w:w="1368"/>
        <w:gridCol w:w="1008"/>
        <w:gridCol w:w="1368"/>
        <w:gridCol w:w="1008"/>
        <w:gridCol w:w="773"/>
        <w:gridCol w:w="2885"/>
      </w:tblGrid>
      <w:tr>
        <w:trPr>
          <w:trHeight w:val="36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加长期借款所致。</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2,782,477.65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4,475,216.07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主要系本期房屋租赁到期支付 所致。</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8,229,320.00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主要系本期收到的银行承兑汇 票转出所致。</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主要系本期购买长期大额存单 所致。</w:t>
            </w: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其他非流动金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188,334,265.97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主要系本期追加海富长江成长 股权投资（湖北）合伙企业（有 限合伙）投资及公允价值变动 增加所致。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25,865,299.24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28,316,619.67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16,051,338.99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18,270,266.02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87,598,206.50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58,569,841.25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74,482,228.16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主要系本期购买银行理财产品 所致。</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sz w:val="24"/>
          <w:szCs w:val="24"/>
        </w:rPr>
        <w:t>2</w:t>
      </w:r>
      <w:bookmarkEnd w:id="170"/>
      <w:r>
        <w:rPr>
          <w:color w:val="000000"/>
          <w:spacing w:val="0"/>
          <w:w w:val="100"/>
          <w:position w:val="0"/>
        </w:rPr>
        <w:t>、以公允价值计量的资产和负债</w:t>
      </w:r>
      <w:bookmarkEnd w:id="168"/>
      <w:bookmarkEnd w:id="169"/>
      <w:bookmarkEnd w:id="171"/>
    </w:p>
    <w:p>
      <w:pPr>
        <w:pStyle w:val="Style18"/>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965"/>
        <w:gridCol w:w="1181"/>
        <w:gridCol w:w="1094"/>
        <w:gridCol w:w="1162"/>
        <w:gridCol w:w="898"/>
        <w:gridCol w:w="1181"/>
        <w:gridCol w:w="1181"/>
        <w:gridCol w:w="869"/>
        <w:gridCol w:w="1190"/>
      </w:tblGrid>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本期公允价</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计入权益的累</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计公允价值变</w:t>
            </w:r>
          </w:p>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gridSpan w:val="9"/>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268,000,000.00</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动金融资</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113,762,053.91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54,572,212.06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188,334,265.97</w:t>
            </w: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70,650,387.40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15,379,545.68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86,029,933.08</w:t>
            </w:r>
          </w:p>
        </w:tc>
      </w:tr>
    </w:tbl>
    <w:tbl>
      <w:tblPr>
        <w:tblOverlap w:val="never"/>
        <w:jc w:val="center"/>
        <w:tblLayout w:type="fixed"/>
      </w:tblPr>
      <w:tblGrid>
        <w:gridCol w:w="965"/>
        <w:gridCol w:w="1181"/>
        <w:gridCol w:w="1094"/>
        <w:gridCol w:w="1162"/>
        <w:gridCol w:w="898"/>
        <w:gridCol w:w="1181"/>
        <w:gridCol w:w="1181"/>
        <w:gridCol w:w="869"/>
        <w:gridCol w:w="1219"/>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184,412,441.31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69,951,757.74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542,364,199.05</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其他变动的内容</w:t>
      </w: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2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32"/>
        <w:keepNext/>
        <w:keepLines/>
        <w:widowControl w:val="0"/>
        <w:shd w:val="clear" w:color="auto" w:fill="auto"/>
        <w:bidi w:val="0"/>
        <w:spacing w:before="0" w:after="4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sz w:val="24"/>
          <w:szCs w:val="24"/>
        </w:rPr>
        <w:t>3</w:t>
      </w:r>
      <w:bookmarkEnd w:id="174"/>
      <w:r>
        <w:rPr>
          <w:color w:val="000000"/>
          <w:spacing w:val="0"/>
          <w:w w:val="100"/>
          <w:position w:val="0"/>
        </w:rPr>
        <w:t>、截至报告期末的资产权利受限情况</w:t>
      </w:r>
      <w:bookmarkEnd w:id="172"/>
      <w:bookmarkEnd w:id="173"/>
      <w:bookmarkEnd w:id="175"/>
    </w:p>
    <w:p>
      <w:pPr>
        <w:pStyle w:val="Style18"/>
        <w:keepNext w:val="0"/>
        <w:keepLines w:val="0"/>
        <w:widowControl w:val="0"/>
        <w:shd w:val="clear" w:color="auto" w:fill="auto"/>
        <w:bidi w:val="0"/>
        <w:spacing w:before="0" w:after="80" w:line="240" w:lineRule="auto"/>
        <w:ind w:left="0" w:right="0" w:firstLine="520"/>
        <w:jc w:val="left"/>
      </w:pPr>
      <w:r>
        <w:rPr>
          <w:color w:val="000000"/>
          <w:spacing w:val="0"/>
          <w:w w:val="100"/>
          <w:position w:val="0"/>
        </w:rPr>
        <w:t>使用受到限制的货币资金</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58"/>
        <w:gridCol w:w="2957"/>
        <w:gridCol w:w="2971"/>
      </w:tblGrid>
      <w:tr>
        <w:trPr>
          <w:trHeight w:val="427"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银行承兑汇票保证金、保函保证金、履约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保证金及借款保证金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4,788,157.55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5,207,072.55</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54,788,157.55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5,207,072.55</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七</w:t>
      </w:r>
      <w:bookmarkEnd w:id="178"/>
      <w:r>
        <w:rPr>
          <w:color w:val="000000"/>
          <w:spacing w:val="0"/>
          <w:w w:val="100"/>
          <w:position w:val="0"/>
        </w:rPr>
        <w:t>、投资状况分析</w:t>
      </w:r>
      <w:bookmarkEnd w:id="176"/>
      <w:bookmarkEnd w:id="177"/>
      <w:bookmarkEnd w:id="179"/>
    </w:p>
    <w:p>
      <w:pPr>
        <w:pStyle w:val="Style32"/>
        <w:keepNext/>
        <w:keepLines/>
        <w:widowControl w:val="0"/>
        <w:shd w:val="clear" w:color="auto" w:fill="auto"/>
        <w:bidi w:val="0"/>
        <w:spacing w:before="0" w:after="4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sz w:val="24"/>
          <w:szCs w:val="24"/>
        </w:rPr>
        <w:t>1</w:t>
      </w:r>
      <w:bookmarkEnd w:id="182"/>
      <w:r>
        <w:rPr>
          <w:color w:val="000000"/>
          <w:spacing w:val="0"/>
          <w:w w:val="100"/>
          <w:position w:val="0"/>
        </w:rPr>
        <w:t>、总体情况</w:t>
      </w:r>
      <w:bookmarkEnd w:id="180"/>
      <w:bookmarkEnd w:id="181"/>
      <w:bookmarkEnd w:id="183"/>
    </w:p>
    <w:p>
      <w:pPr>
        <w:pStyle w:val="Style18"/>
        <w:keepNext w:val="0"/>
        <w:keepLines w:val="0"/>
        <w:widowControl w:val="0"/>
        <w:shd w:val="clear" w:color="auto" w:fill="auto"/>
        <w:bidi w:val="0"/>
        <w:spacing w:before="0" w:after="80" w:line="240" w:lineRule="auto"/>
        <w:ind w:left="0" w:right="0" w:firstLine="52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478,490,000.00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2"/>
        <w:keepNext/>
        <w:keepLines/>
        <w:widowControl w:val="0"/>
        <w:shd w:val="clear" w:color="auto" w:fill="auto"/>
        <w:bidi w:val="0"/>
        <w:spacing w:before="0" w:after="44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sz w:val="24"/>
          <w:szCs w:val="24"/>
        </w:rPr>
        <w:t>2</w:t>
      </w:r>
      <w:bookmarkEnd w:id="186"/>
      <w:r>
        <w:rPr>
          <w:color w:val="000000"/>
          <w:spacing w:val="0"/>
          <w:w w:val="100"/>
          <w:position w:val="0"/>
        </w:rPr>
        <w:t>、报告期内获取的重大的股权投资情况</w:t>
      </w:r>
      <w:bookmarkEnd w:id="184"/>
      <w:bookmarkEnd w:id="185"/>
      <w:bookmarkEnd w:id="187"/>
    </w:p>
    <w:p>
      <w:pPr>
        <w:pStyle w:val="Style18"/>
        <w:keepNext w:val="0"/>
        <w:keepLines w:val="0"/>
        <w:widowControl w:val="0"/>
        <w:shd w:val="clear" w:color="auto" w:fill="auto"/>
        <w:bidi w:val="0"/>
        <w:spacing w:before="0" w:after="32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32"/>
        <w:keepNext/>
        <w:keepLines/>
        <w:widowControl w:val="0"/>
        <w:shd w:val="clear" w:color="auto" w:fill="auto"/>
        <w:bidi w:val="0"/>
        <w:spacing w:before="0" w:after="44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sz w:val="24"/>
          <w:szCs w:val="24"/>
        </w:rPr>
        <w:t>3</w:t>
      </w:r>
      <w:bookmarkEnd w:id="190"/>
      <w:r>
        <w:rPr>
          <w:color w:val="000000"/>
          <w:spacing w:val="0"/>
          <w:w w:val="100"/>
          <w:position w:val="0"/>
        </w:rPr>
        <w:t>、报告期内正在进行的重大的非股权投资情况</w:t>
      </w:r>
      <w:bookmarkEnd w:id="188"/>
      <w:bookmarkEnd w:id="189"/>
      <w:bookmarkEnd w:id="191"/>
    </w:p>
    <w:p>
      <w:pPr>
        <w:pStyle w:val="Style18"/>
        <w:keepNext w:val="0"/>
        <w:keepLines w:val="0"/>
        <w:widowControl w:val="0"/>
        <w:shd w:val="clear" w:color="auto" w:fill="auto"/>
        <w:bidi w:val="0"/>
        <w:spacing w:before="0" w:after="320" w:line="240" w:lineRule="auto"/>
        <w:ind w:left="0" w:right="0" w:firstLine="520"/>
        <w:jc w:val="left"/>
        <w:sectPr>
          <w:footnotePr>
            <w:pos w:val="pageBottom"/>
            <w:numFmt w:val="decimal"/>
            <w:numRestart w:val="continuous"/>
          </w:footnotePr>
          <w:pgSz w:w="11900" w:h="16840"/>
          <w:pgMar w:top="1441" w:right="1076" w:bottom="1513"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32"/>
        <w:keepNext/>
        <w:keepLines/>
        <w:widowControl w:val="0"/>
        <w:shd w:val="clear" w:color="auto" w:fill="auto"/>
        <w:bidi w:val="0"/>
        <w:spacing w:before="0" w:after="42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sz w:val="24"/>
          <w:szCs w:val="24"/>
        </w:rPr>
        <w:t>4</w:t>
      </w:r>
      <w:bookmarkEnd w:id="194"/>
      <w:r>
        <w:rPr>
          <w:color w:val="000000"/>
          <w:spacing w:val="0"/>
          <w:w w:val="100"/>
          <w:position w:val="0"/>
        </w:rPr>
        <w:t>、以公允价值计量的金融资产</w:t>
      </w:r>
      <w:bookmarkEnd w:id="192"/>
      <w:bookmarkEnd w:id="193"/>
      <w:bookmarkEnd w:id="195"/>
    </w:p>
    <w:p>
      <w:pPr>
        <w:pStyle w:val="Style18"/>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054"/>
        <w:gridCol w:w="1310"/>
        <w:gridCol w:w="1594"/>
        <w:gridCol w:w="1718"/>
        <w:gridCol w:w="1762"/>
        <w:gridCol w:w="1397"/>
        <w:gridCol w:w="1402"/>
        <w:gridCol w:w="1402"/>
        <w:gridCol w:w="1402"/>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报告期内购入金额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报告期内售出</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累计投资收益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903,800.00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18,685,600.00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74,548,888.70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53,668,412.06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75,099,777.27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169,648,665.97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89,548,888.70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54,572,212.06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78,785,377.27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188,334,265.97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42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sz w:val="24"/>
          <w:szCs w:val="24"/>
        </w:rPr>
        <w:t>5</w:t>
      </w:r>
      <w:bookmarkEnd w:id="198"/>
      <w:r>
        <w:rPr>
          <w:color w:val="000000"/>
          <w:spacing w:val="0"/>
          <w:w w:val="100"/>
          <w:position w:val="0"/>
        </w:rPr>
        <w:t>、募集资金使用情况</w:t>
      </w:r>
      <w:bookmarkEnd w:id="196"/>
      <w:bookmarkEnd w:id="197"/>
      <w:bookmarkEnd w:id="199"/>
    </w:p>
    <w:p>
      <w:pPr>
        <w:pStyle w:val="Style18"/>
        <w:keepNext w:val="0"/>
        <w:keepLines w:val="0"/>
        <w:widowControl w:val="0"/>
        <w:shd w:val="clear" w:color="auto" w:fill="auto"/>
        <w:bidi w:val="0"/>
        <w:spacing w:before="0" w:after="360" w:line="240" w:lineRule="auto"/>
        <w:ind w:left="0" w:right="0" w:firstLine="52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46"/>
        <w:keepNext/>
        <w:keepLines/>
        <w:widowControl w:val="0"/>
        <w:shd w:val="clear" w:color="auto" w:fill="auto"/>
        <w:bidi w:val="0"/>
        <w:spacing w:before="0" w:after="42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bookmarkEnd w:id="200"/>
      <w:bookmarkEnd w:id="201"/>
      <w:bookmarkEnd w:id="203"/>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2926" w:right="0" w:firstLine="0"/>
        <w:jc w:val="left"/>
      </w:pPr>
      <w:r>
        <w:rPr>
          <w:color w:val="000000"/>
          <w:spacing w:val="0"/>
          <w:w w:val="100"/>
          <w:position w:val="0"/>
        </w:rPr>
        <w:t>单位：万元</w:t>
      </w:r>
    </w:p>
    <w:tbl>
      <w:tblPr>
        <w:tblOverlap w:val="never"/>
        <w:jc w:val="center"/>
        <w:tblLayout w:type="fixed"/>
      </w:tblPr>
      <w:tblGrid>
        <w:gridCol w:w="1277"/>
        <w:gridCol w:w="1272"/>
        <w:gridCol w:w="1277"/>
        <w:gridCol w:w="1277"/>
        <w:gridCol w:w="1277"/>
        <w:gridCol w:w="1272"/>
        <w:gridCol w:w="1272"/>
        <w:gridCol w:w="1277"/>
        <w:gridCol w:w="1272"/>
        <w:gridCol w:w="1277"/>
        <w:gridCol w:w="1306"/>
      </w:tblGrid>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本期已使用</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已累计使用</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报告期内变</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更用途的募</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集资金总额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累计变更用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途的募集资</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累计变更用</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途的募集资</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尚未使用募</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集资金用途</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及去向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闲置两年以</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上募集资金</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48,917.81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2,588.74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3,342.59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存放至募集</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资金专用账 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3,342.59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48,917.81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2,588.74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45,575.22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3,342.59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3,342.59</w:t>
            </w:r>
          </w:p>
        </w:tc>
      </w:tr>
    </w:tbl>
    <w:p>
      <w:pPr>
        <w:pStyle w:val="Style2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143" w:right="1379" w:bottom="1157" w:left="1393" w:header="0" w:footer="3" w:gutter="0"/>
          <w:cols w:space="720"/>
          <w:noEndnote/>
          <w:rtlGutter w:val="0"/>
          <w:docGrid w:linePitch="360"/>
        </w:sectPr>
      </w:pPr>
      <w:r>
        <w:rPr>
          <w:color w:val="000000"/>
          <w:spacing w:val="0"/>
          <w:w w:val="100"/>
          <w:position w:val="0"/>
        </w:rPr>
        <w:t>募集资金总体使用情况说明</w:t>
      </w:r>
    </w:p>
    <w:p>
      <w:pPr>
        <w:pStyle w:val="Style18"/>
        <w:keepNext w:val="0"/>
        <w:keepLines w:val="0"/>
        <w:widowControl w:val="0"/>
        <w:pBdr>
          <w:bottom w:val="single" w:sz="4" w:space="0" w:color="auto"/>
        </w:pBdr>
        <w:shd w:val="clear" w:color="auto" w:fill="auto"/>
        <w:bidi w:val="0"/>
        <w:spacing w:before="0" w:after="380" w:line="329" w:lineRule="exact"/>
        <w:ind w:left="0" w:right="0" w:firstLine="9760"/>
        <w:jc w:val="left"/>
        <w:rPr>
          <w:sz w:val="20"/>
          <w:szCs w:val="20"/>
        </w:rPr>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r>
        <w:rPr>
          <w:color w:val="000000"/>
          <w:spacing w:val="0"/>
          <w:w w:val="100"/>
          <w:position w:val="0"/>
          <w:sz w:val="17"/>
          <w:szCs w:val="17"/>
          <w:u w:val="single"/>
        </w:rPr>
        <w:t xml:space="preserve"> </w:t>
      </w: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［2009］1011</w:t>
      </w:r>
      <w:r>
        <w:rPr>
          <w:color w:val="000000"/>
          <w:spacing w:val="0"/>
          <w:w w:val="100"/>
          <w:position w:val="0"/>
          <w:sz w:val="20"/>
          <w:szCs w:val="20"/>
        </w:rPr>
        <w:t>号文核准，本公司向社会公开发行人民币普通股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r>
        <w:rPr>
          <w:rFonts w:ascii="Times New Roman" w:eastAsia="Times New Roman" w:hAnsi="Times New Roman" w:cs="Times New Roman"/>
          <w:color w:val="000000"/>
          <w:spacing w:val="0"/>
          <w:w w:val="100"/>
          <w:position w:val="0"/>
          <w:sz w:val="20"/>
          <w:szCs w:val="20"/>
        </w:rPr>
        <w:t>1,635</w:t>
      </w:r>
      <w:r>
        <w:rPr>
          <w:color w:val="000000"/>
          <w:spacing w:val="0"/>
          <w:w w:val="100"/>
          <w:position w:val="0"/>
          <w:sz w:val="20"/>
          <w:szCs w:val="2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元，每股发行价格 </w:t>
      </w:r>
      <w:r>
        <w:rPr>
          <w:rFonts w:ascii="Times New Roman" w:eastAsia="Times New Roman" w:hAnsi="Times New Roman" w:cs="Times New Roman"/>
          <w:color w:val="000000"/>
          <w:spacing w:val="0"/>
          <w:w w:val="100"/>
          <w:position w:val="0"/>
          <w:sz w:val="20"/>
          <w:szCs w:val="20"/>
        </w:rPr>
        <w:t>32.18</w:t>
      </w:r>
      <w:r>
        <w:rPr>
          <w:color w:val="000000"/>
          <w:spacing w:val="0"/>
          <w:w w:val="100"/>
          <w:position w:val="0"/>
          <w:sz w:val="20"/>
          <w:szCs w:val="20"/>
        </w:rPr>
        <w:t>元，共募集资金总额为</w:t>
      </w:r>
      <w:r>
        <w:rPr>
          <w:rFonts w:ascii="Times New Roman" w:eastAsia="Times New Roman" w:hAnsi="Times New Roman" w:cs="Times New Roman"/>
          <w:color w:val="000000"/>
          <w:spacing w:val="0"/>
          <w:w w:val="100"/>
          <w:position w:val="0"/>
          <w:sz w:val="20"/>
          <w:szCs w:val="20"/>
        </w:rPr>
        <w:t>526,143,000.00</w:t>
      </w:r>
      <w:r>
        <w:rPr>
          <w:color w:val="000000"/>
          <w:spacing w:val="0"/>
          <w:w w:val="100"/>
          <w:position w:val="0"/>
          <w:sz w:val="20"/>
          <w:szCs w:val="20"/>
        </w:rPr>
        <w:t>元，扣除承销费和保荐费</w:t>
      </w:r>
      <w:r>
        <w:rPr>
          <w:rFonts w:ascii="Times New Roman" w:eastAsia="Times New Roman" w:hAnsi="Times New Roman" w:cs="Times New Roman"/>
          <w:color w:val="000000"/>
          <w:spacing w:val="0"/>
          <w:w w:val="100"/>
          <w:position w:val="0"/>
          <w:sz w:val="20"/>
          <w:szCs w:val="20"/>
        </w:rPr>
        <w:t>29,307,150.00</w:t>
      </w:r>
      <w:r>
        <w:rPr>
          <w:color w:val="000000"/>
          <w:spacing w:val="0"/>
          <w:w w:val="100"/>
          <w:position w:val="0"/>
          <w:sz w:val="20"/>
          <w:szCs w:val="20"/>
        </w:rPr>
        <w:t>元后的募集资金为</w:t>
      </w:r>
      <w:r>
        <w:rPr>
          <w:rFonts w:ascii="Times New Roman" w:eastAsia="Times New Roman" w:hAnsi="Times New Roman" w:cs="Times New Roman"/>
          <w:color w:val="000000"/>
          <w:spacing w:val="0"/>
          <w:w w:val="100"/>
          <w:position w:val="0"/>
          <w:sz w:val="20"/>
          <w:szCs w:val="20"/>
        </w:rPr>
        <w:t>496,835,850.00</w:t>
      </w:r>
      <w:r>
        <w:rPr>
          <w:color w:val="000000"/>
          <w:spacing w:val="0"/>
          <w:w w:val="100"/>
          <w:position w:val="0"/>
          <w:sz w:val="20"/>
          <w:szCs w:val="20"/>
        </w:rPr>
        <w:t>元。另扣除律师费、审计费、法定 信息披露及路演推介等发行费用</w:t>
      </w:r>
      <w:r>
        <w:rPr>
          <w:rFonts w:ascii="Times New Roman" w:eastAsia="Times New Roman" w:hAnsi="Times New Roman" w:cs="Times New Roman"/>
          <w:color w:val="000000"/>
          <w:spacing w:val="0"/>
          <w:w w:val="100"/>
          <w:position w:val="0"/>
          <w:sz w:val="20"/>
          <w:szCs w:val="20"/>
        </w:rPr>
        <w:t>7,657,779.93</w:t>
      </w:r>
      <w:r>
        <w:rPr>
          <w:color w:val="000000"/>
          <w:spacing w:val="0"/>
          <w:w w:val="100"/>
          <w:position w:val="0"/>
          <w:sz w:val="20"/>
          <w:szCs w:val="20"/>
        </w:rPr>
        <w:t>元后，募集资金净额为</w:t>
      </w:r>
      <w:r>
        <w:rPr>
          <w:rFonts w:ascii="Times New Roman" w:eastAsia="Times New Roman" w:hAnsi="Times New Roman" w:cs="Times New Roman"/>
          <w:color w:val="000000"/>
          <w:spacing w:val="0"/>
          <w:w w:val="100"/>
          <w:position w:val="0"/>
          <w:sz w:val="20"/>
          <w:szCs w:val="20"/>
        </w:rPr>
        <w:t>489,178,070.07</w:t>
      </w:r>
      <w:r>
        <w:rPr>
          <w:color w:val="000000"/>
          <w:spacing w:val="0"/>
          <w:w w:val="100"/>
          <w:position w:val="0"/>
          <w:sz w:val="20"/>
          <w:szCs w:val="20"/>
        </w:rPr>
        <w:t>元。该事项业经中瑞岳华会计师事务所有限公司审验，并由其于</w:t>
      </w: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日出具中瑞岳华专审字</w:t>
      </w:r>
      <w:r>
        <w:rPr>
          <w:rFonts w:ascii="Times New Roman" w:eastAsia="Times New Roman" w:hAnsi="Times New Roman" w:cs="Times New Roman"/>
          <w:color w:val="000000"/>
          <w:spacing w:val="0"/>
          <w:w w:val="100"/>
          <w:position w:val="0"/>
          <w:sz w:val="20"/>
          <w:szCs w:val="20"/>
        </w:rPr>
        <w:t>［2009</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2504</w:t>
      </w:r>
      <w:r>
        <w:rPr>
          <w:color w:val="000000"/>
          <w:spacing w:val="0"/>
          <w:w w:val="100"/>
          <w:position w:val="0"/>
          <w:sz w:val="20"/>
          <w:szCs w:val="20"/>
        </w:rPr>
        <w:t>号《审核报告》。报告期内，募集资金使用总额为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万元;截至报告期末，募集资金累计使用总额为</w:t>
      </w:r>
      <w:r>
        <w:rPr>
          <w:rFonts w:ascii="Times New Roman" w:eastAsia="Times New Roman" w:hAnsi="Times New Roman" w:cs="Times New Roman"/>
          <w:color w:val="000000"/>
          <w:spacing w:val="0"/>
          <w:w w:val="100"/>
          <w:position w:val="0"/>
          <w:sz w:val="20"/>
          <w:szCs w:val="20"/>
        </w:rPr>
        <w:t xml:space="preserve">45,575.22 </w:t>
      </w:r>
      <w:r>
        <w:rPr>
          <w:color w:val="000000"/>
          <w:spacing w:val="0"/>
          <w:w w:val="100"/>
          <w:position w:val="0"/>
          <w:sz w:val="20"/>
          <w:szCs w:val="20"/>
        </w:rPr>
        <w:t>万元。</w:t>
      </w:r>
    </w:p>
    <w:p>
      <w:pPr>
        <w:pStyle w:val="Style46"/>
        <w:keepNext/>
        <w:keepLines/>
        <w:widowControl w:val="0"/>
        <w:numPr>
          <w:ilvl w:val="0"/>
          <w:numId w:val="3"/>
        </w:numPr>
        <w:shd w:val="clear" w:color="auto" w:fill="auto"/>
        <w:bidi w:val="0"/>
        <w:spacing w:before="0" w:after="440" w:line="240" w:lineRule="auto"/>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募集资金承诺项目情况</w:t>
      </w:r>
      <w:bookmarkEnd w:id="204"/>
      <w:bookmarkEnd w:id="205"/>
      <w:bookmarkEnd w:id="207"/>
    </w:p>
    <w:p>
      <w:pPr>
        <w:pStyle w:val="Style18"/>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12941" w:right="0" w:firstLine="0"/>
        <w:jc w:val="left"/>
      </w:pPr>
      <w:r>
        <w:rPr>
          <w:color w:val="000000"/>
          <w:spacing w:val="0"/>
          <w:w w:val="100"/>
          <w:position w:val="0"/>
        </w:rPr>
        <w:t>单位：万元</w:t>
      </w:r>
    </w:p>
    <w:tbl>
      <w:tblPr>
        <w:tblOverlap w:val="never"/>
        <w:jc w:val="center"/>
        <w:tblLayout w:type="fixed"/>
      </w:tblPr>
      <w:tblGrid>
        <w:gridCol w:w="2885"/>
        <w:gridCol w:w="850"/>
        <w:gridCol w:w="994"/>
        <w:gridCol w:w="994"/>
        <w:gridCol w:w="850"/>
        <w:gridCol w:w="994"/>
        <w:gridCol w:w="898"/>
        <w:gridCol w:w="1934"/>
        <w:gridCol w:w="994"/>
        <w:gridCol w:w="994"/>
        <w:gridCol w:w="850"/>
        <w:gridCol w:w="806"/>
      </w:tblGrid>
      <w:tr>
        <w:trPr>
          <w:trHeight w:val="165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调整后投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本报告</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期投入</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截至期末</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投资进度</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⑶=</w:t>
            </w:r>
          </w:p>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实现的效</w:t>
            </w:r>
          </w:p>
          <w:p>
            <w:pPr>
              <w:pStyle w:val="Style21"/>
              <w:keepNext w:val="0"/>
              <w:keepLines w:val="0"/>
              <w:widowControl w:val="0"/>
              <w:shd w:val="clear" w:color="auto" w:fill="auto"/>
              <w:bidi w:val="0"/>
              <w:spacing w:before="0" w:after="80" w:line="240" w:lineRule="auto"/>
              <w:ind w:left="0" w:right="0" w:firstLine="380"/>
              <w:jc w:val="lef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截止报告 期末累计 实现的效</w:t>
            </w:r>
          </w:p>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是否达</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到预计</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项目可</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行性是</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否发生</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重大变</w:t>
            </w:r>
          </w:p>
          <w:p>
            <w:pPr>
              <w:pStyle w:val="Style21"/>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化</w:t>
            </w:r>
          </w:p>
        </w:tc>
      </w:tr>
      <w:tr>
        <w:trPr>
          <w:trHeight w:val="403" w:hRule="exact"/>
        </w:trPr>
        <w:tc>
          <w:tcPr>
            <w:gridSpan w:val="1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智能化电力动态数据记录装置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19,514.47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 及时间同步检测设备项目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8,594.56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23,335.79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r>
        <w:trPr>
          <w:trHeight w:val="403" w:hRule="exact"/>
        </w:trPr>
        <w:tc>
          <w:tcPr>
            <w:gridSpan w:val="1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新型自动跟踪补偿消弧线圈成 套装置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基于电力物联网的输变电智能 监测和运维系统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-1,291.85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-1,291.85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5,322.46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-1,436.04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bl>
    <w:p>
      <w:pPr>
        <w:sectPr>
          <w:footnotePr>
            <w:pos w:val="pageBottom"/>
            <w:numFmt w:val="decimal"/>
            <w:numRestart w:val="continuous"/>
          </w:footnotePr>
          <w:pgSz w:w="16840" w:h="11900" w:orient="landscape"/>
          <w:pgMar w:top="740" w:right="1407" w:bottom="1038" w:left="1393" w:header="0" w:footer="3" w:gutter="0"/>
          <w:cols w:space="720"/>
          <w:noEndnote/>
          <w:rtlGutter w:val="0"/>
          <w:docGrid w:linePitch="360"/>
        </w:sectPr>
      </w:pPr>
    </w:p>
    <w:tbl>
      <w:tblPr>
        <w:tblOverlap w:val="never"/>
        <w:jc w:val="center"/>
        <w:tblLayout w:type="fixed"/>
      </w:tblPr>
      <w:tblGrid>
        <w:gridCol w:w="2861"/>
        <w:gridCol w:w="11194"/>
      </w:tblGrid>
      <w:tr>
        <w:trPr>
          <w:trHeight w:val="43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970" w:val="left"/>
                <w:tab w:pos="1963" w:val="left"/>
                <w:tab w:pos="3826" w:val="left"/>
                <w:tab w:pos="5054" w:val="left"/>
                <w:tab w:pos="6475" w:val="left"/>
                <w:tab w:pos="7656" w:val="left"/>
                <w:tab w:pos="8578" w:val="left"/>
                <w:tab w:pos="9854" w:val="left"/>
                <w:tab w:pos="10680" w:val="left"/>
              </w:tabs>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tab/>
              <w:t>25,935.26</w:t>
              <w:tab/>
              <w:t>25,935.26 2,588.74</w:t>
              <w:tab/>
              <w:t>13,917.02</w:t>
              <w:tab/>
              <w:t>--</w:t>
              <w:tab/>
              <w:t>--</w:t>
              <w:tab/>
              <w:t>1,677.84</w:t>
              <w:tab/>
              <w:t>21,899.75</w:t>
              <w:tab/>
              <w:t>--</w:t>
              <w:tab/>
              <w:t>--</w:t>
            </w: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 情况和原因（分具体项目）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智能化电力动态数据记录装置项目、基于北斗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的时间同步系统及时间同步检测设备项目、新型自动跟踪补偿消弧线 圈成套装置项目未能达到预计收益，主要原因是市场需求及产品价格低于公司原来的预期，造成产能未能完全释放和销售 收入低于预期，从而未能实现预计效益。</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项目可行性发生重大变化的情 况说明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443" w:hRule="exact"/>
        </w:trPr>
        <w:tc>
          <w:tcPr>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超募资金的金额、用途及使用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进展情况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公司首次公开发行股票后的募集资金净额为</w:t>
            </w:r>
            <w:r>
              <w:rPr>
                <w:rFonts w:ascii="Times New Roman" w:eastAsia="Times New Roman" w:hAnsi="Times New Roman" w:cs="Times New Roman"/>
                <w:color w:val="000000"/>
                <w:spacing w:val="0"/>
                <w:w w:val="100"/>
                <w:position w:val="0"/>
              </w:rPr>
              <w:t>489,178,070.07</w:t>
            </w:r>
            <w:r>
              <w:rPr>
                <w:color w:val="000000"/>
                <w:spacing w:val="0"/>
                <w:w w:val="100"/>
                <w:position w:val="0"/>
              </w:rPr>
              <w:t>元，其中超募资金</w:t>
            </w:r>
            <w:r>
              <w:rPr>
                <w:rFonts w:ascii="Times New Roman" w:eastAsia="Times New Roman" w:hAnsi="Times New Roman" w:cs="Times New Roman"/>
                <w:color w:val="000000"/>
                <w:spacing w:val="0"/>
                <w:w w:val="100"/>
                <w:position w:val="0"/>
              </w:rPr>
              <w:t>304,178,070.07</w:t>
            </w:r>
            <w:r>
              <w:rPr>
                <w:color w:val="000000"/>
                <w:spacing w:val="0"/>
                <w:w w:val="100"/>
                <w:position w:val="0"/>
              </w:rPr>
              <w:t>元，已确定用途的超募资金 情况如下：</w:t>
            </w:r>
          </w:p>
          <w:p>
            <w:pPr>
              <w:pStyle w:val="Style21"/>
              <w:keepNext w:val="0"/>
              <w:keepLines w:val="0"/>
              <w:widowControl w:val="0"/>
              <w:shd w:val="clear" w:color="auto" w:fill="auto"/>
              <w:tabs>
                <w:tab w:pos="307"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投入</w:t>
            </w:r>
            <w:r>
              <w:rPr>
                <w:rFonts w:ascii="Times New Roman" w:eastAsia="Times New Roman" w:hAnsi="Times New Roman" w:cs="Times New Roman"/>
                <w:color w:val="000000"/>
                <w:spacing w:val="0"/>
                <w:w w:val="100"/>
                <w:position w:val="0"/>
              </w:rPr>
              <w:t>5,000</w:t>
            </w:r>
            <w:r>
              <w:rPr>
                <w:color w:val="000000"/>
                <w:spacing w:val="0"/>
                <w:w w:val="100"/>
                <w:position w:val="0"/>
              </w:rPr>
              <w:t>万元实施电能质量监测与治理项目；</w:t>
            </w:r>
          </w:p>
          <w:p>
            <w:pPr>
              <w:pStyle w:val="Style21"/>
              <w:keepNext w:val="0"/>
              <w:keepLines w:val="0"/>
              <w:widowControl w:val="0"/>
              <w:shd w:val="clear" w:color="auto" w:fill="auto"/>
              <w:tabs>
                <w:tab w:pos="326"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投入</w:t>
            </w:r>
            <w:r>
              <w:rPr>
                <w:rFonts w:ascii="Times New Roman" w:eastAsia="Times New Roman" w:hAnsi="Times New Roman" w:cs="Times New Roman"/>
                <w:color w:val="000000"/>
                <w:spacing w:val="0"/>
                <w:w w:val="100"/>
                <w:position w:val="0"/>
              </w:rPr>
              <w:t>2,800</w:t>
            </w:r>
            <w:r>
              <w:rPr>
                <w:color w:val="000000"/>
                <w:spacing w:val="0"/>
                <w:w w:val="100"/>
                <w:position w:val="0"/>
              </w:rPr>
              <w:t>万元用于向全资子公司增资实施新型自动跟踪补偿消弧线圈成套装置项目；</w:t>
            </w:r>
          </w:p>
          <w:p>
            <w:pPr>
              <w:pStyle w:val="Style21"/>
              <w:keepNext w:val="0"/>
              <w:keepLines w:val="0"/>
              <w:widowControl w:val="0"/>
              <w:shd w:val="clear" w:color="auto" w:fill="auto"/>
              <w:tabs>
                <w:tab w:pos="326"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投入不超过</w:t>
            </w:r>
            <w:r>
              <w:rPr>
                <w:rFonts w:ascii="Times New Roman" w:eastAsia="Times New Roman" w:hAnsi="Times New Roman" w:cs="Times New Roman"/>
                <w:color w:val="000000"/>
                <w:spacing w:val="0"/>
                <w:w w:val="100"/>
                <w:position w:val="0"/>
              </w:rPr>
              <w:t>3,000</w:t>
            </w:r>
            <w:r>
              <w:rPr>
                <w:color w:val="000000"/>
                <w:spacing w:val="0"/>
                <w:w w:val="100"/>
                <w:position w:val="0"/>
              </w:rPr>
              <w:t>万元实施智能电网产业园项目；</w:t>
            </w:r>
          </w:p>
          <w:p>
            <w:pPr>
              <w:pStyle w:val="Style21"/>
              <w:keepNext w:val="0"/>
              <w:keepLines w:val="0"/>
              <w:widowControl w:val="0"/>
              <w:shd w:val="clear" w:color="auto" w:fill="auto"/>
              <w:tabs>
                <w:tab w:pos="326"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投资</w:t>
            </w:r>
            <w:r>
              <w:rPr>
                <w:rFonts w:ascii="Times New Roman" w:eastAsia="Times New Roman" w:hAnsi="Times New Roman" w:cs="Times New Roman"/>
                <w:color w:val="000000"/>
                <w:spacing w:val="0"/>
                <w:w w:val="100"/>
                <w:position w:val="0"/>
              </w:rPr>
              <w:t>4,290</w:t>
            </w:r>
            <w:r>
              <w:rPr>
                <w:color w:val="000000"/>
                <w:spacing w:val="0"/>
                <w:w w:val="100"/>
                <w:position w:val="0"/>
              </w:rPr>
              <w:t>万元实施收购成都智达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w:t>
            </w:r>
          </w:p>
          <w:p>
            <w:pPr>
              <w:pStyle w:val="Style21"/>
              <w:keepNext w:val="0"/>
              <w:keepLines w:val="0"/>
              <w:widowControl w:val="0"/>
              <w:shd w:val="clear" w:color="auto" w:fill="auto"/>
              <w:tabs>
                <w:tab w:pos="32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投资</w:t>
            </w:r>
            <w:r>
              <w:rPr>
                <w:rFonts w:ascii="Times New Roman" w:eastAsia="Times New Roman" w:hAnsi="Times New Roman" w:cs="Times New Roman"/>
                <w:color w:val="000000"/>
                <w:spacing w:val="0"/>
                <w:w w:val="100"/>
                <w:position w:val="0"/>
              </w:rPr>
              <w:t>1,510</w:t>
            </w:r>
            <w:r>
              <w:rPr>
                <w:color w:val="000000"/>
                <w:spacing w:val="0"/>
                <w:w w:val="100"/>
                <w:position w:val="0"/>
              </w:rPr>
              <w:t>万元实施广州至德增资项目；</w:t>
            </w:r>
          </w:p>
          <w:p>
            <w:pPr>
              <w:pStyle w:val="Style21"/>
              <w:keepNext w:val="0"/>
              <w:keepLines w:val="0"/>
              <w:widowControl w:val="0"/>
              <w:shd w:val="clear" w:color="auto" w:fill="auto"/>
              <w:tabs>
                <w:tab w:pos="317"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永久性补充流动资金</w:t>
            </w:r>
            <w:r>
              <w:rPr>
                <w:rFonts w:ascii="Times New Roman" w:eastAsia="Times New Roman" w:hAnsi="Times New Roman" w:cs="Times New Roman"/>
                <w:color w:val="000000"/>
                <w:spacing w:val="0"/>
                <w:w w:val="100"/>
                <w:position w:val="0"/>
              </w:rPr>
              <w:t>9,000</w:t>
            </w:r>
            <w:r>
              <w:rPr>
                <w:color w:val="000000"/>
                <w:spacing w:val="0"/>
                <w:w w:val="100"/>
                <w:position w:val="0"/>
              </w:rPr>
              <w:t>万元；</w:t>
            </w:r>
          </w:p>
          <w:p>
            <w:pPr>
              <w:pStyle w:val="Style21"/>
              <w:keepNext w:val="0"/>
              <w:keepLines w:val="0"/>
              <w:widowControl w:val="0"/>
              <w:shd w:val="clear" w:color="auto" w:fill="auto"/>
              <w:tabs>
                <w:tab w:pos="32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投资</w:t>
            </w:r>
            <w:r>
              <w:rPr>
                <w:rFonts w:ascii="Times New Roman" w:eastAsia="Times New Roman" w:hAnsi="Times New Roman" w:cs="Times New Roman"/>
                <w:color w:val="000000"/>
                <w:spacing w:val="0"/>
                <w:w w:val="100"/>
                <w:position w:val="0"/>
              </w:rPr>
              <w:t>10,200.26</w:t>
            </w:r>
            <w:r>
              <w:rPr>
                <w:color w:val="000000"/>
                <w:spacing w:val="0"/>
                <w:w w:val="100"/>
                <w:position w:val="0"/>
              </w:rPr>
              <w:t>万元实施基于电力物联网的输变电智能监测和运维系统项目。</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除第</w:t>
            </w:r>
            <w:r>
              <w:rPr>
                <w:rFonts w:ascii="Times New Roman" w:eastAsia="Times New Roman" w:hAnsi="Times New Roman" w:cs="Times New Roman"/>
                <w:color w:val="000000"/>
                <w:spacing w:val="0"/>
                <w:w w:val="100"/>
                <w:position w:val="0"/>
              </w:rPr>
              <w:t>7</w:t>
            </w:r>
            <w:r>
              <w:rPr>
                <w:color w:val="000000"/>
                <w:spacing w:val="0"/>
                <w:w w:val="100"/>
                <w:position w:val="0"/>
              </w:rPr>
              <w:t>项外，上述项目均完成了预定的建设任务，节余部分募集资金和利息。经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 电能质量监测与治理项目、新型自动跟踪补偿消弧线圈成套装置项目的节余资金及利息用于永久补充流动资金。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日，公司第二届董事会第十五次（临时）会议通过决议，决定使用</w:t>
            </w:r>
            <w:r>
              <w:rPr>
                <w:rFonts w:ascii="Times New Roman" w:eastAsia="Times New Roman" w:hAnsi="Times New Roman" w:cs="Times New Roman"/>
                <w:color w:val="000000"/>
                <w:spacing w:val="0"/>
                <w:w w:val="100"/>
                <w:position w:val="0"/>
              </w:rPr>
              <w:t>5,000</w:t>
            </w:r>
            <w:r>
              <w:rPr>
                <w:color w:val="000000"/>
                <w:spacing w:val="0"/>
                <w:w w:val="100"/>
                <w:position w:val="0"/>
              </w:rPr>
              <w:t>万元实施电能质量监测与治理项目。</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日公司第三届董事会第三次（临时）会议通过决议，决定使用</w:t>
            </w:r>
            <w:r>
              <w:rPr>
                <w:rFonts w:ascii="Times New Roman" w:eastAsia="Times New Roman" w:hAnsi="Times New Roman" w:cs="Times New Roman"/>
                <w:color w:val="000000"/>
                <w:spacing w:val="0"/>
                <w:w w:val="100"/>
                <w:position w:val="0"/>
              </w:rPr>
              <w:t>1,510</w:t>
            </w:r>
            <w:r>
              <w:rPr>
                <w:color w:val="000000"/>
                <w:spacing w:val="0"/>
                <w:w w:val="100"/>
                <w:position w:val="0"/>
              </w:rPr>
              <w:t>万元实施广州至德增资项目。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7</w:t>
            </w:r>
            <w:r>
              <w:rPr>
                <w:color w:val="000000"/>
                <w:spacing w:val="0"/>
                <w:w w:val="100"/>
                <w:position w:val="0"/>
              </w:rPr>
              <w:t>日，经</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年第三次临时股东大会决议通过，使用</w:t>
            </w:r>
            <w:r>
              <w:rPr>
                <w:rFonts w:ascii="Times New Roman" w:eastAsia="Times New Roman" w:hAnsi="Times New Roman" w:cs="Times New Roman"/>
                <w:color w:val="000000"/>
                <w:spacing w:val="0"/>
                <w:w w:val="100"/>
                <w:position w:val="0"/>
              </w:rPr>
              <w:t>9,000</w:t>
            </w:r>
            <w:r>
              <w:rPr>
                <w:color w:val="000000"/>
                <w:spacing w:val="0"/>
                <w:w w:val="100"/>
                <w:position w:val="0"/>
              </w:rPr>
              <w:t>万元超募资金永久性补充流动资金。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年年度股东大会审议，使用剩余超募资金及利息投资基于电力物联网的输变电智能监测和运维系统项目。</w:t>
            </w: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5"/>
        <w:keepNext w:val="0"/>
        <w:keepLines w:val="0"/>
        <w:widowControl w:val="0"/>
        <w:shd w:val="clear" w:color="auto" w:fill="auto"/>
        <w:bidi w:val="0"/>
        <w:spacing w:before="0" w:after="0" w:line="312" w:lineRule="exact"/>
        <w:ind w:left="14" w:right="0" w:firstLine="0"/>
        <w:jc w:val="left"/>
        <w:sectPr>
          <w:footnotePr>
            <w:pos w:val="pageBottom"/>
            <w:numFmt w:val="decimal"/>
            <w:numRestart w:val="continuous"/>
          </w:footnotePr>
          <w:pgSz w:w="16840" w:h="11900" w:orient="landscape"/>
          <w:pgMar w:top="1100" w:right="1378" w:bottom="1157" w:left="1407" w:header="0" w:footer="3" w:gutter="0"/>
          <w:cols w:space="720"/>
          <w:noEndnote/>
          <w:rtlGutter w:val="0"/>
          <w:docGrid w:linePitch="360"/>
        </w:sectPr>
      </w:pPr>
      <w:r>
        <w:rPr>
          <w:color w:val="000000"/>
          <w:spacing w:val="0"/>
          <w:w w:val="100"/>
          <w:position w:val="0"/>
        </w:rPr>
        <w:t>募集资金投资项目实施地点变 更情况</w:t>
      </w:r>
    </w:p>
    <w:tbl>
      <w:tblPr>
        <w:tblOverlap w:val="never"/>
        <w:jc w:val="center"/>
        <w:tblLayout w:type="fixed"/>
      </w:tblPr>
      <w:tblGrid>
        <w:gridCol w:w="2006"/>
        <w:gridCol w:w="12091"/>
      </w:tblGrid>
      <w:tr>
        <w:trPr>
          <w:trHeight w:val="26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年年度报告全文</w:t>
            </w:r>
          </w:p>
        </w:tc>
      </w:tr>
    </w:tbl>
    <w:tbl>
      <w:tblPr>
        <w:tblOverlap w:val="never"/>
        <w:jc w:val="center"/>
        <w:tblLayout w:type="fixed"/>
      </w:tblPr>
      <w:tblGrid>
        <w:gridCol w:w="2904"/>
        <w:gridCol w:w="11194"/>
      </w:tblGrid>
      <w:tr>
        <w:trPr>
          <w:trHeight w:val="12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募集资金投资项目实施方式调 整情况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46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募集资金投资项目先期投入及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置换情况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日，公司第一届董事会第九次会议审议通过了《关于用募集资金置换已投入募集资金项目自筹资金的议案》， 同意公司以募集资金置换预先已投入募集资金投资项目的自筹资金</w:t>
            </w:r>
            <w:r>
              <w:rPr>
                <w:rFonts w:ascii="Times New Roman" w:eastAsia="Times New Roman" w:hAnsi="Times New Roman" w:cs="Times New Roman"/>
                <w:color w:val="000000"/>
                <w:spacing w:val="0"/>
                <w:w w:val="100"/>
                <w:position w:val="0"/>
              </w:rPr>
              <w:t>439.66</w:t>
            </w:r>
            <w:r>
              <w:rPr>
                <w:color w:val="000000"/>
                <w:spacing w:val="0"/>
                <w:w w:val="100"/>
                <w:position w:val="0"/>
              </w:rPr>
              <w:t>万元。</w:t>
            </w:r>
          </w:p>
        </w:tc>
      </w:tr>
      <w:tr>
        <w:trPr>
          <w:trHeight w:val="80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用闲置募集资金暂时补充流动 资金情况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470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项目实施出现募集资金结余的 金额及原因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w:t>
            </w:r>
          </w:p>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公司从项目的实际情况出发，本着节约、合理及有效的原则使用募集资金，智能化电力动态数据记录装置项目、基于北斗 </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的时间同步系统及时间同步检测设备项目、企业技术中心项目、新型自动跟踪补偿消弧线圈成套装置项目、智能电 网产业园项目、收购成都智达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股权并增资项目的募集资金使用出现节余，节余资金和利息共计</w:t>
            </w:r>
            <w:r>
              <w:rPr>
                <w:rFonts w:ascii="Times New Roman" w:eastAsia="Times New Roman" w:hAnsi="Times New Roman" w:cs="Times New Roman"/>
                <w:color w:val="000000"/>
                <w:spacing w:val="0"/>
                <w:w w:val="100"/>
                <w:position w:val="0"/>
              </w:rPr>
              <w:t>9,266</w:t>
            </w:r>
            <w:r>
              <w:rPr>
                <w:color w:val="000000"/>
                <w:spacing w:val="0"/>
                <w:w w:val="100"/>
                <w:position w:val="0"/>
              </w:rPr>
              <w:t>万元（承诺投资 项目结余资金</w:t>
            </w:r>
            <w:r>
              <w:rPr>
                <w:rFonts w:ascii="Times New Roman" w:eastAsia="Times New Roman" w:hAnsi="Times New Roman" w:cs="Times New Roman"/>
                <w:color w:val="000000"/>
                <w:spacing w:val="0"/>
                <w:w w:val="100"/>
                <w:position w:val="0"/>
              </w:rPr>
              <w:t>7,697.40</w:t>
            </w:r>
            <w:r>
              <w:rPr>
                <w:color w:val="000000"/>
                <w:spacing w:val="0"/>
                <w:w w:val="100"/>
                <w:position w:val="0"/>
              </w:rPr>
              <w:t>万元，超募资金项目结余资金</w:t>
            </w:r>
            <w:r>
              <w:rPr>
                <w:rFonts w:ascii="Times New Roman" w:eastAsia="Times New Roman" w:hAnsi="Times New Roman" w:cs="Times New Roman"/>
                <w:color w:val="000000"/>
                <w:spacing w:val="0"/>
                <w:w w:val="100"/>
                <w:position w:val="0"/>
              </w:rPr>
              <w:t>693.18</w:t>
            </w:r>
            <w:r>
              <w:rPr>
                <w:color w:val="000000"/>
                <w:spacing w:val="0"/>
                <w:w w:val="100"/>
                <w:position w:val="0"/>
              </w:rPr>
              <w:t>万元，利息</w:t>
            </w:r>
            <w:r>
              <w:rPr>
                <w:rFonts w:ascii="Times New Roman" w:eastAsia="Times New Roman" w:hAnsi="Times New Roman" w:cs="Times New Roman"/>
                <w:color w:val="000000"/>
                <w:spacing w:val="0"/>
                <w:w w:val="100"/>
                <w:position w:val="0"/>
              </w:rPr>
              <w:t>875.42</w:t>
            </w:r>
            <w:r>
              <w:rPr>
                <w:color w:val="000000"/>
                <w:spacing w:val="0"/>
                <w:w w:val="100"/>
                <w:position w:val="0"/>
              </w:rPr>
              <w:t>万元）（详见公司</w:t>
            </w:r>
            <w:r>
              <w:rPr>
                <w:rFonts w:ascii="Times New Roman" w:eastAsia="Times New Roman" w:hAnsi="Times New Roman" w:cs="Times New Roman"/>
                <w:color w:val="000000"/>
                <w:spacing w:val="0"/>
                <w:w w:val="100"/>
                <w:position w:val="0"/>
              </w:rPr>
              <w:t>2012-036</w:t>
            </w:r>
            <w:r>
              <w:rPr>
                <w:color w:val="000000"/>
                <w:spacing w:val="0"/>
                <w:w w:val="100"/>
                <w:position w:val="0"/>
              </w:rPr>
              <w:t>号公告），具体 原因如下：</w:t>
            </w:r>
          </w:p>
          <w:p>
            <w:pPr>
              <w:pStyle w:val="Style21"/>
              <w:keepNext w:val="0"/>
              <w:keepLines w:val="0"/>
              <w:widowControl w:val="0"/>
              <w:shd w:val="clear" w:color="auto" w:fill="auto"/>
              <w:tabs>
                <w:tab w:pos="317"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公司通过内部挖潜，努力降低成本，包括重视产品设计和工艺流程的优化，加强对采购计划、生产计划和供应商交货 期的管理，降低制造成本和材料成本；</w:t>
            </w:r>
          </w:p>
          <w:p>
            <w:pPr>
              <w:pStyle w:val="Style21"/>
              <w:keepNext w:val="0"/>
              <w:keepLines w:val="0"/>
              <w:widowControl w:val="0"/>
              <w:shd w:val="clear" w:color="auto" w:fill="auto"/>
              <w:tabs>
                <w:tab w:pos="322"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技术进步大大降低了有关系统采购成本。同时公司调整了研发中心组织结构，提高了研发效率，并加强与相关检测、 实验等业务单位的合作，保证各项实验工作正常进行；</w:t>
            </w:r>
          </w:p>
          <w:p>
            <w:pPr>
              <w:pStyle w:val="Style21"/>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 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的时间同步系统及时间同步检测设备项目的投资计划安排了铺底流动资金</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日，该部分资金尚未实际划拨；</w:t>
            </w:r>
          </w:p>
          <w:p>
            <w:pPr>
              <w:pStyle w:val="Style21"/>
              <w:keepNext w:val="0"/>
              <w:keepLines w:val="0"/>
              <w:widowControl w:val="0"/>
              <w:shd w:val="clear" w:color="auto" w:fill="auto"/>
              <w:tabs>
                <w:tab w:pos="326" w:val="left"/>
              </w:tabs>
              <w:bidi w:val="0"/>
              <w:spacing w:before="0" w:after="4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公司于募集资金到位前以自有资金投入募投项目建设，累计投入</w:t>
            </w:r>
            <w:r>
              <w:rPr>
                <w:rFonts w:ascii="Times New Roman" w:eastAsia="Times New Roman" w:hAnsi="Times New Roman" w:cs="Times New Roman"/>
                <w:color w:val="000000"/>
                <w:spacing w:val="0"/>
                <w:w w:val="100"/>
                <w:position w:val="0"/>
              </w:rPr>
              <w:t>439.66</w:t>
            </w:r>
            <w:r>
              <w:rPr>
                <w:color w:val="000000"/>
                <w:spacing w:val="0"/>
                <w:w w:val="100"/>
                <w:position w:val="0"/>
              </w:rPr>
              <w:t>万元，提高了资金使用效率，降低了募投项目 建设成本。</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尚未使用的募集资金用途及去 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目前尚未使用的募集资金存放于募集资金专户。</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、永久性补充流动资金中含承诺投资项目结余资金</w:t>
            </w:r>
            <w:r>
              <w:rPr>
                <w:rFonts w:ascii="Times New Roman" w:eastAsia="Times New Roman" w:hAnsi="Times New Roman" w:cs="Times New Roman"/>
                <w:color w:val="000000"/>
                <w:spacing w:val="0"/>
                <w:w w:val="100"/>
                <w:position w:val="0"/>
              </w:rPr>
              <w:t>7,697.40</w:t>
            </w:r>
            <w:r>
              <w:rPr>
                <w:color w:val="000000"/>
                <w:spacing w:val="0"/>
                <w:w w:val="100"/>
                <w:position w:val="0"/>
              </w:rPr>
              <w:t>万元，利息</w:t>
            </w:r>
            <w:r>
              <w:rPr>
                <w:rFonts w:ascii="Times New Roman" w:eastAsia="Times New Roman" w:hAnsi="Times New Roman" w:cs="Times New Roman"/>
                <w:color w:val="000000"/>
                <w:spacing w:val="0"/>
                <w:w w:val="100"/>
                <w:position w:val="0"/>
              </w:rPr>
              <w:t>875.42</w:t>
            </w:r>
            <w:r>
              <w:rPr>
                <w:color w:val="000000"/>
                <w:spacing w:val="0"/>
                <w:w w:val="100"/>
                <w:position w:val="0"/>
              </w:rPr>
              <w:t>万元。</w:t>
            </w:r>
          </w:p>
        </w:tc>
      </w:tr>
    </w:tbl>
    <w:p>
      <w:pPr>
        <w:sectPr>
          <w:footnotePr>
            <w:pos w:val="pageBottom"/>
            <w:numFmt w:val="decimal"/>
            <w:numRestart w:val="continuous"/>
          </w:footnotePr>
          <w:pgSz w:w="16840" w:h="11900" w:orient="landscape"/>
          <w:pgMar w:top="850" w:right="1378" w:bottom="1156" w:left="1364" w:header="0" w:footer="3" w:gutter="0"/>
          <w:cols w:space="720"/>
          <w:noEndnote/>
          <w:rtlGutter w:val="0"/>
          <w:docGrid w:linePitch="360"/>
        </w:sectPr>
      </w:pPr>
    </w:p>
    <w:p>
      <w:pPr>
        <w:pStyle w:val="Style18"/>
        <w:keepNext w:val="0"/>
        <w:keepLines w:val="0"/>
        <w:widowControl w:val="0"/>
        <w:shd w:val="clear" w:color="auto" w:fill="auto"/>
        <w:tabs>
          <w:tab w:pos="2813" w:val="left"/>
        </w:tabs>
        <w:bidi w:val="0"/>
        <w:spacing w:before="0" w:after="400" w:line="240" w:lineRule="auto"/>
        <w:ind w:left="0" w:right="0" w:firstLine="0"/>
        <w:jc w:val="left"/>
        <w:rPr>
          <w:sz w:val="20"/>
          <w:szCs w:val="20"/>
        </w:rPr>
      </w:pPr>
      <w:r>
        <w:rPr>
          <w:color w:val="000000"/>
          <w:spacing w:val="0"/>
          <w:w w:val="100"/>
          <w:position w:val="0"/>
          <w:sz w:val="20"/>
          <w:szCs w:val="20"/>
        </w:rPr>
        <w:t>问题或其他情况</w:t>
        <w:tab/>
        <w:t>—</w:t>
      </w:r>
    </w:p>
    <w:p>
      <w:pPr>
        <w:pStyle w:val="Style46"/>
        <w:keepNext/>
        <w:keepLines/>
        <w:widowControl w:val="0"/>
        <w:shd w:val="clear" w:color="auto" w:fill="auto"/>
        <w:bidi w:val="0"/>
        <w:spacing w:before="0" w:after="4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）募集资金变更项目情况</w:t>
      </w:r>
      <w:bookmarkEnd w:id="208"/>
      <w:bookmarkEnd w:id="209"/>
      <w:bookmarkEnd w:id="211"/>
    </w:p>
    <w:p>
      <w:pPr>
        <w:pStyle w:val="Style18"/>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400" w:line="240" w:lineRule="auto"/>
        <w:ind w:left="0" w:right="0" w:firstLine="480"/>
        <w:jc w:val="left"/>
        <w:sectPr>
          <w:footnotePr>
            <w:pos w:val="pageBottom"/>
            <w:numFmt w:val="decimal"/>
            <w:numRestart w:val="continuous"/>
          </w:footnotePr>
          <w:pgSz w:w="16840" w:h="11900" w:orient="landscape"/>
          <w:pgMar w:top="1100" w:right="1417" w:bottom="1157" w:left="1441" w:header="0" w:footer="3" w:gutter="0"/>
          <w:cols w:space="720"/>
          <w:noEndnote/>
          <w:rtlGutter w:val="0"/>
          <w:docGrid w:linePitch="360"/>
        </w:sectPr>
      </w:pPr>
      <w:r>
        <w:rPr>
          <w:color w:val="000000"/>
          <w:spacing w:val="0"/>
          <w:w w:val="100"/>
          <w:position w:val="0"/>
        </w:rPr>
        <w:t>公司报告期不存在募集资金变更项目情况。</w:t>
      </w:r>
    </w:p>
    <w:p>
      <w:pPr>
        <w:pStyle w:val="Style29"/>
        <w:keepNext/>
        <w:keepLines/>
        <w:widowControl w:val="0"/>
        <w:shd w:val="clear" w:color="auto" w:fill="auto"/>
        <w:bidi w:val="0"/>
        <w:spacing w:before="0" w:after="3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、重大资产和股权出售</w:t>
      </w:r>
      <w:bookmarkEnd w:id="212"/>
      <w:bookmarkEnd w:id="213"/>
      <w:bookmarkEnd w:id="215"/>
    </w:p>
    <w:p>
      <w:pPr>
        <w:pStyle w:val="Style32"/>
        <w:keepNext/>
        <w:keepLines/>
        <w:widowControl w:val="0"/>
        <w:shd w:val="clear" w:color="auto" w:fill="auto"/>
        <w:tabs>
          <w:tab w:pos="387" w:val="left"/>
        </w:tabs>
        <w:bidi w:val="0"/>
        <w:spacing w:before="0" w:after="44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sz w:val="24"/>
          <w:szCs w:val="24"/>
        </w:rPr>
        <w:t>1</w:t>
      </w:r>
      <w:bookmarkEnd w:id="218"/>
      <w:r>
        <w:rPr>
          <w:color w:val="000000"/>
          <w:spacing w:val="0"/>
          <w:w w:val="100"/>
          <w:position w:val="0"/>
        </w:rPr>
        <w:t>、</w:t>
        <w:tab/>
        <w:t>出售重大资产情况</w:t>
      </w:r>
      <w:bookmarkEnd w:id="216"/>
      <w:bookmarkEnd w:id="217"/>
      <w:bookmarkEnd w:id="219"/>
    </w:p>
    <w:p>
      <w:pPr>
        <w:pStyle w:val="Style18"/>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公司报告期未出售重大资产。</w:t>
      </w:r>
    </w:p>
    <w:p>
      <w:pPr>
        <w:pStyle w:val="Style32"/>
        <w:keepNext/>
        <w:keepLines/>
        <w:widowControl w:val="0"/>
        <w:shd w:val="clear" w:color="auto" w:fill="auto"/>
        <w:tabs>
          <w:tab w:pos="402" w:val="left"/>
        </w:tabs>
        <w:bidi w:val="0"/>
        <w:spacing w:before="0" w:after="44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sz w:val="24"/>
          <w:szCs w:val="24"/>
        </w:rPr>
        <w:t>2</w:t>
      </w:r>
      <w:bookmarkEnd w:id="222"/>
      <w:r>
        <w:rPr>
          <w:color w:val="000000"/>
          <w:spacing w:val="0"/>
          <w:w w:val="100"/>
          <w:position w:val="0"/>
        </w:rPr>
        <w:t>、</w:t>
        <w:tab/>
        <w:t>出售重大股权情况</w:t>
      </w:r>
      <w:bookmarkEnd w:id="220"/>
      <w:bookmarkEnd w:id="221"/>
      <w:bookmarkEnd w:id="223"/>
    </w:p>
    <w:p>
      <w:pPr>
        <w:pStyle w:val="Style18"/>
        <w:keepNext w:val="0"/>
        <w:keepLines w:val="0"/>
        <w:widowControl w:val="0"/>
        <w:shd w:val="clear" w:color="auto" w:fill="auto"/>
        <w:bidi w:val="0"/>
        <w:spacing w:before="0" w:after="36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九</w:t>
      </w:r>
      <w:bookmarkEnd w:id="226"/>
      <w:r>
        <w:rPr>
          <w:color w:val="000000"/>
          <w:spacing w:val="0"/>
          <w:w w:val="100"/>
          <w:position w:val="0"/>
        </w:rPr>
        <w:t>、主要控股参股公司分析</w:t>
      </w:r>
      <w:bookmarkEnd w:id="224"/>
      <w:bookmarkEnd w:id="225"/>
      <w:bookmarkEnd w:id="227"/>
    </w:p>
    <w:p>
      <w:pPr>
        <w:pStyle w:val="Style18"/>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5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565"/>
        <w:gridCol w:w="1757"/>
        <w:gridCol w:w="1526"/>
        <w:gridCol w:w="1531"/>
        <w:gridCol w:w="1531"/>
        <w:gridCol w:w="1531"/>
        <w:gridCol w:w="1531"/>
        <w:gridCol w:w="1531"/>
        <w:gridCol w:w="153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63,541,966.29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59,007,981.37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43,990,377.01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37,049,402.65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32,564,185.62</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57,504,268.58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37,500,244.81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34,721,004.35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4,335,944.44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4,295,365.60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95,107,838.19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78,350,000.20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66,535,371.82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12,069,826.02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11,239,908.85</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医疗器械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51,102,498.77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40,258,269.22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43,278,906.71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6,059,419.75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6,495,687.62</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 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42,735,436.48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29,451,403.00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25,006,661.78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-8,751,366.91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-8,698,036.04</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世轩科技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178,559,297.20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123,125,450.31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23,618,226.89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-27,491,241.44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-28,272,029.45</w:t>
            </w:r>
          </w:p>
        </w:tc>
      </w:tr>
    </w:tbl>
    <w:tbl>
      <w:tblPr>
        <w:tblOverlap w:val="never"/>
        <w:jc w:val="center"/>
        <w:tblLayout w:type="fixed"/>
      </w:tblPr>
      <w:tblGrid>
        <w:gridCol w:w="1594"/>
        <w:gridCol w:w="1757"/>
        <w:gridCol w:w="1526"/>
        <w:gridCol w:w="1531"/>
        <w:gridCol w:w="1531"/>
        <w:gridCol w:w="1531"/>
        <w:gridCol w:w="1531"/>
        <w:gridCol w:w="1531"/>
        <w:gridCol w:w="1565"/>
      </w:tblGrid>
      <w:tr>
        <w:trPr>
          <w:trHeight w:val="43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284,107,784.80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283,865,491.41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69,315,572.96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69,506,061.08</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60,890,840.71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50,340,718.63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4,587,817.50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-8,468,611.91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-8,472,667.41</w:t>
            </w:r>
          </w:p>
        </w:tc>
      </w:tr>
    </w:tbl>
    <w:p>
      <w:pPr>
        <w:widowControl w:val="0"/>
        <w:spacing w:after="159" w:line="1" w:lineRule="exact"/>
      </w:pPr>
    </w:p>
    <w:p>
      <w:pPr>
        <w:pStyle w:val="Style25"/>
        <w:keepNext w:val="0"/>
        <w:keepLines w:val="0"/>
        <w:widowControl w:val="0"/>
        <w:shd w:val="clear" w:color="auto" w:fill="auto"/>
        <w:bidi w:val="0"/>
        <w:spacing w:before="0" w:after="200" w:line="240" w:lineRule="auto"/>
        <w:ind w:left="509" w:right="0" w:firstLine="0"/>
        <w:jc w:val="left"/>
        <w:rPr>
          <w:sz w:val="22"/>
          <w:szCs w:val="22"/>
        </w:rPr>
      </w:pPr>
      <w:r>
        <w:rPr>
          <w:color w:val="000000"/>
          <w:spacing w:val="0"/>
          <w:w w:val="100"/>
          <w:position w:val="0"/>
          <w:sz w:val="22"/>
          <w:szCs w:val="22"/>
        </w:rPr>
        <w:t>报告期内取得和处置子公司的情况</w:t>
      </w:r>
    </w:p>
    <w:p>
      <w:pPr>
        <w:pStyle w:val="Style25"/>
        <w:keepNext w:val="0"/>
        <w:keepLines w:val="0"/>
        <w:widowControl w:val="0"/>
        <w:shd w:val="clear" w:color="auto" w:fill="auto"/>
        <w:bidi w:val="0"/>
        <w:spacing w:before="0" w:after="0" w:line="240" w:lineRule="auto"/>
        <w:ind w:left="509"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center"/>
        <w:tblLayout w:type="fixed"/>
      </w:tblPr>
      <w:tblGrid>
        <w:gridCol w:w="4690"/>
        <w:gridCol w:w="4675"/>
        <w:gridCol w:w="4675"/>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-692,713.01</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武汉中元惠合科技有限公司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-406,267.30</w:t>
            </w:r>
          </w:p>
        </w:tc>
      </w:tr>
    </w:tbl>
    <w:p>
      <w:pPr>
        <w:pStyle w:val="Style25"/>
        <w:keepNext w:val="0"/>
        <w:keepLines w:val="0"/>
        <w:widowControl w:val="0"/>
        <w:shd w:val="clear" w:color="auto" w:fill="auto"/>
        <w:bidi w:val="0"/>
        <w:spacing w:before="0" w:after="0" w:line="240" w:lineRule="auto"/>
        <w:ind w:left="514" w:right="0" w:firstLine="0"/>
        <w:jc w:val="left"/>
        <w:rPr>
          <w:sz w:val="22"/>
          <w:szCs w:val="22"/>
        </w:rPr>
      </w:pPr>
      <w:r>
        <w:rPr>
          <w:color w:val="000000"/>
          <w:spacing w:val="0"/>
          <w:w w:val="100"/>
          <w:position w:val="0"/>
          <w:sz w:val="22"/>
          <w:szCs w:val="22"/>
        </w:rPr>
        <w:t>主要控股参股公司情况说明</w:t>
      </w:r>
    </w:p>
    <w:p>
      <w:pPr>
        <w:pStyle w:val="Style18"/>
        <w:keepNext w:val="0"/>
        <w:keepLines w:val="0"/>
        <w:widowControl w:val="0"/>
        <w:shd w:val="clear" w:color="auto" w:fill="auto"/>
        <w:bidi w:val="0"/>
        <w:spacing w:before="0" w:after="0" w:line="442" w:lineRule="exact"/>
        <w:ind w:left="0" w:right="0" w:firstLine="540"/>
        <w:jc w:val="both"/>
      </w:pPr>
      <w:r>
        <w:rPr>
          <w:color w:val="000000"/>
          <w:spacing w:val="0"/>
          <w:w w:val="100"/>
          <w:position w:val="0"/>
        </w:rPr>
        <w:t>软件公司系公司全资子公司，主要产品或服务：计算机系统软件及其应用软件，管理信息系统研发、生产、销售；系统集成、网 络工程及其它相应技术服务。</w:t>
      </w:r>
    </w:p>
    <w:p>
      <w:pPr>
        <w:pStyle w:val="Style18"/>
        <w:keepNext w:val="0"/>
        <w:keepLines w:val="0"/>
        <w:widowControl w:val="0"/>
        <w:shd w:val="clear" w:color="auto" w:fill="auto"/>
        <w:bidi w:val="0"/>
        <w:spacing w:before="0" w:after="0" w:line="442" w:lineRule="exact"/>
        <w:ind w:left="0" w:right="0" w:firstLine="540"/>
        <w:jc w:val="both"/>
      </w:pPr>
      <w:r>
        <w:rPr>
          <w:color w:val="000000"/>
          <w:spacing w:val="0"/>
          <w:w w:val="100"/>
          <w:position w:val="0"/>
        </w:rPr>
        <w:t>设备公司系公司全资子公司，主要产品或服务：配网自动化、电力、电力电子设备的研制、生产、销售及技术服务。</w:t>
      </w:r>
    </w:p>
    <w:p>
      <w:pPr>
        <w:pStyle w:val="Style18"/>
        <w:keepNext w:val="0"/>
        <w:keepLines w:val="0"/>
        <w:widowControl w:val="0"/>
        <w:shd w:val="clear" w:color="auto" w:fill="auto"/>
        <w:bidi w:val="0"/>
        <w:spacing w:before="0" w:after="0" w:line="444" w:lineRule="exact"/>
        <w:ind w:left="0" w:right="0" w:firstLine="540"/>
        <w:jc w:val="both"/>
      </w:pPr>
      <w:r>
        <w:rPr>
          <w:color w:val="000000"/>
          <w:spacing w:val="0"/>
          <w:w w:val="100"/>
          <w:position w:val="0"/>
        </w:rPr>
        <w:t>成都智达系公司控股子公司，主要产品或服务：电气及电力自动化设备安装、调试、设计；电力自动化控制新技术、新产品开发、 研制；电气材料销售、技术咨询；仪器、仪表、电子产品、五金、百货销售（以上项目国家法律法规限制和禁止项目除外）。报告期内， 成都智达开拓专业服务市场，进行变电、配电成套总包技术储备，向末端电力市场提供设备、系统及解决方案的厂商转型。</w:t>
      </w:r>
    </w:p>
    <w:p>
      <w:pPr>
        <w:pStyle w:val="Style18"/>
        <w:keepNext w:val="0"/>
        <w:keepLines w:val="0"/>
        <w:widowControl w:val="0"/>
        <w:shd w:val="clear" w:color="auto" w:fill="auto"/>
        <w:bidi w:val="0"/>
        <w:spacing w:before="0" w:after="0" w:line="439" w:lineRule="exact"/>
        <w:ind w:left="0" w:right="0" w:firstLine="540"/>
        <w:jc w:val="both"/>
      </w:pPr>
      <w:r>
        <w:rPr>
          <w:color w:val="000000"/>
          <w:spacing w:val="0"/>
          <w:w w:val="100"/>
          <w:position w:val="0"/>
        </w:rPr>
        <w:t>大千生物系公司控股子公司，主要产品或服务：生物制品技术开发、技术转让、技术咨询、技术服务，二类：</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 仪器及体外诊断试剂的研制、生产、销售、服务；二类</w:t>
      </w:r>
      <w:r>
        <w:rPr>
          <w:rFonts w:ascii="Times New Roman" w:eastAsia="Times New Roman" w:hAnsi="Times New Roman" w:cs="Times New Roman"/>
          <w:color w:val="000000"/>
          <w:spacing w:val="0"/>
          <w:w w:val="100"/>
          <w:position w:val="0"/>
          <w:sz w:val="24"/>
          <w:szCs w:val="24"/>
        </w:rPr>
        <w:t>6841</w:t>
      </w:r>
      <w:r>
        <w:rPr>
          <w:color w:val="000000"/>
          <w:spacing w:val="0"/>
          <w:w w:val="100"/>
          <w:position w:val="0"/>
        </w:rPr>
        <w:t>医用化验和基础设备器具的销售、服务；电子商务服务与咨询。（依法须 经批准的项目，经相关部门批准后方可开展经营活动）</w:t>
      </w:r>
    </w:p>
    <w:p>
      <w:pPr>
        <w:pStyle w:val="Style18"/>
        <w:keepNext w:val="0"/>
        <w:keepLines w:val="0"/>
        <w:widowControl w:val="0"/>
        <w:shd w:val="clear" w:color="auto" w:fill="auto"/>
        <w:bidi w:val="0"/>
        <w:spacing w:before="0" w:after="0" w:line="442" w:lineRule="exact"/>
        <w:ind w:left="0" w:right="0" w:firstLine="540"/>
        <w:jc w:val="both"/>
        <w:sectPr>
          <w:footnotePr>
            <w:pos w:val="pageBottom"/>
            <w:numFmt w:val="decimal"/>
            <w:numRestart w:val="continuous"/>
          </w:footnotePr>
          <w:pgSz w:w="16840" w:h="11900" w:orient="landscape"/>
          <w:pgMar w:top="1118" w:right="1378" w:bottom="1264" w:left="1364" w:header="0" w:footer="3" w:gutter="0"/>
          <w:cols w:space="720"/>
          <w:noEndnote/>
          <w:rtlGutter w:val="0"/>
          <w:docGrid w:linePitch="360"/>
        </w:sectPr>
      </w:pPr>
      <w:r>
        <w:rPr>
          <w:color w:val="000000"/>
          <w:spacing w:val="0"/>
          <w:w w:val="100"/>
          <w:position w:val="0"/>
        </w:rPr>
        <w:t>广州穗华系公司控股子公司，主要产品或服务：电气设备批发；计算机批发；计算机零配件批发；软件批发；办公设备耗材批发； 通讯设备及配套设备批发；仪器仪表批发；办公设备批发；电子产品批发；计算机零售；计算机零配件零售；软件零售；办公设备耗 材零售；通信设备零售；安全技术防范产品零售；电子产品零售；电子、通信与自动控制技术研究、开发；能源技术研究、技术开发 服务；网络技术的研究、开发；计算机技术开发、技术服务；工业自动控制系统装置制造；电工仪器仪表制造；软件开发；信息系统</w:t>
      </w:r>
    </w:p>
    <w:p>
      <w:pPr>
        <w:pStyle w:val="Style18"/>
        <w:keepNext w:val="0"/>
        <w:keepLines w:val="0"/>
        <w:widowControl w:val="0"/>
        <w:shd w:val="clear" w:color="auto" w:fill="auto"/>
        <w:bidi w:val="0"/>
        <w:spacing w:before="0" w:after="0" w:line="456" w:lineRule="exact"/>
        <w:ind w:left="0" w:right="0" w:firstLine="9740"/>
        <w:jc w:val="both"/>
      </w:pPr>
      <w:r>
        <w:rPr>
          <w:color w:val="000000"/>
          <w:spacing w:val="0"/>
          <w:w w:val="100"/>
          <w:position w:val="0"/>
          <w:sz w:val="17"/>
          <w:szCs w:val="17"/>
        </w:rPr>
        <w:t>武汉中元华电科技股份有限公司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年年度报告全文 </w:t>
      </w:r>
      <w:r>
        <w:rPr>
          <w:color w:val="000000"/>
          <w:spacing w:val="0"/>
          <w:w w:val="100"/>
          <w:position w:val="0"/>
        </w:rPr>
        <w:t>集成服务；信息技术咨询服务；配电开关控制设备制造；电气信号设备装置制造；电气设备修理；电力工程设计服务；工程技术咨询 服务；计算机和辅助设备修理；其他办公设备维修；防雷设备制造；防雷工程专业施工；防雷工程专业设计服务；防雷设备的销售。</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世轩科技系公司全资子公司，主要产品或服务：二类医疗器械</w:t>
      </w:r>
      <w:r>
        <w:rPr>
          <w:rFonts w:ascii="Times New Roman" w:eastAsia="Times New Roman" w:hAnsi="Times New Roman" w:cs="Times New Roman"/>
          <w:color w:val="000000"/>
          <w:spacing w:val="0"/>
          <w:w w:val="100"/>
          <w:position w:val="0"/>
          <w:sz w:val="24"/>
          <w:szCs w:val="24"/>
        </w:rPr>
        <w:t>6870</w:t>
      </w:r>
      <w:r>
        <w:rPr>
          <w:color w:val="000000"/>
          <w:spacing w:val="0"/>
          <w:w w:val="100"/>
          <w:position w:val="0"/>
        </w:rPr>
        <w:t>软件的开发和销售；二类医疗器械：</w:t>
      </w:r>
      <w:r>
        <w:rPr>
          <w:rFonts w:ascii="Times New Roman" w:eastAsia="Times New Roman" w:hAnsi="Times New Roman" w:cs="Times New Roman"/>
          <w:color w:val="000000"/>
          <w:spacing w:val="0"/>
          <w:w w:val="100"/>
          <w:position w:val="0"/>
          <w:sz w:val="24"/>
          <w:szCs w:val="24"/>
        </w:rPr>
        <w:t>6820</w:t>
      </w:r>
      <w:r>
        <w:rPr>
          <w:color w:val="000000"/>
          <w:spacing w:val="0"/>
          <w:w w:val="100"/>
          <w:position w:val="0"/>
        </w:rPr>
        <w:t>普通诊察器械、</w:t>
      </w:r>
      <w:r>
        <w:rPr>
          <w:rFonts w:ascii="Times New Roman" w:eastAsia="Times New Roman" w:hAnsi="Times New Roman" w:cs="Times New Roman"/>
          <w:color w:val="000000"/>
          <w:spacing w:val="0"/>
          <w:w w:val="100"/>
          <w:position w:val="0"/>
          <w:sz w:val="24"/>
          <w:szCs w:val="24"/>
        </w:rPr>
        <w:t xml:space="preserve">6821 </w:t>
      </w:r>
      <w:r>
        <w:rPr>
          <w:color w:val="000000"/>
          <w:spacing w:val="0"/>
          <w:w w:val="100"/>
          <w:position w:val="0"/>
        </w:rPr>
        <w:t>医用电子仪器设备、</w:t>
      </w:r>
      <w:r>
        <w:rPr>
          <w:rFonts w:ascii="Times New Roman" w:eastAsia="Times New Roman" w:hAnsi="Times New Roman" w:cs="Times New Roman"/>
          <w:color w:val="000000"/>
          <w:spacing w:val="0"/>
          <w:w w:val="100"/>
          <w:position w:val="0"/>
          <w:sz w:val="24"/>
          <w:szCs w:val="24"/>
        </w:rPr>
        <w:t>6840</w:t>
      </w:r>
      <w:r>
        <w:rPr>
          <w:color w:val="000000"/>
          <w:spacing w:val="0"/>
          <w:w w:val="100"/>
          <w:position w:val="0"/>
        </w:rPr>
        <w:t>临床检验分析仪器（不含体外诊断试剂）的销售；计算机软、硬件技术开发，计算机信息系统集成，建筑智 能化工程设计与施工；电子产品、通讯设备、五金、交电、普通劳保用品、橡塑制品、绝缘材料、化工原料及产品的销售；电脑网络 综合布线、计算机网络工程安装、音视频工程安装；安防工程的设计、施工；自营和代理各类商品及技术的进出口业务，但国家限定 企业经营或禁止企业进出口的商品和技术除外。（依法须经批准的项目，经相关部门批准后方可开展经营活动）。中元汇系公司全资子 公司，作为公司对外投资的专业机构，负责公司直投与自身投资工作。经营范围：从事非证券类股权投资活动及相关的咨询服务业务。</w:t>
      </w:r>
    </w:p>
    <w:p>
      <w:pPr>
        <w:pStyle w:val="Style18"/>
        <w:keepNext w:val="0"/>
        <w:keepLines w:val="0"/>
        <w:widowControl w:val="0"/>
        <w:shd w:val="clear" w:color="auto" w:fill="auto"/>
        <w:bidi w:val="0"/>
        <w:spacing w:before="0" w:after="0" w:line="440" w:lineRule="exact"/>
        <w:ind w:left="0" w:right="0" w:firstLine="0"/>
        <w:jc w:val="both"/>
      </w:pPr>
      <w:r>
        <w:rPr>
          <w:color w:val="000000"/>
          <w:spacing w:val="0"/>
          <w:w w:val="100"/>
          <w:position w:val="0"/>
        </w:rPr>
        <w:t>（依法须经批准的项目，经相关部门批准后方可开展经营活动）</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中元汇系公司全资子公司，作为公司对外投资的专业机构，负责公司直投与自身投资工作。经营范围：从事非证券类股权投资活 动及相关的咨询服务业务。（依法须经批准的项目，经相关部门批准后方可开展经营活动）</w:t>
      </w:r>
    </w:p>
    <w:p>
      <w:pPr>
        <w:pStyle w:val="Style18"/>
        <w:keepNext w:val="0"/>
        <w:keepLines w:val="0"/>
        <w:widowControl w:val="0"/>
        <w:shd w:val="clear" w:color="auto" w:fill="auto"/>
        <w:bidi w:val="0"/>
        <w:spacing w:before="0" w:after="0" w:line="440" w:lineRule="exact"/>
        <w:ind w:left="0" w:right="0" w:firstLine="480"/>
        <w:jc w:val="both"/>
        <w:sectPr>
          <w:footnotePr>
            <w:pos w:val="pageBottom"/>
            <w:numFmt w:val="decimal"/>
            <w:numRestart w:val="continuous"/>
          </w:footnotePr>
          <w:pgSz w:w="16840" w:h="11900" w:orient="landscape"/>
          <w:pgMar w:top="616" w:right="1302" w:bottom="1156" w:left="1422" w:header="0" w:footer="3" w:gutter="0"/>
          <w:cols w:space="720"/>
          <w:noEndnote/>
          <w:rtlGutter w:val="0"/>
          <w:docGrid w:linePitch="360"/>
        </w:sectPr>
      </w:pPr>
      <w:r>
        <w:rPr>
          <w:color w:val="000000"/>
          <w:spacing w:val="0"/>
          <w:w w:val="100"/>
          <w:position w:val="0"/>
        </w:rPr>
        <w:t>中元健康系公司全资子公司，主要产品或服务：技术服务、技术开发、技术咨询、技术交流、技术转让、技术推广；第二类医疗 器械销售；软件开发；信息系统集成服务；信息技术咨询服务；信息系统运行维护服务；信息安全设备销售；软件销售；智能机器人 的研发；互联网设备销售；网络设备销售；计算机软硬件及辅助设备批发；云计算设备销售；物联网设备销售；光通信设备销售；数 字视频监控系统销售；工业控制计算机及系统销售（除依法须经批准的项目外，凭营业执照依法自主开展经营活动）</w:t>
      </w:r>
    </w:p>
    <w:p>
      <w:pPr>
        <w:pStyle w:val="Style29"/>
        <w:keepNext/>
        <w:keepLines/>
        <w:widowControl w:val="0"/>
        <w:shd w:val="clear" w:color="auto" w:fill="auto"/>
        <w:bidi w:val="0"/>
        <w:spacing w:before="0" w:after="280" w:line="240" w:lineRule="auto"/>
        <w:ind w:left="0" w:right="0" w:firstLine="0"/>
        <w:jc w:val="left"/>
      </w:pPr>
      <w:bookmarkStart w:id="228" w:name="bookmark228"/>
      <w:bookmarkStart w:id="229" w:name="bookmark229"/>
      <w:bookmarkStart w:id="230" w:name="bookmark230"/>
      <w:r>
        <w:rPr>
          <w:color w:val="000000"/>
          <w:spacing w:val="0"/>
          <w:w w:val="100"/>
          <w:position w:val="0"/>
        </w:rPr>
        <w:t>十、公司控制的结构化主体情况</w:t>
      </w:r>
      <w:bookmarkEnd w:id="228"/>
      <w:bookmarkEnd w:id="229"/>
      <w:bookmarkEnd w:id="230"/>
    </w:p>
    <w:p>
      <w:pPr>
        <w:pStyle w:val="Style18"/>
        <w:keepNext w:val="0"/>
        <w:keepLines w:val="0"/>
        <w:widowControl w:val="0"/>
        <w:shd w:val="clear" w:color="auto" w:fill="auto"/>
        <w:bidi w:val="0"/>
        <w:spacing w:before="0" w:after="140" w:line="442" w:lineRule="exact"/>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bidi w:val="0"/>
        <w:spacing w:before="0" w:after="280" w:line="442" w:lineRule="exact"/>
        <w:ind w:left="0" w:right="0" w:firstLine="0"/>
        <w:jc w:val="left"/>
      </w:pPr>
      <w:bookmarkStart w:id="231" w:name="bookmark231"/>
      <w:bookmarkStart w:id="232" w:name="bookmark232"/>
      <w:bookmarkStart w:id="233" w:name="bookmark233"/>
      <w:r>
        <w:rPr>
          <w:color w:val="000000"/>
          <w:spacing w:val="0"/>
          <w:w w:val="100"/>
          <w:position w:val="0"/>
        </w:rPr>
        <w:t>十一、公司未来发展的展望</w:t>
      </w:r>
      <w:bookmarkEnd w:id="231"/>
      <w:bookmarkEnd w:id="232"/>
      <w:bookmarkEnd w:id="233"/>
    </w:p>
    <w:p>
      <w:pPr>
        <w:pStyle w:val="Style18"/>
        <w:keepNext w:val="0"/>
        <w:keepLines w:val="0"/>
        <w:widowControl w:val="0"/>
        <w:shd w:val="clear" w:color="auto" w:fill="auto"/>
        <w:tabs>
          <w:tab w:pos="1124" w:val="left"/>
        </w:tabs>
        <w:bidi w:val="0"/>
        <w:spacing w:before="0" w:line="442" w:lineRule="exact"/>
        <w:ind w:left="0" w:right="0" w:firstLine="480"/>
        <w:jc w:val="both"/>
      </w:pPr>
      <w:bookmarkStart w:id="234" w:name="bookmark234"/>
      <w:r>
        <w:rPr>
          <w:color w:val="000000"/>
          <w:spacing w:val="0"/>
          <w:w w:val="100"/>
          <w:position w:val="0"/>
        </w:rPr>
        <w:t>（</w:t>
      </w:r>
      <w:bookmarkEnd w:id="234"/>
      <w:r>
        <w:rPr>
          <w:color w:val="000000"/>
          <w:spacing w:val="0"/>
          <w:w w:val="100"/>
          <w:position w:val="0"/>
        </w:rPr>
        <w:t>一）</w:t>
        <w:tab/>
        <w:t>公司发展战略</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公司秉承创新驱动发展的理念，采取自主创新、外延并购的方式，规范运作，抓住“十 四五”国家战略性新兴产业、智慧能源基础设施建设及医疗信息化建设带来的发展机遇，为 客户创造价值，努力成为以市场为导向、创新为动力、技术持续领先的具有突出竞争优势的 知名企业，实现股东、客户、员工、公司的共同发展。</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在智能电网领域，进一步巩固和提升现有产品在细分行业的领先地位，推进智能变电站、 智能配网业务的发展以及开展电力系统运维服务，在数据采集、输变电智能监测和运维、综 合能源管理等领域积极参与国家电网电力物联网建设，由设备提供商向系统提供商方向发展。</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在医疗健康领域，依据“数据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产品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服务”战略，以医疗信息化业务为平台资源，协同 发展体外诊断试剂，发展智慧医疗服务，着力推动智慧医共体云平台业务，形成可以互动、 有协同效应的医疗健康产业链。</w:t>
      </w:r>
    </w:p>
    <w:p>
      <w:pPr>
        <w:pStyle w:val="Style18"/>
        <w:keepNext w:val="0"/>
        <w:keepLines w:val="0"/>
        <w:widowControl w:val="0"/>
        <w:shd w:val="clear" w:color="auto" w:fill="auto"/>
        <w:tabs>
          <w:tab w:pos="1124" w:val="left"/>
        </w:tabs>
        <w:bidi w:val="0"/>
        <w:spacing w:before="0" w:line="442" w:lineRule="exact"/>
        <w:ind w:left="0" w:right="0" w:firstLine="480"/>
        <w:jc w:val="both"/>
      </w:pPr>
      <w:bookmarkStart w:id="235" w:name="bookmark235"/>
      <w:r>
        <w:rPr>
          <w:color w:val="000000"/>
          <w:spacing w:val="0"/>
          <w:w w:val="100"/>
          <w:position w:val="0"/>
        </w:rPr>
        <w:t>（</w:t>
      </w:r>
      <w:bookmarkEnd w:id="235"/>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年年度经营计划</w:t>
      </w:r>
    </w:p>
    <w:p>
      <w:pPr>
        <w:pStyle w:val="Style18"/>
        <w:keepNext w:val="0"/>
        <w:keepLines w:val="0"/>
        <w:widowControl w:val="0"/>
        <w:shd w:val="clear" w:color="auto" w:fill="auto"/>
        <w:tabs>
          <w:tab w:pos="874" w:val="left"/>
        </w:tabs>
        <w:bidi w:val="0"/>
        <w:spacing w:before="0" w:line="442" w:lineRule="exact"/>
        <w:ind w:left="0" w:right="0" w:firstLine="480"/>
        <w:jc w:val="both"/>
      </w:pPr>
      <w:bookmarkStart w:id="236" w:name="bookmark236"/>
      <w:r>
        <w:rPr>
          <w:rFonts w:ascii="Times New Roman" w:eastAsia="Times New Roman" w:hAnsi="Times New Roman" w:cs="Times New Roman"/>
          <w:color w:val="000000"/>
          <w:spacing w:val="0"/>
          <w:w w:val="100"/>
          <w:position w:val="0"/>
          <w:sz w:val="24"/>
          <w:szCs w:val="24"/>
        </w:rPr>
        <w:t>1</w:t>
      </w:r>
      <w:bookmarkEnd w:id="236"/>
      <w:r>
        <w:rPr>
          <w:color w:val="000000"/>
          <w:spacing w:val="0"/>
          <w:w w:val="100"/>
          <w:position w:val="0"/>
        </w:rPr>
        <w:t>、</w:t>
        <w:tab/>
        <w:t>公司向特定对象发行股票事项，基于资本市场环境和股权融资时机等多方面因素的综 合影响，公司未能在中国证券监督管理委员会批复文件有效期内完成发行，公司根据发展战 略、经营计划及资本性支出规划资金使用计划，统筹调配，用以保障项目逐步实施。</w:t>
      </w:r>
    </w:p>
    <w:p>
      <w:pPr>
        <w:pStyle w:val="Style18"/>
        <w:keepNext w:val="0"/>
        <w:keepLines w:val="0"/>
        <w:widowControl w:val="0"/>
        <w:shd w:val="clear" w:color="auto" w:fill="auto"/>
        <w:tabs>
          <w:tab w:pos="869" w:val="left"/>
        </w:tabs>
        <w:bidi w:val="0"/>
        <w:spacing w:before="0" w:line="449" w:lineRule="exact"/>
        <w:ind w:left="0" w:right="0" w:firstLine="480"/>
        <w:jc w:val="both"/>
      </w:pPr>
      <w:bookmarkStart w:id="237" w:name="bookmark237"/>
      <w:r>
        <w:rPr>
          <w:rFonts w:ascii="Times New Roman" w:eastAsia="Times New Roman" w:hAnsi="Times New Roman" w:cs="Times New Roman"/>
          <w:color w:val="000000"/>
          <w:spacing w:val="0"/>
          <w:w w:val="100"/>
          <w:position w:val="0"/>
          <w:sz w:val="24"/>
          <w:szCs w:val="24"/>
        </w:rPr>
        <w:t>2</w:t>
      </w:r>
      <w:bookmarkEnd w:id="237"/>
      <w:r>
        <w:rPr>
          <w:color w:val="000000"/>
          <w:spacing w:val="0"/>
          <w:w w:val="100"/>
          <w:position w:val="0"/>
        </w:rPr>
        <w:t>、</w:t>
        <w:tab/>
        <w:t>夯实管理基础，完善公司内控机制。加强公司董监高学习，积极参与监管部门组织的 各类培训。进一步健全完善各项内控制度，利用信息化建设，优化管理流程，建立更为科学、 高效的决策系统，提升公司规范化运作水平。</w:t>
      </w:r>
    </w:p>
    <w:p>
      <w:pPr>
        <w:pStyle w:val="Style18"/>
        <w:keepNext w:val="0"/>
        <w:keepLines w:val="0"/>
        <w:widowControl w:val="0"/>
        <w:shd w:val="clear" w:color="auto" w:fill="auto"/>
        <w:tabs>
          <w:tab w:pos="879" w:val="left"/>
        </w:tabs>
        <w:bidi w:val="0"/>
        <w:spacing w:before="0" w:line="444" w:lineRule="exact"/>
        <w:ind w:left="0" w:right="0" w:firstLine="480"/>
        <w:jc w:val="both"/>
      </w:pPr>
      <w:bookmarkStart w:id="238" w:name="bookmark238"/>
      <w:r>
        <w:rPr>
          <w:rFonts w:ascii="Times New Roman" w:eastAsia="Times New Roman" w:hAnsi="Times New Roman" w:cs="Times New Roman"/>
          <w:color w:val="000000"/>
          <w:spacing w:val="0"/>
          <w:w w:val="100"/>
          <w:position w:val="0"/>
          <w:sz w:val="24"/>
          <w:szCs w:val="24"/>
        </w:rPr>
        <w:t>3</w:t>
      </w:r>
      <w:bookmarkEnd w:id="238"/>
      <w:r>
        <w:rPr>
          <w:color w:val="000000"/>
          <w:spacing w:val="0"/>
          <w:w w:val="100"/>
          <w:position w:val="0"/>
        </w:rPr>
        <w:t>、</w:t>
        <w:tab/>
        <w:t>推进智能电网业务进一步发展，夯实主业根基，增强公司核心优势。在持续保持主营 产品技术升级的同时，优化产品结构，大力拓展综合能源服务、仪器仪表类产品，完善公司 产业链，提升公司品牌影响力。</w:t>
      </w:r>
    </w:p>
    <w:p>
      <w:pPr>
        <w:pStyle w:val="Style18"/>
        <w:keepNext w:val="0"/>
        <w:keepLines w:val="0"/>
        <w:widowControl w:val="0"/>
        <w:shd w:val="clear" w:color="auto" w:fill="auto"/>
        <w:tabs>
          <w:tab w:pos="874" w:val="left"/>
        </w:tabs>
        <w:bidi w:val="0"/>
        <w:spacing w:before="0" w:line="444" w:lineRule="exact"/>
        <w:ind w:left="0" w:right="0" w:firstLine="480"/>
        <w:jc w:val="both"/>
      </w:pPr>
      <w:bookmarkStart w:id="239" w:name="bookmark239"/>
      <w:r>
        <w:rPr>
          <w:rFonts w:ascii="Times New Roman" w:eastAsia="Times New Roman" w:hAnsi="Times New Roman" w:cs="Times New Roman"/>
          <w:color w:val="000000"/>
          <w:spacing w:val="0"/>
          <w:w w:val="100"/>
          <w:position w:val="0"/>
          <w:sz w:val="24"/>
          <w:szCs w:val="24"/>
        </w:rPr>
        <w:t>4</w:t>
      </w:r>
      <w:bookmarkEnd w:id="239"/>
      <w:r>
        <w:rPr>
          <w:color w:val="000000"/>
          <w:spacing w:val="0"/>
          <w:w w:val="100"/>
          <w:position w:val="0"/>
        </w:rPr>
        <w:t>、</w:t>
        <w:tab/>
        <w:t>致力于高效的研发管理体系建设，完善研发过程管控机制，以市场需求驱动创新，厘 清技术方向，不做“无用功”，不断培育公司利润增长点。把握行业发展趋势，推出自主可控 新一代智能故障录波装置、物联网电力监控网关、自主可控继电保护测试仪等新产品。</w:t>
      </w:r>
    </w:p>
    <w:p>
      <w:pPr>
        <w:pStyle w:val="Style18"/>
        <w:keepNext w:val="0"/>
        <w:keepLines w:val="0"/>
        <w:widowControl w:val="0"/>
        <w:shd w:val="clear" w:color="auto" w:fill="auto"/>
        <w:tabs>
          <w:tab w:pos="884" w:val="left"/>
        </w:tabs>
        <w:bidi w:val="0"/>
        <w:spacing w:before="0" w:after="0" w:line="446" w:lineRule="exact"/>
        <w:ind w:left="0" w:right="0" w:firstLine="480"/>
        <w:jc w:val="both"/>
      </w:pPr>
      <w:bookmarkStart w:id="240" w:name="bookmark240"/>
      <w:r>
        <w:rPr>
          <w:rFonts w:ascii="Times New Roman" w:eastAsia="Times New Roman" w:hAnsi="Times New Roman" w:cs="Times New Roman"/>
          <w:color w:val="000000"/>
          <w:spacing w:val="0"/>
          <w:w w:val="100"/>
          <w:position w:val="0"/>
          <w:sz w:val="24"/>
          <w:szCs w:val="24"/>
        </w:rPr>
        <w:t>5</w:t>
      </w:r>
      <w:bookmarkEnd w:id="240"/>
      <w:r>
        <w:rPr>
          <w:color w:val="000000"/>
          <w:spacing w:val="0"/>
          <w:w w:val="100"/>
          <w:position w:val="0"/>
        </w:rPr>
        <w:t>、</w:t>
        <w:tab/>
        <w:t xml:space="preserve">完善营销策略，创新竞争机制，打造“进攻性、开拓型”的销售团队。在契合现有市 场发展的经营理念的基础上，持续提高市场意识和服务意识，提升公司品牌影响力，聚焦目 </w:t>
      </w:r>
      <w:r>
        <w:rPr>
          <w:color w:val="000000"/>
          <w:spacing w:val="0"/>
          <w:w w:val="100"/>
          <w:position w:val="0"/>
        </w:rPr>
        <w:t>标战略客户销售，以期不断提高市场占有率和新产品推广进度。</w:t>
      </w:r>
    </w:p>
    <w:p>
      <w:pPr>
        <w:pStyle w:val="Style18"/>
        <w:keepNext w:val="0"/>
        <w:keepLines w:val="0"/>
        <w:widowControl w:val="0"/>
        <w:shd w:val="clear" w:color="auto" w:fill="auto"/>
        <w:tabs>
          <w:tab w:pos="877" w:val="left"/>
        </w:tabs>
        <w:bidi w:val="0"/>
        <w:spacing w:before="0" w:after="0" w:line="443" w:lineRule="exact"/>
        <w:ind w:left="0" w:right="0" w:firstLine="480"/>
        <w:jc w:val="both"/>
      </w:pPr>
      <w:bookmarkStart w:id="241" w:name="bookmark241"/>
      <w:r>
        <w:rPr>
          <w:rFonts w:ascii="Times New Roman" w:eastAsia="Times New Roman" w:hAnsi="Times New Roman" w:cs="Times New Roman"/>
          <w:color w:val="000000"/>
          <w:spacing w:val="0"/>
          <w:w w:val="100"/>
          <w:position w:val="0"/>
          <w:sz w:val="24"/>
          <w:szCs w:val="24"/>
        </w:rPr>
        <w:t>6</w:t>
      </w:r>
      <w:bookmarkEnd w:id="241"/>
      <w:r>
        <w:rPr>
          <w:color w:val="000000"/>
          <w:spacing w:val="0"/>
          <w:w w:val="100"/>
          <w:position w:val="0"/>
        </w:rPr>
        <w:t>、</w:t>
        <w:tab/>
        <w:t>加强“晋升、奖励、激励”建设，建立行政职级与技术等级激励体系，激活员工的工 作积极性性和能动性。持续推进公司内训师建设的同时通过聘请外部专家和专业机构，打造 公司“培训团队”，提升关键岗位人员专业技能和视野。积极引入高端专业人才和优秀人才， 培育专业技能强，分工协作，优质服务的高效人才团队。</w:t>
      </w:r>
    </w:p>
    <w:p>
      <w:pPr>
        <w:pStyle w:val="Style18"/>
        <w:keepNext w:val="0"/>
        <w:keepLines w:val="0"/>
        <w:widowControl w:val="0"/>
        <w:shd w:val="clear" w:color="auto" w:fill="auto"/>
        <w:tabs>
          <w:tab w:pos="872" w:val="left"/>
        </w:tabs>
        <w:bidi w:val="0"/>
        <w:spacing w:before="0" w:after="220" w:line="446" w:lineRule="exact"/>
        <w:ind w:left="0" w:right="0" w:firstLine="480"/>
        <w:jc w:val="both"/>
      </w:pPr>
      <w:bookmarkStart w:id="242" w:name="bookmark242"/>
      <w:r>
        <w:rPr>
          <w:rFonts w:ascii="Times New Roman" w:eastAsia="Times New Roman" w:hAnsi="Times New Roman" w:cs="Times New Roman"/>
          <w:color w:val="000000"/>
          <w:spacing w:val="0"/>
          <w:w w:val="100"/>
          <w:position w:val="0"/>
          <w:sz w:val="24"/>
          <w:szCs w:val="24"/>
        </w:rPr>
        <w:t>7</w:t>
      </w:r>
      <w:bookmarkEnd w:id="242"/>
      <w:r>
        <w:rPr>
          <w:color w:val="000000"/>
          <w:spacing w:val="0"/>
          <w:w w:val="100"/>
          <w:position w:val="0"/>
        </w:rPr>
        <w:t>、</w:t>
        <w:tab/>
        <w:t>深化两化融合体系建设，优化公司业务信息化软件，增强业务流转及控制流程，进一 步推进“智能生产，数据精确，流程协同”。</w:t>
      </w:r>
    </w:p>
    <w:p>
      <w:pPr>
        <w:pStyle w:val="Style10"/>
        <w:keepNext/>
        <w:keepLines/>
        <w:widowControl w:val="0"/>
        <w:shd w:val="clear" w:color="auto" w:fill="auto"/>
        <w:tabs>
          <w:tab w:pos="872" w:val="left"/>
        </w:tabs>
        <w:bidi w:val="0"/>
        <w:spacing w:before="0" w:after="0" w:line="386" w:lineRule="auto"/>
        <w:ind w:left="0" w:right="0" w:firstLine="480"/>
        <w:jc w:val="both"/>
        <w:rPr>
          <w:sz w:val="22"/>
          <w:szCs w:val="22"/>
        </w:rPr>
      </w:pPr>
      <w:bookmarkStart w:id="243" w:name="bookmark243"/>
      <w:bookmarkStart w:id="244" w:name="bookmark244"/>
      <w:bookmarkStart w:id="245" w:name="bookmark245"/>
      <w:bookmarkStart w:id="246" w:name="bookmark246"/>
      <w:r>
        <w:rPr>
          <w:rFonts w:ascii="Times New Roman" w:eastAsia="Times New Roman" w:hAnsi="Times New Roman" w:cs="Times New Roman"/>
          <w:b w:val="0"/>
          <w:bCs w:val="0"/>
          <w:color w:val="000000"/>
          <w:spacing w:val="0"/>
          <w:w w:val="100"/>
          <w:position w:val="0"/>
          <w:sz w:val="24"/>
          <w:szCs w:val="24"/>
        </w:rPr>
        <w:t>8</w:t>
      </w:r>
      <w:bookmarkEnd w:id="245"/>
      <w:r>
        <w:rPr>
          <w:b w:val="0"/>
          <w:bCs w:val="0"/>
          <w:color w:val="000000"/>
          <w:spacing w:val="0"/>
          <w:w w:val="100"/>
          <w:position w:val="0"/>
          <w:sz w:val="22"/>
          <w:szCs w:val="22"/>
        </w:rPr>
        <w:t>、</w:t>
        <w:tab/>
        <w:t>深化预算管理，完善成本控制</w:t>
      </w:r>
      <w:bookmarkEnd w:id="243"/>
      <w:bookmarkEnd w:id="244"/>
      <w:bookmarkEnd w:id="246"/>
    </w:p>
    <w:p>
      <w:pPr>
        <w:pStyle w:val="Style18"/>
        <w:keepNext w:val="0"/>
        <w:keepLines w:val="0"/>
        <w:widowControl w:val="0"/>
        <w:shd w:val="clear" w:color="auto" w:fill="auto"/>
        <w:bidi w:val="0"/>
        <w:spacing w:before="0" w:after="220" w:line="437" w:lineRule="exact"/>
        <w:ind w:left="0" w:right="0" w:firstLine="480"/>
        <w:jc w:val="both"/>
      </w:pPr>
      <w:r>
        <w:rPr>
          <w:color w:val="000000"/>
          <w:spacing w:val="0"/>
          <w:w w:val="100"/>
          <w:position w:val="0"/>
        </w:rPr>
        <w:t>预算管理分配、考核、控制各部门人财物以及公司业务流，有效组织协调生产经营活动， 提高管理水平和经济效益。</w:t>
      </w:r>
    </w:p>
    <w:p>
      <w:pPr>
        <w:pStyle w:val="Style18"/>
        <w:keepNext w:val="0"/>
        <w:keepLines w:val="0"/>
        <w:widowControl w:val="0"/>
        <w:shd w:val="clear" w:color="auto" w:fill="auto"/>
        <w:tabs>
          <w:tab w:pos="877" w:val="left"/>
        </w:tabs>
        <w:bidi w:val="0"/>
        <w:spacing w:before="0" w:after="0" w:line="386" w:lineRule="auto"/>
        <w:ind w:left="0" w:right="0" w:firstLine="480"/>
        <w:jc w:val="both"/>
      </w:pPr>
      <w:bookmarkStart w:id="247" w:name="bookmark247"/>
      <w:r>
        <w:rPr>
          <w:rFonts w:ascii="Times New Roman" w:eastAsia="Times New Roman" w:hAnsi="Times New Roman" w:cs="Times New Roman"/>
          <w:color w:val="000000"/>
          <w:spacing w:val="0"/>
          <w:w w:val="100"/>
          <w:position w:val="0"/>
          <w:sz w:val="24"/>
          <w:szCs w:val="24"/>
        </w:rPr>
        <w:t>9</w:t>
      </w:r>
      <w:bookmarkEnd w:id="247"/>
      <w:r>
        <w:rPr>
          <w:color w:val="000000"/>
          <w:spacing w:val="0"/>
          <w:w w:val="100"/>
          <w:position w:val="0"/>
        </w:rPr>
        <w:t>、</w:t>
        <w:tab/>
        <w:t>持续加强公共关系和投资者关系管理工作</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公司严格按照法律法规、规范性文件及监管部门相关规定，持续规范公司信息披露工作， 提升公司信披质量。公司也将通过业绩说明会、互动易平台、投资者咨询热线、公司邮箱与 投资者保持紧密的沟通与交流，积极维护中小投资者的利益，提高资本市场对公司的认知度 和认可度。</w:t>
      </w:r>
    </w:p>
    <w:p>
      <w:pPr>
        <w:pStyle w:val="Style18"/>
        <w:keepNext w:val="0"/>
        <w:keepLines w:val="0"/>
        <w:widowControl w:val="0"/>
        <w:shd w:val="clear" w:color="auto" w:fill="auto"/>
        <w:bidi w:val="0"/>
        <w:spacing w:before="0" w:after="0" w:line="443" w:lineRule="exact"/>
        <w:ind w:left="0" w:right="0" w:firstLine="480"/>
        <w:jc w:val="left"/>
      </w:pPr>
      <w:bookmarkStart w:id="248" w:name="bookmark248"/>
      <w:r>
        <w:rPr>
          <w:color w:val="000000"/>
          <w:spacing w:val="0"/>
          <w:w w:val="100"/>
          <w:position w:val="0"/>
        </w:rPr>
        <w:t>（</w:t>
      </w:r>
      <w:bookmarkEnd w:id="248"/>
      <w:r>
        <w:rPr>
          <w:color w:val="000000"/>
          <w:spacing w:val="0"/>
          <w:w w:val="100"/>
          <w:position w:val="0"/>
        </w:rPr>
        <w:t>三）可能对公司未来发展战略和经营目标的实现产生不利影响的风险因素</w:t>
      </w:r>
    </w:p>
    <w:p>
      <w:pPr>
        <w:pStyle w:val="Style18"/>
        <w:keepNext w:val="0"/>
        <w:keepLines w:val="0"/>
        <w:widowControl w:val="0"/>
        <w:shd w:val="clear" w:color="auto" w:fill="auto"/>
        <w:bidi w:val="0"/>
        <w:spacing w:before="0" w:after="220" w:line="437" w:lineRule="exact"/>
        <w:ind w:left="0" w:right="0" w:firstLine="480"/>
        <w:jc w:val="both"/>
      </w:pPr>
      <w:r>
        <w:rPr>
          <w:color w:val="000000"/>
          <w:spacing w:val="0"/>
          <w:w w:val="100"/>
          <w:position w:val="0"/>
        </w:rPr>
        <w:t>除本报告第一节介绍的重大风险外，以下风险可能对公司未来发展战略和经营目标的实 现产生不利影响：</w:t>
      </w:r>
    </w:p>
    <w:p>
      <w:pPr>
        <w:pStyle w:val="Style18"/>
        <w:keepNext w:val="0"/>
        <w:keepLines w:val="0"/>
        <w:widowControl w:val="0"/>
        <w:shd w:val="clear" w:color="auto" w:fill="auto"/>
        <w:tabs>
          <w:tab w:pos="858" w:val="left"/>
        </w:tabs>
        <w:bidi w:val="0"/>
        <w:spacing w:before="0" w:after="0" w:line="386" w:lineRule="auto"/>
        <w:ind w:left="0" w:right="0" w:firstLine="480"/>
        <w:jc w:val="both"/>
      </w:pPr>
      <w:bookmarkStart w:id="249" w:name="bookmark249"/>
      <w:r>
        <w:rPr>
          <w:rFonts w:ascii="Times New Roman" w:eastAsia="Times New Roman" w:hAnsi="Times New Roman" w:cs="Times New Roman"/>
          <w:color w:val="000000"/>
          <w:spacing w:val="0"/>
          <w:w w:val="100"/>
          <w:position w:val="0"/>
          <w:sz w:val="24"/>
          <w:szCs w:val="24"/>
        </w:rPr>
        <w:t>1</w:t>
      </w:r>
      <w:bookmarkEnd w:id="249"/>
      <w:r>
        <w:rPr>
          <w:color w:val="000000"/>
          <w:spacing w:val="0"/>
          <w:w w:val="100"/>
          <w:position w:val="0"/>
        </w:rPr>
        <w:t>、</w:t>
        <w:tab/>
        <w:t>募集资金投资项目实施及新增产能利用不足的风险</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募集资金投资项目中的大部分产品处于产业化实施阶段，虽然公司具有丰富的产业化实 施经验，且项目实施具有可靠的技术保障，但是在这一过程中公司仍可能面临产业政策变更、 市场变化、行业发展方向和技术应用趋势变动等风险。</w:t>
      </w:r>
    </w:p>
    <w:p>
      <w:pPr>
        <w:pStyle w:val="Style18"/>
        <w:keepNext w:val="0"/>
        <w:keepLines w:val="0"/>
        <w:widowControl w:val="0"/>
        <w:shd w:val="clear" w:color="auto" w:fill="auto"/>
        <w:bidi w:val="0"/>
        <w:spacing w:before="0" w:after="220" w:line="446" w:lineRule="exact"/>
        <w:ind w:left="0" w:right="0" w:firstLine="480"/>
        <w:jc w:val="both"/>
      </w:pPr>
      <w:r>
        <w:rPr>
          <w:color w:val="000000"/>
          <w:spacing w:val="0"/>
          <w:w w:val="100"/>
          <w:position w:val="0"/>
        </w:rPr>
        <w:t>应对措施：公司加大募投项目产品的市场推广及销售力度，密切关注国家产业政策及市 场需求，做好前瞻性预测，及时调整投资项目技术方向和市场策略。</w:t>
      </w:r>
    </w:p>
    <w:p>
      <w:pPr>
        <w:pStyle w:val="Style18"/>
        <w:keepNext w:val="0"/>
        <w:keepLines w:val="0"/>
        <w:widowControl w:val="0"/>
        <w:shd w:val="clear" w:color="auto" w:fill="auto"/>
        <w:tabs>
          <w:tab w:pos="882" w:val="left"/>
        </w:tabs>
        <w:bidi w:val="0"/>
        <w:spacing w:before="0" w:after="0" w:line="386" w:lineRule="auto"/>
        <w:ind w:left="0" w:right="0" w:firstLine="480"/>
        <w:jc w:val="both"/>
      </w:pPr>
      <w:bookmarkStart w:id="250" w:name="bookmark250"/>
      <w:r>
        <w:rPr>
          <w:rFonts w:ascii="Times New Roman" w:eastAsia="Times New Roman" w:hAnsi="Times New Roman" w:cs="Times New Roman"/>
          <w:color w:val="000000"/>
          <w:spacing w:val="0"/>
          <w:w w:val="100"/>
          <w:position w:val="0"/>
          <w:sz w:val="24"/>
          <w:szCs w:val="24"/>
        </w:rPr>
        <w:t>2</w:t>
      </w:r>
      <w:bookmarkEnd w:id="250"/>
      <w:r>
        <w:rPr>
          <w:color w:val="000000"/>
          <w:spacing w:val="0"/>
          <w:w w:val="100"/>
          <w:position w:val="0"/>
        </w:rPr>
        <w:t>、</w:t>
        <w:tab/>
        <w:t>税收政策变化的风险</w:t>
      </w:r>
    </w:p>
    <w:p>
      <w:pPr>
        <w:pStyle w:val="Style18"/>
        <w:keepNext w:val="0"/>
        <w:keepLines w:val="0"/>
        <w:widowControl w:val="0"/>
        <w:shd w:val="clear" w:color="auto" w:fill="auto"/>
        <w:bidi w:val="0"/>
        <w:spacing w:before="0" w:after="0" w:line="443" w:lineRule="exact"/>
        <w:ind w:left="0" w:right="0" w:firstLine="480"/>
        <w:jc w:val="both"/>
      </w:pPr>
      <w:r>
        <w:rPr>
          <w:color w:val="000000"/>
          <w:spacing w:val="0"/>
          <w:w w:val="100"/>
          <w:position w:val="0"/>
        </w:rPr>
        <w:t>报告期内，公司及子公司相应享受了关于高新技术企业、软件企业的税收优惠政策，上 述税收优惠政策对公司的发展、经营业绩起到一定的促进作用，如果国家税收政策发生变化， 或公司及子公司不能通过高新技术企业、软件企业复审，导致不能继续享受上述税收优惠政 策，将会在一定程度上影响公司的盈利水平。</w:t>
      </w:r>
    </w:p>
    <w:p>
      <w:pPr>
        <w:pStyle w:val="Style18"/>
        <w:keepNext w:val="0"/>
        <w:keepLines w:val="0"/>
        <w:widowControl w:val="0"/>
        <w:shd w:val="clear" w:color="auto" w:fill="auto"/>
        <w:bidi w:val="0"/>
        <w:spacing w:before="0" w:after="180" w:line="443" w:lineRule="exact"/>
        <w:ind w:left="0" w:right="0" w:firstLine="480"/>
        <w:jc w:val="both"/>
      </w:pPr>
      <w:r>
        <w:rPr>
          <w:color w:val="000000"/>
          <w:spacing w:val="0"/>
          <w:w w:val="100"/>
          <w:position w:val="0"/>
        </w:rPr>
        <w:t xml:space="preserve">应对措施：密切关注国家税收政策，加大研发力度，保持技术创新、技术领先，持续进 </w:t>
      </w:r>
      <w:r>
        <w:rPr>
          <w:color w:val="000000"/>
          <w:spacing w:val="0"/>
          <w:w w:val="100"/>
          <w:position w:val="0"/>
        </w:rPr>
        <w:t>行技术成果转化，形成企业核心自主知识产权。</w:t>
      </w:r>
    </w:p>
    <w:p>
      <w:pPr>
        <w:pStyle w:val="Style18"/>
        <w:keepNext w:val="0"/>
        <w:keepLines w:val="0"/>
        <w:widowControl w:val="0"/>
        <w:shd w:val="clear" w:color="auto" w:fill="auto"/>
        <w:bidi w:val="0"/>
        <w:spacing w:before="0" w:after="0" w:line="382" w:lineRule="auto"/>
        <w:ind w:left="0" w:right="0" w:firstLine="500"/>
        <w:jc w:val="both"/>
      </w:pPr>
      <w:bookmarkStart w:id="251" w:name="bookmark251"/>
      <w:r>
        <w:rPr>
          <w:rFonts w:ascii="Times New Roman" w:eastAsia="Times New Roman" w:hAnsi="Times New Roman" w:cs="Times New Roman"/>
          <w:color w:val="000000"/>
          <w:spacing w:val="0"/>
          <w:w w:val="100"/>
          <w:position w:val="0"/>
          <w:sz w:val="24"/>
          <w:szCs w:val="24"/>
        </w:rPr>
        <w:t>3</w:t>
      </w:r>
      <w:bookmarkEnd w:id="251"/>
      <w:r>
        <w:rPr>
          <w:color w:val="000000"/>
          <w:spacing w:val="0"/>
          <w:w w:val="100"/>
          <w:position w:val="0"/>
        </w:rPr>
        <w:t>、人才流失风险</w:t>
      </w:r>
    </w:p>
    <w:p>
      <w:pPr>
        <w:pStyle w:val="Style18"/>
        <w:keepNext w:val="0"/>
        <w:keepLines w:val="0"/>
        <w:widowControl w:val="0"/>
        <w:shd w:val="clear" w:color="auto" w:fill="auto"/>
        <w:bidi w:val="0"/>
        <w:spacing w:before="0" w:line="439" w:lineRule="exact"/>
        <w:ind w:left="0" w:right="0" w:firstLine="500"/>
        <w:jc w:val="both"/>
      </w:pPr>
      <w:r>
        <w:rPr>
          <w:color w:val="000000"/>
          <w:spacing w:val="0"/>
          <w:w w:val="100"/>
          <w:position w:val="0"/>
        </w:rPr>
        <w:t>公司管理团队主要成员直接持有公司股权，参与公司经营管理、研发和营销。公司持续 完善薪酬体系和绩效考核制度等一系列激励和约束机制，力求各业务核心人员能充分发挥才 能，与公司共同成长。但是仍可能存在不可预期的人才流失、影响公司持续快速发展的风险。</w:t>
      </w:r>
    </w:p>
    <w:p>
      <w:pPr>
        <w:pStyle w:val="Style18"/>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 xml:space="preserve">应对措施：通过完善激励制度和薪酬政策，建立多层次培训体系，加大人才培育力度， </w:t>
      </w:r>
      <w:r>
        <w:rPr>
          <w:color w:val="000000"/>
          <w:spacing w:val="0"/>
          <w:w w:val="100"/>
          <w:position w:val="0"/>
        </w:rPr>
        <w:t>提供员工成长与上升的空间，实现公司与员工的共同发展。</w:t>
      </w:r>
    </w:p>
    <w:p>
      <w:pPr>
        <w:pStyle w:val="Style29"/>
        <w:keepNext/>
        <w:keepLines/>
        <w:widowControl w:val="0"/>
        <w:shd w:val="clear" w:color="auto" w:fill="auto"/>
        <w:bidi w:val="0"/>
        <w:spacing w:before="0" w:after="360" w:line="240" w:lineRule="auto"/>
        <w:ind w:left="0" w:right="0" w:firstLine="0"/>
        <w:jc w:val="left"/>
      </w:pPr>
      <w:bookmarkStart w:id="252" w:name="bookmark252"/>
      <w:bookmarkStart w:id="253" w:name="bookmark253"/>
      <w:bookmarkStart w:id="254" w:name="bookmark254"/>
      <w:r>
        <w:rPr>
          <w:color w:val="000000"/>
          <w:spacing w:val="0"/>
          <w:w w:val="100"/>
          <w:position w:val="0"/>
        </w:rPr>
        <w:t>十二、报告期内接待调研、沟通、采访等活动登记表</w:t>
      </w:r>
      <w:bookmarkEnd w:id="252"/>
      <w:bookmarkEnd w:id="253"/>
      <w:bookmarkEnd w:id="25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1296"/>
        <w:gridCol w:w="1296"/>
        <w:gridCol w:w="1296"/>
        <w:gridCol w:w="1291"/>
        <w:gridCol w:w="1296"/>
        <w:gridCol w:w="1805"/>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谈论的主要</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内容及提供</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调研的基本情况索 引</w:t>
            </w:r>
          </w:p>
        </w:tc>
      </w:tr>
      <w:tr>
        <w:trPr>
          <w:trHeight w:val="103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中元股份投 资者关系</w:t>
            </w:r>
            <w:r>
              <w:rPr>
                <w:rFonts w:ascii="Times New Roman" w:eastAsia="Times New Roman" w:hAnsi="Times New Roman" w:cs="Times New Roman"/>
                <w:color w:val="000000"/>
                <w:spacing w:val="0"/>
                <w:w w:val="100"/>
                <w:position w:val="0"/>
              </w:rPr>
              <w:t>"</w:t>
            </w:r>
            <w:r>
              <w:rPr>
                <w:color w:val="000000"/>
                <w:spacing w:val="0"/>
                <w:w w:val="100"/>
                <w:position w:val="0"/>
              </w:rPr>
              <w:t>小 程序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网上投资者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公司战略及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 xml:space="preserve">http: //irm .cninfo.co </w:t>
            </w:r>
            <w:r>
              <w:rPr>
                <w:rFonts w:ascii="Times New Roman" w:eastAsia="Times New Roman" w:hAnsi="Times New Roman" w:cs="Times New Roman"/>
                <w:color w:val="000000"/>
                <w:spacing w:val="0"/>
                <w:w w:val="100"/>
                <w:position w:val="0"/>
              </w:rPr>
              <w:t>m.cn/</w:t>
            </w:r>
          </w:p>
        </w:tc>
      </w:tr>
    </w:tbl>
    <w:p>
      <w:pPr>
        <w:sectPr>
          <w:footnotePr>
            <w:pos w:val="pageBottom"/>
            <w:numFmt w:val="decimal"/>
            <w:numRestart w:val="continuous"/>
          </w:footnotePr>
          <w:pgSz w:w="11900" w:h="16840"/>
          <w:pgMar w:top="1398" w:right="1014" w:bottom="1657" w:left="1088" w:header="0" w:footer="3" w:gutter="0"/>
          <w:cols w:space="720"/>
          <w:noEndnote/>
          <w:rtlGutter w:val="0"/>
          <w:docGrid w:linePitch="360"/>
        </w:sectPr>
      </w:pPr>
    </w:p>
    <w:p>
      <w:pPr>
        <w:pStyle w:val="Style10"/>
        <w:keepNext/>
        <w:keepLines/>
        <w:widowControl w:val="0"/>
        <w:shd w:val="clear" w:color="auto" w:fill="auto"/>
        <w:bidi w:val="0"/>
        <w:spacing w:before="520" w:after="380" w:line="240" w:lineRule="auto"/>
        <w:ind w:left="0" w:right="0" w:firstLine="0"/>
        <w:jc w:val="center"/>
      </w:pPr>
      <w:bookmarkStart w:id="255" w:name="bookmark255"/>
      <w:bookmarkStart w:id="256" w:name="bookmark256"/>
      <w:bookmarkStart w:id="257" w:name="bookmark257"/>
      <w:r>
        <w:rPr>
          <w:color w:val="000000"/>
          <w:spacing w:val="0"/>
          <w:w w:val="100"/>
          <w:position w:val="0"/>
        </w:rPr>
        <w:t>第四节公司治理</w:t>
      </w:r>
      <w:bookmarkEnd w:id="255"/>
      <w:bookmarkEnd w:id="256"/>
      <w:bookmarkEnd w:id="257"/>
    </w:p>
    <w:p>
      <w:pPr>
        <w:pStyle w:val="Style29"/>
        <w:keepNext/>
        <w:keepLines/>
        <w:widowControl w:val="0"/>
        <w:shd w:val="clear" w:color="auto" w:fill="auto"/>
        <w:bidi w:val="0"/>
        <w:spacing w:before="0" w:after="260" w:line="444" w:lineRule="exact"/>
        <w:ind w:left="0" w:right="0" w:firstLine="0"/>
        <w:jc w:val="left"/>
      </w:pPr>
      <w:bookmarkStart w:id="258" w:name="bookmark258"/>
      <w:bookmarkStart w:id="259" w:name="bookmark259"/>
      <w:bookmarkStart w:id="260" w:name="bookmark260"/>
      <w:bookmarkStart w:id="261" w:name="bookmark261"/>
      <w:bookmarkStart w:id="262" w:name="bookmark262"/>
      <w:r>
        <w:rPr>
          <w:color w:val="000000"/>
          <w:spacing w:val="0"/>
          <w:w w:val="100"/>
          <w:position w:val="0"/>
        </w:rPr>
        <w:t>一</w:t>
      </w:r>
      <w:bookmarkEnd w:id="261"/>
      <w:r>
        <w:rPr>
          <w:color w:val="000000"/>
          <w:spacing w:val="0"/>
          <w:w w:val="100"/>
          <w:position w:val="0"/>
        </w:rPr>
        <w:t>、公司治理的基本状况</w:t>
      </w:r>
      <w:bookmarkEnd w:id="259"/>
      <w:bookmarkEnd w:id="260"/>
      <w:bookmarkEnd w:id="262"/>
      <w:bookmarkEnd w:id="258"/>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报告期内，本公司严格按照《公司法》、《证券法》、《上市公司治理准则》、《深圳证券交 易所创业板股票上市规则》和其他有关法律、法规和规范性文件的要求，不断完善公司法人 治理结构，健全公司内部管理和控制制度，提升公司治理水平，规范公司运作，保证公司高 效运转。</w:t>
      </w:r>
    </w:p>
    <w:p>
      <w:pPr>
        <w:pStyle w:val="Style18"/>
        <w:keepNext w:val="0"/>
        <w:keepLines w:val="0"/>
        <w:widowControl w:val="0"/>
        <w:shd w:val="clear" w:color="auto" w:fill="auto"/>
        <w:tabs>
          <w:tab w:pos="1126" w:val="left"/>
        </w:tabs>
        <w:bidi w:val="0"/>
        <w:spacing w:before="0" w:after="0" w:line="444" w:lineRule="exact"/>
        <w:ind w:left="0" w:right="0" w:firstLine="480"/>
        <w:jc w:val="both"/>
      </w:pPr>
      <w:bookmarkStart w:id="263" w:name="bookmark263"/>
      <w:r>
        <w:rPr>
          <w:color w:val="000000"/>
          <w:spacing w:val="0"/>
          <w:w w:val="100"/>
          <w:position w:val="0"/>
        </w:rPr>
        <w:t>（</w:t>
      </w:r>
      <w:bookmarkEnd w:id="263"/>
      <w:r>
        <w:rPr>
          <w:color w:val="000000"/>
          <w:spacing w:val="0"/>
          <w:w w:val="100"/>
          <w:position w:val="0"/>
        </w:rPr>
        <w:t>一）</w:t>
        <w:tab/>
        <w:t>关于股东与股东大会</w:t>
      </w:r>
    </w:p>
    <w:p>
      <w:pPr>
        <w:pStyle w:val="Style18"/>
        <w:keepNext w:val="0"/>
        <w:keepLines w:val="0"/>
        <w:widowControl w:val="0"/>
        <w:shd w:val="clear" w:color="auto" w:fill="auto"/>
        <w:bidi w:val="0"/>
        <w:spacing w:before="0" w:after="0" w:line="438" w:lineRule="exact"/>
        <w:ind w:left="0" w:right="0" w:firstLine="480"/>
        <w:jc w:val="both"/>
      </w:pPr>
      <w:r>
        <w:rPr>
          <w:color w:val="000000"/>
          <w:spacing w:val="0"/>
          <w:w w:val="100"/>
          <w:position w:val="0"/>
        </w:rPr>
        <w:t>公司严格按照《公司章程》、《上市公司股东大会规则》、《股东大会议事规则》以及深圳 证券交易所相关规定和要求，规范股东大会的召集、召开、表决程序，平等对待所有股东， 股东大会采用现场投票与网络投票结合的方式，确保全体股东尤其是中小股东享有平等地位， 充分行使自己的权利。</w:t>
      </w:r>
    </w:p>
    <w:p>
      <w:pPr>
        <w:pStyle w:val="Style18"/>
        <w:keepNext w:val="0"/>
        <w:keepLines w:val="0"/>
        <w:widowControl w:val="0"/>
        <w:shd w:val="clear" w:color="auto" w:fill="auto"/>
        <w:bidi w:val="0"/>
        <w:spacing w:before="0" w:after="0" w:line="451" w:lineRule="exact"/>
        <w:ind w:left="0" w:right="0" w:firstLine="480"/>
        <w:jc w:val="both"/>
      </w:pPr>
      <w:r>
        <w:rPr>
          <w:color w:val="000000"/>
          <w:spacing w:val="0"/>
          <w:w w:val="100"/>
          <w:position w:val="0"/>
        </w:rPr>
        <w:t>报告期内，公司召开</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次股东大会，由董事会召集、召开，董事长主持，公司聘请的见 证律师进行现场见证并出具法律意见书，确保了股东大会的规范运作。</w:t>
      </w:r>
    </w:p>
    <w:p>
      <w:pPr>
        <w:pStyle w:val="Style18"/>
        <w:keepNext w:val="0"/>
        <w:keepLines w:val="0"/>
        <w:widowControl w:val="0"/>
        <w:shd w:val="clear" w:color="auto" w:fill="auto"/>
        <w:tabs>
          <w:tab w:pos="1126" w:val="left"/>
        </w:tabs>
        <w:bidi w:val="0"/>
        <w:spacing w:before="0" w:after="0" w:line="461" w:lineRule="exact"/>
        <w:ind w:left="0" w:right="0" w:firstLine="480"/>
        <w:jc w:val="both"/>
      </w:pPr>
      <w:bookmarkStart w:id="264" w:name="bookmark264"/>
      <w:r>
        <w:rPr>
          <w:color w:val="000000"/>
          <w:spacing w:val="0"/>
          <w:w w:val="100"/>
          <w:position w:val="0"/>
        </w:rPr>
        <w:t>（</w:t>
      </w:r>
      <w:bookmarkEnd w:id="264"/>
      <w:r>
        <w:rPr>
          <w:color w:val="000000"/>
          <w:spacing w:val="0"/>
          <w:w w:val="100"/>
          <w:position w:val="0"/>
        </w:rPr>
        <w:t>二）</w:t>
        <w:tab/>
        <w:t>关于公司与实际控制人</w:t>
      </w:r>
    </w:p>
    <w:p>
      <w:pPr>
        <w:pStyle w:val="Style18"/>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公司具有独立完整的业务和自主经营的能力，在人员、资产、业务、管理机构、财务核 算体系等方面独立于实际控制人及其控制的其他企业。报告期内公司与实际控制人及其控制 的其他企业不存在关联交易。</w:t>
      </w:r>
    </w:p>
    <w:p>
      <w:pPr>
        <w:pStyle w:val="Style18"/>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公司董事会、监事会和内部管理机构依照《公司法》《公司章程》的规定独立运作。公司 的董事、监事均根据《公司法》和《公司章程》的规定选举产生，通过合法程序进行；公司 的高级管理人员均由董事会聘任或解聘。</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报告期内，公司实际控制人依法行使权力，并承担相应义务，严格规范自己的行为，未 发生超越股东大会和董事会的授权权限、直接或间接干预公司决策和经营活动的行为，对公 司治理结构、独立性等均没有产生不利的影响，不存在控股股东占用资金及违规担保等情形。</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（二）关于董事与董事会</w:t>
      </w:r>
    </w:p>
    <w:p>
      <w:pPr>
        <w:pStyle w:val="Style18"/>
        <w:keepNext w:val="0"/>
        <w:keepLines w:val="0"/>
        <w:widowControl w:val="0"/>
        <w:shd w:val="clear" w:color="auto" w:fill="auto"/>
        <w:bidi w:val="0"/>
        <w:spacing w:before="0" w:after="0" w:line="449" w:lineRule="exact"/>
        <w:ind w:left="0" w:right="0" w:firstLine="4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人（财务、法律、电力系统各</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名）。公司董事 会人数和人员构成符合相关法律、法规的要求。</w:t>
      </w:r>
    </w:p>
    <w:p>
      <w:pPr>
        <w:pStyle w:val="Style18"/>
        <w:keepNext w:val="0"/>
        <w:keepLines w:val="0"/>
        <w:widowControl w:val="0"/>
        <w:shd w:val="clear" w:color="auto" w:fill="auto"/>
        <w:bidi w:val="0"/>
        <w:spacing w:before="0" w:after="0" w:line="449" w:lineRule="exact"/>
        <w:ind w:left="0" w:right="0" w:firstLine="480"/>
        <w:jc w:val="both"/>
      </w:pPr>
      <w:r>
        <w:rPr>
          <w:color w:val="000000"/>
          <w:spacing w:val="0"/>
          <w:w w:val="100"/>
          <w:position w:val="0"/>
        </w:rPr>
        <w:t>报告期内，公司召开</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次董事会，公司董事严格按照《公司章程》、《董事会议事规则》 以及《上市公司董事行为指引》等相关制度、规定行使权利、履行义务。</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公司董事会下设战略委员会、审计委员会、提名委员会、薪酬与考核委员会</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个专门委 员会，按照各委员会实施细则规范运作。</w:t>
      </w:r>
    </w:p>
    <w:p>
      <w:pPr>
        <w:pStyle w:val="Style18"/>
        <w:keepNext w:val="0"/>
        <w:keepLines w:val="0"/>
        <w:widowControl w:val="0"/>
        <w:shd w:val="clear" w:color="auto" w:fill="auto"/>
        <w:tabs>
          <w:tab w:pos="1126" w:val="left"/>
        </w:tabs>
        <w:bidi w:val="0"/>
        <w:spacing w:before="0" w:after="0" w:line="442" w:lineRule="exact"/>
        <w:ind w:left="0" w:right="0" w:firstLine="480"/>
        <w:jc w:val="both"/>
      </w:pPr>
      <w:bookmarkStart w:id="265" w:name="bookmark265"/>
      <w:r>
        <w:rPr>
          <w:color w:val="000000"/>
          <w:spacing w:val="0"/>
          <w:w w:val="100"/>
          <w:position w:val="0"/>
        </w:rPr>
        <w:t>（</w:t>
      </w:r>
      <w:bookmarkEnd w:id="265"/>
      <w:r>
        <w:rPr>
          <w:color w:val="000000"/>
          <w:spacing w:val="0"/>
          <w:w w:val="100"/>
          <w:position w:val="0"/>
        </w:rPr>
        <w:t>四）</w:t>
        <w:tab/>
        <w:t>关于监事和监事会</w:t>
      </w:r>
    </w:p>
    <w:p>
      <w:pPr>
        <w:pStyle w:val="Style18"/>
        <w:keepNext w:val="0"/>
        <w:keepLines w:val="0"/>
        <w:widowControl w:val="0"/>
        <w:shd w:val="clear" w:color="auto" w:fill="auto"/>
        <w:bidi w:val="0"/>
        <w:spacing w:before="0" w:after="0" w:line="443" w:lineRule="exact"/>
        <w:ind w:left="0" w:right="0" w:firstLine="4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名为职工代表，监事会的人数及结构符合法律法规 和《公司章程》的要求。报告期内，公司召开</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次监事会，公司各监事在《公司章程》、《监 事会议事规则》等制度和股东大会赋予的职权范围内依法行使监督权，对公司重大事项、财 务状况以及董事、高管人员履行职责情况的合法合规性进行有效监督，切实维护全体股东的 合法权益。</w:t>
      </w:r>
    </w:p>
    <w:p>
      <w:pPr>
        <w:pStyle w:val="Style18"/>
        <w:keepNext w:val="0"/>
        <w:keepLines w:val="0"/>
        <w:widowControl w:val="0"/>
        <w:shd w:val="clear" w:color="auto" w:fill="auto"/>
        <w:tabs>
          <w:tab w:pos="1126" w:val="left"/>
        </w:tabs>
        <w:bidi w:val="0"/>
        <w:spacing w:before="0" w:after="0" w:line="442" w:lineRule="exact"/>
        <w:ind w:left="0" w:right="0" w:firstLine="480"/>
        <w:jc w:val="both"/>
      </w:pPr>
      <w:bookmarkStart w:id="266" w:name="bookmark266"/>
      <w:r>
        <w:rPr>
          <w:color w:val="000000"/>
          <w:spacing w:val="0"/>
          <w:w w:val="100"/>
          <w:position w:val="0"/>
        </w:rPr>
        <w:t>（</w:t>
      </w:r>
      <w:bookmarkEnd w:id="266"/>
      <w:r>
        <w:rPr>
          <w:color w:val="000000"/>
          <w:spacing w:val="0"/>
          <w:w w:val="100"/>
          <w:position w:val="0"/>
        </w:rPr>
        <w:t>五）</w:t>
        <w:tab/>
        <w:t>关于信息披露与透明度</w:t>
      </w:r>
    </w:p>
    <w:p>
      <w:pPr>
        <w:pStyle w:val="Style18"/>
        <w:keepNext w:val="0"/>
        <w:keepLines w:val="0"/>
        <w:widowControl w:val="0"/>
        <w:shd w:val="clear" w:color="auto" w:fill="auto"/>
        <w:bidi w:val="0"/>
        <w:spacing w:before="0" w:after="0" w:line="451" w:lineRule="exact"/>
        <w:ind w:left="0" w:right="0" w:firstLine="480"/>
        <w:jc w:val="both"/>
      </w:pPr>
      <w:r>
        <w:rPr>
          <w:color w:val="000000"/>
          <w:spacing w:val="0"/>
          <w:w w:val="100"/>
          <w:position w:val="0"/>
        </w:rPr>
        <w:t>报告期内，公司严格按照有关法律法规以及《信息披露管理办法》、《公司章程》等相关 制度的规定，真实、准确、及时、公平、完整地披露信息。</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公司认真接待投资者及调研机构的来访和电话咨询，及时答复投资者互动交流平台的提 问，对待来访接待工作秉持公平、公正、公开的原则，保障所有投资者平等地享有知情权及 其他合法权益。</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公司指定《证券时报》、《中国证券报》、《上海证券报》、《证券日报》和巨潮资讯网为公 司的信息披露媒体，确保公司所有股东能够以平等的机会获得信息。</w:t>
      </w:r>
    </w:p>
    <w:p>
      <w:pPr>
        <w:pStyle w:val="Style18"/>
        <w:keepNext w:val="0"/>
        <w:keepLines w:val="0"/>
        <w:widowControl w:val="0"/>
        <w:shd w:val="clear" w:color="auto" w:fill="auto"/>
        <w:bidi w:val="0"/>
        <w:spacing w:before="0" w:after="0" w:line="44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日，公司举行网上业绩说明会，公司董事长、总裁、独立董事、财务总 监、董事会秘书出席了相关活动，就公司发展战略、经营状况等投资者所关心的问题与投资 者进行在线交流。</w:t>
      </w:r>
    </w:p>
    <w:p>
      <w:pPr>
        <w:pStyle w:val="Style18"/>
        <w:keepNext w:val="0"/>
        <w:keepLines w:val="0"/>
        <w:widowControl w:val="0"/>
        <w:shd w:val="clear" w:color="auto" w:fill="auto"/>
        <w:tabs>
          <w:tab w:pos="1126" w:val="left"/>
        </w:tabs>
        <w:bidi w:val="0"/>
        <w:spacing w:before="0" w:after="0" w:line="442" w:lineRule="exact"/>
        <w:ind w:left="0" w:right="0" w:firstLine="480"/>
        <w:jc w:val="both"/>
      </w:pPr>
      <w:bookmarkStart w:id="267" w:name="bookmark267"/>
      <w:r>
        <w:rPr>
          <w:color w:val="000000"/>
          <w:spacing w:val="0"/>
          <w:w w:val="100"/>
          <w:position w:val="0"/>
        </w:rPr>
        <w:t>（</w:t>
      </w:r>
      <w:bookmarkEnd w:id="267"/>
      <w:r>
        <w:rPr>
          <w:color w:val="000000"/>
          <w:spacing w:val="0"/>
          <w:w w:val="100"/>
          <w:position w:val="0"/>
        </w:rPr>
        <w:t>六）</w:t>
        <w:tab/>
        <w:t>关于公司和相关利益者</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公司充分尊重并维护利益相关者的合法权益，加强与各方的沟通和交流，实现与客户、 员工、股东、社会等各方利益的协调平衡，维护各方权益，积极履行企业社会责任，为公司 健康、稳定发展提供了有力保障。</w:t>
      </w:r>
    </w:p>
    <w:p>
      <w:pPr>
        <w:pStyle w:val="Style18"/>
        <w:keepNext w:val="0"/>
        <w:keepLines w:val="0"/>
        <w:widowControl w:val="0"/>
        <w:shd w:val="clear" w:color="auto" w:fill="auto"/>
        <w:bidi w:val="0"/>
        <w:spacing w:before="0" w:after="200" w:line="442" w:lineRule="exact"/>
        <w:ind w:left="0" w:right="0" w:firstLine="480"/>
        <w:jc w:val="both"/>
      </w:pPr>
      <w:r>
        <w:rPr>
          <w:color w:val="000000"/>
          <w:spacing w:val="0"/>
          <w:w w:val="100"/>
          <w:position w:val="0"/>
        </w:rPr>
        <w:t>公司治理的实际状况与法律、行政法规和中国证监会发布的关于上市公司治理的规定是 否存在重大差异</w:t>
      </w:r>
    </w:p>
    <w:p>
      <w:pPr>
        <w:pStyle w:val="Style18"/>
        <w:keepNext w:val="0"/>
        <w:keepLines w:val="0"/>
        <w:widowControl w:val="0"/>
        <w:shd w:val="clear" w:color="auto" w:fill="auto"/>
        <w:bidi w:val="0"/>
        <w:spacing w:before="0" w:after="0" w:line="384"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公司治理的实际状况与法律、行政法规和中国证监会发布的关于上市公司治理的规定不 存在重大差异。</w:t>
      </w:r>
    </w:p>
    <w:p>
      <w:pPr>
        <w:pStyle w:val="Style29"/>
        <w:keepNext/>
        <w:keepLines/>
        <w:widowControl w:val="0"/>
        <w:shd w:val="clear" w:color="auto" w:fill="auto"/>
        <w:tabs>
          <w:tab w:pos="522" w:val="left"/>
        </w:tabs>
        <w:bidi w:val="0"/>
        <w:spacing w:before="0" w:after="280" w:line="331" w:lineRule="exact"/>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w:t>
        <w:tab/>
        <w:t>公司相对于控股股东、实际控制人在保证公司资产、人员、财务、机构、业务等方面的 独立情况</w:t>
      </w:r>
      <w:bookmarkEnd w:id="268"/>
      <w:bookmarkEnd w:id="269"/>
      <w:bookmarkEnd w:id="271"/>
    </w:p>
    <w:p>
      <w:pPr>
        <w:pStyle w:val="Style18"/>
        <w:keepNext w:val="0"/>
        <w:keepLines w:val="0"/>
        <w:widowControl w:val="0"/>
        <w:shd w:val="clear" w:color="auto" w:fill="auto"/>
        <w:bidi w:val="0"/>
        <w:spacing w:before="0" w:after="180" w:line="438" w:lineRule="exact"/>
        <w:ind w:left="0" w:right="0" w:firstLine="600"/>
        <w:jc w:val="both"/>
      </w:pPr>
      <w:r>
        <w:rPr>
          <w:color w:val="000000"/>
          <w:spacing w:val="0"/>
          <w:w w:val="100"/>
          <w:position w:val="0"/>
        </w:rPr>
        <w:t>公司实际控制人是自然人王永业、尹健、卢春明、邓志刚、张小波、尹力光、刘屹、陈 志兵等</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位一致行动人，公司严格按照《公司法》、《证券法》等有关法律、法规和《公司章 程》的要求规范运作，与实际控制人在公司资产、人员、财务、机构、业务等方面完全独立， 具有独立完整的自主经营能力。</w:t>
      </w:r>
    </w:p>
    <w:p>
      <w:pPr>
        <w:pStyle w:val="Style29"/>
        <w:keepNext/>
        <w:keepLines/>
        <w:widowControl w:val="0"/>
        <w:shd w:val="clear" w:color="auto" w:fill="auto"/>
        <w:tabs>
          <w:tab w:pos="522" w:val="left"/>
        </w:tabs>
        <w:bidi w:val="0"/>
        <w:spacing w:before="0" w:after="440" w:line="438" w:lineRule="exact"/>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三</w:t>
      </w:r>
      <w:bookmarkEnd w:id="274"/>
      <w:r>
        <w:rPr>
          <w:color w:val="000000"/>
          <w:spacing w:val="0"/>
          <w:w w:val="100"/>
          <w:position w:val="0"/>
        </w:rPr>
        <w:t>、</w:t>
        <w:tab/>
        <w:t>同业竞争情况</w:t>
      </w:r>
      <w:bookmarkEnd w:id="272"/>
      <w:bookmarkEnd w:id="273"/>
      <w:bookmarkEnd w:id="275"/>
    </w:p>
    <w:p>
      <w:pPr>
        <w:pStyle w:val="Style18"/>
        <w:keepNext w:val="0"/>
        <w:keepLines w:val="0"/>
        <w:widowControl w:val="0"/>
        <w:shd w:val="clear" w:color="auto" w:fill="auto"/>
        <w:bidi w:val="0"/>
        <w:spacing w:before="0" w:after="340" w:line="240" w:lineRule="auto"/>
        <w:ind w:left="0" w:right="0" w:firstLine="6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rPr>
        <w:t>四</w:t>
      </w:r>
      <w:bookmarkEnd w:id="278"/>
      <w:r>
        <w:rPr>
          <w:color w:val="000000"/>
          <w:spacing w:val="0"/>
          <w:w w:val="100"/>
          <w:position w:val="0"/>
        </w:rPr>
        <w:t>、报告期内召开的年度股东大会和临时股东大会的有关情况</w:t>
      </w:r>
      <w:bookmarkEnd w:id="276"/>
      <w:bookmarkEnd w:id="277"/>
      <w:bookmarkEnd w:id="279"/>
    </w:p>
    <w:p>
      <w:pPr>
        <w:pStyle w:val="Style32"/>
        <w:keepNext/>
        <w:keepLines/>
        <w:widowControl w:val="0"/>
        <w:shd w:val="clear" w:color="auto" w:fill="auto"/>
        <w:bidi w:val="0"/>
        <w:spacing w:before="0" w:after="280" w:line="240" w:lineRule="auto"/>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sz w:val="24"/>
          <w:szCs w:val="24"/>
        </w:rPr>
        <w:t>1</w:t>
      </w:r>
      <w:bookmarkEnd w:id="282"/>
      <w:r>
        <w:rPr>
          <w:color w:val="000000"/>
          <w:spacing w:val="0"/>
          <w:w w:val="100"/>
          <w:position w:val="0"/>
        </w:rPr>
        <w:t>、本报告期股东大会情况</w:t>
      </w:r>
      <w:bookmarkEnd w:id="280"/>
      <w:bookmarkEnd w:id="281"/>
      <w:bookmarkEnd w:id="283"/>
    </w:p>
    <w:tbl>
      <w:tblPr>
        <w:tblOverlap w:val="never"/>
        <w:jc w:val="center"/>
        <w:tblLayout w:type="fixed"/>
      </w:tblPr>
      <w:tblGrid>
        <w:gridCol w:w="1133"/>
        <w:gridCol w:w="931"/>
        <w:gridCol w:w="1253"/>
        <w:gridCol w:w="1627"/>
        <w:gridCol w:w="1133"/>
        <w:gridCol w:w="3802"/>
      </w:tblGrid>
      <w:tr>
        <w:trPr>
          <w:trHeight w:val="65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会议类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度股东大</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年度股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年年度股东大会决议公告》(公</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101" w:right="0" w:firstLine="0"/>
        <w:jc w:val="left"/>
        <w:rPr>
          <w:sz w:val="22"/>
          <w:szCs w:val="22"/>
        </w:rPr>
      </w:pPr>
      <w:bookmarkStart w:id="284" w:name="bookmark28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、表决权恢复的优先股股东请求召开临时股东大会</w:t>
      </w:r>
      <w:bookmarkEnd w:id="284"/>
    </w:p>
    <w:p>
      <w:pPr>
        <w:widowControl w:val="0"/>
        <w:spacing w:after="439" w:line="1" w:lineRule="exact"/>
      </w:pPr>
    </w:p>
    <w:p>
      <w:pPr>
        <w:pStyle w:val="Style18"/>
        <w:keepNext w:val="0"/>
        <w:keepLines w:val="0"/>
        <w:widowControl w:val="0"/>
        <w:shd w:val="clear" w:color="auto" w:fill="auto"/>
        <w:bidi w:val="0"/>
        <w:spacing w:before="0" w:after="340" w:line="240" w:lineRule="auto"/>
        <w:ind w:left="0" w:right="0" w:firstLine="6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40" w:line="240" w:lineRule="auto"/>
        <w:ind w:left="0" w:right="0" w:firstLine="0"/>
        <w:jc w:val="both"/>
      </w:pPr>
      <w:bookmarkStart w:id="285" w:name="bookmark285"/>
      <w:bookmarkStart w:id="286" w:name="bookmark286"/>
      <w:bookmarkStart w:id="287" w:name="bookmark287"/>
      <w:bookmarkStart w:id="288" w:name="bookmark288"/>
      <w:r>
        <w:rPr>
          <w:color w:val="000000"/>
          <w:spacing w:val="0"/>
          <w:w w:val="100"/>
          <w:position w:val="0"/>
        </w:rPr>
        <w:t>五</w:t>
      </w:r>
      <w:bookmarkEnd w:id="287"/>
      <w:r>
        <w:rPr>
          <w:color w:val="000000"/>
          <w:spacing w:val="0"/>
          <w:w w:val="100"/>
          <w:position w:val="0"/>
        </w:rPr>
        <w:t>、</w:t>
        <w:tab/>
        <w:t>公司具有表决权差异安排</w:t>
      </w:r>
      <w:bookmarkEnd w:id="285"/>
      <w:bookmarkEnd w:id="286"/>
      <w:bookmarkEnd w:id="288"/>
    </w:p>
    <w:p>
      <w:pPr>
        <w:pStyle w:val="Style18"/>
        <w:keepNext w:val="0"/>
        <w:keepLines w:val="0"/>
        <w:widowControl w:val="0"/>
        <w:shd w:val="clear" w:color="auto" w:fill="auto"/>
        <w:bidi w:val="0"/>
        <w:spacing w:before="0" w:after="340" w:line="240" w:lineRule="auto"/>
        <w:ind w:left="0" w:right="0" w:firstLine="6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4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rPr>
        <w:t>六</w:t>
      </w:r>
      <w:bookmarkEnd w:id="291"/>
      <w:r>
        <w:rPr>
          <w:color w:val="000000"/>
          <w:spacing w:val="0"/>
          <w:w w:val="100"/>
          <w:position w:val="0"/>
        </w:rPr>
        <w:t>、</w:t>
        <w:tab/>
        <w:t>红筹架构公司治理情况</w:t>
      </w:r>
      <w:bookmarkEnd w:id="289"/>
      <w:bookmarkEnd w:id="290"/>
      <w:bookmarkEnd w:id="292"/>
    </w:p>
    <w:p>
      <w:pPr>
        <w:pStyle w:val="Style18"/>
        <w:keepNext w:val="0"/>
        <w:keepLines w:val="0"/>
        <w:widowControl w:val="0"/>
        <w:shd w:val="clear" w:color="auto" w:fill="auto"/>
        <w:bidi w:val="0"/>
        <w:spacing w:before="0" w:after="340" w:line="240" w:lineRule="auto"/>
        <w:ind w:left="0" w:right="0" w:firstLine="600"/>
        <w:jc w:val="both"/>
        <w:sectPr>
          <w:footnotePr>
            <w:pos w:val="pageBottom"/>
            <w:numFmt w:val="decimal"/>
            <w:numRestart w:val="continuous"/>
          </w:footnotePr>
          <w:pgSz w:w="11900" w:h="16840"/>
          <w:pgMar w:top="1388" w:right="1001" w:bottom="1628" w:left="102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七</w:t>
      </w:r>
      <w:bookmarkEnd w:id="295"/>
      <w:r>
        <w:rPr>
          <w:color w:val="000000"/>
          <w:spacing w:val="0"/>
          <w:w w:val="100"/>
          <w:position w:val="0"/>
        </w:rPr>
        <w:t>、董事、监事和高级管理人员情况</w:t>
      </w:r>
      <w:bookmarkEnd w:id="293"/>
      <w:bookmarkEnd w:id="294"/>
      <w:bookmarkEnd w:id="296"/>
    </w:p>
    <w:p>
      <w:pPr>
        <w:pStyle w:val="Style32"/>
        <w:keepNext/>
        <w:keepLines/>
        <w:widowControl w:val="0"/>
        <w:shd w:val="clear" w:color="auto" w:fill="auto"/>
        <w:bidi w:val="0"/>
        <w:spacing w:before="0" w:after="28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sz w:val="24"/>
          <w:szCs w:val="24"/>
        </w:rPr>
        <w:t>1</w:t>
      </w:r>
      <w:bookmarkEnd w:id="299"/>
      <w:r>
        <w:rPr>
          <w:color w:val="000000"/>
          <w:spacing w:val="0"/>
          <w:w w:val="100"/>
          <w:position w:val="0"/>
        </w:rPr>
        <w:t>、基本情况</w:t>
      </w:r>
      <w:bookmarkEnd w:id="297"/>
      <w:bookmarkEnd w:id="298"/>
      <w:bookmarkEnd w:id="300"/>
    </w:p>
    <w:tbl>
      <w:tblPr>
        <w:tblOverlap w:val="never"/>
        <w:jc w:val="center"/>
        <w:tblLayout w:type="fixed"/>
      </w:tblPr>
      <w:tblGrid>
        <w:gridCol w:w="1094"/>
        <w:gridCol w:w="1080"/>
        <w:gridCol w:w="710"/>
        <w:gridCol w:w="566"/>
        <w:gridCol w:w="566"/>
        <w:gridCol w:w="1987"/>
        <w:gridCol w:w="1843"/>
        <w:gridCol w:w="1133"/>
        <w:gridCol w:w="989"/>
        <w:gridCol w:w="994"/>
        <w:gridCol w:w="950"/>
        <w:gridCol w:w="1109"/>
        <w:gridCol w:w="1046"/>
      </w:tblGrid>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本期增持</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股份数量</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本期减持</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股份数量</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其他增减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变动的原 因</w:t>
            </w:r>
          </w:p>
        </w:tc>
      </w:tr>
      <w:tr>
        <w:trPr>
          <w:trHeight w:val="40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23,677,300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23,677,300</w:t>
            </w:r>
          </w:p>
        </w:tc>
        <w:tc>
          <w:tcPr>
            <w:vMerge w:val="restart"/>
            <w:tcBorders>
              <w:top w:val="single" w:sz="4"/>
              <w:left w:val="single" w:sz="4"/>
            </w:tcBorders>
            <w:shd w:val="clear" w:color="auto" w:fill="FFFFFF"/>
            <w:vAlign w:val="top"/>
          </w:tcPr>
          <w:p>
            <w:pPr>
              <w:widowControl w:val="0"/>
              <w:rPr>
                <w:sz w:val="10"/>
                <w:szCs w:val="10"/>
              </w:rPr>
            </w:pP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03"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8,532,900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8,532,900</w:t>
            </w:r>
          </w:p>
        </w:tc>
        <w:tc>
          <w:tcPr>
            <w:vMerge w:val="restart"/>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11,015,000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23,350,350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23,350,350</w:t>
            </w:r>
          </w:p>
        </w:tc>
        <w:tc>
          <w:tcPr>
            <w:vMerge w:val="restart"/>
            <w:tcBorders>
              <w:top w:val="single" w:sz="4"/>
              <w:left w:val="single" w:sz="4"/>
            </w:tcBorders>
            <w:shd w:val="clear" w:color="auto" w:fill="FFFFFF"/>
            <w:vAlign w:val="top"/>
          </w:tcPr>
          <w:p>
            <w:pPr>
              <w:widowControl w:val="0"/>
              <w:rPr>
                <w:sz w:val="10"/>
                <w:szCs w:val="10"/>
              </w:rPr>
            </w:pP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283,047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094"/>
        <w:gridCol w:w="1080"/>
        <w:gridCol w:w="710"/>
        <w:gridCol w:w="566"/>
        <w:gridCol w:w="566"/>
        <w:gridCol w:w="1987"/>
        <w:gridCol w:w="1843"/>
        <w:gridCol w:w="1133"/>
        <w:gridCol w:w="989"/>
        <w:gridCol w:w="994"/>
        <w:gridCol w:w="950"/>
        <w:gridCol w:w="1109"/>
        <w:gridCol w:w="1018"/>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100,986,597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100,986,597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80" w:line="240" w:lineRule="auto"/>
        <w:ind w:left="0" w:right="0" w:firstLine="5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日，公司收到副总裁兼董事会秘书董志刚先生的书面辞职报告。董志刚先生因个人原因，辞去公司副总裁兼董事</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会秘书职务，辞职后不再担任公司任何职务。</w:t>
      </w:r>
    </w:p>
    <w:p>
      <w:pPr>
        <w:pStyle w:val="Style18"/>
        <w:keepNext w:val="0"/>
        <w:keepLines w:val="0"/>
        <w:widowControl w:val="0"/>
        <w:shd w:val="clear" w:color="auto" w:fill="auto"/>
        <w:bidi w:val="0"/>
        <w:spacing w:before="0" w:after="60" w:line="485" w:lineRule="exact"/>
        <w:ind w:left="520" w:right="0" w:firstLine="0"/>
        <w:jc w:val="left"/>
      </w:pPr>
      <w:r>
        <w:rPr>
          <w:color w:val="000000"/>
          <w:spacing w:val="0"/>
          <w:w w:val="100"/>
          <w:position w:val="0"/>
        </w:rPr>
        <w:t xml:space="preserve">公司董事、监事、高级管理人员变动情况 </w:t>
      </w: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968"/>
        <w:gridCol w:w="1949"/>
        <w:gridCol w:w="1949"/>
        <w:gridCol w:w="1949"/>
        <w:gridCol w:w="622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因个人原因，辞去公司副总裁兼董事会秘书职务</w:t>
            </w:r>
          </w:p>
        </w:tc>
      </w:tr>
    </w:tbl>
    <w:p>
      <w:pPr>
        <w:sectPr>
          <w:footnotePr>
            <w:pos w:val="pageBottom"/>
            <w:numFmt w:val="decimal"/>
            <w:numRestart w:val="continuous"/>
          </w:footnotePr>
          <w:pgSz w:w="16840" w:h="11900" w:orient="landscape"/>
          <w:pgMar w:top="1124" w:right="1386" w:bottom="1426" w:left="1386"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both"/>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sz w:val="24"/>
          <w:szCs w:val="24"/>
        </w:rPr>
        <w:t>2</w:t>
      </w:r>
      <w:bookmarkEnd w:id="303"/>
      <w:r>
        <w:rPr>
          <w:color w:val="000000"/>
          <w:spacing w:val="0"/>
          <w:w w:val="100"/>
          <w:position w:val="0"/>
        </w:rPr>
        <w:t>、任职情况</w:t>
      </w:r>
      <w:bookmarkEnd w:id="301"/>
      <w:bookmarkEnd w:id="302"/>
      <w:bookmarkEnd w:id="304"/>
    </w:p>
    <w:p>
      <w:pPr>
        <w:pStyle w:val="Style18"/>
        <w:keepNext w:val="0"/>
        <w:keepLines w:val="0"/>
        <w:widowControl w:val="0"/>
        <w:shd w:val="clear" w:color="auto" w:fill="auto"/>
        <w:bidi w:val="0"/>
        <w:spacing w:before="0" w:after="0" w:line="446" w:lineRule="exact"/>
        <w:ind w:left="0" w:right="0" w:firstLine="500"/>
        <w:jc w:val="both"/>
      </w:pPr>
      <w:r>
        <w:rPr>
          <w:color w:val="000000"/>
          <w:spacing w:val="0"/>
          <w:w w:val="100"/>
          <w:position w:val="0"/>
        </w:rPr>
        <w:t>公司现任董事、监事、高级管理人员专业背景、主要工作经历以及目前在公司的主要职 责</w:t>
      </w:r>
    </w:p>
    <w:p>
      <w:pPr>
        <w:pStyle w:val="Style18"/>
        <w:keepNext w:val="0"/>
        <w:keepLines w:val="0"/>
        <w:widowControl w:val="0"/>
        <w:shd w:val="clear" w:color="auto" w:fill="auto"/>
        <w:bidi w:val="0"/>
        <w:spacing w:before="0" w:after="0" w:line="441" w:lineRule="exact"/>
        <w:ind w:left="0" w:right="0" w:firstLine="500"/>
        <w:jc w:val="both"/>
      </w:pPr>
      <w:r>
        <w:rPr>
          <w:color w:val="000000"/>
          <w:spacing w:val="0"/>
          <w:w w:val="100"/>
          <w:position w:val="0"/>
        </w:rPr>
        <w:t>王永业先生，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年生，中国国籍，无永久境外居留权，工学博士，高级工程师。</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rPr>
        <w:t>年湖北省首批博士生政府津贴获得者，湖北省招标评标专家库成员，国家标准《微机型发电 机变压器故障录波装置技术要求》的起草人之一。曾获湖北省科技进步二等奖，发明专利“一 种故障录波数据双通道同步记录和存储的方法及其装置”的主要发明人之一。</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i/>
          <w:iCs/>
          <w:color w:val="000000"/>
          <w:spacing w:val="0"/>
          <w:w w:val="100"/>
          <w:position w:val="0"/>
        </w:rPr>
        <w:t>4</w:t>
      </w:r>
      <w:r>
        <w:rPr>
          <w:color w:val="000000"/>
          <w:spacing w:val="0"/>
          <w:w w:val="100"/>
          <w:position w:val="0"/>
        </w:rPr>
        <w:t>月任总工程师，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月任总经理，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月起任董事，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月任副董事长，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月起任董事长。王永业先生最近五年在 其他单位任职或兼职情况：控股子公司成都智达电力自动控制有限公司董事、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月任全资子公司武汉中元华电电力设备有限公司总经理、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 子公司江苏世轩科技股份有限公司董事、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月起任控股子公司广州穗华能源科技有限 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月任重庆市江津区汉信小额贷款有限公司监事、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月起任全资子公司武汉中元华电电力设备有限公司董事、</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月任控 股子公司武汉中元惠合科技有限公司董事长。</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尹健先生，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年生，中国国籍，无永久境外居留权，工学学士，工程师。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月任区域销售总监，</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月任董事，</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rPr>
        <w:t>月任副总经理，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月起任副总裁，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月起任副董事长。尹健先生最近五年在 其他单位任职或兼职情况：兼任公司全资子公司武汉中元华电电力设备有限公司董事、</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月起任控股子公司广州穗华能源科技有限公司董事长、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月起任公司全资子公 司武汉中元华电电力设备有限公司董事长、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月起任来凤金源石化商贸有限公司监事、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月起任全资子公司武汉中元华电电力设备有限公司总经理。</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卢春明先生，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年生，中国国籍，无永久境外居留权，本科学历，高级经济师。曾被 中共武汉市委东湖新技术开发区工作委员会授予优秀共产党员称号。</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月，任公司监事会主席，</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年至今任公司区域销售总监，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 公司副董事长，</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月起兼任公司营销中心经理，</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月任公司监 事会主席，</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月任公司副总裁，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月起任公司董事、总裁。 卢春明先生最近五年在其他单位任职或兼职情况：</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月起任武汉中元惠合科技有限公 司监事、</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月起任安徽大千生物工程有限公司董事。</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邓志刚先生，</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rPr>
        <w:t>年生，中国国籍，无永久境外居留权，工学硕士，高级工程师。</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年公司成立起任公司董事，</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年公司成立至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月任公司董事长，</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年公司成立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月任公司总裁。邓志刚先生最近五 年在其他单位任职或兼职情况：</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月起任全资子公司中元汇（武汉）产业投资有限公 司执行董事、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月起任中创前海资本有限公司监事。</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张小波先生，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年生，中国国籍，无永久境外居留权，工学博士，高级经济师，主要 从事电力故障录波装置及时间同步系统的研究。发明专利“一种故障录波数据双通道同步记 录和存储的方法及其装置”的主要发明人之一，</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年获湖北省科技进步二等奖。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月任公司副总工程师、技术中心经理兼时间同步事业部技术总监，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月起任公司技术中心经理、总工程师，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月起任公司董事、副总裁。张小波先生在其他单位 任职或兼职情况:全资子公司武汉中元华电软件有限公司董事长兼总经理、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月任广州埃克森生物科技有限公司董事、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月任重庆市江津区汉 信小额贷款有限公司董事、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月起任全资子公司中元健康科技有限公司执行董事、</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月起任全资子公司江苏世轩科技股份有限公司董事。</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陈默先生，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rPr>
        <w:t>年生，中国国籍，无永久境外居留权，工学硕士，工程师。</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月任全资子公司中元汇（武汉）产业投资有限公司公司高级投资经理，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月起任公司总裁工作部主任，</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月起任公司人力资源管理部经理，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 公司董事。陈默先生最近五年在其他单位任职或兼职情况：</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月起任公司全资子公司 武汉中元华电电力设备有限公司监事、</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月起任安徽大千生物工程有限公司董事。</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杨洁女士，</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rPr>
        <w:t>年生，中国国籍，无永久境外居留权，工商管理博士，教授。</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年任中国工商银行湖北省分行信贷评估部职员，</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 纺织大学会计学院讲师，</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月任武汉纺织大学财务管理系主任，</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月任武汉纺织大学会计学院副教授，</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月任武 汉纺织大学会计学院教授，</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月任武汉纺织大学会计学院副院长，</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月至今任中国地质大学（武汉）经济管理学院会计系教授，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月至今任中国地 质大学（武汉）经济管理学院会计系系主任，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月起任公司独立董事。武汉市高级 会计人才专业评审委员会委员，主持完成国家自然科学基金项目、教育部人文社科项目等科 研项目</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项，出版著作</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部（独撰</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部），在国内外期刊公开发表论文多篇。杨洁女士最近五 年在其他单位任职或兼职情况：</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月起任武汉合建卡特工业股份有限公司独立董事。</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马东方先生，</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rPr>
        <w:t>年生，中国国籍，本科学历，无永久境外居留权。</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月任常州市第四律师事务所律师，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月任常州市第五律师事务 </w:t>
      </w:r>
      <w:r>
        <w:rPr>
          <w:color w:val="000000"/>
          <w:spacing w:val="0"/>
          <w:w w:val="100"/>
          <w:position w:val="0"/>
        </w:rPr>
        <w:t>所律师，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月任常州国联律师事务所律师、副主任，</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月至今 任江苏金牌律师事务所律师、副主任（合伙人），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月起任公司独立董事。马东方先 生最近五年在其他单位任职或兼职情况：</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月至今任江苏精研科技股份有限公司独立 董事，</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月至今任常州市创联电源科技股份有限公司独立董事。</w:t>
      </w:r>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龚庆武先生，</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年生，中国国籍，无永久境外居留权，电力系统及其自动化专业博士， 教授，博士生导师。</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月任湖南省电力试验研究所助理工程师，</w:t>
      </w:r>
      <w:r>
        <w:rPr>
          <w:rFonts w:ascii="Times New Roman" w:eastAsia="Times New Roman" w:hAnsi="Times New Roman" w:cs="Times New Roman"/>
          <w:color w:val="000000"/>
          <w:spacing w:val="0"/>
          <w:w w:val="100"/>
          <w:position w:val="0"/>
          <w:sz w:val="24"/>
          <w:szCs w:val="24"/>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月历任武汉水利电力大学助教、讲师、副教授，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rPr>
        <w:t>月任武汉大学电气工程学院副教授，</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月任武汉大学电气工程学院教 授，</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月至今任武汉大学电气与自动化学院教授，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月起任公司独立董事。 </w:t>
      </w:r>
      <w:r>
        <w:rPr>
          <w:rFonts w:ascii="Times New Roman" w:eastAsia="Times New Roman" w:hAnsi="Times New Roman" w:cs="Times New Roman"/>
          <w:color w:val="000000"/>
          <w:spacing w:val="0"/>
          <w:w w:val="100"/>
          <w:position w:val="0"/>
          <w:sz w:val="24"/>
          <w:szCs w:val="24"/>
        </w:rPr>
        <w:t xml:space="preserve">IEEE PES </w:t>
      </w:r>
      <w:r>
        <w:rPr>
          <w:color w:val="000000"/>
          <w:spacing w:val="0"/>
          <w:w w:val="100"/>
          <w:position w:val="0"/>
        </w:rPr>
        <w:t>（中国）电力系统保护控制技术委员会故障分析与动模实验分委员会委员，湖北省 电机工程学会理事，</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rPr>
        <w:t>会员，</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rPr>
        <w:t>电力工程学会会员。主要研究方向：电力系统运行与 控制、电力系统继电保护、电力大数据应用、新能源调度与运行。承担和主持了国家重点研 发计划项目、国家科技支撑项目、等几十项科研课题，在电力系统运行与控制、电力系统继 电保护、电力大数据应用、新能源调度与运行等领域取得了一系列成果，研制的多项成果已 在电力系统中投入运行，并有多项成果通过了中国电机工程学会、湖北省科技厅、湖北省教 育厅等单位的鉴定，其中有些成果达到了国际领先水平，曾获得省部级奖</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项，授权发明专 利</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项，在国内外期刊发表论文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余篇。龚庆武先生最近五年未在其他单位任职或兼职。</w:t>
      </w:r>
    </w:p>
    <w:p>
      <w:pPr>
        <w:pStyle w:val="Style18"/>
        <w:keepNext w:val="0"/>
        <w:keepLines w:val="0"/>
        <w:widowControl w:val="0"/>
        <w:shd w:val="clear" w:color="auto" w:fill="auto"/>
        <w:bidi w:val="0"/>
        <w:spacing w:before="0" w:line="441" w:lineRule="exact"/>
        <w:ind w:left="0" w:right="0" w:firstLine="500"/>
        <w:jc w:val="both"/>
      </w:pPr>
      <w:r>
        <w:rPr>
          <w:color w:val="000000"/>
          <w:spacing w:val="0"/>
          <w:w w:val="100"/>
          <w:position w:val="0"/>
        </w:rPr>
        <w:t>陈志兵先生，</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年生，中国国籍，无永久境外居留权，工学硕士，高级工程师。曾获 航天部科学进步三等奖、湖北省科学进步二等奖。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月任公司副总经 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月兼任董事会秘书，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月至今任公司监事会主席。陈志兵先生最近五年在其他单位任职或兼职情况：</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月起任安徽大千生物工程有限公司董事、</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月任广州埃克森生物 科技有限公司董事、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月起任全资子公司江苏世轩科技股份有限公司董事。</w:t>
      </w:r>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尹力光先生，</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年生，中国国籍，无永久境外居留权，工学学士。曾获湖北省科技进 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年公司设立至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日任公司董事，副董事长，销售经理。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月起任公司监事。尹力光先生最近五年在其他单位任职或兼职情况：控股子公司成都智达 电力自动控制有限公司董事长、</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月任武汉中元惠合科技有限公司董事、</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 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月任武汉中元惠合科技有限公司董事长。</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姚弄潮先生，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年生，中国国籍，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年毕业于湖北省计划管理干部学院计算机及应 用专业。参与公司</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ZH-1</w:t>
      </w:r>
      <w:r>
        <w:rPr>
          <w:color w:val="000000"/>
          <w:spacing w:val="0"/>
          <w:w w:val="100"/>
          <w:position w:val="0"/>
        </w:rPr>
        <w:t>电力故障录波分析装置”及</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ZH-2</w:t>
      </w:r>
      <w:r>
        <w:rPr>
          <w:color w:val="000000"/>
          <w:spacing w:val="0"/>
          <w:w w:val="100"/>
          <w:position w:val="0"/>
        </w:rPr>
        <w:t>电力故障录波分析装置”的研 制，该项目获湖北省重大科学技术成果奖。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日，任公司</w:t>
        <w:br w:type="page"/>
      </w:r>
      <w:r>
        <w:rPr>
          <w:color w:val="000000"/>
          <w:spacing w:val="0"/>
          <w:w w:val="100"/>
          <w:position w:val="0"/>
        </w:rPr>
        <w:t>生产部主管；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日至今任制造中心副总经理；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月起任公司职工代表监事；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月兼任储运部经理。姚弄潮先生最近五年未在其他单位任职或兼职。</w:t>
      </w:r>
    </w:p>
    <w:p>
      <w:pPr>
        <w:pStyle w:val="Style18"/>
        <w:keepNext w:val="0"/>
        <w:keepLines w:val="0"/>
        <w:widowControl w:val="0"/>
        <w:shd w:val="clear" w:color="auto" w:fill="auto"/>
        <w:bidi w:val="0"/>
        <w:spacing w:before="0" w:after="0" w:line="443" w:lineRule="exact"/>
        <w:ind w:left="0" w:right="0" w:firstLine="520"/>
        <w:jc w:val="both"/>
      </w:pPr>
      <w:r>
        <w:rPr>
          <w:color w:val="000000"/>
          <w:spacing w:val="0"/>
          <w:w w:val="100"/>
          <w:position w:val="0"/>
        </w:rPr>
        <w:t>熊金梅女士，</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rPr>
        <w:t>年生，中国国籍，工学学士，工程师，高级经济师。参与公司</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ZH-1 </w:t>
      </w:r>
      <w:r>
        <w:rPr>
          <w:color w:val="000000"/>
          <w:spacing w:val="0"/>
          <w:w w:val="100"/>
          <w:position w:val="0"/>
        </w:rPr>
        <w:t>电力故障录波分析装置”，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ZH-2</w:t>
      </w:r>
      <w:r>
        <w:rPr>
          <w:color w:val="000000"/>
          <w:spacing w:val="0"/>
          <w:w w:val="100"/>
          <w:position w:val="0"/>
        </w:rPr>
        <w:t>电力故障录波分析装置”，</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ZH-3</w:t>
      </w:r>
      <w:r>
        <w:rPr>
          <w:color w:val="000000"/>
          <w:spacing w:val="0"/>
          <w:w w:val="100"/>
          <w:position w:val="0"/>
        </w:rPr>
        <w:t>电力故障录波分析装置” 等产品的研制，曾获湖北省科技进步二等奖，湖北省重大科学技术成果奖。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月任公司质量控制部经理，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月任公司总经理办公室主任， </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月起任公司制造中心总经理，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月起任公司生产总监，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月起任公 司副总裁。熊金梅最近五年未在其他单位任职或兼职。</w:t>
      </w:r>
    </w:p>
    <w:p>
      <w:pPr>
        <w:pStyle w:val="Style18"/>
        <w:keepNext w:val="0"/>
        <w:keepLines w:val="0"/>
        <w:widowControl w:val="0"/>
        <w:shd w:val="clear" w:color="auto" w:fill="auto"/>
        <w:bidi w:val="0"/>
        <w:spacing w:before="0" w:after="0" w:line="441" w:lineRule="exact"/>
        <w:ind w:left="0" w:right="0" w:firstLine="520"/>
        <w:jc w:val="both"/>
      </w:pPr>
      <w:r>
        <w:rPr>
          <w:color w:val="000000"/>
          <w:spacing w:val="0"/>
          <w:w w:val="100"/>
          <w:position w:val="0"/>
        </w:rPr>
        <w:t>黄伟兵先生，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年生，中国国籍，无永久境外居留权，本科学历，中国注册会计师， 高级会计师，高级经济师。</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月起任公司财务总监，曾任武汉众环会计师事务所项 目负责人，湖北福星科技股份有限公司子公司财务经理，湖北新长江置业有限公司财务经理 等。黄伟兵先生最近五年在其他单位任职或兼职情况：</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月兼任控股 子公司安徽大千生物工程有限公司董事，</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月任全资子公司江苏世轩 科技股份有限公司监事，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月起任全资子公司武汉中元华电电力设备有限公司董事。</w:t>
      </w:r>
    </w:p>
    <w:p>
      <w:pPr>
        <w:pStyle w:val="Style18"/>
        <w:keepNext w:val="0"/>
        <w:keepLines w:val="0"/>
        <w:widowControl w:val="0"/>
        <w:shd w:val="clear" w:color="auto" w:fill="auto"/>
        <w:bidi w:val="0"/>
        <w:spacing w:before="0" w:after="0" w:line="441" w:lineRule="exact"/>
        <w:ind w:left="0" w:right="0" w:firstLine="52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0" w:line="441" w:lineRule="exact"/>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41" w:lineRule="exact"/>
        <w:ind w:left="0" w:right="0" w:firstLine="52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509" w:right="0" w:firstLine="0"/>
        <w:jc w:val="left"/>
        <w:rPr>
          <w:sz w:val="22"/>
          <w:szCs w:val="22"/>
        </w:rPr>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center"/>
        <w:tblLayout w:type="fixed"/>
      </w:tblPr>
      <w:tblGrid>
        <w:gridCol w:w="1282"/>
        <w:gridCol w:w="3278"/>
        <w:gridCol w:w="1090"/>
        <w:gridCol w:w="1229"/>
        <w:gridCol w:w="1363"/>
        <w:gridCol w:w="1406"/>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在其他单</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位担任的</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否领取报酬津 贴</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来凤金源石化商贸有限公司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2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4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46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sz w:val="24"/>
          <w:szCs w:val="24"/>
        </w:rPr>
        <w:t>3</w:t>
      </w:r>
      <w:bookmarkEnd w:id="307"/>
      <w:r>
        <w:rPr>
          <w:color w:val="000000"/>
          <w:spacing w:val="0"/>
          <w:w w:val="100"/>
          <w:position w:val="0"/>
        </w:rPr>
        <w:t>、董事、监事、高级管理人员报酬情况</w:t>
      </w:r>
      <w:bookmarkEnd w:id="305"/>
      <w:bookmarkEnd w:id="306"/>
      <w:bookmarkEnd w:id="308"/>
    </w:p>
    <w:p>
      <w:pPr>
        <w:pStyle w:val="Style18"/>
        <w:keepNext w:val="0"/>
        <w:keepLines w:val="0"/>
        <w:widowControl w:val="0"/>
        <w:shd w:val="clear" w:color="auto" w:fill="auto"/>
        <w:bidi w:val="0"/>
        <w:spacing w:before="0" w:after="0" w:line="240" w:lineRule="auto"/>
        <w:ind w:left="0" w:right="0" w:firstLine="520"/>
        <w:jc w:val="both"/>
      </w:pPr>
      <w:r>
        <mc:AlternateContent>
          <mc:Choice Requires="wps">
            <w:drawing>
              <wp:anchor distT="0" distB="0" distL="0" distR="0" simplePos="0" relativeHeight="125829378" behindDoc="0" locked="0" layoutInCell="1" allowOverlap="1">
                <wp:simplePos x="0" y="0"/>
                <wp:positionH relativeFrom="page">
                  <wp:posOffset>694690</wp:posOffset>
                </wp:positionH>
                <wp:positionV relativeFrom="paragraph">
                  <wp:posOffset>203200</wp:posOffset>
                </wp:positionV>
                <wp:extent cx="2294890" cy="420370"/>
                <wp:wrapSquare wrapText="right"/>
                <wp:docPr id="1" name="Shape 1"/>
                <a:graphic xmlns:a="http://schemas.openxmlformats.org/drawingml/2006/main">
                  <a:graphicData uri="http://schemas.microsoft.com/office/word/2010/wordprocessingShape">
                    <wps:wsp>
                      <wps:cNvSpPr txBox="1"/>
                      <wps:spPr>
                        <a:xfrm>
                          <a:ext cx="2294890" cy="420370"/>
                        </a:xfrm>
                        <a:prstGeom prst="rect"/>
                        <a:noFill/>
                      </wps:spPr>
                      <wps:txbx>
                        <w:txbxContent>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董事、监事、高级管理人员报酬的决策 程序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700000000000003pt;margin-top:16.pt;width:180.70000000000002pt;height:33.100000000000001pt;z-index:-125829375;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董事、监事、高级管理人员报酬的决策 程序</w:t>
                      </w:r>
                    </w:p>
                  </w:txbxContent>
                </v:textbox>
                <w10:wrap type="square" side="right" anchorx="page"/>
              </v:shape>
            </w:pict>
          </mc:Fallback>
        </mc:AlternateContent>
      </w: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100" w:line="316" w:lineRule="exact"/>
        <w:ind w:left="0" w:right="0" w:firstLine="0"/>
        <w:jc w:val="both"/>
        <w:rPr>
          <w:sz w:val="20"/>
          <w:szCs w:val="20"/>
        </w:rPr>
      </w:pPr>
      <w:r>
        <mc:AlternateContent>
          <mc:Choice Requires="wps">
            <w:drawing>
              <wp:anchor distT="0" distB="0" distL="0" distR="0" simplePos="0" relativeHeight="125829380" behindDoc="0" locked="0" layoutInCell="1" allowOverlap="1">
                <wp:simplePos x="0" y="0"/>
                <wp:positionH relativeFrom="page">
                  <wp:posOffset>694690</wp:posOffset>
                </wp:positionH>
                <wp:positionV relativeFrom="paragraph">
                  <wp:posOffset>609600</wp:posOffset>
                </wp:positionV>
                <wp:extent cx="2294890" cy="420370"/>
                <wp:wrapSquare wrapText="right"/>
                <wp:docPr id="3" name="Shape 3"/>
                <a:graphic xmlns:a="http://schemas.openxmlformats.org/drawingml/2006/main">
                  <a:graphicData uri="http://schemas.microsoft.com/office/word/2010/wordprocessingShape">
                    <wps:wsp>
                      <wps:cNvSpPr txBox="1"/>
                      <wps:spPr>
                        <a:xfrm>
                          <a:ext cx="2294890" cy="420370"/>
                        </a:xfrm>
                        <a:prstGeom prst="rect"/>
                        <a:noFill/>
                      </wps:spPr>
                      <wps:txbx>
                        <w:txbxContent>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董事、监事、高级管理人员报酬确定依 据</w:t>
                            </w:r>
                          </w:p>
                        </w:txbxContent>
                      </wps:txbx>
                      <wps:bodyPr lIns="0" tIns="0" rIns="0" bIns="0">
                        <a:noAutoFit/>
                      </wps:bodyPr>
                    </wps:wsp>
                  </a:graphicData>
                </a:graphic>
              </wp:anchor>
            </w:drawing>
          </mc:Choice>
          <mc:Fallback>
            <w:pict>
              <v:shape id="_x0000_s1029" type="#_x0000_t202" style="position:absolute;margin-left:54.700000000000003pt;margin-top:48.pt;width:180.70000000000002pt;height:33.100000000000001pt;z-index:-125829373;mso-wrap-distance-left:0;mso-wrap-distance-right:0;mso-position-horizontal-relative:page" filled="f" stroked="f">
                <v:textbox inset="0,0,0,0">
                  <w:txbxContent>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董事、监事、高级管理人员报酬确定依 据</w:t>
                      </w:r>
                    </w:p>
                  </w:txbxContent>
                </v:textbox>
                <w10:wrap type="square" side="right" anchorx="page"/>
              </v:shape>
            </w:pict>
          </mc:Fallback>
        </mc:AlternateContent>
      </w:r>
      <w:r>
        <w:rPr>
          <w:color w:val="000000"/>
          <w:spacing w:val="0"/>
          <w:w w:val="100"/>
          <w:position w:val="0"/>
          <w:sz w:val="20"/>
          <w:szCs w:val="20"/>
        </w:rPr>
        <w:t xml:space="preserve">董事、监事薪酬由股东大会决定，高级管理人员薪酬经董事会审议 通过后，向股东大会说明。不在公司担任其他职务的董事、监事和 </w:t>
      </w:r>
      <w:r>
        <w:rPr>
          <w:color w:val="000000"/>
          <w:spacing w:val="0"/>
          <w:w w:val="100"/>
          <w:position w:val="0"/>
          <w:sz w:val="20"/>
          <w:szCs w:val="20"/>
          <w:u w:val="single"/>
        </w:rPr>
        <w:t>独立董事按照</w:t>
      </w:r>
      <w:r>
        <w:rPr>
          <w:rFonts w:ascii="Times New Roman" w:eastAsia="Times New Roman" w:hAnsi="Times New Roman" w:cs="Times New Roman"/>
          <w:color w:val="000000"/>
          <w:spacing w:val="0"/>
          <w:w w:val="100"/>
          <w:position w:val="0"/>
          <w:sz w:val="20"/>
          <w:szCs w:val="20"/>
          <w:u w:val="single"/>
        </w:rPr>
        <w:t>2011</w:t>
      </w:r>
      <w:r>
        <w:rPr>
          <w:color w:val="000000"/>
          <w:spacing w:val="0"/>
          <w:w w:val="100"/>
          <w:position w:val="0"/>
          <w:sz w:val="20"/>
          <w:szCs w:val="20"/>
          <w:u w:val="single"/>
        </w:rPr>
        <w:t xml:space="preserve">年第二次临时股东大会决议领取固定金额津贴。 </w:t>
      </w:r>
      <w:r>
        <w:rPr>
          <w:color w:val="000000"/>
          <w:spacing w:val="0"/>
          <w:w w:val="100"/>
          <w:position w:val="0"/>
          <w:sz w:val="20"/>
          <w:szCs w:val="20"/>
        </w:rPr>
        <w:t>根据年度经营情况，按照董事会有关业绩考核规定，经董事会薪酬 与考核委员会审核，报告期公司董事、监事和高级管理人员从公司 获得的报酬见下表。根据公司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年第二次临时股东大会通过的决</w:t>
      </w:r>
      <w:r>
        <w:br w:type="page"/>
      </w:r>
    </w:p>
    <w:tbl>
      <w:tblPr>
        <w:tblOverlap w:val="never"/>
        <w:jc w:val="center"/>
        <w:tblLayout w:type="fixed"/>
      </w:tblPr>
      <w:tblGrid>
        <w:gridCol w:w="9710"/>
      </w:tblGrid>
      <w:tr>
        <w:trPr>
          <w:trHeight w:val="97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3660" w:right="0" w:firstLine="0"/>
              <w:jc w:val="both"/>
            </w:pPr>
            <w:r>
              <w:rPr>
                <w:color w:val="000000"/>
                <w:spacing w:val="0"/>
                <w:w w:val="100"/>
                <w:position w:val="0"/>
              </w:rPr>
              <w:t xml:space="preserve">议，不在公司担任其他职务的董事、独立董事的津贴调整为人民币 </w:t>
            </w:r>
            <w:r>
              <w:rPr>
                <w:rFonts w:ascii="Times New Roman" w:eastAsia="Times New Roman" w:hAnsi="Times New Roman" w:cs="Times New Roman"/>
                <w:color w:val="000000"/>
                <w:spacing w:val="0"/>
                <w:w w:val="100"/>
                <w:position w:val="0"/>
              </w:rPr>
              <w:t>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月起，独立董事、未在公司领取薪 酬的其他董事已按照</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年第二次临时股东大会有关决议执行。</w:t>
            </w:r>
          </w:p>
        </w:tc>
      </w:tr>
      <w:tr>
        <w:trPr>
          <w:trHeight w:val="65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董事、监事和高级管理人员报酬的实际见下表 支付情况</w:t>
            </w:r>
          </w:p>
        </w:tc>
      </w:tr>
    </w:tbl>
    <w:p>
      <w:pPr>
        <w:widowControl w:val="0"/>
        <w:spacing w:after="479" w:line="1" w:lineRule="exact"/>
      </w:pPr>
    </w:p>
    <w:p>
      <w:pPr>
        <w:pStyle w:val="Style18"/>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06"/>
        <w:gridCol w:w="1387"/>
        <w:gridCol w:w="1382"/>
        <w:gridCol w:w="1387"/>
        <w:gridCol w:w="1382"/>
        <w:gridCol w:w="1387"/>
        <w:gridCol w:w="1387"/>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从公司获得的</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税前报酬总额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是否在公司关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副董事长、副 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董事、副总裁、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副总裁、董事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34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、报告期内董事履行职责的情况</w:t>
      </w:r>
      <w:bookmarkEnd w:id="309"/>
      <w:bookmarkEnd w:id="310"/>
      <w:bookmarkEnd w:id="312"/>
    </w:p>
    <w:p>
      <w:pPr>
        <w:pStyle w:val="Style32"/>
        <w:keepNext/>
        <w:keepLines/>
        <w:widowControl w:val="0"/>
        <w:shd w:val="clear" w:color="auto" w:fill="auto"/>
        <w:bidi w:val="0"/>
        <w:spacing w:before="0" w:after="30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sz w:val="24"/>
          <w:szCs w:val="24"/>
        </w:rPr>
        <w:t>1</w:t>
      </w:r>
      <w:bookmarkEnd w:id="315"/>
      <w:r>
        <w:rPr>
          <w:color w:val="000000"/>
          <w:spacing w:val="0"/>
          <w:w w:val="100"/>
          <w:position w:val="0"/>
        </w:rPr>
        <w:t>、本报告期董事会情况</w:t>
      </w:r>
      <w:bookmarkEnd w:id="313"/>
      <w:bookmarkEnd w:id="314"/>
      <w:bookmarkEnd w:id="316"/>
    </w:p>
    <w:tbl>
      <w:tblPr>
        <w:tblOverlap w:val="never"/>
        <w:jc w:val="center"/>
        <w:tblLayout w:type="fixed"/>
      </w:tblPr>
      <w:tblGrid>
        <w:gridCol w:w="1862"/>
        <w:gridCol w:w="1238"/>
        <w:gridCol w:w="1176"/>
        <w:gridCol w:w="5602"/>
      </w:tblGrid>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1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 二次（临时）会议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《第五届董事会第二次（临时）会议决议公告》（公告编号：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001</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891"/>
        <w:gridCol w:w="1238"/>
        <w:gridCol w:w="1176"/>
        <w:gridCol w:w="5626"/>
      </w:tblGrid>
      <w:tr>
        <w:trPr>
          <w:trHeight w:val="81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三次（临时）会议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《关于全资子公司出售闲置房屋资产的议案》</w:t>
            </w:r>
          </w:p>
        </w:tc>
      </w:tr>
      <w:tr>
        <w:trPr>
          <w:trHeight w:val="9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四次（临时）会议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《第五届董事会第四次（临时）会议决议公告》（公告编号： </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004</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tc>
      </w:tr>
      <w:tr>
        <w:trPr>
          <w:trHeight w:val="10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五次（临时）会议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《第五届董事会第五次（临时）会议决议公告》（公告编号： </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016</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六次（临时）会议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w:t>
            </w:r>
          </w:p>
        </w:tc>
      </w:tr>
      <w:tr>
        <w:trPr>
          <w:trHeight w:val="10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140" w:right="0" w:firstLine="0"/>
              <w:jc w:val="left"/>
            </w:pPr>
            <w:r>
              <w:rPr>
                <w:color w:val="000000"/>
                <w:spacing w:val="0"/>
                <w:w w:val="100"/>
                <w:position w:val="0"/>
              </w:rPr>
              <w:t>第五届董事会第</w:t>
            </w:r>
          </w:p>
          <w:p>
            <w:pPr>
              <w:pStyle w:val="Style21"/>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《第五届董事会第七次会议决议公告》（公告编号：</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027</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八次（临时）会议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《关于审议</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的议案》</w:t>
            </w:r>
          </w:p>
        </w:tc>
      </w:tr>
      <w:tr>
        <w:trPr>
          <w:trHeight w:val="816"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第五届董事会第 九次（临时）会议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《第五届董事会第五次（临时）会议决议公告》（公告编号：</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039</w:t>
            </w:r>
            <w:r>
              <w:rPr>
                <w:color w:val="000000"/>
                <w:spacing w:val="0"/>
                <w:w w:val="100"/>
                <w:position w:val="0"/>
              </w:rPr>
              <w:t>）（</w:t>
            </w:r>
            <w:r>
              <w:rPr>
                <w:rFonts w:ascii="Times New Roman" w:eastAsia="Times New Roman" w:hAnsi="Times New Roman" w:cs="Times New Roman"/>
                <w:color w:val="000000"/>
                <w:spacing w:val="0"/>
                <w:w w:val="100"/>
                <w:position w:val="0"/>
              </w:rPr>
              <w:t>http:</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widowControl w:val="0"/>
        <w:spacing w:after="319" w:line="1" w:lineRule="exact"/>
      </w:pPr>
    </w:p>
    <w:p>
      <w:pPr>
        <w:pStyle w:val="Style32"/>
        <w:keepNext/>
        <w:keepLines/>
        <w:widowControl w:val="0"/>
        <w:pBdr>
          <w:bottom w:val="single" w:sz="4" w:space="0" w:color="auto"/>
        </w:pBdr>
        <w:shd w:val="clear" w:color="auto" w:fill="auto"/>
        <w:bidi w:val="0"/>
        <w:spacing w:before="0" w:after="380" w:line="240" w:lineRule="auto"/>
        <w:ind w:left="0" w:right="0" w:firstLine="14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sz w:val="24"/>
          <w:szCs w:val="24"/>
        </w:rPr>
        <w:t>2</w:t>
      </w:r>
      <w:bookmarkEnd w:id="319"/>
      <w:r>
        <w:rPr>
          <w:color w:val="000000"/>
          <w:spacing w:val="0"/>
          <w:w w:val="100"/>
          <w:position w:val="0"/>
        </w:rPr>
        <w:t>、董事出席董事会及股东大会的情况</w:t>
      </w:r>
      <w:bookmarkEnd w:id="317"/>
      <w:bookmarkEnd w:id="318"/>
      <w:bookmarkEnd w:id="320"/>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bl>
      <w:tblPr>
        <w:tblOverlap w:val="never"/>
        <w:jc w:val="center"/>
        <w:tblLayout w:type="fixed"/>
      </w:tblPr>
      <w:tblGrid>
        <w:gridCol w:w="1435"/>
        <w:gridCol w:w="1162"/>
        <w:gridCol w:w="1166"/>
        <w:gridCol w:w="1162"/>
        <w:gridCol w:w="1162"/>
        <w:gridCol w:w="1162"/>
        <w:gridCol w:w="1166"/>
        <w:gridCol w:w="1166"/>
      </w:tblGrid>
      <w:tr>
        <w:trPr>
          <w:trHeight w:val="134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本报告期应</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参加董事会</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现场出席董</w:t>
            </w:r>
          </w:p>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以通讯方式</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参加董事会</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委托出席董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缺席董事会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是否连续两</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次未亲自参</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加董事会会</w:t>
            </w:r>
          </w:p>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出席股东大</w:t>
            </w:r>
          </w:p>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会次数</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179" w:line="1" w:lineRule="exact"/>
      </w:pPr>
    </w:p>
    <w:p>
      <w:pPr>
        <w:pStyle w:val="Style18"/>
        <w:keepNext w:val="0"/>
        <w:keepLines w:val="0"/>
        <w:widowControl w:val="0"/>
        <w:shd w:val="clear" w:color="auto" w:fill="auto"/>
        <w:bidi w:val="0"/>
        <w:spacing w:before="0" w:after="220" w:line="240" w:lineRule="auto"/>
        <w:ind w:left="0" w:right="0" w:firstLine="62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260" w:line="240" w:lineRule="auto"/>
        <w:ind w:left="0" w:right="0" w:firstLine="620"/>
        <w:jc w:val="left"/>
      </w:pP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sz w:val="24"/>
          <w:szCs w:val="24"/>
        </w:rPr>
        <w:t>3</w:t>
      </w:r>
      <w:bookmarkEnd w:id="323"/>
      <w:r>
        <w:rPr>
          <w:color w:val="000000"/>
          <w:spacing w:val="0"/>
          <w:w w:val="100"/>
          <w:position w:val="0"/>
        </w:rPr>
        <w:t>、董事对公司有关事项提出异议的情况</w:t>
      </w:r>
      <w:bookmarkEnd w:id="321"/>
      <w:bookmarkEnd w:id="322"/>
      <w:bookmarkEnd w:id="324"/>
    </w:p>
    <w:p>
      <w:pPr>
        <w:pStyle w:val="Style18"/>
        <w:keepNext w:val="0"/>
        <w:keepLines w:val="0"/>
        <w:widowControl w:val="0"/>
        <w:shd w:val="clear" w:color="auto" w:fill="auto"/>
        <w:bidi w:val="0"/>
        <w:spacing w:before="0" w:after="200" w:line="440" w:lineRule="exact"/>
        <w:ind w:left="0" w:right="0" w:firstLine="48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84"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8"/>
        <w:keepNext w:val="0"/>
        <w:keepLines w:val="0"/>
        <w:widowControl w:val="0"/>
        <w:shd w:val="clear" w:color="auto" w:fill="auto"/>
        <w:bidi w:val="0"/>
        <w:spacing w:before="0" w:after="360" w:line="440" w:lineRule="exact"/>
        <w:ind w:left="0" w:right="0" w:firstLine="480"/>
        <w:jc w:val="left"/>
      </w:pPr>
      <w:r>
        <w:rPr>
          <w:color w:val="000000"/>
          <w:spacing w:val="0"/>
          <w:w w:val="100"/>
          <w:position w:val="0"/>
        </w:rPr>
        <w:t>报告期内董事对公司有关事项未提出异议。</w:t>
      </w:r>
    </w:p>
    <w:p>
      <w:pPr>
        <w:pStyle w:val="Style32"/>
        <w:keepNext/>
        <w:keepLines/>
        <w:widowControl w:val="0"/>
        <w:shd w:val="clear" w:color="auto" w:fill="auto"/>
        <w:bidi w:val="0"/>
        <w:spacing w:before="0" w:after="100" w:line="384"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sz w:val="24"/>
          <w:szCs w:val="24"/>
        </w:rPr>
        <w:t>4</w:t>
      </w:r>
      <w:bookmarkEnd w:id="327"/>
      <w:r>
        <w:rPr>
          <w:color w:val="000000"/>
          <w:spacing w:val="0"/>
          <w:w w:val="100"/>
          <w:position w:val="0"/>
        </w:rPr>
        <w:t>、董事履行职责的其他说明</w:t>
      </w:r>
      <w:bookmarkEnd w:id="325"/>
      <w:bookmarkEnd w:id="326"/>
      <w:bookmarkEnd w:id="328"/>
    </w:p>
    <w:p>
      <w:pPr>
        <w:pStyle w:val="Style18"/>
        <w:keepNext w:val="0"/>
        <w:keepLines w:val="0"/>
        <w:widowControl w:val="0"/>
        <w:shd w:val="clear" w:color="auto" w:fill="auto"/>
        <w:bidi w:val="0"/>
        <w:spacing w:before="0" w:after="0" w:line="440" w:lineRule="exact"/>
        <w:ind w:left="0" w:right="0" w:firstLine="48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440" w:lineRule="exact"/>
        <w:ind w:left="0" w:right="0" w:firstLine="480"/>
        <w:jc w:val="left"/>
      </w:pPr>
      <w:r>
        <w:rPr>
          <w:color w:val="000000"/>
          <w:spacing w:val="0"/>
          <w:w w:val="100"/>
          <w:position w:val="0"/>
          <w:sz w:val="24"/>
          <w:szCs w:val="24"/>
        </w:rPr>
        <w:t>寸</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8"/>
        <w:keepNext w:val="0"/>
        <w:keepLines w:val="0"/>
        <w:widowControl w:val="0"/>
        <w:shd w:val="clear" w:color="auto" w:fill="auto"/>
        <w:bidi w:val="0"/>
        <w:spacing w:before="0" w:after="0" w:line="440" w:lineRule="exact"/>
        <w:ind w:left="0" w:right="0" w:firstLine="48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160" w:line="440" w:lineRule="exact"/>
        <w:ind w:left="0" w:right="0" w:firstLine="480"/>
        <w:jc w:val="both"/>
        <w:sectPr>
          <w:footnotePr>
            <w:pos w:val="pageBottom"/>
            <w:numFmt w:val="decimal"/>
            <w:numRestart w:val="continuous"/>
          </w:footnotePr>
          <w:pgSz w:w="11900" w:h="16840"/>
          <w:pgMar w:top="1407" w:right="969" w:bottom="1498" w:left="1001" w:header="0" w:footer="3" w:gutter="0"/>
          <w:cols w:space="720"/>
          <w:noEndnote/>
          <w:rtlGutter w:val="0"/>
          <w:docGrid w:linePitch="360"/>
        </w:sectPr>
      </w:pPr>
      <w:r>
        <w:rPr>
          <w:color w:val="000000"/>
          <w:spacing w:val="0"/>
          <w:w w:val="100"/>
          <w:position w:val="0"/>
        </w:rPr>
        <w:t>报告期内，公司董事能够严格按照《公司法》、《证券法》、《深圳证券交易所股票上市规 则》、《公司章程》等等法律法规及公司制度的规定，忠实、勤勉地履行职责，高度关注公司 规范运作和经营情况，认真审议董事会各项议案，对公司的重大治理和经营决策提出了相关 的意见和建议，为公司的经营发展建言献策，在决策时充分考虑中小股东的利益和述求，切 实维护了公司和全体股东的利益。</w:t>
      </w:r>
    </w:p>
    <w:p>
      <w:pPr>
        <w:pStyle w:val="Style25"/>
        <w:keepNext w:val="0"/>
        <w:keepLines w:val="0"/>
        <w:widowControl w:val="0"/>
        <w:shd w:val="clear" w:color="auto" w:fill="auto"/>
        <w:bidi w:val="0"/>
        <w:spacing w:before="0" w:after="0" w:line="240" w:lineRule="auto"/>
        <w:ind w:left="14" w:right="0" w:firstLine="0"/>
        <w:jc w:val="left"/>
      </w:pPr>
      <w:bookmarkStart w:id="329" w:name="bookmark329"/>
      <w:r>
        <w:rPr>
          <w:b/>
          <w:bCs/>
          <w:color w:val="000000"/>
          <w:spacing w:val="0"/>
          <w:w w:val="100"/>
          <w:position w:val="0"/>
        </w:rPr>
        <w:t>九、董事会下设专门委员会在报告期内的情况</w:t>
      </w:r>
      <w:bookmarkEnd w:id="329"/>
    </w:p>
    <w:tbl>
      <w:tblPr>
        <w:tblOverlap w:val="never"/>
        <w:jc w:val="center"/>
        <w:tblLayout w:type="fixed"/>
      </w:tblPr>
      <w:tblGrid>
        <w:gridCol w:w="1762"/>
        <w:gridCol w:w="1747"/>
        <w:gridCol w:w="926"/>
        <w:gridCol w:w="1978"/>
        <w:gridCol w:w="2693"/>
        <w:gridCol w:w="2270"/>
        <w:gridCol w:w="1133"/>
        <w:gridCol w:w="1517"/>
      </w:tblGrid>
      <w:tr>
        <w:trPr>
          <w:trHeight w:val="72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其他履行职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责的情况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异议事项具体 情况（如有）</w:t>
            </w:r>
          </w:p>
        </w:tc>
      </w:tr>
      <w:tr>
        <w:trPr>
          <w:trHeight w:val="1022"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邓志刚、杨洁、马 东方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按照公司相关薪酬制度及社 会整体薪酬水平，审议了公司 高级管理人员薪酬。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3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审查公司董事（非独立董事） 及高级管理人员的履行职责 情况并对其进行年度绩效考 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王永业、尹健、卢 春明、邓志刚、张 小波、陈默、杨洁、 马东方、龚庆武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分析行业发展情况，讨论公司 发展战略。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关注公司行业发展状态，对公 司战略执行情况进行总结，对 公司发展提出建议。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34" w:hRule="exact"/>
        </w:trPr>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第五届董事会审计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杨洁、尹健、龚庆 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总裁汇报经营情况，财务总监 汇报财务状况，商议年度报告 审计计划，沟融有关审计的其 他事宜。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both"/>
            </w:pPr>
            <w:r>
              <w:rPr>
                <w:color w:val="000000"/>
                <w:spacing w:val="0"/>
                <w:w w:val="100"/>
                <w:position w:val="0"/>
              </w:rPr>
              <w:t>财务总监汇报年度报告审计 进程，与审计机构沟通。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3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年财务报告和审计报 告意见的确认，沟通审计报告 正式稿时间，关于续聘</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年度审计机构的建议。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725"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审阅</w:t>
            </w:r>
            <w:r>
              <w:rPr>
                <w:rFonts w:ascii="Times New Roman" w:eastAsia="Times New Roman" w:hAnsi="Times New Roman" w:cs="Times New Roman"/>
                <w:color w:val="000000"/>
                <w:spacing w:val="0"/>
                <w:w w:val="100"/>
                <w:position w:val="0"/>
              </w:rPr>
              <w:t>2021</w:t>
            </w:r>
            <w:r>
              <w:rPr>
                <w:color w:val="000000"/>
                <w:spacing w:val="0"/>
                <w:w w:val="100"/>
                <w:position w:val="0"/>
              </w:rPr>
              <w:t>年第一季度财务报 表，指导内部审计工作。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6840" w:h="11900" w:orient="landscape"/>
          <w:pgMar w:top="1158" w:right="1407" w:bottom="1158" w:left="1407" w:header="0" w:footer="3" w:gutter="0"/>
          <w:cols w:space="720"/>
          <w:noEndnote/>
          <w:rtlGutter w:val="0"/>
          <w:docGrid w:linePitch="360"/>
        </w:sectPr>
      </w:pPr>
    </w:p>
    <w:tbl>
      <w:tblPr>
        <w:tblOverlap w:val="never"/>
        <w:jc w:val="center"/>
        <w:tblLayout w:type="fixed"/>
      </w:tblPr>
      <w:tblGrid>
        <w:gridCol w:w="1752"/>
        <w:gridCol w:w="926"/>
        <w:gridCol w:w="1978"/>
        <w:gridCol w:w="2693"/>
        <w:gridCol w:w="2270"/>
        <w:gridCol w:w="1133"/>
        <w:gridCol w:w="950"/>
      </w:tblGrid>
      <w:tr>
        <w:trPr>
          <w:trHeight w:val="74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审阅</w:t>
            </w:r>
            <w:r>
              <w:rPr>
                <w:rFonts w:ascii="Times New Roman" w:eastAsia="Times New Roman" w:hAnsi="Times New Roman" w:cs="Times New Roman"/>
                <w:color w:val="000000"/>
                <w:spacing w:val="0"/>
                <w:w w:val="100"/>
                <w:position w:val="0"/>
              </w:rPr>
              <w:t>2021</w:t>
            </w:r>
            <w:r>
              <w:rPr>
                <w:color w:val="000000"/>
                <w:spacing w:val="0"/>
                <w:w w:val="100"/>
                <w:position w:val="0"/>
              </w:rPr>
              <w:t>年半年度财务报 告，指导内部审计工作。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无</w:t>
            </w:r>
          </w:p>
        </w:tc>
      </w:tr>
      <w:tr>
        <w:trPr>
          <w:trHeight w:val="72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审阅</w:t>
            </w:r>
            <w:r>
              <w:rPr>
                <w:rFonts w:ascii="Times New Roman" w:eastAsia="Times New Roman" w:hAnsi="Times New Roman" w:cs="Times New Roman"/>
                <w:color w:val="000000"/>
                <w:spacing w:val="0"/>
                <w:w w:val="100"/>
                <w:position w:val="0"/>
              </w:rPr>
              <w:t>2021</w:t>
            </w:r>
            <w:r>
              <w:rPr>
                <w:color w:val="000000"/>
                <w:spacing w:val="0"/>
                <w:w w:val="100"/>
                <w:position w:val="0"/>
              </w:rPr>
              <w:t>年第三季度财务报 表，指导内部审计工作。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无</w:t>
            </w:r>
          </w:p>
        </w:tc>
      </w:tr>
    </w:tbl>
    <w:p>
      <w:pPr>
        <w:sectPr>
          <w:footnotePr>
            <w:pos w:val="pageBottom"/>
            <w:numFmt w:val="decimal"/>
            <w:numRestart w:val="continuous"/>
          </w:footnotePr>
          <w:pgSz w:w="16840" w:h="11900" w:orient="landscape"/>
          <w:pgMar w:top="1100" w:right="1974" w:bottom="1157" w:left="3164" w:header="0" w:footer="3" w:gutter="0"/>
          <w:cols w:space="720"/>
          <w:noEndnote/>
          <w:rtlGutter w:val="0"/>
          <w:docGrid w:linePitch="360"/>
        </w:sectPr>
      </w:pPr>
    </w:p>
    <w:p>
      <w:pPr>
        <w:pStyle w:val="Style29"/>
        <w:keepNext/>
        <w:keepLines/>
        <w:widowControl w:val="0"/>
        <w:shd w:val="clear" w:color="auto" w:fill="auto"/>
        <w:bidi w:val="0"/>
        <w:spacing w:before="0" w:after="460" w:line="240" w:lineRule="auto"/>
        <w:ind w:left="0" w:right="0" w:firstLine="0"/>
        <w:jc w:val="left"/>
      </w:pPr>
      <w:bookmarkStart w:id="330" w:name="bookmark330"/>
      <w:bookmarkStart w:id="331" w:name="bookmark331"/>
      <w:bookmarkStart w:id="332" w:name="bookmark332"/>
      <w:r>
        <w:rPr>
          <w:color w:val="000000"/>
          <w:spacing w:val="0"/>
          <w:w w:val="100"/>
          <w:position w:val="0"/>
        </w:rPr>
        <w:t>十、监事会工作情况</w:t>
      </w:r>
      <w:bookmarkEnd w:id="330"/>
      <w:bookmarkEnd w:id="331"/>
      <w:bookmarkEnd w:id="332"/>
    </w:p>
    <w:p>
      <w:pPr>
        <w:pStyle w:val="Style18"/>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监事会对报告期内的监督事项无异议。</w:t>
      </w:r>
    </w:p>
    <w:p>
      <w:pPr>
        <w:pStyle w:val="Style29"/>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rPr>
        <w:t>十^一、公司员工情况</w:t>
      </w:r>
      <w:bookmarkEnd w:id="333"/>
      <w:bookmarkEnd w:id="334"/>
      <w:bookmarkEnd w:id="335"/>
    </w:p>
    <w:p>
      <w:pPr>
        <w:pStyle w:val="Style32"/>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sz w:val="24"/>
          <w:szCs w:val="24"/>
        </w:rPr>
        <w:t>1</w:t>
      </w:r>
      <w:bookmarkEnd w:id="338"/>
      <w:r>
        <w:rPr>
          <w:color w:val="000000"/>
          <w:spacing w:val="0"/>
          <w:w w:val="100"/>
          <w:position w:val="0"/>
        </w:rPr>
        <w:t>、员工数量、专业构成及教育程度</w:t>
      </w:r>
      <w:bookmarkEnd w:id="336"/>
      <w:bookmarkEnd w:id="337"/>
      <w:bookmarkEnd w:id="339"/>
    </w:p>
    <w:tbl>
      <w:tblPr>
        <w:tblOverlap w:val="never"/>
        <w:jc w:val="center"/>
        <w:tblLayout w:type="fixed"/>
      </w:tblPr>
      <w:tblGrid>
        <w:gridCol w:w="4776"/>
        <w:gridCol w:w="4819"/>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343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638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981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981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母公司及主要子公司需承担费用的离退休职工人数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107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587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41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115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981</w:t>
            </w:r>
          </w:p>
        </w:tc>
      </w:tr>
      <w:tr>
        <w:trPr>
          <w:trHeight w:val="398" w:hRule="exact"/>
        </w:trPr>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71</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456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384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64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60" w:right="0" w:firstLine="0"/>
              <w:jc w:val="both"/>
            </w:pPr>
            <w:r>
              <w:rPr>
                <w:rFonts w:ascii="Times New Roman" w:eastAsia="Times New Roman" w:hAnsi="Times New Roman" w:cs="Times New Roman"/>
                <w:color w:val="000000"/>
                <w:spacing w:val="0"/>
                <w:w w:val="100"/>
                <w:position w:val="0"/>
              </w:rPr>
              <w:t>981</w:t>
            </w:r>
          </w:p>
        </w:tc>
      </w:tr>
    </w:tbl>
    <w:p>
      <w:pPr>
        <w:pStyle w:val="Style32"/>
        <w:keepNext/>
        <w:keepLines/>
        <w:widowControl w:val="0"/>
        <w:shd w:val="clear" w:color="auto" w:fill="auto"/>
        <w:bidi w:val="0"/>
        <w:spacing w:before="0" w:after="28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sz w:val="24"/>
          <w:szCs w:val="24"/>
        </w:rPr>
        <w:t>2</w:t>
      </w:r>
      <w:bookmarkEnd w:id="342"/>
      <w:r>
        <w:rPr>
          <w:color w:val="000000"/>
          <w:spacing w:val="0"/>
          <w:w w:val="100"/>
          <w:position w:val="0"/>
        </w:rPr>
        <w:t>、薪酬政策</w:t>
      </w:r>
      <w:bookmarkEnd w:id="340"/>
      <w:bookmarkEnd w:id="341"/>
      <w:bookmarkEnd w:id="343"/>
    </w:p>
    <w:p>
      <w:pPr>
        <w:pStyle w:val="Style18"/>
        <w:keepNext w:val="0"/>
        <w:keepLines w:val="0"/>
        <w:widowControl w:val="0"/>
        <w:shd w:val="clear" w:color="auto" w:fill="auto"/>
        <w:bidi w:val="0"/>
        <w:spacing w:before="0" w:after="0" w:line="437" w:lineRule="exact"/>
        <w:ind w:left="0" w:right="0" w:firstLine="500"/>
        <w:jc w:val="both"/>
      </w:pPr>
      <w:r>
        <w:rPr>
          <w:color w:val="000000"/>
          <w:spacing w:val="0"/>
          <w:w w:val="100"/>
          <w:position w:val="0"/>
        </w:rPr>
        <w:t>公司遵循公平性、竞争性、激励性、经济性、合法性的原则，建立统一的薪酬平台，实 现按价值付酬。</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薪酬政策制定的依据（岗位价值评估方法）主要是：员工的工作量、职务的高低、职责 的大小及范围、技术和能力水平、工作条件，以及公司负担能力、地区和行业的薪酬水平、 劳动力市场的供求状况、生活费用与物价水平。</w:t>
      </w:r>
    </w:p>
    <w:p>
      <w:pPr>
        <w:pStyle w:val="Style18"/>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公司针对不同的工作岗位实行不同的薪酬绩效考核方式，工资结构包含基本工资、绩效 工资、奖金、特殊奖励、福利等。</w:t>
      </w:r>
    </w:p>
    <w:p>
      <w:pPr>
        <w:pStyle w:val="Style32"/>
        <w:keepNext/>
        <w:keepLines/>
        <w:widowControl w:val="0"/>
        <w:shd w:val="clear" w:color="auto" w:fill="auto"/>
        <w:tabs>
          <w:tab w:pos="402" w:val="left"/>
        </w:tabs>
        <w:bidi w:val="0"/>
        <w:spacing w:before="0" w:after="80" w:line="384"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sz w:val="24"/>
          <w:szCs w:val="24"/>
        </w:rPr>
        <w:t>3</w:t>
      </w:r>
      <w:bookmarkEnd w:id="346"/>
      <w:r>
        <w:rPr>
          <w:color w:val="000000"/>
          <w:spacing w:val="0"/>
          <w:w w:val="100"/>
          <w:position w:val="0"/>
        </w:rPr>
        <w:t>、</w:t>
        <w:tab/>
        <w:t>培训计划</w:t>
      </w:r>
      <w:bookmarkEnd w:id="344"/>
      <w:bookmarkEnd w:id="345"/>
      <w:bookmarkEnd w:id="347"/>
    </w:p>
    <w:p>
      <w:pPr>
        <w:pStyle w:val="Style18"/>
        <w:keepNext w:val="0"/>
        <w:keepLines w:val="0"/>
        <w:widowControl w:val="0"/>
        <w:shd w:val="clear" w:color="auto" w:fill="auto"/>
        <w:bidi w:val="0"/>
        <w:spacing w:before="0" w:after="0" w:line="451" w:lineRule="exact"/>
        <w:ind w:left="0" w:right="0" w:firstLine="500"/>
        <w:jc w:val="both"/>
      </w:pPr>
      <w:r>
        <w:rPr>
          <w:color w:val="000000"/>
          <w:spacing w:val="0"/>
          <w:w w:val="100"/>
          <w:position w:val="0"/>
        </w:rPr>
        <w:t>培训计划：公司积极展开各类培训，着重加强员工岗位技能、安全生产、专业技术、公 司产品技术知识等方面，提升员工个人工作能力和素养。</w:t>
      </w:r>
    </w:p>
    <w:p>
      <w:pPr>
        <w:pStyle w:val="Style18"/>
        <w:keepNext w:val="0"/>
        <w:keepLines w:val="0"/>
        <w:widowControl w:val="0"/>
        <w:shd w:val="clear" w:color="auto" w:fill="auto"/>
        <w:bidi w:val="0"/>
        <w:spacing w:before="0" w:after="0" w:line="451" w:lineRule="exact"/>
        <w:ind w:left="0" w:right="0" w:firstLine="500"/>
        <w:jc w:val="left"/>
      </w:pPr>
      <w:r>
        <w:rPr>
          <w:color w:val="000000"/>
          <w:spacing w:val="0"/>
          <w:w w:val="100"/>
          <w:position w:val="0"/>
        </w:rPr>
        <w:t>公司依据运营情况及各部门需求，在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年积极开展各类培训，培训情况如下：</w:t>
      </w:r>
    </w:p>
    <w:p>
      <w:pPr>
        <w:pStyle w:val="Style18"/>
        <w:keepNext w:val="0"/>
        <w:keepLines w:val="0"/>
        <w:widowControl w:val="0"/>
        <w:shd w:val="clear" w:color="auto" w:fill="auto"/>
        <w:tabs>
          <w:tab w:pos="1026" w:val="left"/>
        </w:tabs>
        <w:bidi w:val="0"/>
        <w:spacing w:before="0" w:after="0" w:line="442" w:lineRule="exact"/>
        <w:ind w:left="0" w:right="0" w:firstLine="500"/>
        <w:jc w:val="left"/>
        <w:rPr>
          <w:sz w:val="24"/>
          <w:szCs w:val="24"/>
        </w:rPr>
      </w:pPr>
      <w:bookmarkStart w:id="348" w:name="bookmark348"/>
      <w:r>
        <w:rPr>
          <w:color w:val="000000"/>
          <w:spacing w:val="0"/>
          <w:w w:val="100"/>
          <w:position w:val="0"/>
          <w:sz w:val="22"/>
          <w:szCs w:val="22"/>
        </w:rPr>
        <w:t>（</w:t>
      </w:r>
      <w:bookmarkEnd w:id="34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针对新员工的日常培训</w:t>
      </w:r>
      <w:r>
        <w:rPr>
          <w:color w:val="000000"/>
          <w:spacing w:val="0"/>
          <w:w w:val="100"/>
          <w:position w:val="0"/>
          <w:sz w:val="24"/>
          <w:szCs w:val="24"/>
        </w:rPr>
        <w:t>：</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新员工入职培训由人力资源管理部实施，主要内容为：企业介绍、基础制度、员工行为 规范、办公系统操作培训、财税知识、安全生产、专业技能、生产工艺。</w:t>
      </w:r>
    </w:p>
    <w:p>
      <w:pPr>
        <w:pStyle w:val="Style18"/>
        <w:keepNext w:val="0"/>
        <w:keepLines w:val="0"/>
        <w:widowControl w:val="0"/>
        <w:shd w:val="clear" w:color="auto" w:fill="auto"/>
        <w:tabs>
          <w:tab w:pos="1026" w:val="left"/>
        </w:tabs>
        <w:bidi w:val="0"/>
        <w:spacing w:before="0" w:after="0" w:line="442" w:lineRule="exact"/>
        <w:ind w:left="0" w:right="0" w:firstLine="500"/>
        <w:jc w:val="both"/>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技术类培训</w:t>
      </w:r>
    </w:p>
    <w:p>
      <w:pPr>
        <w:pStyle w:val="Style18"/>
        <w:keepNext w:val="0"/>
        <w:keepLines w:val="0"/>
        <w:widowControl w:val="0"/>
        <w:shd w:val="clear" w:color="auto" w:fill="auto"/>
        <w:bidi w:val="0"/>
        <w:spacing w:before="0" w:after="0" w:line="451" w:lineRule="exact"/>
        <w:ind w:left="0" w:right="0" w:firstLine="500"/>
        <w:jc w:val="both"/>
      </w:pPr>
      <w:r>
        <w:rPr>
          <w:color w:val="000000"/>
          <w:spacing w:val="0"/>
          <w:w w:val="100"/>
          <w:position w:val="0"/>
        </w:rPr>
        <w:t>由公司内部讲师实施，主要内容为：公司产品知识、行业技术知识、专业软硬件技术、 各岗位内部技能培训。</w:t>
      </w:r>
    </w:p>
    <w:p>
      <w:pPr>
        <w:pStyle w:val="Style18"/>
        <w:keepNext w:val="0"/>
        <w:keepLines w:val="0"/>
        <w:widowControl w:val="0"/>
        <w:shd w:val="clear" w:color="auto" w:fill="auto"/>
        <w:tabs>
          <w:tab w:pos="1026" w:val="left"/>
        </w:tabs>
        <w:bidi w:val="0"/>
        <w:spacing w:before="0" w:after="80" w:line="451" w:lineRule="exact"/>
        <w:ind w:left="0" w:right="0" w:firstLine="500"/>
        <w:jc w:val="both"/>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通用知识培训</w:t>
      </w:r>
    </w:p>
    <w:p>
      <w:pPr>
        <w:pStyle w:val="Style18"/>
        <w:keepNext w:val="0"/>
        <w:keepLines w:val="0"/>
        <w:widowControl w:val="0"/>
        <w:shd w:val="clear" w:color="auto" w:fill="auto"/>
        <w:bidi w:val="0"/>
        <w:spacing w:before="0" w:after="360" w:line="437" w:lineRule="exact"/>
        <w:ind w:left="0" w:right="0" w:firstLine="500"/>
        <w:jc w:val="both"/>
      </w:pPr>
      <w:r>
        <w:rPr>
          <w:color w:val="000000"/>
          <w:spacing w:val="0"/>
          <w:w w:val="100"/>
          <w:position w:val="0"/>
        </w:rPr>
        <w:t>由公司外聘讲师或公司人力资源管理部实施，主要内容为：项目管理、信息安全、办公 软件、职业健康、消防安全培训、职称申报政策、商务礼仪等。</w:t>
      </w:r>
    </w:p>
    <w:p>
      <w:pPr>
        <w:pStyle w:val="Style32"/>
        <w:keepNext/>
        <w:keepLines/>
        <w:widowControl w:val="0"/>
        <w:shd w:val="clear" w:color="auto" w:fill="auto"/>
        <w:tabs>
          <w:tab w:pos="402" w:val="left"/>
        </w:tabs>
        <w:bidi w:val="0"/>
        <w:spacing w:before="0" w:after="280" w:line="384"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sz w:val="24"/>
          <w:szCs w:val="24"/>
        </w:rPr>
        <w:t>4</w:t>
      </w:r>
      <w:bookmarkEnd w:id="353"/>
      <w:r>
        <w:rPr>
          <w:color w:val="000000"/>
          <w:spacing w:val="0"/>
          <w:w w:val="100"/>
          <w:position w:val="0"/>
        </w:rPr>
        <w:t>、</w:t>
        <w:tab/>
        <w:t>劳务外包情况</w:t>
      </w:r>
      <w:bookmarkEnd w:id="351"/>
      <w:bookmarkEnd w:id="352"/>
      <w:bookmarkEnd w:id="354"/>
    </w:p>
    <w:p>
      <w:pPr>
        <w:pStyle w:val="Style18"/>
        <w:keepNext w:val="0"/>
        <w:keepLines w:val="0"/>
        <w:widowControl w:val="0"/>
        <w:shd w:val="clear" w:color="auto" w:fill="auto"/>
        <w:bidi w:val="0"/>
        <w:spacing w:before="0" w:after="0" w:line="384"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bidi w:val="0"/>
        <w:spacing w:before="0" w:after="280" w:line="442" w:lineRule="exact"/>
        <w:ind w:left="0" w:right="0" w:firstLine="0"/>
        <w:jc w:val="left"/>
      </w:pPr>
      <w:bookmarkStart w:id="355" w:name="bookmark355"/>
      <w:bookmarkStart w:id="356" w:name="bookmark356"/>
      <w:bookmarkStart w:id="357" w:name="bookmark357"/>
      <w:r>
        <w:rPr>
          <w:color w:val="000000"/>
          <w:spacing w:val="0"/>
          <w:w w:val="100"/>
          <w:position w:val="0"/>
        </w:rPr>
        <w:t>十二、公司利润分配及资本公积金转增股本情况</w:t>
      </w:r>
      <w:bookmarkEnd w:id="355"/>
      <w:bookmarkEnd w:id="356"/>
      <w:bookmarkEnd w:id="357"/>
    </w:p>
    <w:p>
      <w:pPr>
        <w:pStyle w:val="Style18"/>
        <w:keepNext w:val="0"/>
        <w:keepLines w:val="0"/>
        <w:widowControl w:val="0"/>
        <w:shd w:val="clear" w:color="auto" w:fill="auto"/>
        <w:bidi w:val="0"/>
        <w:spacing w:before="0" w:after="200" w:line="442" w:lineRule="exact"/>
        <w:ind w:left="0" w:right="0" w:firstLine="50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84"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0" w:line="442" w:lineRule="exact"/>
        <w:ind w:left="0" w:right="0" w:firstLine="500"/>
        <w:jc w:val="left"/>
      </w:pPr>
      <w:r>
        <w:rPr>
          <w:color w:val="000000"/>
          <w:spacing w:val="0"/>
          <w:w w:val="100"/>
          <w:position w:val="0"/>
        </w:rPr>
        <w:t>公司报告期利润分配预案及资本公积金转增股本预案与公司章程和分红管理办法等的相</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关规定一致</w:t>
      </w:r>
    </w:p>
    <w:p>
      <w:pPr>
        <w:pStyle w:val="Style18"/>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本年度利润分配及资本公积金转增股本情况</w:t>
      </w:r>
    </w:p>
    <w:tbl>
      <w:tblPr>
        <w:tblOverlap w:val="never"/>
        <w:jc w:val="center"/>
        <w:tblLayout w:type="fixed"/>
      </w:tblPr>
      <w:tblGrid>
        <w:gridCol w:w="3696"/>
        <w:gridCol w:w="5885"/>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以其他方式（如回购股份）现金分红金 额（元）</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现金分红总额（含其他方式）占利润分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配总额的比例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p>
      <w:pPr>
        <w:widowControl w:val="0"/>
        <w:spacing w:after="59" w:line="1" w:lineRule="exact"/>
      </w:pPr>
    </w:p>
    <w:p>
      <w:pPr>
        <w:pStyle w:val="Style1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经信永中和会计师事务所（特殊普通合伙）审计，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年母公司实现净利润为</w:t>
      </w:r>
      <w:r>
        <w:rPr>
          <w:rFonts w:ascii="Times New Roman" w:eastAsia="Times New Roman" w:hAnsi="Times New Roman" w:cs="Times New Roman"/>
          <w:color w:val="000000"/>
          <w:spacing w:val="0"/>
          <w:w w:val="100"/>
          <w:position w:val="0"/>
          <w:sz w:val="20"/>
          <w:szCs w:val="20"/>
        </w:rPr>
        <w:t>41,680,219.09</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日，母公司可供分配利润为</w:t>
      </w:r>
      <w:r>
        <w:rPr>
          <w:rFonts w:ascii="Times New Roman" w:eastAsia="Times New Roman" w:hAnsi="Times New Roman" w:cs="Times New Roman"/>
          <w:color w:val="000000"/>
          <w:spacing w:val="0"/>
          <w:w w:val="100"/>
          <w:position w:val="0"/>
          <w:sz w:val="20"/>
          <w:szCs w:val="20"/>
        </w:rPr>
        <w:t>-9,739,676.80</w:t>
      </w:r>
      <w:r>
        <w:rPr>
          <w:color w:val="000000"/>
          <w:spacing w:val="0"/>
          <w:w w:val="100"/>
          <w:position w:val="0"/>
          <w:sz w:val="20"/>
          <w:szCs w:val="20"/>
        </w:rPr>
        <w:t>元。</w:t>
      </w:r>
    </w:p>
    <w:p>
      <w:pPr>
        <w:pStyle w:val="Style18"/>
        <w:keepNext w:val="0"/>
        <w:keepLines w:val="0"/>
        <w:widowControl w:val="0"/>
        <w:pBdr>
          <w:bottom w:val="single" w:sz="4" w:space="0" w:color="auto"/>
        </w:pBdr>
        <w:shd w:val="clear" w:color="auto" w:fill="auto"/>
        <w:bidi w:val="0"/>
        <w:spacing w:before="0" w:after="280" w:line="307" w:lineRule="exact"/>
        <w:ind w:left="0" w:right="0" w:firstLine="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年权益分派预案：不派发现金红利，不送红股，不以公积金转增股本。</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358" w:name="bookmark358"/>
      <w:bookmarkStart w:id="359" w:name="bookmark359"/>
      <w:bookmarkStart w:id="360" w:name="bookmark360"/>
      <w:r>
        <w:rPr>
          <w:color w:val="000000"/>
          <w:spacing w:val="0"/>
          <w:w w:val="100"/>
          <w:position w:val="0"/>
        </w:rPr>
        <w:t>十三、公司股权激励计划、员工持股计划或其他员工激励措施的实施情况</w:t>
      </w:r>
      <w:bookmarkEnd w:id="358"/>
      <w:bookmarkEnd w:id="359"/>
      <w:bookmarkEnd w:id="360"/>
    </w:p>
    <w:p>
      <w:pPr>
        <w:pStyle w:val="Style18"/>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rPr>
        <w:t>十四、报告期内的内部控制制度建设及实施情况</w:t>
      </w:r>
      <w:bookmarkEnd w:id="361"/>
      <w:bookmarkEnd w:id="362"/>
      <w:bookmarkEnd w:id="363"/>
    </w:p>
    <w:p>
      <w:pPr>
        <w:pStyle w:val="Style32"/>
        <w:keepNext/>
        <w:keepLines/>
        <w:widowControl w:val="0"/>
        <w:shd w:val="clear" w:color="auto" w:fill="auto"/>
        <w:tabs>
          <w:tab w:pos="387" w:val="left"/>
        </w:tabs>
        <w:bidi w:val="0"/>
        <w:spacing w:before="0" w:after="3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sz w:val="24"/>
          <w:szCs w:val="24"/>
        </w:rPr>
        <w:t>1</w:t>
      </w:r>
      <w:bookmarkEnd w:id="366"/>
      <w:r>
        <w:rPr>
          <w:color w:val="000000"/>
          <w:spacing w:val="0"/>
          <w:w w:val="100"/>
          <w:position w:val="0"/>
        </w:rPr>
        <w:t>、</w:t>
        <w:tab/>
        <w:t>内部控制建设及实施情况</w:t>
      </w:r>
      <w:bookmarkEnd w:id="364"/>
      <w:bookmarkEnd w:id="365"/>
      <w:bookmarkEnd w:id="367"/>
    </w:p>
    <w:p>
      <w:pPr>
        <w:pStyle w:val="Style43"/>
        <w:keepNext w:val="0"/>
        <w:keepLines w:val="0"/>
        <w:widowControl w:val="0"/>
        <w:shd w:val="clear" w:color="auto" w:fill="auto"/>
        <w:bidi w:val="0"/>
        <w:spacing w:before="0" w:after="200" w:line="307" w:lineRule="exact"/>
        <w:ind w:left="0" w:right="0" w:firstLine="500"/>
        <w:jc w:val="both"/>
        <w:rPr>
          <w:sz w:val="22"/>
          <w:szCs w:val="22"/>
        </w:rPr>
      </w:pPr>
      <w:r>
        <w:rPr>
          <w:rFonts w:ascii="SimSun" w:eastAsia="SimSun" w:hAnsi="SimSun" w:cs="SimSun"/>
          <w:color w:val="000000"/>
          <w:spacing w:val="0"/>
          <w:w w:val="100"/>
          <w:position w:val="0"/>
          <w:sz w:val="22"/>
          <w:szCs w:val="22"/>
        </w:rPr>
        <w:t>详情可参见同日披露于巨潮资讯网（</w:t>
      </w:r>
      <w:r>
        <w:rPr>
          <w:color w:val="000000"/>
          <w:spacing w:val="0"/>
          <w:w w:val="100"/>
          <w:position w:val="0"/>
          <w:sz w:val="24"/>
          <w:szCs w:val="24"/>
        </w:rPr>
        <w:t>http://www.cninfo.com.cn</w:t>
      </w:r>
      <w:r>
        <w:rPr>
          <w:rFonts w:ascii="SimSun" w:eastAsia="SimSun" w:hAnsi="SimSun" w:cs="SimSun"/>
          <w:color w:val="000000"/>
          <w:spacing w:val="0"/>
          <w:w w:val="100"/>
          <w:position w:val="0"/>
          <w:sz w:val="22"/>
          <w:szCs w:val="22"/>
        </w:rPr>
        <w:t>）的《</w:t>
      </w:r>
      <w:r>
        <w:rPr>
          <w:color w:val="000000"/>
          <w:spacing w:val="0"/>
          <w:w w:val="100"/>
          <w:position w:val="0"/>
          <w:sz w:val="24"/>
          <w:szCs w:val="24"/>
        </w:rPr>
        <w:t>2021</w:t>
      </w:r>
      <w:r>
        <w:rPr>
          <w:rFonts w:ascii="SimSun" w:eastAsia="SimSun" w:hAnsi="SimSun" w:cs="SimSun"/>
          <w:color w:val="000000"/>
          <w:spacing w:val="0"/>
          <w:w w:val="100"/>
          <w:position w:val="0"/>
          <w:sz w:val="22"/>
          <w:szCs w:val="22"/>
        </w:rPr>
        <w:t>年年度内部控</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制自我评价报告》。</w:t>
      </w:r>
    </w:p>
    <w:p>
      <w:pPr>
        <w:pStyle w:val="Style32"/>
        <w:keepNext/>
        <w:keepLines/>
        <w:widowControl w:val="0"/>
        <w:shd w:val="clear" w:color="auto" w:fill="auto"/>
        <w:tabs>
          <w:tab w:pos="402" w:val="left"/>
        </w:tabs>
        <w:bidi w:val="0"/>
        <w:spacing w:before="0" w:after="44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sz w:val="24"/>
          <w:szCs w:val="24"/>
        </w:rPr>
        <w:t>2</w:t>
      </w:r>
      <w:bookmarkEnd w:id="370"/>
      <w:r>
        <w:rPr>
          <w:color w:val="000000"/>
          <w:spacing w:val="0"/>
          <w:w w:val="100"/>
          <w:position w:val="0"/>
        </w:rPr>
        <w:t>、</w:t>
        <w:tab/>
        <w:t>报告期内发现的内部控制重大缺陷的具体情况</w:t>
      </w:r>
      <w:bookmarkEnd w:id="368"/>
      <w:bookmarkEnd w:id="369"/>
      <w:bookmarkEnd w:id="371"/>
    </w:p>
    <w:p>
      <w:pPr>
        <w:pStyle w:val="Style18"/>
        <w:keepNext w:val="0"/>
        <w:keepLines w:val="0"/>
        <w:widowControl w:val="0"/>
        <w:shd w:val="clear" w:color="auto" w:fill="auto"/>
        <w:bidi w:val="0"/>
        <w:spacing w:before="0" w:after="240" w:line="266" w:lineRule="auto"/>
        <w:ind w:left="0" w:right="0" w:firstLine="500"/>
        <w:jc w:val="both"/>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否</w:t>
      </w:r>
      <w:r>
        <w:br w:type="page"/>
      </w:r>
    </w:p>
    <w:p>
      <w:pPr>
        <w:pStyle w:val="Style25"/>
        <w:keepNext w:val="0"/>
        <w:keepLines w:val="0"/>
        <w:widowControl w:val="0"/>
        <w:shd w:val="clear" w:color="auto" w:fill="auto"/>
        <w:bidi w:val="0"/>
        <w:spacing w:before="0" w:after="0" w:line="240" w:lineRule="auto"/>
        <w:ind w:left="0" w:right="0" w:firstLine="0"/>
        <w:jc w:val="left"/>
      </w:pPr>
      <w:bookmarkStart w:id="372" w:name="bookmark372"/>
      <w:r>
        <w:rPr>
          <w:b/>
          <w:bCs/>
          <w:color w:val="000000"/>
          <w:spacing w:val="0"/>
          <w:w w:val="100"/>
          <w:position w:val="0"/>
        </w:rPr>
        <w:t>十五、公司报告期内对子公司的管理控制情况</w:t>
      </w:r>
      <w:bookmarkEnd w:id="372"/>
    </w:p>
    <w:tbl>
      <w:tblPr>
        <w:tblOverlap w:val="never"/>
        <w:jc w:val="center"/>
        <w:tblLayout w:type="fixed"/>
      </w:tblPr>
      <w:tblGrid>
        <w:gridCol w:w="1387"/>
        <w:gridCol w:w="1368"/>
        <w:gridCol w:w="1368"/>
        <w:gridCol w:w="1363"/>
        <w:gridCol w:w="1368"/>
        <w:gridCol w:w="1368"/>
        <w:gridCol w:w="1373"/>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解决进展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r>
        <w:rPr>
          <w:color w:val="000000"/>
          <w:spacing w:val="0"/>
          <w:w w:val="100"/>
          <w:position w:val="0"/>
        </w:rPr>
        <w:t>十六、内部控制自我评价报告或内部控制审计报告</w:t>
      </w:r>
      <w:bookmarkEnd w:id="373"/>
      <w:bookmarkEnd w:id="374"/>
      <w:bookmarkEnd w:id="375"/>
    </w:p>
    <w:p>
      <w:pPr>
        <w:pStyle w:val="Style32"/>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sz w:val="24"/>
          <w:szCs w:val="24"/>
        </w:rPr>
        <w:t>1</w:t>
      </w:r>
      <w:bookmarkEnd w:id="378"/>
      <w:r>
        <w:rPr>
          <w:color w:val="000000"/>
          <w:spacing w:val="0"/>
          <w:w w:val="100"/>
          <w:position w:val="0"/>
        </w:rPr>
        <w:t>、内控自我评价报告</w:t>
      </w:r>
      <w:bookmarkEnd w:id="376"/>
      <w:bookmarkEnd w:id="377"/>
      <w:bookmarkEnd w:id="379"/>
    </w:p>
    <w:tbl>
      <w:tblPr>
        <w:tblOverlap w:val="never"/>
        <w:jc w:val="center"/>
        <w:tblLayout w:type="fixed"/>
      </w:tblPr>
      <w:tblGrid>
        <w:gridCol w:w="3206"/>
        <w:gridCol w:w="3331"/>
        <w:gridCol w:w="3058"/>
      </w:tblGrid>
      <w:tr>
        <w:trPr>
          <w:trHeight w:val="408"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gridSpan w:val="3"/>
            <w:tcBorders>
              <w:top w:val="single" w:sz="4"/>
            </w:tcBorders>
            <w:shd w:val="clear" w:color="auto" w:fill="FFFFFF"/>
            <w:vAlign w:val="center"/>
          </w:tcPr>
          <w:p>
            <w:pPr>
              <w:pStyle w:val="Style21"/>
              <w:keepNext w:val="0"/>
              <w:keepLines w:val="0"/>
              <w:widowControl w:val="0"/>
              <w:shd w:val="clear" w:color="auto" w:fill="auto"/>
              <w:tabs>
                <w:tab w:pos="3139" w:val="left"/>
              </w:tabs>
              <w:bidi w:val="0"/>
              <w:spacing w:before="0" w:after="0" w:line="240" w:lineRule="auto"/>
              <w:ind w:left="0" w:right="0" w:firstLine="0"/>
              <w:jc w:val="left"/>
            </w:pPr>
            <w:r>
              <w:rPr>
                <w:color w:val="000000"/>
                <w:spacing w:val="0"/>
                <w:w w:val="100"/>
                <w:position w:val="0"/>
              </w:rPr>
              <w:t>内部控制评价报告全文披露索引</w:t>
              <w:tab/>
            </w: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 司合并财务报表资产总额的比例</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 司合并财务报表营业总收入的比 例</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272"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具有以下特征的缺陷定为重大缺陷： （</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）对已经公 告的财务报告出现的重大差错进行 错报更正（由于政策变化或其他客观 因素变化导致的对以前年度的追溯 调整除外）；（</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）注册会计师发现当 期财务报告存在重大错报，而内部控 制在运行过程中未能发现该错报；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）公司董事、监事和高级管理人 员舞弊并给企业造成重要损失和不 利影响；（</w:t>
            </w:r>
            <w:r>
              <w:rPr>
                <w:rFonts w:ascii="Times New Roman" w:eastAsia="Times New Roman" w:hAnsi="Times New Roman" w:cs="Times New Roman"/>
                <w:color w:val="000000"/>
                <w:spacing w:val="0"/>
                <w:w w:val="100"/>
                <w:position w:val="0"/>
              </w:rPr>
              <w:t>5</w:t>
            </w:r>
            <w:r>
              <w:rPr>
                <w:color w:val="000000"/>
                <w:spacing w:val="0"/>
                <w:w w:val="100"/>
                <w:position w:val="0"/>
              </w:rPr>
              <w:t>）审计委员会以及内部审 计部门对财务报告内部控制监督无 效。具有以下特征的缺陷定为重要缺 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 殊交易的账务处理没有建立相应的 控制机制或没有实施且没有相应的 补偿性控制；（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 过程的控制存在一项或多项缺陷且 不能合理保证编制的财务报表达到 真实、准确的目标。一般缺陷是指除 上述重大缺陷、重要缺陷之外的其他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具有以下特征的缺陷定为重大缺 陷：（</w:t>
            </w:r>
            <w:r>
              <w:rPr>
                <w:rFonts w:ascii="Times New Roman" w:eastAsia="Times New Roman" w:hAnsi="Times New Roman" w:cs="Times New Roman"/>
                <w:color w:val="000000"/>
                <w:spacing w:val="0"/>
                <w:w w:val="100"/>
                <w:position w:val="0"/>
              </w:rPr>
              <w:t>1</w:t>
            </w:r>
            <w:r>
              <w:rPr>
                <w:color w:val="000000"/>
                <w:spacing w:val="0"/>
                <w:w w:val="100"/>
                <w:position w:val="0"/>
              </w:rPr>
              <w:t>）严重违反国家法律、法 规；（</w:t>
            </w:r>
            <w:r>
              <w:rPr>
                <w:rFonts w:ascii="Times New Roman" w:eastAsia="Times New Roman" w:hAnsi="Times New Roman" w:cs="Times New Roman"/>
                <w:color w:val="000000"/>
                <w:spacing w:val="0"/>
                <w:w w:val="100"/>
                <w:position w:val="0"/>
              </w:rPr>
              <w:t>2</w:t>
            </w:r>
            <w:r>
              <w:rPr>
                <w:color w:val="000000"/>
                <w:spacing w:val="0"/>
                <w:w w:val="100"/>
                <w:position w:val="0"/>
              </w:rPr>
              <w:t>）企业决策程序不科学， 如决策失误，导致重大损失；（</w:t>
            </w:r>
            <w:r>
              <w:rPr>
                <w:rFonts w:ascii="Times New Roman" w:eastAsia="Times New Roman" w:hAnsi="Times New Roman" w:cs="Times New Roman"/>
                <w:color w:val="000000"/>
                <w:spacing w:val="0"/>
                <w:w w:val="100"/>
                <w:position w:val="0"/>
              </w:rPr>
              <w:t>3</w:t>
            </w:r>
            <w:r>
              <w:rPr>
                <w:color w:val="000000"/>
                <w:spacing w:val="0"/>
                <w:w w:val="100"/>
                <w:position w:val="0"/>
              </w:rPr>
              <w:t>） 公司中高级管理人员或高级技术 人员流失严重；（</w:t>
            </w:r>
            <w:r>
              <w:rPr>
                <w:rFonts w:ascii="Times New Roman" w:eastAsia="Times New Roman" w:hAnsi="Times New Roman" w:cs="Times New Roman"/>
                <w:color w:val="000000"/>
                <w:spacing w:val="0"/>
                <w:w w:val="100"/>
                <w:position w:val="0"/>
              </w:rPr>
              <w:t>4</w:t>
            </w:r>
            <w:r>
              <w:rPr>
                <w:color w:val="000000"/>
                <w:spacing w:val="0"/>
                <w:w w:val="100"/>
                <w:position w:val="0"/>
              </w:rPr>
              <w:t>）公司重要业 务缺乏制度控制或制度系统性失 效，重要的经济业务虽有内控制 度，但没有有效的运行；（</w:t>
            </w:r>
            <w:r>
              <w:rPr>
                <w:rFonts w:ascii="Times New Roman" w:eastAsia="Times New Roman" w:hAnsi="Times New Roman" w:cs="Times New Roman"/>
                <w:color w:val="000000"/>
                <w:spacing w:val="0"/>
                <w:w w:val="100"/>
                <w:position w:val="0"/>
              </w:rPr>
              <w:t>5</w:t>
            </w:r>
            <w:r>
              <w:rPr>
                <w:color w:val="000000"/>
                <w:spacing w:val="0"/>
                <w:w w:val="100"/>
                <w:position w:val="0"/>
              </w:rPr>
              <w:t>）公 司内部控制重大缺陷在合理期间 内未得到整改；（</w:t>
            </w:r>
            <w:r>
              <w:rPr>
                <w:rFonts w:ascii="Times New Roman" w:eastAsia="Times New Roman" w:hAnsi="Times New Roman" w:cs="Times New Roman"/>
                <w:color w:val="000000"/>
                <w:spacing w:val="0"/>
                <w:w w:val="100"/>
                <w:position w:val="0"/>
              </w:rPr>
              <w:t>6</w:t>
            </w:r>
            <w:r>
              <w:rPr>
                <w:color w:val="000000"/>
                <w:spacing w:val="0"/>
                <w:w w:val="100"/>
                <w:position w:val="0"/>
              </w:rPr>
              <w:t>）其他对公司 产生重大负面影响的情形。具有 以下特征的缺陷定为重要缺陷：</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）公司决策程序不科学，导致 重大失误；（</w:t>
            </w:r>
            <w:r>
              <w:rPr>
                <w:rFonts w:ascii="Times New Roman" w:eastAsia="Times New Roman" w:hAnsi="Times New Roman" w:cs="Times New Roman"/>
                <w:color w:val="000000"/>
                <w:spacing w:val="0"/>
                <w:w w:val="100"/>
                <w:position w:val="0"/>
              </w:rPr>
              <w:t>2</w:t>
            </w:r>
            <w:r>
              <w:rPr>
                <w:color w:val="000000"/>
                <w:spacing w:val="0"/>
                <w:w w:val="100"/>
                <w:position w:val="0"/>
              </w:rPr>
              <w:t>）公司管理、技术、 关键岗位业务人员流失严重；（</w:t>
            </w:r>
            <w:r>
              <w:rPr>
                <w:rFonts w:ascii="Times New Roman" w:eastAsia="Times New Roman" w:hAnsi="Times New Roman" w:cs="Times New Roman"/>
                <w:color w:val="000000"/>
                <w:spacing w:val="0"/>
                <w:w w:val="100"/>
                <w:position w:val="0"/>
              </w:rPr>
              <w:t>3</w:t>
            </w:r>
            <w:r>
              <w:rPr>
                <w:color w:val="000000"/>
                <w:spacing w:val="0"/>
                <w:w w:val="100"/>
                <w:position w:val="0"/>
              </w:rPr>
              <w:t>） 公司重要业务制度或系统存在缺 陷；（</w:t>
            </w:r>
            <w:r>
              <w:rPr>
                <w:rFonts w:ascii="Times New Roman" w:eastAsia="Times New Roman" w:hAnsi="Times New Roman" w:cs="Times New Roman"/>
                <w:color w:val="000000"/>
                <w:spacing w:val="0"/>
                <w:w w:val="100"/>
                <w:position w:val="0"/>
              </w:rPr>
              <w:t>4</w:t>
            </w:r>
            <w:r>
              <w:rPr>
                <w:color w:val="000000"/>
                <w:spacing w:val="0"/>
                <w:w w:val="100"/>
                <w:position w:val="0"/>
              </w:rPr>
              <w:t>）公司内部控制重要缺陷 在合理期间内未得到整改；（</w:t>
            </w:r>
            <w:r>
              <w:rPr>
                <w:rFonts w:ascii="Times New Roman" w:eastAsia="Times New Roman" w:hAnsi="Times New Roman" w:cs="Times New Roman"/>
                <w:color w:val="000000"/>
                <w:spacing w:val="0"/>
                <w:w w:val="100"/>
                <w:position w:val="0"/>
              </w:rPr>
              <w:t>5</w:t>
            </w:r>
            <w:r>
              <w:rPr>
                <w:color w:val="000000"/>
                <w:spacing w:val="0"/>
                <w:w w:val="100"/>
                <w:position w:val="0"/>
              </w:rPr>
              <w:t>） 其他对公司产生较大负面影响的 情形。一般缺陷是指除上述重大 缺陷、重要缺陷之外的其他控制 缺陷。</w:t>
            </w:r>
          </w:p>
        </w:tc>
      </w:tr>
    </w:tbl>
    <w:p>
      <w:pPr>
        <w:spacing w:lineRule="exact" w:line="1"/>
        <w:rPr>
          <w:sz w:val="2"/>
          <w:szCs w:val="2"/>
        </w:rPr>
      </w:pPr>
      <w:r>
        <w:br w:type="page"/>
      </w:r>
    </w:p>
    <w:tbl>
      <w:tblPr>
        <w:tblOverlap w:val="never"/>
        <w:jc w:val="center"/>
        <w:tblLayout w:type="fixed"/>
      </w:tblPr>
      <w:tblGrid>
        <w:gridCol w:w="3216"/>
        <w:gridCol w:w="3322"/>
        <w:gridCol w:w="3082"/>
      </w:tblGrid>
      <w:tr>
        <w:trPr>
          <w:trHeight w:val="36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控制缺陷。</w:t>
            </w:r>
          </w:p>
        </w:tc>
        <w:tc>
          <w:tcPr>
            <w:tcBorders>
              <w:top w:val="single" w:sz="4"/>
              <w:left w:val="single" w:sz="4"/>
            </w:tcBorders>
            <w:shd w:val="clear" w:color="auto" w:fill="FFFFFF"/>
            <w:vAlign w:val="top"/>
          </w:tcPr>
          <w:p>
            <w:pPr>
              <w:widowControl w:val="0"/>
              <w:rPr>
                <w:sz w:val="10"/>
                <w:szCs w:val="10"/>
              </w:rPr>
            </w:pPr>
          </w:p>
        </w:tc>
      </w:tr>
      <w:tr>
        <w:trPr>
          <w:trHeight w:val="352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表资产总额的</w:t>
            </w:r>
            <w:r>
              <w:rPr>
                <w:rFonts w:ascii="Times New Roman" w:eastAsia="Times New Roman" w:hAnsi="Times New Roman" w:cs="Times New Roman"/>
                <w:color w:val="000000"/>
                <w:spacing w:val="0"/>
                <w:w w:val="100"/>
                <w:position w:val="0"/>
              </w:rPr>
              <w:t>1%2</w:t>
            </w:r>
            <w:r>
              <w:rPr>
                <w:color w:val="000000"/>
                <w:spacing w:val="0"/>
                <w:w w:val="100"/>
                <w:position w:val="0"/>
              </w:rPr>
              <w:t>）错报金额</w:t>
            </w:r>
            <w:r>
              <w:rPr>
                <w:rFonts w:ascii="Times New Roman" w:eastAsia="Times New Roman" w:hAnsi="Times New Roman" w:cs="Times New Roman"/>
                <w:color w:val="000000"/>
                <w:spacing w:val="0"/>
                <w:w w:val="100"/>
                <w:position w:val="0"/>
              </w:rPr>
              <w:t>2</w:t>
            </w:r>
            <w:r>
              <w:rPr>
                <w:color w:val="000000"/>
                <w:spacing w:val="0"/>
                <w:w w:val="100"/>
                <w:position w:val="0"/>
              </w:rPr>
              <w:t>合并 财务报表税前利润总额的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；重 要缺陷：</w:t>
            </w:r>
            <w:r>
              <w:rPr>
                <w:rFonts w:ascii="Times New Roman" w:eastAsia="Times New Roman" w:hAnsi="Times New Roman" w:cs="Times New Roman"/>
                <w:color w:val="000000"/>
                <w:spacing w:val="0"/>
                <w:w w:val="100"/>
                <w:position w:val="0"/>
              </w:rPr>
              <w:t>1</w:t>
            </w:r>
            <w:r>
              <w:rPr>
                <w:color w:val="000000"/>
                <w:spacing w:val="0"/>
                <w:w w:val="100"/>
                <w:position w:val="0"/>
              </w:rPr>
              <w:t>）合并财务报表资产总额 的</w:t>
            </w:r>
            <w:r>
              <w:rPr>
                <w:rFonts w:ascii="Times New Roman" w:eastAsia="Times New Roman" w:hAnsi="Times New Roman" w:cs="Times New Roman"/>
                <w:color w:val="000000"/>
                <w:spacing w:val="0"/>
                <w:w w:val="100"/>
                <w:position w:val="0"/>
              </w:rPr>
              <w:t>0.5%＜</w:t>
            </w:r>
            <w:r>
              <w:rPr>
                <w:color w:val="000000"/>
                <w:spacing w:val="0"/>
                <w:w w:val="100"/>
                <w:position w:val="0"/>
              </w:rPr>
              <w:t>错报金额〈合并财务报表 资产总额的</w:t>
            </w:r>
            <w:r>
              <w:rPr>
                <w:rFonts w:ascii="Times New Roman" w:eastAsia="Times New Roman" w:hAnsi="Times New Roman" w:cs="Times New Roman"/>
                <w:color w:val="000000"/>
                <w:spacing w:val="0"/>
                <w:w w:val="100"/>
                <w:position w:val="0"/>
              </w:rPr>
              <w:t>1%2</w:t>
            </w:r>
            <w:r>
              <w:rPr>
                <w:color w:val="000000"/>
                <w:spacing w:val="0"/>
                <w:w w:val="100"/>
                <w:position w:val="0"/>
              </w:rPr>
              <w:t>）合并财务报表税 前利润总额的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 财务报表税前利润总额的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 一 般缺陷：</w:t>
            </w:r>
            <w:r>
              <w:rPr>
                <w:rFonts w:ascii="Times New Roman" w:eastAsia="Times New Roman" w:hAnsi="Times New Roman" w:cs="Times New Roman"/>
                <w:color w:val="000000"/>
                <w:spacing w:val="0"/>
                <w:w w:val="100"/>
                <w:position w:val="0"/>
              </w:rPr>
              <w:t>1</w:t>
            </w:r>
            <w:r>
              <w:rPr>
                <w:color w:val="000000"/>
                <w:spacing w:val="0"/>
                <w:w w:val="100"/>
                <w:position w:val="0"/>
              </w:rPr>
              <w:t>）错报金额〈合并财务报 表资产总额的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）错报金额＜ 合并财务报表税前利润总额的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rPr>
              <w:t>2</w:t>
            </w:r>
            <w:r>
              <w:rPr>
                <w:color w:val="000000"/>
                <w:spacing w:val="0"/>
                <w:w w:val="100"/>
                <w:position w:val="0"/>
              </w:rPr>
              <w:t>合并财务报 表税前利润总额的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；重要缺 陷：合并财务报表税前利润总额 的</w:t>
            </w:r>
            <w:r>
              <w:rPr>
                <w:rFonts w:ascii="Times New Roman" w:eastAsia="Times New Roman" w:hAnsi="Times New Roman" w:cs="Times New Roman"/>
                <w:color w:val="000000"/>
                <w:spacing w:val="0"/>
                <w:w w:val="100"/>
                <w:position w:val="0"/>
              </w:rPr>
              <w:t>5%＜</w:t>
            </w:r>
            <w:r>
              <w:rPr>
                <w:color w:val="000000"/>
                <w:spacing w:val="0"/>
                <w:w w:val="100"/>
                <w:position w:val="0"/>
              </w:rPr>
              <w:t>错报金额〈合并财务报表 税前利润总额的</w:t>
            </w:r>
            <w:r>
              <w:rPr>
                <w:rFonts w:ascii="Times New Roman" w:eastAsia="Times New Roman" w:hAnsi="Times New Roman" w:cs="Times New Roman"/>
                <w:color w:val="000000"/>
                <w:spacing w:val="0"/>
                <w:w w:val="100"/>
                <w:position w:val="0"/>
              </w:rPr>
              <w:t>10%</w:t>
            </w:r>
            <w:r>
              <w:rPr>
                <w:color w:val="000000"/>
                <w:spacing w:val="0"/>
                <w:w w:val="100"/>
                <w:position w:val="0"/>
              </w:rPr>
              <w:t>； 一般缺陷： 错报金额〈合并财务报表税前利 润总额的</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240" w:right="0" w:firstLine="0"/>
              <w:jc w:val="lef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sz w:val="24"/>
          <w:szCs w:val="24"/>
        </w:rPr>
        <w:t>2</w:t>
      </w:r>
      <w:bookmarkEnd w:id="382"/>
      <w:r>
        <w:rPr>
          <w:color w:val="000000"/>
          <w:spacing w:val="0"/>
          <w:w w:val="100"/>
          <w:position w:val="0"/>
        </w:rPr>
        <w:t>、内部控制审计报告或鉴证报告</w:t>
      </w:r>
      <w:bookmarkEnd w:id="380"/>
      <w:bookmarkEnd w:id="381"/>
      <w:bookmarkEnd w:id="383"/>
    </w:p>
    <w:p>
      <w:pPr>
        <w:pStyle w:val="Style18"/>
        <w:keepNext w:val="0"/>
        <w:keepLines w:val="0"/>
        <w:widowControl w:val="0"/>
        <w:shd w:val="clear" w:color="auto" w:fill="auto"/>
        <w:bidi w:val="0"/>
        <w:spacing w:before="0" w:after="180" w:line="439" w:lineRule="exact"/>
        <w:ind w:left="0" w:right="0" w:firstLine="480"/>
        <w:jc w:val="both"/>
      </w:pPr>
      <w:r>
        <w:rPr>
          <w:color w:val="000000"/>
          <w:spacing w:val="0"/>
          <w:w w:val="100"/>
          <w:position w:val="0"/>
        </w:rPr>
        <w:t>不适用</w:t>
      </w:r>
    </w:p>
    <w:p>
      <w:pPr>
        <w:pStyle w:val="Style29"/>
        <w:keepNext/>
        <w:keepLines/>
        <w:widowControl w:val="0"/>
        <w:shd w:val="clear" w:color="auto" w:fill="auto"/>
        <w:bidi w:val="0"/>
        <w:spacing w:before="0" w:after="280" w:line="439" w:lineRule="exact"/>
        <w:ind w:left="0" w:right="0" w:firstLine="0"/>
        <w:jc w:val="left"/>
      </w:pPr>
      <w:bookmarkStart w:id="384" w:name="bookmark384"/>
      <w:bookmarkStart w:id="385" w:name="bookmark385"/>
      <w:bookmarkStart w:id="386" w:name="bookmark386"/>
      <w:r>
        <w:rPr>
          <w:color w:val="000000"/>
          <w:spacing w:val="0"/>
          <w:w w:val="100"/>
          <w:position w:val="0"/>
        </w:rPr>
        <w:t>十七、上市公司治理专项行动自查问题整改情况</w:t>
      </w:r>
      <w:bookmarkEnd w:id="384"/>
      <w:bookmarkEnd w:id="385"/>
      <w:bookmarkEnd w:id="386"/>
    </w:p>
    <w:p>
      <w:pPr>
        <w:pStyle w:val="Style18"/>
        <w:keepNext w:val="0"/>
        <w:keepLines w:val="0"/>
        <w:widowControl w:val="0"/>
        <w:shd w:val="clear" w:color="auto" w:fill="auto"/>
        <w:bidi w:val="0"/>
        <w:spacing w:before="0" w:after="280" w:line="439" w:lineRule="exact"/>
        <w:ind w:left="0" w:right="0" w:firstLine="480"/>
        <w:jc w:val="both"/>
        <w:sectPr>
          <w:footnotePr>
            <w:pos w:val="pageBottom"/>
            <w:numFmt w:val="decimal"/>
            <w:numRestart w:val="continuous"/>
          </w:footnotePr>
          <w:pgSz w:w="11900" w:h="16840"/>
          <w:pgMar w:top="1441" w:right="1095" w:bottom="1503" w:left="1047" w:header="0" w:footer="3" w:gutter="0"/>
          <w:cols w:space="720"/>
          <w:noEndnote/>
          <w:rtlGutter w:val="0"/>
          <w:docGrid w:linePitch="360"/>
        </w:sectPr>
      </w:pPr>
      <w:r>
        <w:rPr>
          <w:color w:val="000000"/>
          <w:spacing w:val="0"/>
          <w:w w:val="100"/>
          <w:position w:val="0"/>
        </w:rPr>
        <w:t>根据监管部门的相关要求，公司于报告期内开展了上市公司治理专项自查活动，公司严 格对照着清单对公司内控体系、实际控制人行为规范、关联交易、财务管理、资金占用、对 外担保、内幕交易防控等方面进行了详细的梳理和自查。通过本次治理专项自查活动，公司 进一步明确了公司管理层和组织机构的职责界限和法律责任。公司目前已经按照《公司法》、 《证券法》、《上市公司治理准则》、《深圳证券交易所创业板上市公司规范运作指引》等相关 法律法规建立了较为完善、合理的法人治理结构及内部控制体系，但随着公司发展以及内外 部环境不断的发生变化，公司需要继续加强自身建设、规范运作，不断提高公司治理和经营 管理水平。</w:t>
      </w:r>
    </w:p>
    <w:p>
      <w:pPr>
        <w:pStyle w:val="Style10"/>
        <w:keepNext/>
        <w:keepLines/>
        <w:widowControl w:val="0"/>
        <w:shd w:val="clear" w:color="auto" w:fill="auto"/>
        <w:bidi w:val="0"/>
        <w:spacing w:before="0" w:after="560" w:line="240" w:lineRule="auto"/>
        <w:ind w:left="0" w:right="0" w:firstLine="0"/>
        <w:jc w:val="center"/>
      </w:pPr>
      <w:bookmarkStart w:id="387" w:name="bookmark387"/>
      <w:bookmarkStart w:id="388" w:name="bookmark388"/>
      <w:bookmarkStart w:id="389" w:name="bookmark389"/>
      <w:r>
        <w:rPr>
          <w:color w:val="000000"/>
          <w:spacing w:val="0"/>
          <w:w w:val="100"/>
          <w:position w:val="0"/>
        </w:rPr>
        <w:t>第五节环境和社会责任</w:t>
      </w:r>
      <w:bookmarkEnd w:id="387"/>
      <w:bookmarkEnd w:id="388"/>
      <w:bookmarkEnd w:id="389"/>
    </w:p>
    <w:p>
      <w:pPr>
        <w:pStyle w:val="Style29"/>
        <w:keepNext/>
        <w:keepLines/>
        <w:widowControl w:val="0"/>
        <w:shd w:val="clear" w:color="auto" w:fill="auto"/>
        <w:bidi w:val="0"/>
        <w:spacing w:before="0" w:after="460" w:line="240" w:lineRule="auto"/>
        <w:ind w:left="0" w:right="0" w:firstLine="0"/>
        <w:jc w:val="both"/>
      </w:pPr>
      <w:bookmarkStart w:id="390" w:name="bookmark390"/>
      <w:bookmarkStart w:id="391" w:name="bookmark391"/>
      <w:bookmarkStart w:id="392" w:name="bookmark392"/>
      <w:bookmarkStart w:id="393" w:name="bookmark393"/>
      <w:bookmarkStart w:id="394" w:name="bookmark394"/>
      <w:r>
        <w:rPr>
          <w:color w:val="000000"/>
          <w:spacing w:val="0"/>
          <w:w w:val="100"/>
          <w:position w:val="0"/>
        </w:rPr>
        <w:t>一</w:t>
      </w:r>
      <w:bookmarkEnd w:id="393"/>
      <w:r>
        <w:rPr>
          <w:color w:val="000000"/>
          <w:spacing w:val="0"/>
          <w:w w:val="100"/>
          <w:position w:val="0"/>
        </w:rPr>
        <w:t>、重大环保问题</w:t>
      </w:r>
      <w:bookmarkEnd w:id="391"/>
      <w:bookmarkEnd w:id="392"/>
      <w:bookmarkEnd w:id="394"/>
      <w:bookmarkEnd w:id="390"/>
    </w:p>
    <w:p>
      <w:pPr>
        <w:pStyle w:val="Style18"/>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80" w:line="240" w:lineRule="auto"/>
        <w:ind w:left="48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否</w:t>
      </w:r>
    </w:p>
    <w:p>
      <w:pPr>
        <w:pStyle w:val="Style25"/>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报告期内因环境问题受到行政处罚的情况</w:t>
      </w:r>
    </w:p>
    <w:tbl>
      <w:tblPr>
        <w:tblOverlap w:val="never"/>
        <w:jc w:val="center"/>
        <w:tblLayout w:type="fixed"/>
      </w:tblPr>
      <w:tblGrid>
        <w:gridCol w:w="1603"/>
        <w:gridCol w:w="1608"/>
        <w:gridCol w:w="1594"/>
        <w:gridCol w:w="1603"/>
        <w:gridCol w:w="1570"/>
        <w:gridCol w:w="1613"/>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对上市公司生产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经营的影响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line="443" w:lineRule="exact"/>
        <w:ind w:left="0" w:right="0" w:firstLine="48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line="443" w:lineRule="exact"/>
        <w:ind w:left="0" w:right="0" w:firstLine="480"/>
        <w:jc w:val="left"/>
      </w:pPr>
      <w:r>
        <w:rPr>
          <w:color w:val="000000"/>
          <w:spacing w:val="0"/>
          <w:w w:val="100"/>
          <w:position w:val="0"/>
        </w:rPr>
        <w:t>无</w:t>
      </w:r>
    </w:p>
    <w:p>
      <w:pPr>
        <w:pStyle w:val="Style18"/>
        <w:keepNext w:val="0"/>
        <w:keepLines w:val="0"/>
        <w:widowControl w:val="0"/>
        <w:shd w:val="clear" w:color="auto" w:fill="auto"/>
        <w:bidi w:val="0"/>
        <w:spacing w:before="0" w:after="200" w:line="443" w:lineRule="exact"/>
        <w:ind w:left="0" w:right="0" w:firstLine="48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86"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p>
    <w:p>
      <w:pPr>
        <w:pStyle w:val="Style18"/>
        <w:keepNext w:val="0"/>
        <w:keepLines w:val="0"/>
        <w:widowControl w:val="0"/>
        <w:shd w:val="clear" w:color="auto" w:fill="auto"/>
        <w:bidi w:val="0"/>
        <w:spacing w:before="0" w:line="443" w:lineRule="exact"/>
        <w:ind w:left="0" w:right="0" w:firstLine="480"/>
        <w:jc w:val="both"/>
      </w:pPr>
      <w:r>
        <w:rPr>
          <w:color w:val="000000"/>
          <w:spacing w:val="0"/>
          <w:w w:val="100"/>
          <w:position w:val="0"/>
        </w:rPr>
        <w:t>未披露其他环境信息的原因</w:t>
      </w:r>
    </w:p>
    <w:p>
      <w:pPr>
        <w:pStyle w:val="Style18"/>
        <w:keepNext w:val="0"/>
        <w:keepLines w:val="0"/>
        <w:widowControl w:val="0"/>
        <w:shd w:val="clear" w:color="auto" w:fill="auto"/>
        <w:bidi w:val="0"/>
        <w:spacing w:before="0" w:after="200" w:line="443" w:lineRule="exact"/>
        <w:ind w:left="0" w:right="0" w:firstLine="480"/>
        <w:jc w:val="both"/>
      </w:pPr>
      <w:r>
        <w:rPr>
          <w:color w:val="000000"/>
          <w:spacing w:val="0"/>
          <w:w w:val="100"/>
          <w:position w:val="0"/>
        </w:rPr>
        <w:t>不适用</w:t>
      </w:r>
    </w:p>
    <w:p>
      <w:pPr>
        <w:pStyle w:val="Style29"/>
        <w:keepNext/>
        <w:keepLines/>
        <w:widowControl w:val="0"/>
        <w:shd w:val="clear" w:color="auto" w:fill="auto"/>
        <w:tabs>
          <w:tab w:pos="517" w:val="left"/>
        </w:tabs>
        <w:bidi w:val="0"/>
        <w:spacing w:before="0" w:after="260" w:line="443" w:lineRule="exact"/>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二</w:t>
      </w:r>
      <w:bookmarkEnd w:id="397"/>
      <w:r>
        <w:rPr>
          <w:color w:val="000000"/>
          <w:spacing w:val="0"/>
          <w:w w:val="100"/>
          <w:position w:val="0"/>
        </w:rPr>
        <w:t>、</w:t>
        <w:tab/>
        <w:t>社会责任情况</w:t>
      </w:r>
      <w:bookmarkEnd w:id="395"/>
      <w:bookmarkEnd w:id="396"/>
      <w:bookmarkEnd w:id="398"/>
    </w:p>
    <w:p>
      <w:pPr>
        <w:pStyle w:val="Style18"/>
        <w:keepNext w:val="0"/>
        <w:keepLines w:val="0"/>
        <w:widowControl w:val="0"/>
        <w:shd w:val="clear" w:color="auto" w:fill="auto"/>
        <w:bidi w:val="0"/>
        <w:spacing w:before="0" w:line="443" w:lineRule="exact"/>
        <w:ind w:left="0" w:right="0" w:firstLine="480"/>
        <w:jc w:val="both"/>
      </w:pPr>
      <w:r>
        <w:rPr>
          <w:color w:val="000000"/>
          <w:spacing w:val="0"/>
          <w:w w:val="100"/>
          <w:position w:val="0"/>
        </w:rPr>
        <w:t>公司严格按《公司法》、《深圳证券交易所创业板股票上市规则》、《上市公司信息披露管 理办法》等相关法律法规规范要求，及时、准确、真实、完整进行信息披露工作；不断完善 内控体系及治理结构，相关经济活动严格规范操作；通过实地调研、电话、电子邮箱、公司 网站和投资者关系互动平台等多种方式与投资者进行沟通交流，提高了公司的透明度和诚信 度。</w:t>
      </w:r>
    </w:p>
    <w:p>
      <w:pPr>
        <w:pStyle w:val="Style18"/>
        <w:keepNext w:val="0"/>
        <w:keepLines w:val="0"/>
        <w:widowControl w:val="0"/>
        <w:shd w:val="clear" w:color="auto" w:fill="auto"/>
        <w:bidi w:val="0"/>
        <w:spacing w:before="0" w:after="200" w:line="418" w:lineRule="exact"/>
        <w:ind w:left="0" w:right="0" w:firstLine="480"/>
        <w:jc w:val="both"/>
      </w:pPr>
      <w:r>
        <w:rPr>
          <w:color w:val="000000"/>
          <w:spacing w:val="0"/>
          <w:w w:val="100"/>
          <w:position w:val="0"/>
        </w:rPr>
        <w:t>公司一直坚持以人为本的人才理念，严格遵守国家及地方有关劳动法律、法规的规定， 制定完善的薪酬管理制度，实施公平的绩效考核机制，定期进行职业健康安全知识培训，不 断改善员工工作条件，致力于营造一个公平竞争，积极向上，共同提升的工作环境。</w:t>
      </w:r>
    </w:p>
    <w:p>
      <w:pPr>
        <w:pStyle w:val="Style29"/>
        <w:keepNext/>
        <w:keepLines/>
        <w:widowControl w:val="0"/>
        <w:shd w:val="clear" w:color="auto" w:fill="auto"/>
        <w:tabs>
          <w:tab w:pos="522" w:val="left"/>
        </w:tabs>
        <w:bidi w:val="0"/>
        <w:spacing w:before="0" w:after="260" w:line="443"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三</w:t>
      </w:r>
      <w:bookmarkEnd w:id="401"/>
      <w:r>
        <w:rPr>
          <w:color w:val="000000"/>
          <w:spacing w:val="0"/>
          <w:w w:val="100"/>
          <w:position w:val="0"/>
        </w:rPr>
        <w:t>、</w:t>
        <w:tab/>
        <w:t>巩固拓展脱贫攻坚成果、乡村振兴的情况</w:t>
      </w:r>
      <w:bookmarkEnd w:id="399"/>
      <w:bookmarkEnd w:id="400"/>
      <w:bookmarkEnd w:id="402"/>
    </w:p>
    <w:p>
      <w:pPr>
        <w:pStyle w:val="Style18"/>
        <w:keepNext w:val="0"/>
        <w:keepLines w:val="0"/>
        <w:widowControl w:val="0"/>
        <w:shd w:val="clear" w:color="auto" w:fill="auto"/>
        <w:bidi w:val="0"/>
        <w:spacing w:before="0" w:after="200" w:line="443" w:lineRule="exact"/>
        <w:ind w:left="0" w:right="0" w:firstLine="480"/>
        <w:jc w:val="both"/>
        <w:sectPr>
          <w:footnotePr>
            <w:pos w:val="pageBottom"/>
            <w:numFmt w:val="decimal"/>
            <w:numRestart w:val="continuous"/>
          </w:footnotePr>
          <w:pgSz w:w="11900" w:h="16840"/>
          <w:pgMar w:top="1969" w:right="1152" w:bottom="1969" w:left="1109"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500" w:after="580" w:line="240" w:lineRule="auto"/>
        <w:ind w:left="0" w:right="0" w:firstLine="0"/>
        <w:jc w:val="center"/>
      </w:pPr>
      <w:bookmarkStart w:id="403" w:name="bookmark403"/>
      <w:bookmarkStart w:id="404" w:name="bookmark404"/>
      <w:bookmarkStart w:id="405" w:name="bookmark405"/>
      <w:r>
        <w:rPr>
          <w:color w:val="000000"/>
          <w:spacing w:val="0"/>
          <w:w w:val="100"/>
          <w:position w:val="0"/>
        </w:rPr>
        <w:t>第六节重要事项</w:t>
      </w:r>
      <w:bookmarkEnd w:id="403"/>
      <w:bookmarkEnd w:id="404"/>
      <w:bookmarkEnd w:id="405"/>
    </w:p>
    <w:p>
      <w:pPr>
        <w:pStyle w:val="Style29"/>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bookmarkStart w:id="409" w:name="bookmark409"/>
      <w:bookmarkStart w:id="410" w:name="bookmark410"/>
      <w:r>
        <w:rPr>
          <w:color w:val="000000"/>
          <w:spacing w:val="0"/>
          <w:w w:val="100"/>
          <w:position w:val="0"/>
        </w:rPr>
        <w:t>一</w:t>
      </w:r>
      <w:bookmarkEnd w:id="409"/>
      <w:r>
        <w:rPr>
          <w:color w:val="000000"/>
          <w:spacing w:val="0"/>
          <w:w w:val="100"/>
          <w:position w:val="0"/>
        </w:rPr>
        <w:t>、承诺事项履行情况</w:t>
      </w:r>
      <w:bookmarkEnd w:id="407"/>
      <w:bookmarkEnd w:id="408"/>
      <w:bookmarkEnd w:id="410"/>
      <w:bookmarkEnd w:id="406"/>
    </w:p>
    <w:p>
      <w:pPr>
        <w:pStyle w:val="Style32"/>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sz w:val="24"/>
          <w:szCs w:val="24"/>
        </w:rPr>
        <w:t>1</w:t>
      </w:r>
      <w:bookmarkEnd w:id="413"/>
      <w:r>
        <w:rPr>
          <w:color w:val="000000"/>
          <w:spacing w:val="0"/>
          <w:w w:val="100"/>
          <w:position w:val="0"/>
        </w:rPr>
        <w:t>、公司实际控制人、股东、关联方、收购人以及公司等承诺相关方在报告期内履行完毕及截至报告期末尚未履行完毕的承诺事项</w:t>
      </w:r>
      <w:bookmarkEnd w:id="411"/>
      <w:bookmarkEnd w:id="412"/>
      <w:bookmarkEnd w:id="414"/>
    </w:p>
    <w:p>
      <w:pPr>
        <w:pStyle w:val="Style25"/>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2266"/>
        <w:gridCol w:w="1416"/>
        <w:gridCol w:w="5530"/>
        <w:gridCol w:w="1277"/>
        <w:gridCol w:w="1133"/>
        <w:gridCol w:w="1094"/>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33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42"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资产重组时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邓志刚；刘屹；卢春明； 王永业；尹健；尹力光； 张小波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的承诺</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为有效避免同业竞争，上市公司实际控制人邓志刚、王永业、 张小波、刘屹、尹健、卢春明、陈西平、尹力光等八位一致 行动人出具《关于避免同业竞争的承诺函》，承诺：（</w:t>
            </w:r>
            <w:r>
              <w:rPr>
                <w:rFonts w:ascii="Times New Roman" w:eastAsia="Times New Roman" w:hAnsi="Times New Roman" w:cs="Times New Roman"/>
                <w:color w:val="000000"/>
                <w:spacing w:val="0"/>
                <w:w w:val="100"/>
                <w:position w:val="0"/>
              </w:rPr>
              <w:t>1</w:t>
            </w:r>
            <w:r>
              <w:rPr>
                <w:color w:val="000000"/>
                <w:spacing w:val="0"/>
                <w:w w:val="100"/>
                <w:position w:val="0"/>
              </w:rPr>
              <w:t>）承诺 人已向中元华电准确、全面地披露了承诺人直接或间接持有 的其他经营主体（中元华电控制的经营主体除外）的股权或 权益情况；承诺人未在与中元华电存在同业竞争的其他经济 主体中担任董事、高级管理人员或核心技术人员；承诺人及 承诺人所拥有控制权的其他经营主体未以任何其他方式直接 或间接从事与中元华电相竞争的业务。（</w:t>
            </w:r>
            <w:r>
              <w:rPr>
                <w:rFonts w:ascii="Times New Roman" w:eastAsia="Times New Roman" w:hAnsi="Times New Roman" w:cs="Times New Roman"/>
                <w:color w:val="000000"/>
                <w:spacing w:val="0"/>
                <w:w w:val="100"/>
                <w:position w:val="0"/>
              </w:rPr>
              <w:t>2</w:t>
            </w:r>
            <w:r>
              <w:rPr>
                <w:color w:val="000000"/>
                <w:spacing w:val="0"/>
                <w:w w:val="100"/>
                <w:position w:val="0"/>
              </w:rPr>
              <w:t>）在承诺人作为中 元华电实际控制人或担任董事、监事、高级管理人员期间， 承诺人不自营、直接或间接通过承诺人所拥有控制权的其他 经营主体经营与中元华电业务相同或相似的业务；不在与中 元华电业务相同或相似的任何经营实体中任职或者担任任何 形式的顾问；不以其他任何方式协助任何第三方经营与中元 华电业务相同或相似的业务。（</w:t>
            </w:r>
            <w:r>
              <w:rPr>
                <w:rFonts w:ascii="Times New Roman" w:eastAsia="Times New Roman" w:hAnsi="Times New Roman" w:cs="Times New Roman"/>
                <w:color w:val="000000"/>
                <w:spacing w:val="0"/>
                <w:w w:val="100"/>
                <w:position w:val="0"/>
              </w:rPr>
              <w:t>3</w:t>
            </w:r>
            <w:r>
              <w:rPr>
                <w:color w:val="000000"/>
                <w:spacing w:val="0"/>
                <w:w w:val="100"/>
                <w:position w:val="0"/>
              </w:rPr>
              <w:t>）在承诺人作为中元华电的</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6010"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实际控制人或担任董事、监事、高级管理人员期间，如承诺 人及承诺人所拥有控制权的其他经营主体从事或参与任何可 能与中元华电的业务构成竞争的经营活动，则承诺人将立即 通知中元华电，并优先将该商业机会给予中元华电，避免与 中元华电业务构成同业竞争或潜在同业竞争，以确保中元华 电及其他股东利益不受损害。（</w:t>
            </w:r>
            <w:r>
              <w:rPr>
                <w:rFonts w:ascii="Times New Roman" w:eastAsia="Times New Roman" w:hAnsi="Times New Roman" w:cs="Times New Roman"/>
                <w:color w:val="000000"/>
                <w:spacing w:val="0"/>
                <w:w w:val="100"/>
                <w:position w:val="0"/>
              </w:rPr>
              <w:t>4</w:t>
            </w:r>
            <w:r>
              <w:rPr>
                <w:color w:val="000000"/>
                <w:spacing w:val="0"/>
                <w:w w:val="100"/>
                <w:position w:val="0"/>
              </w:rPr>
              <w:t>）如果承诺人违反上述承诺, 中元华电依据其董事会所作出的决议（关联董事应回避表决） 或者股东大会作出的决议（关联股东应回避表决），有权要求 承诺人及承诺人所拥有控制权的其他经营主体停止相应的经 济活动或行为，并将已经形成的有关权益、可得利益或者合 同项下的权利义务转让给独立第三方或者按照公允价值转让 给中元华电或其指定的第三方；承诺人将按照或促使承诺人 所拥有控制权的其他经营主体按照中元华电的要求实施相关 行为；造成中元华电经济损失的，承诺人将赔偿中元华电因 此受到的全部损失。（</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）承诺人未能履行上述第四项承诺的， 中元华电有权相应扣减应付承诺人的现金分红及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 酬（如有）；在上述第四项所述承诺全部履行完成前，承诺人 亦不转让承诺人所直接或间接所持的中元华电的股份，但为 履行第四项所述承诺而进行转让的除外。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94"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傅多；徐福轩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世轩科技实际控制人徐福轩、傅多出具《关于避免同业竞争 的承诺函》，承诺：（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）截至本承诺函出具之日，承诺人及承 诺人所拥有控制权的其他经营主体未以直接或间接方式从事 与中元华电、世轩科技（包括其附属企业，下同）现有业务 相同或相似的业务；承诺人未在与中元华电、世轩科技现有 业务相同或相似的任何经营实体中任职或担任任何形式的顾 问；未以其他任何方式协助任何第三方经营与中元华电、世 轩科技现有业务相同或相似的业务。（</w:t>
            </w:r>
            <w:r>
              <w:rPr>
                <w:rFonts w:ascii="Times New Roman" w:eastAsia="Times New Roman" w:hAnsi="Times New Roman" w:cs="Times New Roman"/>
                <w:color w:val="000000"/>
                <w:spacing w:val="0"/>
                <w:w w:val="100"/>
                <w:position w:val="0"/>
              </w:rPr>
              <w:t>2</w:t>
            </w:r>
            <w:r>
              <w:rPr>
                <w:color w:val="000000"/>
                <w:spacing w:val="0"/>
                <w:w w:val="100"/>
                <w:position w:val="0"/>
              </w:rPr>
              <w:t>）承诺人保证，在承 诺人作为中元华电股东、董事、监事、高级管理人员期间， 承诺人不自营、直接或间接通过承诺人所拥有控制权的其他 经营主体经营与中元华电业务相同或相似的业务；不在与中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6634"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元华电业务相同或相似的任何经营实体中任职或者担任任何 形式的顾问；不以其他任何方式协助任何第三方经营与中元 华电业务相同或相似的业务。（</w:t>
            </w:r>
            <w:r>
              <w:rPr>
                <w:rFonts w:ascii="Times New Roman" w:eastAsia="Times New Roman" w:hAnsi="Times New Roman" w:cs="Times New Roman"/>
                <w:color w:val="000000"/>
                <w:spacing w:val="0"/>
                <w:w w:val="100"/>
                <w:position w:val="0"/>
              </w:rPr>
              <w:t>3</w:t>
            </w:r>
            <w:r>
              <w:rPr>
                <w:color w:val="000000"/>
                <w:spacing w:val="0"/>
                <w:w w:val="100"/>
                <w:position w:val="0"/>
              </w:rPr>
              <w:t>）在承诺人作为中元华电股 东、董事、监事、高级管理人员期间，如承诺人及承诺人所 拥有控制权的其他经营主体从事或参与任何可能与中元华电 的业务构成竞争的经营活动，则承诺人将立即通知中元华电， 并优先将该商业机会给予中元华电，避免与中元华电业务构 成同业竞争或潜在同业竞争，以确保中元华电及其他股东利 益不受损害。（</w:t>
            </w:r>
            <w:r>
              <w:rPr>
                <w:rFonts w:ascii="Times New Roman" w:eastAsia="Times New Roman" w:hAnsi="Times New Roman" w:cs="Times New Roman"/>
                <w:color w:val="000000"/>
                <w:spacing w:val="0"/>
                <w:w w:val="100"/>
                <w:position w:val="0"/>
              </w:rPr>
              <w:t>4</w:t>
            </w:r>
            <w:r>
              <w:rPr>
                <w:color w:val="000000"/>
                <w:spacing w:val="0"/>
                <w:w w:val="100"/>
                <w:position w:val="0"/>
              </w:rPr>
              <w:t>）如果承诺人违反上述承诺，中元华电有权 要求承诺人及承诺人所拥有控制权的其他经营主体停止相应 的经济活动或行为，并将已经形成的有关权益、可得利益或 者合同项下的权利、义务转让给独立第三方或按公允价值转 让给中元华电或其指定的第三方；承诺人将按照或促使承诺 人所拥有控制权的其他经营主体按照中元华电的要求实施相 关行为；如因违反上述承诺造成中元华电经济损失的，承诺 人将与其他承诺人对中元华电由此遭受的全部损失承担连带 赔偿责任。（</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）承诺人未能履行上述第四项承诺的，中元华 电有权相应扣减应付承诺人的现金分红及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或税后薪酬</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rFonts w:ascii="Times New Roman" w:eastAsia="Times New Roman" w:hAnsi="Times New Roman" w:cs="Times New Roman"/>
                <w:color w:val="000000"/>
                <w:spacing w:val="0"/>
                <w:w w:val="100"/>
                <w:position w:val="0"/>
              </w:rPr>
              <w:t>）</w:t>
            </w:r>
            <w:r>
              <w:rPr>
                <w:color w:val="000000"/>
                <w:spacing w:val="0"/>
                <w:w w:val="100"/>
                <w:position w:val="0"/>
              </w:rPr>
              <w:t>；在相应的承诺完全履行前，承诺人不得转让直接或间接 所持的中元华电股份，但为履行上述第四项承诺而进行转让 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70"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邓志刚；刘屹；卢春明； 王永业；尹健；尹力光； 张小波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为有效规范关联交易，上市公司实际控制人邓志刚、王永业、 张小波、刘屹、尹健、卢春明、陈西平、尹力光等八位一致 行动人出具了《关于规范关联交易的承诺函》，承诺：（</w:t>
            </w:r>
            <w:r>
              <w:rPr>
                <w:rFonts w:ascii="Times New Roman" w:eastAsia="Times New Roman" w:hAnsi="Times New Roman" w:cs="Times New Roman"/>
                <w:color w:val="000000"/>
                <w:spacing w:val="0"/>
                <w:w w:val="100"/>
                <w:position w:val="0"/>
              </w:rPr>
              <w:t>1</w:t>
            </w:r>
            <w:r>
              <w:rPr>
                <w:color w:val="000000"/>
                <w:spacing w:val="0"/>
                <w:w w:val="100"/>
                <w:position w:val="0"/>
              </w:rPr>
              <w:t>）本 次交易完成后，承诺人将避免一切非法占用中元华电资金、 资产的行为，在任何情况下，不要求中元华电向承诺人及承 诺人所拥有控制权的其他经营主体提供任何形式的担保。（</w:t>
            </w:r>
            <w:r>
              <w:rPr>
                <w:rFonts w:ascii="Times New Roman" w:eastAsia="Times New Roman" w:hAnsi="Times New Roman" w:cs="Times New Roman"/>
                <w:color w:val="000000"/>
                <w:spacing w:val="0"/>
                <w:w w:val="100"/>
                <w:position w:val="0"/>
              </w:rPr>
              <w:t xml:space="preserve">2） </w:t>
            </w:r>
            <w:r>
              <w:rPr>
                <w:color w:val="000000"/>
                <w:spacing w:val="0"/>
                <w:w w:val="100"/>
                <w:position w:val="0"/>
              </w:rPr>
              <w:t>本次交易完成后，承诺人将尽可能地减少并避免承诺人及承 诺人所拥有控制权的其他经营主体与中元华电发生关联交 易；对无法避免或存在合理原因而发生的关联交易，承诺人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6634"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及承诺人所拥有控制权的其他经营主体将遵循</w:t>
            </w:r>
            <w:r>
              <w:rPr>
                <w:rFonts w:ascii="Times New Roman" w:eastAsia="Times New Roman" w:hAnsi="Times New Roman" w:cs="Times New Roman"/>
                <w:color w:val="000000"/>
                <w:spacing w:val="0"/>
                <w:w w:val="100"/>
                <w:position w:val="0"/>
              </w:rPr>
              <w:t>"</w:t>
            </w:r>
            <w:r>
              <w:rPr>
                <w:color w:val="000000"/>
                <w:spacing w:val="0"/>
                <w:w w:val="100"/>
                <w:position w:val="0"/>
              </w:rPr>
              <w:t>等价有偿、平 等互利</w:t>
            </w:r>
            <w:r>
              <w:rPr>
                <w:rFonts w:ascii="Times New Roman" w:eastAsia="Times New Roman" w:hAnsi="Times New Roman" w:cs="Times New Roman"/>
                <w:color w:val="000000"/>
                <w:spacing w:val="0"/>
                <w:w w:val="100"/>
                <w:position w:val="0"/>
              </w:rPr>
              <w:t>"</w:t>
            </w:r>
            <w:r>
              <w:rPr>
                <w:color w:val="000000"/>
                <w:spacing w:val="0"/>
                <w:w w:val="100"/>
                <w:position w:val="0"/>
              </w:rPr>
              <w:t>的原则，依法与中元华电签订关联交易协议，严格按 相关规定履行必要的关联董事</w:t>
            </w:r>
            <w:r>
              <w:rPr>
                <w:rFonts w:ascii="Times New Roman" w:eastAsia="Times New Roman" w:hAnsi="Times New Roman" w:cs="Times New Roman"/>
                <w:color w:val="000000"/>
                <w:spacing w:val="0"/>
                <w:w w:val="100"/>
                <w:position w:val="0"/>
              </w:rPr>
              <w:t>/</w:t>
            </w:r>
            <w:r>
              <w:rPr>
                <w:color w:val="000000"/>
                <w:spacing w:val="0"/>
                <w:w w:val="100"/>
                <w:position w:val="0"/>
              </w:rPr>
              <w:t>关联股东回避表决等义务，遵 守批准关联交易的法定程序和信息披露义务。（</w:t>
            </w:r>
            <w:r>
              <w:rPr>
                <w:rFonts w:ascii="Times New Roman" w:eastAsia="Times New Roman" w:hAnsi="Times New Roman" w:cs="Times New Roman"/>
                <w:color w:val="000000"/>
                <w:spacing w:val="0"/>
                <w:w w:val="100"/>
                <w:position w:val="0"/>
              </w:rPr>
              <w:t>3</w:t>
            </w:r>
            <w:r>
              <w:rPr>
                <w:color w:val="000000"/>
                <w:spacing w:val="0"/>
                <w:w w:val="100"/>
                <w:position w:val="0"/>
              </w:rPr>
              <w:t>）承诺人将 按照或促使承诺人所拥有控制权的其他经营主体按照正常的 商业条件严格和善意地进行上述关联交易；承诺人及承诺人 所拥有控制权的其他经营主体将不会要求或接受中元华电给 予比在任何一项市场公平交易中第三者更优惠的条件，也不 会向中元华电谋求任何超出该等交易以外的利益或收益，保 证不通过关联交易损害中元华电及其他股东的合法权益。（</w:t>
            </w:r>
            <w:r>
              <w:rPr>
                <w:rFonts w:ascii="Times New Roman" w:eastAsia="Times New Roman" w:hAnsi="Times New Roman" w:cs="Times New Roman"/>
                <w:color w:val="000000"/>
                <w:spacing w:val="0"/>
                <w:w w:val="100"/>
                <w:position w:val="0"/>
              </w:rPr>
              <w:t xml:space="preserve">4） </w:t>
            </w:r>
            <w:r>
              <w:rPr>
                <w:color w:val="000000"/>
                <w:spacing w:val="0"/>
                <w:w w:val="100"/>
                <w:position w:val="0"/>
              </w:rPr>
              <w:t>如果承诺人违反上述承诺，中元华电有权要求承诺人及承诺 人所拥有控制权的其他经营主体规范相应的关联交易行为， 并将已经从关联交易中获得的利益、收益以现金方式补偿给 中元华电；承诺人将按照或促使承诺人所拥有控制权的其他 经营主体按照中元华电的要求实施相关行为；如因违反上述 承诺造成中元华电经济损失的，承诺人将对中元华电由此遭 受的全部损失承担连带赔偿责任。（</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）承诺人未能履行上述 第四项承诺的，中元华电有权相应扣减应付承诺人的现金分 红及</w:t>
            </w:r>
            <w:r>
              <w:rPr>
                <w:rFonts w:ascii="Times New Roman" w:eastAsia="Times New Roman" w:hAnsi="Times New Roman" w:cs="Times New Roman"/>
                <w:color w:val="000000"/>
                <w:spacing w:val="0"/>
                <w:w w:val="100"/>
                <w:position w:val="0"/>
              </w:rPr>
              <w:t>/</w:t>
            </w:r>
            <w:r>
              <w:rPr>
                <w:color w:val="000000"/>
                <w:spacing w:val="0"/>
                <w:w w:val="100"/>
                <w:position w:val="0"/>
              </w:rPr>
              <w:t>或税后薪酬</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；在相应的承诺完全履行前，承诺人 不得转让直接或间接所持的中元华电股份，但为履行上述第 四项承诺而进行转让的除外。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70"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徐福轩；傅多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关于关联交易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世轩科技实际控制人徐福轩、傅多出具《关于规范关联交易 的承诺函》，承诺：（</w:t>
            </w:r>
            <w:r>
              <w:rPr>
                <w:rFonts w:ascii="Times New Roman" w:eastAsia="Times New Roman" w:hAnsi="Times New Roman" w:cs="Times New Roman"/>
                <w:color w:val="000000"/>
                <w:spacing w:val="0"/>
                <w:w w:val="100"/>
                <w:position w:val="0"/>
              </w:rPr>
              <w:t>1</w:t>
            </w:r>
            <w:r>
              <w:rPr>
                <w:color w:val="000000"/>
                <w:spacing w:val="0"/>
                <w:w w:val="100"/>
                <w:position w:val="0"/>
              </w:rPr>
              <w:t>）本次交易完成后，承诺人将避免一切 非法占用中元华电资金、资产的行为，在任何情况下，不要 求中元华电向承诺人及承诺人所拥有控制权的其他经营主体 提供任何形式的担保。（</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）本次交易完成后，承诺人将尽可 能地减少并避免承诺人及承诺人所拥有控制权的其他经营主 体与中元华电发生关联交易；对无法避免或存在合理原因而 发生的关联交易，承诺人及承诺人所拥有控制权的其他经营 主体将遵循</w:t>
            </w:r>
            <w:r>
              <w:rPr>
                <w:rFonts w:ascii="Times New Roman" w:eastAsia="Times New Roman" w:hAnsi="Times New Roman" w:cs="Times New Roman"/>
                <w:color w:val="000000"/>
                <w:spacing w:val="0"/>
                <w:w w:val="100"/>
                <w:position w:val="0"/>
              </w:rPr>
              <w:t>"</w:t>
            </w:r>
            <w:r>
              <w:rPr>
                <w:color w:val="000000"/>
                <w:spacing w:val="0"/>
                <w:w w:val="100"/>
                <w:position w:val="0"/>
              </w:rPr>
              <w:t>等价有偿、平等互利</w:t>
            </w:r>
            <w:r>
              <w:rPr>
                <w:rFonts w:ascii="Times New Roman" w:eastAsia="Times New Roman" w:hAnsi="Times New Roman" w:cs="Times New Roman"/>
                <w:color w:val="000000"/>
                <w:spacing w:val="0"/>
                <w:w w:val="100"/>
                <w:position w:val="0"/>
              </w:rPr>
              <w:t>"</w:t>
            </w:r>
            <w:r>
              <w:rPr>
                <w:color w:val="000000"/>
                <w:spacing w:val="0"/>
                <w:w w:val="100"/>
                <w:position w:val="0"/>
              </w:rPr>
              <w:t>的原则，依法与中元华电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6010"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签订关联交易协议，严格按相关规定履行必要的关联董事</w:t>
            </w:r>
            <w:r>
              <w:rPr>
                <w:rFonts w:ascii="Times New Roman" w:eastAsia="Times New Roman" w:hAnsi="Times New Roman" w:cs="Times New Roman"/>
                <w:color w:val="000000"/>
                <w:spacing w:val="0"/>
                <w:w w:val="100"/>
                <w:position w:val="0"/>
              </w:rPr>
              <w:t xml:space="preserve">/ </w:t>
            </w:r>
            <w:r>
              <w:rPr>
                <w:color w:val="000000"/>
                <w:spacing w:val="0"/>
                <w:w w:val="100"/>
                <w:position w:val="0"/>
              </w:rPr>
              <w:t>关联股东回避表决等义务，遵守批准关联交易的法定程序和 信息披露义务。（</w:t>
            </w:r>
            <w:r>
              <w:rPr>
                <w:rFonts w:ascii="Times New Roman" w:eastAsia="Times New Roman" w:hAnsi="Times New Roman" w:cs="Times New Roman"/>
                <w:color w:val="000000"/>
                <w:spacing w:val="0"/>
                <w:w w:val="100"/>
                <w:position w:val="0"/>
              </w:rPr>
              <w:t>3</w:t>
            </w:r>
            <w:r>
              <w:rPr>
                <w:color w:val="000000"/>
                <w:spacing w:val="0"/>
                <w:w w:val="100"/>
                <w:position w:val="0"/>
              </w:rPr>
              <w:t>）承诺人将按照或促使承诺人所拥有控制 权的其他经营主体按照正常的商业条件严格和善意地进行上 述关联交易；承诺人及承诺人所拥有控制权的其他经营主体 将不会要求或接受中元华电给予比在任何一项市场公平交易 中第三者更优惠的条件，也不会向中元华电谋求任何超出该 等交易以外的利益或收益，保证不通过关联交易损害中元华 电及其他股东的合法权益。（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）如果承诺人违反上述承诺， 中元华电有权要求承诺人及承诺人所拥有控制权的其他经营 主体规范相应的关联交易行为，并将已经从关联交易中获得 的利益、收益以现金方式补偿给中元华电；承诺人将按照或 促使承诺人所拥有控制权的其他经营主体按照中元华电的要 求实施相关行为；如因违反上述承诺造成中元华电经济损失 的，承诺人将对中元华电由此遭受的全部损失承担连带赔偿 责任。（</w:t>
            </w:r>
            <w:r>
              <w:rPr>
                <w:rFonts w:ascii="Times New Roman" w:eastAsia="Times New Roman" w:hAnsi="Times New Roman" w:cs="Times New Roman"/>
                <w:color w:val="000000"/>
                <w:spacing w:val="0"/>
                <w:w w:val="100"/>
                <w:position w:val="0"/>
              </w:rPr>
              <w:t>5</w:t>
            </w:r>
            <w:r>
              <w:rPr>
                <w:color w:val="000000"/>
                <w:spacing w:val="0"/>
                <w:w w:val="100"/>
                <w:position w:val="0"/>
              </w:rPr>
              <w:t>）承诺人未能履行上述第四项承诺的，中元华电有 权相应扣减应付承诺人的现金分红及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或税后薪酬</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；在 相应的承诺完全履行前，承诺人不得转让直接或间接所持的 中元华电股份，但为履行上述第四项承诺而进行转让的除外。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94"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邓志刚；刘屹；卢春明； 王永业；尹健；尹力光； 张小波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本次交易完成后，承诺人仍将持续作为中元华电的实际控制 人，为维护中元华电生产经营的独立性及其他股东的合法权 益，承诺人承诺如下：一</w:t>
            </w:r>
            <w:r>
              <w:rPr>
                <w:rFonts w:ascii="Times New Roman" w:eastAsia="Times New Roman" w:hAnsi="Times New Roman" w:cs="Times New Roman"/>
                <w:color w:val="000000"/>
                <w:spacing w:val="0"/>
                <w:w w:val="100"/>
                <w:position w:val="0"/>
              </w:rPr>
              <w:t>.</w:t>
            </w:r>
            <w:r>
              <w:rPr>
                <w:color w:val="000000"/>
                <w:spacing w:val="0"/>
                <w:w w:val="100"/>
                <w:position w:val="0"/>
              </w:rPr>
              <w:t>承诺人将促使承诺人所拥有控制 权的其他经营主体（除中元华电及附属企业外，下同）与中 元华电（包括其附属企业，本次交易完成后亦包括世轩科技 及其附属企业，下同）保持独立，以维护中元华电的独立性, 维护中元华电及其中小股东的利益，具体包括但不限于：（一） 人员独立</w:t>
            </w:r>
            <w:r>
              <w:rPr>
                <w:rFonts w:ascii="Times New Roman" w:eastAsia="Times New Roman" w:hAnsi="Times New Roman" w:cs="Times New Roman"/>
                <w:color w:val="000000"/>
                <w:spacing w:val="0"/>
                <w:w w:val="100"/>
                <w:position w:val="0"/>
              </w:rPr>
              <w:t>1.</w:t>
            </w:r>
            <w:r>
              <w:rPr>
                <w:color w:val="000000"/>
                <w:spacing w:val="0"/>
                <w:w w:val="100"/>
                <w:position w:val="0"/>
              </w:rPr>
              <w:t>保证承诺人所拥有控制权的其他经营主体不聘 用中元华电的总经理、副总经理、财务总监、董事会秘书等 高级管理人员，且不向其发放薪酬。</w:t>
            </w:r>
            <w:r>
              <w:rPr>
                <w:rFonts w:ascii="Times New Roman" w:eastAsia="Times New Roman" w:hAnsi="Times New Roman" w:cs="Times New Roman"/>
                <w:color w:val="000000"/>
                <w:spacing w:val="0"/>
                <w:w w:val="100"/>
                <w:position w:val="0"/>
              </w:rPr>
              <w:t>2.</w:t>
            </w:r>
            <w:r>
              <w:rPr>
                <w:color w:val="000000"/>
                <w:spacing w:val="0"/>
                <w:w w:val="100"/>
                <w:position w:val="0"/>
              </w:rPr>
              <w:t>保证承诺人所拥有控 制权的其他经营主体不聘用中元华电的财务人员作为兼职人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pStyle w:val="Style18"/>
        <w:keepNext w:val="0"/>
        <w:keepLines w:val="0"/>
        <w:widowControl w:val="0"/>
        <w:shd w:val="clear" w:color="auto" w:fill="auto"/>
        <w:bidi w:val="0"/>
        <w:spacing w:before="0" w:after="0" w:line="312" w:lineRule="exact"/>
        <w:ind w:left="5020" w:right="0" w:firstLine="0"/>
        <w:jc w:val="both"/>
        <w:rPr>
          <w:sz w:val="20"/>
          <w:szCs w:val="20"/>
        </w:rPr>
      </w:pPr>
      <w:r>
        <w:rPr>
          <w:color w:val="000000"/>
          <w:spacing w:val="0"/>
          <w:w w:val="100"/>
          <w:position w:val="0"/>
          <w:sz w:val="20"/>
          <w:szCs w:val="20"/>
        </w:rPr>
        <w:t>员，且不向其发放报酬。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保证中元华电的劳动、人事及薪; 酬管理体系和承诺人所拥有控制权的其他经营主体之间完全: 独立。（二）资产独立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保证中元华电合法拥有和运营的资: 产和承诺人所拥有控制权的其他经营主体之间完全独立。</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保证承诺人所拥有控制权的其他经营主体不以任何方式违法: 违规占有中元华电的资金、资产。</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保证中元华电不以其资: 产为承诺人或承诺人所拥有控制权的其他经营主体的债务提: 供担保。（三）财务独立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保证中元华电的财务部门和财务: 核算体系完全独立于承诺人所拥有控制权的其他经营主体。</w:t>
      </w:r>
    </w:p>
    <w:p>
      <w:pPr>
        <w:pStyle w:val="Style18"/>
        <w:keepNext w:val="0"/>
        <w:keepLines w:val="0"/>
        <w:widowControl w:val="0"/>
        <w:shd w:val="clear" w:color="auto" w:fill="auto"/>
        <w:bidi w:val="0"/>
        <w:spacing w:before="0" w:after="0" w:line="312" w:lineRule="exact"/>
        <w:ind w:left="502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保证中元华电的财务会计制度、财务管理制度完全独立于: 承诺人所拥有控制权的其他经营主体。</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保证中元华电不与: 承诺人所拥有控制权的其他经营主体共用一个银行账户。</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保证承诺人所拥有控制权的其他经营主体不通过违法、违规: 的方式干预中元华电的独立财务决策和资金使用调度。</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保: 证中元华电的税款缴纳独立于承诺人所拥有控制权的其他经: 营主体。（四）机构独立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保证承诺人所拥有控制权的其他: 经营主体与中元华电之间不发生机构混同的情形，促使中元: 华电建立、健全股份公司法人治理结构，并拥有独立、完整: 的组织机构。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除依法行使股东权利和按照在中元华电所任: 职务（如有）行使相应职权外，保证不通过违法、违规的方: 式干涉中元华电的股东大会、董事会、独立董事、监事会、 总经理等依照法律、法规和公司章程独立行使其职权。（五〉 业务独立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保证中元华电开展经营活动的资产、人员、资质: 不与承诺人所拥有控制权的其他经营主体发生混同，促使中: 元华电不断提高其面向市场独立自主持续经营的能力。</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 证承诺人除依法行使股东权利和按照在中元华电所任职务</w:t>
      </w:r>
    </w:p>
    <w:p>
      <w:pPr>
        <w:pStyle w:val="Style18"/>
        <w:keepNext w:val="0"/>
        <w:keepLines w:val="0"/>
        <w:widowControl w:val="0"/>
        <w:shd w:val="clear" w:color="auto" w:fill="auto"/>
        <w:bidi w:val="0"/>
        <w:spacing w:before="0" w:after="0" w:line="312" w:lineRule="exact"/>
        <w:ind w:left="5020" w:right="0" w:firstLine="0"/>
        <w:jc w:val="both"/>
        <w:rPr>
          <w:sz w:val="20"/>
          <w:szCs w:val="20"/>
        </w:rPr>
      </w:pPr>
      <w:r>
        <w:rPr>
          <w:color w:val="000000"/>
          <w:spacing w:val="0"/>
          <w:w w:val="100"/>
          <w:position w:val="0"/>
          <w:sz w:val="20"/>
          <w:szCs w:val="20"/>
        </w:rPr>
        <w:t>（如有）行使相应职权之外，不对中元华电的业务活动进行: 干预。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保证尽量减少承诺人所拥有控制权的其他经营主体: 与中元华电的关联交易，无法避免的关联交易则按照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公开、 公平、公正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的原则依法进行，承诺人并将严格遵守承诺人所:</w:t>
      </w:r>
      <w:r>
        <w:br w:type="page"/>
      </w:r>
    </w:p>
    <w:tbl>
      <w:tblPr>
        <w:tblOverlap w:val="never"/>
        <w:jc w:val="center"/>
        <w:tblLayout w:type="fixed"/>
      </w:tblPr>
      <w:tblGrid>
        <w:gridCol w:w="1310"/>
        <w:gridCol w:w="2266"/>
        <w:gridCol w:w="1421"/>
        <w:gridCol w:w="5530"/>
        <w:gridCol w:w="1277"/>
        <w:gridCol w:w="1133"/>
        <w:gridCol w:w="1118"/>
      </w:tblGrid>
      <w:tr>
        <w:trPr>
          <w:trHeight w:val="4762"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出具的《关于规范关联交易的承诺函》。（六）保证中元华电 在其他方面与承诺人所拥有控制权的其他经营主体保持独 立。二</w:t>
            </w:r>
            <w:r>
              <w:rPr>
                <w:rFonts w:ascii="Times New Roman" w:eastAsia="Times New Roman" w:hAnsi="Times New Roman" w:cs="Times New Roman"/>
                <w:color w:val="000000"/>
                <w:spacing w:val="0"/>
                <w:w w:val="100"/>
                <w:position w:val="0"/>
              </w:rPr>
              <w:t>.</w:t>
            </w:r>
            <w:r>
              <w:rPr>
                <w:color w:val="000000"/>
                <w:spacing w:val="0"/>
                <w:w w:val="100"/>
                <w:position w:val="0"/>
              </w:rPr>
              <w:t>承诺人亦将依法行使承诺人作为中元华电的股东的 权利，并按照在中元华电所任职务（如有）行使相应职权， 促使中元华电规范运作，在人员、资产、财务、机构、业务 和其他方面独立运作。三</w:t>
            </w:r>
            <w:r>
              <w:rPr>
                <w:rFonts w:ascii="Times New Roman" w:eastAsia="Times New Roman" w:hAnsi="Times New Roman" w:cs="Times New Roman"/>
                <w:color w:val="000000"/>
                <w:spacing w:val="0"/>
                <w:w w:val="100"/>
                <w:position w:val="0"/>
              </w:rPr>
              <w:t>.</w:t>
            </w:r>
            <w:r>
              <w:rPr>
                <w:color w:val="000000"/>
                <w:spacing w:val="0"/>
                <w:w w:val="100"/>
                <w:position w:val="0"/>
              </w:rPr>
              <w:t>如因违反上述承诺，承诺人将赔 偿由此给中元华电造成的全部损失。四</w:t>
            </w:r>
            <w:r>
              <w:rPr>
                <w:rFonts w:ascii="Times New Roman" w:eastAsia="Times New Roman" w:hAnsi="Times New Roman" w:cs="Times New Roman"/>
                <w:color w:val="000000"/>
                <w:spacing w:val="0"/>
                <w:w w:val="100"/>
                <w:position w:val="0"/>
              </w:rPr>
              <w:t>.</w:t>
            </w:r>
            <w:r>
              <w:rPr>
                <w:color w:val="000000"/>
                <w:spacing w:val="0"/>
                <w:w w:val="100"/>
                <w:position w:val="0"/>
              </w:rPr>
              <w:t>如承诺人未能遵守 第三项所述的赔偿损失的承诺的，则中元华电有权相应扣减 应付承诺人的现金分红及</w:t>
            </w:r>
            <w:r>
              <w:rPr>
                <w:rFonts w:ascii="Times New Roman" w:eastAsia="Times New Roman" w:hAnsi="Times New Roman" w:cs="Times New Roman"/>
                <w:color w:val="000000"/>
                <w:spacing w:val="0"/>
                <w:w w:val="100"/>
                <w:position w:val="0"/>
              </w:rPr>
              <w:t>/</w:t>
            </w:r>
            <w:r>
              <w:rPr>
                <w:color w:val="000000"/>
                <w:spacing w:val="0"/>
                <w:w w:val="100"/>
                <w:position w:val="0"/>
              </w:rPr>
              <w:t>或税后薪酬（如有），且在第三项 所述承诺全部履行完成前，承诺人亦不得转让承诺人所直接 或间接所持的中元华电的股份，但为履行第三项所述承诺而 进行转让的除外。五</w:t>
            </w:r>
            <w:r>
              <w:rPr>
                <w:rFonts w:ascii="Times New Roman" w:eastAsia="Times New Roman" w:hAnsi="Times New Roman" w:cs="Times New Roman"/>
                <w:color w:val="000000"/>
                <w:spacing w:val="0"/>
                <w:w w:val="100"/>
                <w:position w:val="0"/>
              </w:rPr>
              <w:t>.</w:t>
            </w:r>
            <w:r>
              <w:rPr>
                <w:color w:val="000000"/>
                <w:spacing w:val="0"/>
                <w:w w:val="100"/>
                <w:position w:val="0"/>
              </w:rPr>
              <w:t>本承诺函为承诺人的真实意思表示， 对承诺人具有法律约束力。承诺人自愿接受监管机关、社会 公众及投资者的监督，积极采取合法措施履行本承诺，并依 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42"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凌伟民;邵久刚;奚文路; 靖松；赵金龙；李刚明； 傅多；周慧艳；魏东；晏 政振；胡玉青；蒋琴琴； 解海鹏；邢强；陈江生； 钱伟红;李洪刚;宋启飞； 李卓君；徐福轩；刘波； 刘椿；吴桂华；缪东荣； 钱树良;深圳长润创新投 资企业（有限合伙）；江 苏拓邦投资有限公司；江 苏科泉高新创业投资有 限公司；常州文化科技创 意发展有限公司；常州龙 城英才创业投资有限公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提供信息真实、准确、完整的承诺</w:t>
            </w:r>
            <w:r>
              <w:rPr>
                <w:rFonts w:ascii="Times New Roman" w:eastAsia="Times New Roman" w:hAnsi="Times New Roman" w:cs="Times New Roman"/>
                <w:color w:val="000000"/>
                <w:spacing w:val="0"/>
                <w:w w:val="100"/>
                <w:position w:val="0"/>
              </w:rPr>
              <w:t>:1</w:t>
            </w:r>
            <w:r>
              <w:rPr>
                <w:color w:val="000000"/>
                <w:spacing w:val="0"/>
                <w:w w:val="100"/>
                <w:position w:val="0"/>
              </w:rPr>
              <w:t>）承诺人已向中元华电 及为本次交易提供审计、评估、法律及财务顾问专业服务的 中介机构提供了承诺人有关本次交易的相关信息和文件（包 括但不限于原始书面材料、副本材料或口头证言等），承诺人 保证所提供的文件资料的副本或复印件与正本或原件一致， 且该等文件资料的签字与印章都是真实的，该等文件的签署 人业经合法授权并有效签署该文件；保证所提供信息真实、 准确和完整，保证不存在虚假记载、误导性陈述或者重大遗 漏，并对所提供信息的真实性、准确性和完整性承担个别和 连带的法律责任。（</w:t>
            </w:r>
            <w:r>
              <w:rPr>
                <w:rFonts w:ascii="Times New Roman" w:eastAsia="Times New Roman" w:hAnsi="Times New Roman" w:cs="Times New Roman"/>
                <w:color w:val="000000"/>
                <w:spacing w:val="0"/>
                <w:w w:val="100"/>
                <w:position w:val="0"/>
              </w:rPr>
              <w:t>2</w:t>
            </w:r>
            <w:r>
              <w:rPr>
                <w:color w:val="000000"/>
                <w:spacing w:val="0"/>
                <w:w w:val="100"/>
                <w:position w:val="0"/>
              </w:rPr>
              <w:t>）在本次交易过程中，承诺人将依照相 关法律、法规、规章、中国证监会和深圳证券交易所的有关 规定，及时向中元华电披露有关本次交易的信息，并保证该 等信息的真实、准确和完整，保证该等信息不存在虚假记载、 误导性陈述或者重大遗漏，并对所提供信息的真实性、准确 性和完整性承担个别和连带的法律责任。（</w:t>
            </w:r>
            <w:r>
              <w:rPr>
                <w:rFonts w:ascii="Times New Roman" w:eastAsia="Times New Roman" w:hAnsi="Times New Roman" w:cs="Times New Roman"/>
                <w:color w:val="000000"/>
                <w:spacing w:val="0"/>
                <w:w w:val="100"/>
                <w:position w:val="0"/>
              </w:rPr>
              <w:t>3</w:t>
            </w:r>
            <w:r>
              <w:rPr>
                <w:color w:val="000000"/>
                <w:spacing w:val="0"/>
                <w:w w:val="100"/>
                <w:position w:val="0"/>
              </w:rPr>
              <w:t>）若因承诺人提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4450"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供的本次交易的相关信息和文件有虚假记载、误导性陈述或 者重大遗漏，致使中元华电或投资者遭受损失的，将依法承 担赔偿责任。如本次交易因涉嫌所提供或者披露的信息存在 虚假记载、误导性陈述或者重大遗漏，被司法机关立案侦查 或者被中国证监会立案调查的，在案件调查结论明确之前， 将暂停转让其在中元华电拥有权益的股份。（</w:t>
            </w:r>
            <w:r>
              <w:rPr>
                <w:rFonts w:ascii="Times New Roman" w:eastAsia="Times New Roman" w:hAnsi="Times New Roman" w:cs="Times New Roman"/>
                <w:color w:val="000000"/>
                <w:spacing w:val="0"/>
                <w:w w:val="100"/>
                <w:position w:val="0"/>
              </w:rPr>
              <w:t>4</w:t>
            </w:r>
            <w:r>
              <w:rPr>
                <w:color w:val="000000"/>
                <w:spacing w:val="0"/>
                <w:w w:val="100"/>
                <w:position w:val="0"/>
              </w:rPr>
              <w:t>）为确保上述 承诺履行，在上述事实被中国证监会、证券交易所或有权司 法机关认定后，且承诺人履行上述承诺前，承诺人将中止从 中元华电处领取应向承诺人发放的税后工资、现金红利</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rFonts w:ascii="Times New Roman" w:eastAsia="Times New Roman" w:hAnsi="Times New Roman" w:cs="Times New Roman"/>
                <w:color w:val="000000"/>
                <w:spacing w:val="0"/>
                <w:w w:val="100"/>
                <w:position w:val="0"/>
              </w:rPr>
              <w:t>）</w:t>
            </w:r>
            <w:r>
              <w:rPr>
                <w:color w:val="000000"/>
                <w:spacing w:val="0"/>
                <w:w w:val="100"/>
                <w:position w:val="0"/>
              </w:rPr>
              <w:t>；亦不通过任何方式转让承诺人直接或间接所持的中元华 电的股份</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，但为履行上述承诺而进行的转让除外。（</w:t>
            </w:r>
            <w:r>
              <w:rPr>
                <w:rFonts w:ascii="Times New Roman" w:eastAsia="Times New Roman" w:hAnsi="Times New Roman" w:cs="Times New Roman"/>
                <w:color w:val="000000"/>
                <w:spacing w:val="0"/>
                <w:w w:val="100"/>
                <w:position w:val="0"/>
              </w:rPr>
              <w:t xml:space="preserve">5） </w:t>
            </w:r>
            <w:r>
              <w:rPr>
                <w:color w:val="000000"/>
                <w:spacing w:val="0"/>
                <w:w w:val="100"/>
                <w:position w:val="0"/>
              </w:rPr>
              <w:t>本承诺函为承诺人的真实意思表示，对承诺人具有法律约束 力。承诺人将自愿接受监管机关、社会公众及投资者的监督， 积极采取合法措施履行本承诺，并依法承担相应责任。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23"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邓志刚;王永业;张小波； 施闯；袁建国；尹力光； 姚弄潮；黄伟兵；尹健； 陈志兵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关于本次交易的信息披露和申请文件无虚假记载、误导性陈 述或者重大遗漏的承诺</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）中元华电为本次交易所提供或 者披露的信息、申请文件不存在虚假记载、误导性陈述或者 重大遗漏。（</w:t>
            </w:r>
            <w:r>
              <w:rPr>
                <w:rFonts w:ascii="Times New Roman" w:eastAsia="Times New Roman" w:hAnsi="Times New Roman" w:cs="Times New Roman"/>
                <w:color w:val="000000"/>
                <w:spacing w:val="0"/>
                <w:w w:val="100"/>
                <w:position w:val="0"/>
              </w:rPr>
              <w:t>2</w:t>
            </w:r>
            <w:r>
              <w:rPr>
                <w:color w:val="000000"/>
                <w:spacing w:val="0"/>
                <w:w w:val="100"/>
                <w:position w:val="0"/>
              </w:rPr>
              <w:t>）若中元华电因涉嫌在本次交易中提供或者披 露的信息、申请文件存在虚假记载、误导性陈述或者重大遗 漏，被司法机关立案侦查或者被中国证监会立案调查的，在 案件调查结论明确之前，承诺人将暂停转让所持有的中元华 电股票。（</w:t>
            </w:r>
            <w:r>
              <w:rPr>
                <w:rFonts w:ascii="Times New Roman" w:eastAsia="Times New Roman" w:hAnsi="Times New Roman" w:cs="Times New Roman"/>
                <w:color w:val="000000"/>
                <w:spacing w:val="0"/>
                <w:w w:val="100"/>
                <w:position w:val="0"/>
              </w:rPr>
              <w:t>3</w:t>
            </w:r>
            <w:r>
              <w:rPr>
                <w:color w:val="000000"/>
                <w:spacing w:val="0"/>
                <w:w w:val="100"/>
                <w:position w:val="0"/>
              </w:rPr>
              <w:t>）本承诺函为承诺人的真实意思表示，对承诺人 具有法律约束力。承诺人将自愿接受监管机关、社会公众及 投资者的监督，积极采取合法措施履行本承诺，并依法承担 相应责任。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22" w:hRule="exact"/>
        </w:trPr>
        <w:tc>
          <w:tcPr>
            <w:vMerge/>
            <w:tcBorders>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邓志刚;王永业;张小波； 尹力光;姚弄潮;黄伟兵； 尹健；刘屹；卢春明；陈 志兵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如本次交易所提供或披露的信息涉嫌虚假记载、误导性陈述 或者重大遗漏，被司法机关立案侦查或者被中国证监会立案 调查的，在形成调查结论以前，不转让在该中元华电拥有权 益的股份，并于收到立案稽查通知的两个交易日内将暂停转 让的书面申请和股票账户提交中元华电董事会，由董事会代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2266"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本人向证券交易所和登记结算公司申请锁定；若未能在两个 交易日内提交锁定申请的，授权董事会核实后直接向证券交 易所和登记结算公司报送本人的身份信息和账户信息并申请 锁定；若董事会未向证券交易所和登记结算公司报送本人的 身份信息和账户信息的，授权证券交易所和登记结算公司直 接锁定相关股份。如调查结论发现存在违法违规情节，本人 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83"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凌伟民;邵久刚;奚文路; 靖松；傅多；赵金龙；李 刚明；周慧艳；魏东；晏 政振；胡玉青；蒋琴琴； 解海鹏；邢强；陈江生； 钱伟红;李洪刚;宋启飞； 李卓君；徐福轩；刘波； 刘椿；吴桂华；缪东荣； 钱树良;深圳长润创新投 资企业（有限合伙）；江 苏拓邦投资有限公司；江 苏科泉高新创业投资有 限公司；常州文化科技创 意发展有限公司；常州龙 城英才创业投资有限公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如本次交易所提供或披露的信息涉嫌虚假记载、误导性陈述 或者重大遗漏，被司法机关立案侦查或者被中国证监会立案 调查的，在形成调查结论以前，不转让在该中元华电拥有权 益的股份，并于收到立案稽查通知的两个交易日内将暂停转 让的书面申请和股票账户提交中元华电董事会，由董事会代 本人向证券交易所和登记结算公司申请锁定；若未能在两个 交易日内提交锁定申请的，授权董事会核实后直接向证券交 易所和登记结算公司报送本人的身份信息和账户信息并申请 锁定；若董事会未向证券交易所和登记结算公司报送本人的 身份信息和账户信息的，授权证券交易所和登记结算公司直 接锁定相关股份。如调查结论发现存在违法违规情节，本人 承诺锁定股份自愿用于相关投资者赔偿安排。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46"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首次公开发</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行或再融资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邓志刚；刘屹；卢春明； 王永业；尹健；尹力光； 张小波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 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、本人及本人控制和可以施加重大影响的其他企业目前没有 以任何形式从事与发行人及发行人控股企业的主营业务构成 或可能构成直接或间接竞争关系的业务或活动；</w:t>
            </w:r>
            <w:r>
              <w:rPr>
                <w:rFonts w:ascii="Times New Roman" w:eastAsia="Times New Roman" w:hAnsi="Times New Roman" w:cs="Times New Roman"/>
                <w:color w:val="000000"/>
                <w:spacing w:val="0"/>
                <w:w w:val="100"/>
                <w:position w:val="0"/>
              </w:rPr>
              <w:t>2</w:t>
            </w:r>
            <w:r>
              <w:rPr>
                <w:color w:val="000000"/>
                <w:spacing w:val="0"/>
                <w:w w:val="100"/>
                <w:position w:val="0"/>
              </w:rPr>
              <w:t>、本人在作 为发行人的实际控制人期间，保证本人及本人控制和可以施 加重大影响的其他企业不在中国境内外以任何形式直接或间 接从事与发行人主营业务或者主营产品相竞争或者构成竞争 威胁的业务活动，包括但不限于在中国境内外投资、收购、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2578"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兼并与发行人主营业务或者主要产品相同或者相似的公司、 企业或者其他经济组织;</w:t>
            </w:r>
            <w:r>
              <w:rPr>
                <w:rFonts w:ascii="Times New Roman" w:eastAsia="Times New Roman" w:hAnsi="Times New Roman" w:cs="Times New Roman"/>
                <w:color w:val="000000"/>
                <w:spacing w:val="0"/>
                <w:w w:val="100"/>
                <w:position w:val="0"/>
              </w:rPr>
              <w:t>3</w:t>
            </w:r>
            <w:r>
              <w:rPr>
                <w:color w:val="000000"/>
                <w:spacing w:val="0"/>
                <w:w w:val="100"/>
                <w:position w:val="0"/>
              </w:rPr>
              <w:t>、本人将不会利用实际控制人地位, 通过其他任何途径或方式损害发行人及发行人其他股东的合 法利益。签字承诺人兹同意：签字承诺人因违反上述承诺而 所获的利益及权益将归发行人及其控股企业所有；签字承诺 人同意承担并赔偿因违反上述承诺而给发行人及其控股企业 造成的一切经济损失，以及发行人及其控股企业为主张其经 济损失而支出的所有费用。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邓志刚;王永业；尹力光； 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4"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熊金梅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725"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董志刚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310"/>
        <w:gridCol w:w="2266"/>
        <w:gridCol w:w="1421"/>
        <w:gridCol w:w="5530"/>
        <w:gridCol w:w="1277"/>
        <w:gridCol w:w="1133"/>
        <w:gridCol w:w="1118"/>
      </w:tblGrid>
      <w:tr>
        <w:trPr>
          <w:trHeight w:val="706" w:hRule="exact"/>
        </w:trPr>
        <w:tc>
          <w:tcPr>
            <w:vMerge w:val="restart"/>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4"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龚庆武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339" w:hRule="exact"/>
        </w:trPr>
        <w:tc>
          <w:tcPr>
            <w:vMerge/>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马东方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遵守《公司法》和深圳证券交易所关于上市公司董事、监事 与高级管理人员买卖本公司股份行为的相关规定，在任职期 间每年转让的股份不超过本人所持有公司股份总数的百分之 二十五；在离职后六个月内，不转让所持有的公司股份。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 时履行</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06"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如承诺超期</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未履行完毕</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的，应当详细</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说明未完成</w:t>
            </w:r>
          </w:p>
        </w:tc>
        <w:tc>
          <w:tcPr>
            <w:gridSpan w:val="6"/>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履行的具体</w:t>
      </w:r>
    </w:p>
    <w:p>
      <w:pPr>
        <w:pStyle w:val="Style1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原因及下一</w:t>
      </w:r>
    </w:p>
    <w:p>
      <w:pPr>
        <w:pStyle w:val="Style18"/>
        <w:keepNext w:val="0"/>
        <w:keepLines w:val="0"/>
        <w:widowControl w:val="0"/>
        <w:shd w:val="clear" w:color="auto" w:fill="auto"/>
        <w:bidi w:val="0"/>
        <w:spacing w:before="0" w:after="420" w:line="312" w:lineRule="exact"/>
        <w:ind w:left="0" w:right="0" w:firstLine="0"/>
        <w:jc w:val="left"/>
        <w:rPr>
          <w:sz w:val="20"/>
          <w:szCs w:val="20"/>
        </w:rPr>
      </w:pPr>
      <w:r>
        <w:rPr>
          <w:color w:val="000000"/>
          <w:spacing w:val="0"/>
          <w:w w:val="100"/>
          <w:position w:val="0"/>
          <w:sz w:val="20"/>
          <w:szCs w:val="20"/>
        </w:rPr>
        <w:t>步的工作计 划</w:t>
      </w:r>
    </w:p>
    <w:p>
      <w:pPr>
        <w:pStyle w:val="Style32"/>
        <w:keepNext/>
        <w:keepLines/>
        <w:widowControl w:val="0"/>
        <w:shd w:val="clear" w:color="auto" w:fill="auto"/>
        <w:bidi w:val="0"/>
        <w:spacing w:before="0" w:after="42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sz w:val="24"/>
          <w:szCs w:val="24"/>
        </w:rPr>
        <w:t>2</w:t>
      </w:r>
      <w:bookmarkEnd w:id="417"/>
      <w:r>
        <w:rPr>
          <w:color w:val="000000"/>
          <w:spacing w:val="0"/>
          <w:w w:val="100"/>
          <w:position w:val="0"/>
        </w:rPr>
        <w:t>、公司资产或项目存在盈利预测，且报告期仍处在盈利预测期间，公司就资产或项目达到原盈利预测及其原因做出说明</w:t>
      </w:r>
      <w:bookmarkEnd w:id="415"/>
      <w:bookmarkEnd w:id="416"/>
      <w:bookmarkEnd w:id="418"/>
    </w:p>
    <w:p>
      <w:pPr>
        <w:pStyle w:val="Style18"/>
        <w:keepNext w:val="0"/>
        <w:keepLines w:val="0"/>
        <w:widowControl w:val="0"/>
        <w:shd w:val="clear" w:color="auto" w:fill="auto"/>
        <w:bidi w:val="0"/>
        <w:spacing w:before="0" w:after="420" w:line="240" w:lineRule="auto"/>
        <w:ind w:left="0" w:right="0" w:firstLine="500"/>
        <w:jc w:val="left"/>
        <w:sectPr>
          <w:footnotePr>
            <w:pos w:val="pageBottom"/>
            <w:numFmt w:val="decimal"/>
            <w:numRestart w:val="continuous"/>
          </w:footnotePr>
          <w:pgSz w:w="16840" w:h="11900" w:orient="landscape"/>
          <w:pgMar w:top="1098" w:right="1436" w:bottom="1207" w:left="13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40" w:line="447"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w:t>
        <w:tab/>
        <w:t>控股股东及其他关联方对上市公司的非经营性占用资金情况</w:t>
      </w:r>
      <w:bookmarkEnd w:id="419"/>
      <w:bookmarkEnd w:id="420"/>
      <w:bookmarkEnd w:id="422"/>
    </w:p>
    <w:p>
      <w:pPr>
        <w:pStyle w:val="Style18"/>
        <w:keepNext w:val="0"/>
        <w:keepLines w:val="0"/>
        <w:widowControl w:val="0"/>
        <w:shd w:val="clear" w:color="auto" w:fill="auto"/>
        <w:bidi w:val="0"/>
        <w:spacing w:before="0" w:after="0" w:line="38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180" w:line="447" w:lineRule="exact"/>
        <w:ind w:left="0" w:right="0" w:firstLine="500"/>
        <w:jc w:val="left"/>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22" w:val="left"/>
        </w:tabs>
        <w:bidi w:val="0"/>
        <w:spacing w:before="0" w:after="440" w:line="447"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w:t>
        <w:tab/>
        <w:t>违规对外担保情况</w:t>
      </w:r>
      <w:bookmarkEnd w:id="423"/>
      <w:bookmarkEnd w:id="424"/>
      <w:bookmarkEnd w:id="426"/>
    </w:p>
    <w:p>
      <w:pPr>
        <w:pStyle w:val="Style18"/>
        <w:keepNext w:val="0"/>
        <w:keepLines w:val="0"/>
        <w:widowControl w:val="0"/>
        <w:shd w:val="clear" w:color="auto" w:fill="auto"/>
        <w:bidi w:val="0"/>
        <w:spacing w:before="0" w:after="0" w:line="389"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180" w:line="447" w:lineRule="exact"/>
        <w:ind w:left="0" w:right="0" w:firstLine="500"/>
        <w:jc w:val="left"/>
      </w:pPr>
      <w:r>
        <w:rPr>
          <w:color w:val="000000"/>
          <w:spacing w:val="0"/>
          <w:w w:val="100"/>
          <w:position w:val="0"/>
        </w:rPr>
        <w:t>公司报告期无违规对外担保情况。</w:t>
      </w:r>
    </w:p>
    <w:p>
      <w:pPr>
        <w:pStyle w:val="Style29"/>
        <w:keepNext/>
        <w:keepLines/>
        <w:widowControl w:val="0"/>
        <w:shd w:val="clear" w:color="auto" w:fill="auto"/>
        <w:tabs>
          <w:tab w:pos="522" w:val="left"/>
        </w:tabs>
        <w:bidi w:val="0"/>
        <w:spacing w:before="0" w:after="440" w:line="447"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四</w:t>
      </w:r>
      <w:bookmarkEnd w:id="42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27"/>
      <w:bookmarkEnd w:id="428"/>
      <w:bookmarkEnd w:id="430"/>
    </w:p>
    <w:p>
      <w:pPr>
        <w:pStyle w:val="Style18"/>
        <w:keepNext w:val="0"/>
        <w:keepLines w:val="0"/>
        <w:widowControl w:val="0"/>
        <w:shd w:val="clear" w:color="auto" w:fill="auto"/>
        <w:bidi w:val="0"/>
        <w:spacing w:before="0" w:after="0" w:line="38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440" w:line="447"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五</w:t>
      </w:r>
      <w:bookmarkEnd w:id="43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1"/>
      <w:bookmarkEnd w:id="432"/>
      <w:bookmarkEnd w:id="434"/>
    </w:p>
    <w:p>
      <w:pPr>
        <w:pStyle w:val="Style18"/>
        <w:keepNext w:val="0"/>
        <w:keepLines w:val="0"/>
        <w:widowControl w:val="0"/>
        <w:shd w:val="clear" w:color="auto" w:fill="auto"/>
        <w:bidi w:val="0"/>
        <w:spacing w:before="0" w:after="0" w:line="38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440" w:line="447"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六</w:t>
      </w:r>
      <w:bookmarkEnd w:id="437"/>
      <w:r>
        <w:rPr>
          <w:color w:val="000000"/>
          <w:spacing w:val="0"/>
          <w:w w:val="100"/>
          <w:position w:val="0"/>
        </w:rPr>
        <w:t>、</w:t>
        <w:tab/>
        <w:t>董事会关于报告期会计政策、会计估计变更或重大会计差错更正的说明</w:t>
      </w:r>
      <w:bookmarkEnd w:id="435"/>
      <w:bookmarkEnd w:id="436"/>
      <w:bookmarkEnd w:id="438"/>
    </w:p>
    <w:p>
      <w:pPr>
        <w:pStyle w:val="Style18"/>
        <w:keepNext w:val="0"/>
        <w:keepLines w:val="0"/>
        <w:widowControl w:val="0"/>
        <w:shd w:val="clear" w:color="auto" w:fill="auto"/>
        <w:bidi w:val="0"/>
        <w:spacing w:before="0" w:after="0" w:line="38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280" w:line="447"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七</w:t>
      </w:r>
      <w:bookmarkEnd w:id="441"/>
      <w:r>
        <w:rPr>
          <w:color w:val="000000"/>
          <w:spacing w:val="0"/>
          <w:w w:val="100"/>
          <w:position w:val="0"/>
        </w:rPr>
        <w:t>、</w:t>
        <w:tab/>
        <w:t>与上年度财务报告相比，合并报表范围发生变化的情况说明</w:t>
      </w:r>
      <w:bookmarkEnd w:id="439"/>
      <w:bookmarkEnd w:id="440"/>
      <w:bookmarkEnd w:id="442"/>
    </w:p>
    <w:p>
      <w:pPr>
        <w:pStyle w:val="Style18"/>
        <w:keepNext w:val="0"/>
        <w:keepLines w:val="0"/>
        <w:widowControl w:val="0"/>
        <w:shd w:val="clear" w:color="auto" w:fill="auto"/>
        <w:bidi w:val="0"/>
        <w:spacing w:before="0" w:after="0" w:line="447" w:lineRule="exact"/>
        <w:ind w:left="0" w:right="0" w:firstLine="50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0" w:line="446"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月，世轩科技注销全资子公司南京鸣珂软件技术有限公司，不将其纳入公司合 并报表范围。</w:t>
      </w:r>
    </w:p>
    <w:p>
      <w:pPr>
        <w:pStyle w:val="Style18"/>
        <w:keepNext w:val="0"/>
        <w:keepLines w:val="0"/>
        <w:widowControl w:val="0"/>
        <w:shd w:val="clear" w:color="auto" w:fill="auto"/>
        <w:bidi w:val="0"/>
        <w:spacing w:before="0" w:after="0" w:line="447"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月，公司转让持有的中元惠合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股权，主要原因是中元惠合业绩未达预期， 将其股权转让将有助于盘活存量资产，增加公司现金流，增强公司资产的流动性，亦符合公 司实际经营和未来发展需要。转让后公司持有中元惠合实缴资本的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股权，不将其纳入公 司合并报表范围。</w:t>
      </w:r>
    </w:p>
    <w:p>
      <w:pPr>
        <w:pStyle w:val="Style18"/>
        <w:keepNext w:val="0"/>
        <w:keepLines w:val="0"/>
        <w:widowControl w:val="0"/>
        <w:shd w:val="clear" w:color="auto" w:fill="auto"/>
        <w:bidi w:val="0"/>
        <w:spacing w:before="0" w:after="220" w:line="447"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月，公司转让持有的埃克森</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股权，主要原因是埃克森近年来连续亏损，业 绩未达预期，本次股权转让有利于公司优化资源配置，降低公司运营风险，符合公司实际经 营和未来发展需要。转让后公司不再持有埃克森股权，不将其纳入公司合并报表范围。</w:t>
      </w:r>
      <w:r>
        <w:br w:type="page"/>
      </w:r>
    </w:p>
    <w:p>
      <w:pPr>
        <w:pStyle w:val="Style29"/>
        <w:keepNext/>
        <w:keepLines/>
        <w:widowControl w:val="0"/>
        <w:shd w:val="clear" w:color="auto" w:fill="auto"/>
        <w:bidi w:val="0"/>
        <w:spacing w:before="0" w:after="46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八</w:t>
      </w:r>
      <w:bookmarkEnd w:id="445"/>
      <w:r>
        <w:rPr>
          <w:color w:val="000000"/>
          <w:spacing w:val="0"/>
          <w:w w:val="100"/>
          <w:position w:val="0"/>
        </w:rPr>
        <w:t>、聘任、解聘会计师事务所情况</w:t>
      </w:r>
      <w:bookmarkEnd w:id="443"/>
      <w:bookmarkEnd w:id="444"/>
      <w:bookmarkEnd w:id="446"/>
    </w:p>
    <w:p>
      <w:pPr>
        <w:pStyle w:val="Style18"/>
        <w:keepNext w:val="0"/>
        <w:keepLines w:val="0"/>
        <w:widowControl w:val="0"/>
        <w:shd w:val="clear" w:color="auto" w:fill="auto"/>
        <w:bidi w:val="0"/>
        <w:spacing w:before="0" w:after="80" w:line="240" w:lineRule="auto"/>
        <w:ind w:left="0" w:right="0" w:firstLine="520"/>
        <w:jc w:val="both"/>
      </w:pPr>
      <w:r>
        <w:rPr>
          <w:color w:val="000000"/>
          <w:spacing w:val="0"/>
          <w:w w:val="100"/>
          <w:position w:val="0"/>
        </w:rPr>
        <w:t>现聘任的会计事务所</w:t>
      </w:r>
    </w:p>
    <w:tbl>
      <w:tblPr>
        <w:tblOverlap w:val="never"/>
        <w:jc w:val="center"/>
        <w:tblLayout w:type="fixed"/>
      </w:tblPr>
      <w:tblGrid>
        <w:gridCol w:w="4757"/>
        <w:gridCol w:w="487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黄简、王文杰</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936"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200" w:line="240" w:lineRule="auto"/>
              <w:ind w:left="0" w:right="0" w:firstLine="500"/>
              <w:jc w:val="left"/>
              <w:rPr>
                <w:sz w:val="22"/>
                <w:szCs w:val="22"/>
              </w:rPr>
            </w:pPr>
            <w:r>
              <w:rPr>
                <w:color w:val="000000"/>
                <w:spacing w:val="0"/>
                <w:w w:val="100"/>
                <w:position w:val="0"/>
                <w:sz w:val="22"/>
                <w:szCs w:val="22"/>
              </w:rPr>
              <w:t>是否改聘会计师事务所</w:t>
            </w:r>
          </w:p>
          <w:p>
            <w:pPr>
              <w:pStyle w:val="Style21"/>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2"/>
                <w:szCs w:val="22"/>
              </w:rPr>
              <w:t>否</w:t>
            </w:r>
          </w:p>
        </w:tc>
        <w:tc>
          <w:tcPr>
            <w:tcBorders>
              <w:top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2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4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46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九</w:t>
      </w:r>
      <w:bookmarkEnd w:id="449"/>
      <w:r>
        <w:rPr>
          <w:color w:val="000000"/>
          <w:spacing w:val="0"/>
          <w:w w:val="100"/>
          <w:position w:val="0"/>
        </w:rPr>
        <w:t>、年度报告披露后面临退市情况</w:t>
      </w:r>
      <w:bookmarkEnd w:id="447"/>
      <w:bookmarkEnd w:id="448"/>
      <w:bookmarkEnd w:id="450"/>
    </w:p>
    <w:p>
      <w:pPr>
        <w:pStyle w:val="Style18"/>
        <w:keepNext w:val="0"/>
        <w:keepLines w:val="0"/>
        <w:widowControl w:val="0"/>
        <w:shd w:val="clear" w:color="auto" w:fill="auto"/>
        <w:bidi w:val="0"/>
        <w:spacing w:before="0" w:after="34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460" w:line="240" w:lineRule="auto"/>
        <w:ind w:left="0" w:right="0" w:firstLine="0"/>
        <w:jc w:val="left"/>
      </w:pPr>
      <w:bookmarkStart w:id="451" w:name="bookmark451"/>
      <w:bookmarkStart w:id="452" w:name="bookmark452"/>
      <w:bookmarkStart w:id="453" w:name="bookmark453"/>
      <w:r>
        <w:rPr>
          <w:color w:val="000000"/>
          <w:spacing w:val="0"/>
          <w:w w:val="100"/>
          <w:position w:val="0"/>
        </w:rPr>
        <w:t>十、破产重整相关事项</w:t>
      </w:r>
      <w:bookmarkEnd w:id="451"/>
      <w:bookmarkEnd w:id="452"/>
      <w:bookmarkEnd w:id="453"/>
    </w:p>
    <w:p>
      <w:pPr>
        <w:pStyle w:val="Style18"/>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40" w:line="240" w:lineRule="auto"/>
        <w:ind w:left="0" w:right="0" w:firstLine="0"/>
        <w:jc w:val="left"/>
      </w:pPr>
      <w:bookmarkStart w:id="454" w:name="bookmark454"/>
      <w:bookmarkStart w:id="455" w:name="bookmark455"/>
      <w:bookmarkStart w:id="456" w:name="bookmark456"/>
      <w:r>
        <w:rPr>
          <w:color w:val="000000"/>
          <w:spacing w:val="0"/>
          <w:w w:val="100"/>
          <w:position w:val="0"/>
        </w:rPr>
        <w:t>十一、重大诉讼、仲裁事项</w:t>
      </w:r>
      <w:bookmarkEnd w:id="454"/>
      <w:bookmarkEnd w:id="455"/>
      <w:bookmarkEnd w:id="456"/>
    </w:p>
    <w:p>
      <w:pPr>
        <w:pStyle w:val="Style25"/>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02"/>
        <w:gridCol w:w="955"/>
        <w:gridCol w:w="854"/>
        <w:gridCol w:w="1493"/>
        <w:gridCol w:w="1392"/>
        <w:gridCol w:w="2218"/>
        <w:gridCol w:w="566"/>
        <w:gridCol w:w="672"/>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 本情况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是否形</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成预计</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判决执行情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索引</w:t>
            </w:r>
          </w:p>
        </w:tc>
      </w:tr>
      <w:tr>
        <w:trPr>
          <w:trHeight w:val="317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上药集团常州 药业股份有限 公司、国药控股 常州有限公司、 华润常州医药 有限公司三家 公司（原告）与 本公司控股孙</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公司高新医疗 （被告）因服务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日，江苏省常州 市新北区人民 法院做出一审 判决。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日江苏省 常州市中级人 民法院就国药 控股常州有限 公司、华润常州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一审判决：一 审判决高新医 疗归还原告货 款及利息并承 担案件受理费 及保全费共计 </w:t>
            </w:r>
            <w:r>
              <w:rPr>
                <w:rFonts w:ascii="Times New Roman" w:eastAsia="Times New Roman" w:hAnsi="Times New Roman" w:cs="Times New Roman"/>
                <w:color w:val="000000"/>
                <w:spacing w:val="0"/>
                <w:w w:val="100"/>
                <w:position w:val="0"/>
              </w:rPr>
              <w:t xml:space="preserve">14,394,774.10 </w:t>
            </w:r>
            <w:r>
              <w:rPr>
                <w:color w:val="000000"/>
                <w:spacing w:val="0"/>
                <w:w w:val="100"/>
                <w:position w:val="0"/>
              </w:rPr>
              <w:t>元。二审判决: 驳回上诉，维 持原判。二审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因上述案件，三原告对 高新医疗股东另提起诉 讼，</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 江苏省常州市新北区人 民法院就上述事项下发 </w:t>
            </w:r>
            <w:r>
              <w:rPr>
                <w:rFonts w:ascii="Times New Roman" w:eastAsia="Times New Roman" w:hAnsi="Times New Roman" w:cs="Times New Roman"/>
                <w:color w:val="000000"/>
                <w:spacing w:val="0"/>
                <w:w w:val="100"/>
                <w:position w:val="0"/>
              </w:rPr>
              <w:t>3</w:t>
            </w:r>
            <w:r>
              <w:rPr>
                <w:color w:val="000000"/>
                <w:spacing w:val="0"/>
                <w:w w:val="100"/>
                <w:position w:val="0"/>
              </w:rPr>
              <w:t>份民事裁定书，冻结世 轩科技总计</w:t>
            </w:r>
            <w:r>
              <w:rPr>
                <w:rFonts w:ascii="Times New Roman" w:eastAsia="Times New Roman" w:hAnsi="Times New Roman" w:cs="Times New Roman"/>
                <w:color w:val="000000"/>
                <w:spacing w:val="0"/>
                <w:w w:val="100"/>
                <w:position w:val="0"/>
              </w:rPr>
              <w:t>1,550.00</w:t>
            </w:r>
            <w:r>
              <w:rPr>
                <w:color w:val="000000"/>
                <w:spacing w:val="0"/>
                <w:w w:val="100"/>
                <w:position w:val="0"/>
              </w:rPr>
              <w:t>万 元银行结构性存款。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left"/>
        <w:tblLayout w:type="fixed"/>
      </w:tblPr>
      <w:tblGrid>
        <w:gridCol w:w="1488"/>
        <w:gridCol w:w="955"/>
        <w:gridCol w:w="854"/>
        <w:gridCol w:w="1493"/>
        <w:gridCol w:w="1406"/>
      </w:tblGrid>
      <w:tr>
        <w:trPr>
          <w:trHeight w:val="3182" w:hRule="exact"/>
        </w:trPr>
        <w:tc>
          <w:tcPr>
            <w:tcBorders>
              <w:top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合同纠纷向江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苏省常州市新</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北区人民法院 提起诉讼。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医药有限公司 案件作出二审 判决。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日江苏省常 州市中级人民 法院就上药集 团常州药业股 份有限公司案 件作出二审判 决。</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受理费共计</w:t>
            </w:r>
          </w:p>
          <w:p>
            <w:pPr>
              <w:pStyle w:val="Style2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 xml:space="preserve">130,755.10 </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由高新医疗承 担。</w:t>
            </w:r>
          </w:p>
        </w:tc>
      </w:tr>
    </w:tbl>
    <w:p>
      <w:pPr>
        <w:widowControl w:val="0"/>
        <w:spacing w:after="339" w:line="1" w:lineRule="exact"/>
      </w:pPr>
    </w:p>
    <w:p>
      <w:pPr>
        <w:pStyle w:val="Style29"/>
        <w:keepNext/>
        <w:keepLines/>
        <w:widowControl w:val="0"/>
        <w:shd w:val="clear" w:color="auto" w:fill="auto"/>
        <w:bidi w:val="0"/>
        <w:spacing w:before="0" w:after="440" w:line="240" w:lineRule="auto"/>
        <w:ind w:left="0" w:right="0" w:firstLine="0"/>
        <w:jc w:val="left"/>
      </w:pPr>
      <w:bookmarkStart w:id="457" w:name="bookmark457"/>
      <w:bookmarkStart w:id="458" w:name="bookmark458"/>
      <w:bookmarkStart w:id="459" w:name="bookmark459"/>
      <w:r>
        <w:rPr>
          <w:color w:val="000000"/>
          <w:spacing w:val="0"/>
          <w:w w:val="100"/>
          <w:position w:val="0"/>
        </w:rPr>
        <w:t>十二、处罚及整改情况</w:t>
      </w:r>
      <w:bookmarkEnd w:id="457"/>
      <w:bookmarkEnd w:id="458"/>
      <w:bookmarkEnd w:id="459"/>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440" w:line="240" w:lineRule="auto"/>
        <w:ind w:left="0" w:right="0" w:firstLine="0"/>
        <w:jc w:val="left"/>
      </w:pPr>
      <w:bookmarkStart w:id="460" w:name="bookmark460"/>
      <w:bookmarkStart w:id="461" w:name="bookmark461"/>
      <w:bookmarkStart w:id="462" w:name="bookmark462"/>
      <w:r>
        <w:rPr>
          <w:color w:val="000000"/>
          <w:spacing w:val="0"/>
          <w:w w:val="100"/>
          <w:position w:val="0"/>
        </w:rPr>
        <w:t>十三、公司及其控股股东、实际控制人的诚信状况</w:t>
      </w:r>
      <w:bookmarkEnd w:id="460"/>
      <w:bookmarkEnd w:id="461"/>
      <w:bookmarkEnd w:id="462"/>
    </w:p>
    <w:p>
      <w:pPr>
        <w:pStyle w:val="Style18"/>
        <w:keepNext w:val="0"/>
        <w:keepLines w:val="0"/>
        <w:widowControl w:val="0"/>
        <w:shd w:val="clear" w:color="auto" w:fill="auto"/>
        <w:bidi w:val="0"/>
        <w:spacing w:before="0" w:after="3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63" w:name="bookmark463"/>
      <w:bookmarkStart w:id="464" w:name="bookmark464"/>
      <w:bookmarkStart w:id="465" w:name="bookmark465"/>
      <w:r>
        <w:rPr>
          <w:color w:val="000000"/>
          <w:spacing w:val="0"/>
          <w:w w:val="100"/>
          <w:position w:val="0"/>
        </w:rPr>
        <w:t>十四、重大关联交易</w:t>
      </w:r>
      <w:bookmarkEnd w:id="463"/>
      <w:bookmarkEnd w:id="464"/>
      <w:bookmarkEnd w:id="465"/>
    </w:p>
    <w:p>
      <w:pPr>
        <w:pStyle w:val="Style32"/>
        <w:keepNext/>
        <w:keepLines/>
        <w:widowControl w:val="0"/>
        <w:shd w:val="clear" w:color="auto" w:fill="auto"/>
        <w:tabs>
          <w:tab w:pos="387" w:val="left"/>
        </w:tabs>
        <w:bidi w:val="0"/>
        <w:spacing w:before="0" w:after="44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sz w:val="24"/>
          <w:szCs w:val="24"/>
        </w:rPr>
        <w:t>1</w:t>
      </w:r>
      <w:bookmarkEnd w:id="468"/>
      <w:r>
        <w:rPr>
          <w:color w:val="000000"/>
          <w:spacing w:val="0"/>
          <w:w w:val="100"/>
          <w:position w:val="0"/>
        </w:rPr>
        <w:t>、</w:t>
        <w:tab/>
        <w:t>与日常经营相关的关联交易</w:t>
      </w:r>
      <w:bookmarkEnd w:id="466"/>
      <w:bookmarkEnd w:id="467"/>
      <w:bookmarkEnd w:id="469"/>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402" w:val="left"/>
        </w:tabs>
        <w:bidi w:val="0"/>
        <w:spacing w:before="0" w:after="44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sz w:val="24"/>
          <w:szCs w:val="24"/>
        </w:rPr>
        <w:t>2</w:t>
      </w:r>
      <w:bookmarkEnd w:id="472"/>
      <w:r>
        <w:rPr>
          <w:color w:val="000000"/>
          <w:spacing w:val="0"/>
          <w:w w:val="100"/>
          <w:position w:val="0"/>
        </w:rPr>
        <w:t>、</w:t>
        <w:tab/>
        <w:t>资产或股权收购、出售发生的关联交易</w:t>
      </w:r>
      <w:bookmarkEnd w:id="470"/>
      <w:bookmarkEnd w:id="471"/>
      <w:bookmarkEnd w:id="473"/>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402" w:val="left"/>
        </w:tabs>
        <w:bidi w:val="0"/>
        <w:spacing w:before="0" w:after="44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sz w:val="24"/>
          <w:szCs w:val="24"/>
        </w:rPr>
        <w:t>3</w:t>
      </w:r>
      <w:bookmarkEnd w:id="476"/>
      <w:r>
        <w:rPr>
          <w:color w:val="000000"/>
          <w:spacing w:val="0"/>
          <w:w w:val="100"/>
          <w:position w:val="0"/>
        </w:rPr>
        <w:t>、</w:t>
        <w:tab/>
        <w:t>共同对外投资的关联交易</w:t>
      </w:r>
      <w:bookmarkEnd w:id="474"/>
      <w:bookmarkEnd w:id="475"/>
      <w:bookmarkEnd w:id="477"/>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97" w:val="left"/>
        </w:tabs>
        <w:bidi w:val="0"/>
        <w:spacing w:before="0" w:after="440" w:line="240" w:lineRule="auto"/>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sz w:val="24"/>
          <w:szCs w:val="24"/>
        </w:rPr>
        <w:t>4</w:t>
      </w:r>
      <w:bookmarkEnd w:id="480"/>
      <w:r>
        <w:rPr>
          <w:color w:val="000000"/>
          <w:spacing w:val="0"/>
          <w:w w:val="100"/>
          <w:position w:val="0"/>
        </w:rPr>
        <w:t>、</w:t>
        <w:tab/>
        <w:t>关联债权债务往来</w:t>
      </w:r>
      <w:bookmarkEnd w:id="478"/>
      <w:bookmarkEnd w:id="479"/>
      <w:bookmarkEnd w:id="481"/>
    </w:p>
    <w:p>
      <w:pPr>
        <w:pStyle w:val="Style18"/>
        <w:keepNext w:val="0"/>
        <w:keepLines w:val="0"/>
        <w:widowControl w:val="0"/>
        <w:shd w:val="clear" w:color="auto" w:fill="auto"/>
        <w:bidi w:val="0"/>
        <w:spacing w:before="0" w:after="3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公司报告期不存在关联债权债务往来。</w:t>
      </w:r>
    </w:p>
    <w:p>
      <w:pPr>
        <w:pStyle w:val="Style32"/>
        <w:keepNext/>
        <w:keepLines/>
        <w:widowControl w:val="0"/>
        <w:shd w:val="clear" w:color="auto" w:fill="auto"/>
        <w:tabs>
          <w:tab w:pos="410" w:val="left"/>
        </w:tabs>
        <w:bidi w:val="0"/>
        <w:spacing w:before="0" w:after="44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sz w:val="24"/>
          <w:szCs w:val="24"/>
        </w:rPr>
        <w:t>5</w:t>
      </w:r>
      <w:bookmarkEnd w:id="484"/>
      <w:r>
        <w:rPr>
          <w:color w:val="000000"/>
          <w:spacing w:val="0"/>
          <w:w w:val="100"/>
          <w:position w:val="0"/>
        </w:rPr>
        <w:t>、</w:t>
        <w:tab/>
        <w:t>与存在关联关系的财务公司的往来情况</w:t>
      </w:r>
      <w:bookmarkEnd w:id="482"/>
      <w:bookmarkEnd w:id="483"/>
      <w:bookmarkEnd w:id="485"/>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410" w:val="left"/>
        </w:tabs>
        <w:bidi w:val="0"/>
        <w:spacing w:before="0" w:after="44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sz w:val="24"/>
          <w:szCs w:val="24"/>
        </w:rPr>
        <w:t>6</w:t>
      </w:r>
      <w:bookmarkEnd w:id="488"/>
      <w:r>
        <w:rPr>
          <w:color w:val="000000"/>
          <w:spacing w:val="0"/>
          <w:w w:val="100"/>
          <w:position w:val="0"/>
        </w:rPr>
        <w:t>、</w:t>
        <w:tab/>
        <w:t>公司控股的财务公司与关联方的往来情况</w:t>
      </w:r>
      <w:bookmarkEnd w:id="486"/>
      <w:bookmarkEnd w:id="487"/>
      <w:bookmarkEnd w:id="489"/>
    </w:p>
    <w:p>
      <w:pPr>
        <w:pStyle w:val="Style18"/>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410" w:val="left"/>
        </w:tabs>
        <w:bidi w:val="0"/>
        <w:spacing w:before="0" w:after="44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sz w:val="24"/>
          <w:szCs w:val="24"/>
        </w:rPr>
        <w:t>7</w:t>
      </w:r>
      <w:bookmarkEnd w:id="492"/>
      <w:r>
        <w:rPr>
          <w:color w:val="000000"/>
          <w:spacing w:val="0"/>
          <w:w w:val="100"/>
          <w:position w:val="0"/>
        </w:rPr>
        <w:t>、</w:t>
        <w:tab/>
        <w:t>其他重大关联交易</w:t>
      </w:r>
      <w:bookmarkEnd w:id="490"/>
      <w:bookmarkEnd w:id="491"/>
      <w:bookmarkEnd w:id="493"/>
    </w:p>
    <w:p>
      <w:pPr>
        <w:pStyle w:val="Style18"/>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340" w:line="240" w:lineRule="auto"/>
        <w:ind w:left="0" w:right="0" w:firstLine="0"/>
        <w:jc w:val="both"/>
      </w:pPr>
      <w:bookmarkStart w:id="494" w:name="bookmark494"/>
      <w:bookmarkStart w:id="495" w:name="bookmark495"/>
      <w:bookmarkStart w:id="496" w:name="bookmark496"/>
      <w:r>
        <w:rPr>
          <w:color w:val="000000"/>
          <w:spacing w:val="0"/>
          <w:w w:val="100"/>
          <w:position w:val="0"/>
        </w:rPr>
        <w:t>十五、重大合同及其履行情况</w:t>
      </w:r>
      <w:bookmarkEnd w:id="494"/>
      <w:bookmarkEnd w:id="495"/>
      <w:bookmarkEnd w:id="496"/>
    </w:p>
    <w:p>
      <w:pPr>
        <w:pStyle w:val="Style32"/>
        <w:keepNext/>
        <w:keepLines/>
        <w:widowControl w:val="0"/>
        <w:shd w:val="clear" w:color="auto" w:fill="auto"/>
        <w:bidi w:val="0"/>
        <w:spacing w:before="0" w:after="340" w:line="240" w:lineRule="auto"/>
        <w:ind w:left="0" w:right="0" w:firstLine="0"/>
        <w:jc w:val="both"/>
      </w:pPr>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、托管、承包、租赁事项情况</w:t>
      </w:r>
      <w:bookmarkEnd w:id="497"/>
      <w:bookmarkEnd w:id="498"/>
      <w:bookmarkEnd w:id="499"/>
    </w:p>
    <w:p>
      <w:pPr>
        <w:pStyle w:val="Style46"/>
        <w:keepNext/>
        <w:keepLines/>
        <w:widowControl w:val="0"/>
        <w:shd w:val="clear" w:color="auto" w:fill="auto"/>
        <w:tabs>
          <w:tab w:pos="536" w:val="left"/>
        </w:tabs>
        <w:bidi w:val="0"/>
        <w:spacing w:before="0" w:after="440" w:line="240" w:lineRule="auto"/>
        <w:ind w:left="0" w:right="0" w:firstLine="0"/>
        <w:jc w:val="both"/>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托管情况</w:t>
      </w:r>
      <w:bookmarkEnd w:id="500"/>
      <w:bookmarkEnd w:id="501"/>
      <w:bookmarkEnd w:id="503"/>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公司报告期不存在托管情况。</w:t>
      </w:r>
    </w:p>
    <w:p>
      <w:pPr>
        <w:pStyle w:val="Style46"/>
        <w:keepNext/>
        <w:keepLines/>
        <w:widowControl w:val="0"/>
        <w:shd w:val="clear" w:color="auto" w:fill="auto"/>
        <w:tabs>
          <w:tab w:pos="536" w:val="left"/>
        </w:tabs>
        <w:bidi w:val="0"/>
        <w:spacing w:before="0" w:after="4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504"/>
      <w:bookmarkEnd w:id="505"/>
      <w:bookmarkEnd w:id="507"/>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公司报告期不存在承包情况。</w:t>
      </w:r>
    </w:p>
    <w:p>
      <w:pPr>
        <w:pStyle w:val="Style46"/>
        <w:keepNext/>
        <w:keepLines/>
        <w:widowControl w:val="0"/>
        <w:shd w:val="clear" w:color="auto" w:fill="auto"/>
        <w:tabs>
          <w:tab w:pos="536" w:val="left"/>
        </w:tabs>
        <w:bidi w:val="0"/>
        <w:spacing w:before="0" w:after="44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508"/>
      <w:bookmarkEnd w:id="509"/>
      <w:bookmarkEnd w:id="511"/>
    </w:p>
    <w:p>
      <w:pPr>
        <w:pStyle w:val="Style18"/>
        <w:keepNext w:val="0"/>
        <w:keepLines w:val="0"/>
        <w:widowControl w:val="0"/>
        <w:shd w:val="clear" w:color="auto" w:fill="auto"/>
        <w:bidi w:val="0"/>
        <w:spacing w:before="0" w:after="200" w:line="240"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公司报告期不存在租赁情况。</w:t>
      </w:r>
    </w:p>
    <w:p>
      <w:pPr>
        <w:pStyle w:val="Style32"/>
        <w:keepNext/>
        <w:keepLines/>
        <w:widowControl w:val="0"/>
        <w:shd w:val="clear" w:color="auto" w:fill="auto"/>
        <w:bidi w:val="0"/>
        <w:spacing w:before="0" w:after="44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sz w:val="24"/>
          <w:szCs w:val="24"/>
        </w:rPr>
        <w:t>2</w:t>
      </w:r>
      <w:bookmarkEnd w:id="514"/>
      <w:r>
        <w:rPr>
          <w:color w:val="000000"/>
          <w:spacing w:val="0"/>
          <w:w w:val="100"/>
          <w:position w:val="0"/>
        </w:rPr>
        <w:t>、重大担保</w:t>
      </w:r>
      <w:bookmarkEnd w:id="512"/>
      <w:bookmarkEnd w:id="513"/>
      <w:bookmarkEnd w:id="515"/>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公司报告期不存在重大担保情况。</w:t>
      </w:r>
    </w:p>
    <w:p>
      <w:pPr>
        <w:pStyle w:val="Style32"/>
        <w:keepNext/>
        <w:keepLines/>
        <w:widowControl w:val="0"/>
        <w:shd w:val="clear" w:color="auto" w:fill="auto"/>
        <w:bidi w:val="0"/>
        <w:spacing w:before="0" w:after="34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sz w:val="24"/>
          <w:szCs w:val="24"/>
        </w:rPr>
        <w:t>3</w:t>
      </w:r>
      <w:bookmarkEnd w:id="518"/>
      <w:r>
        <w:rPr>
          <w:color w:val="000000"/>
          <w:spacing w:val="0"/>
          <w:w w:val="100"/>
          <w:position w:val="0"/>
        </w:rPr>
        <w:t>、委托他人进行现金资产管理情况</w:t>
      </w:r>
      <w:bookmarkEnd w:id="516"/>
      <w:bookmarkEnd w:id="517"/>
      <w:bookmarkEnd w:id="519"/>
    </w:p>
    <w:p>
      <w:pPr>
        <w:pStyle w:val="Style46"/>
        <w:keepNext/>
        <w:keepLines/>
        <w:widowControl w:val="0"/>
        <w:shd w:val="clear" w:color="auto" w:fill="auto"/>
        <w:bidi w:val="0"/>
        <w:spacing w:before="0" w:after="44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）委托理财情况</w:t>
      </w:r>
      <w:bookmarkEnd w:id="520"/>
      <w:bookmarkEnd w:id="521"/>
      <w:bookmarkEnd w:id="523"/>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4"/>
        <w:gridCol w:w="1632"/>
        <w:gridCol w:w="1666"/>
        <w:gridCol w:w="1608"/>
        <w:gridCol w:w="1541"/>
        <w:gridCol w:w="1550"/>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逾期未收回的金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逾期未收回理财 己计提减值金额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20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6"/>
        <w:keepNext/>
        <w:keepLines/>
        <w:widowControl w:val="0"/>
        <w:shd w:val="clear" w:color="auto" w:fill="auto"/>
        <w:bidi w:val="0"/>
        <w:spacing w:before="0" w:after="44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）委托贷款情况</w:t>
      </w:r>
      <w:bookmarkEnd w:id="524"/>
      <w:bookmarkEnd w:id="525"/>
      <w:bookmarkEnd w:id="527"/>
    </w:p>
    <w:p>
      <w:pPr>
        <w:pStyle w:val="Style18"/>
        <w:keepNext w:val="0"/>
        <w:keepLines w:val="0"/>
        <w:widowControl w:val="0"/>
        <w:numPr>
          <w:ilvl w:val="0"/>
          <w:numId w:val="5"/>
        </w:numPr>
        <w:shd w:val="clear" w:color="auto" w:fill="auto"/>
        <w:tabs>
          <w:tab w:pos="810" w:val="left"/>
        </w:tabs>
        <w:bidi w:val="0"/>
        <w:spacing w:before="0" w:after="200" w:line="240" w:lineRule="auto"/>
        <w:ind w:left="0" w:right="0" w:firstLine="500"/>
        <w:jc w:val="left"/>
      </w:pPr>
      <w:bookmarkStart w:id="528" w:name="bookmark528"/>
      <w:bookmarkEnd w:id="5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44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sz w:val="24"/>
          <w:szCs w:val="24"/>
        </w:rPr>
        <w:t>4</w:t>
      </w:r>
      <w:bookmarkEnd w:id="531"/>
      <w:r>
        <w:rPr>
          <w:color w:val="000000"/>
          <w:spacing w:val="0"/>
          <w:w w:val="100"/>
          <w:position w:val="0"/>
        </w:rPr>
        <w:t>、其他重大合同</w:t>
      </w:r>
      <w:bookmarkEnd w:id="529"/>
      <w:bookmarkEnd w:id="530"/>
      <w:bookmarkEnd w:id="532"/>
    </w:p>
    <w:p>
      <w:pPr>
        <w:pStyle w:val="Style18"/>
        <w:keepNext w:val="0"/>
        <w:keepLines w:val="0"/>
        <w:widowControl w:val="0"/>
        <w:numPr>
          <w:ilvl w:val="0"/>
          <w:numId w:val="5"/>
        </w:numPr>
        <w:shd w:val="clear" w:color="auto" w:fill="auto"/>
        <w:tabs>
          <w:tab w:pos="810" w:val="left"/>
        </w:tabs>
        <w:bidi w:val="0"/>
        <w:spacing w:before="0" w:after="200" w:line="240" w:lineRule="auto"/>
        <w:ind w:left="0" w:right="0" w:firstLine="500"/>
        <w:jc w:val="left"/>
      </w:pPr>
      <w:bookmarkStart w:id="533" w:name="bookmark533"/>
      <w:bookmarkEnd w:id="533"/>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440" w:line="240" w:lineRule="auto"/>
        <w:ind w:left="0" w:right="0" w:firstLine="0"/>
        <w:jc w:val="left"/>
      </w:pPr>
      <w:bookmarkStart w:id="534" w:name="bookmark534"/>
      <w:bookmarkStart w:id="535" w:name="bookmark535"/>
      <w:bookmarkStart w:id="536" w:name="bookmark536"/>
      <w:r>
        <w:rPr>
          <w:color w:val="000000"/>
          <w:spacing w:val="0"/>
          <w:w w:val="100"/>
          <w:position w:val="0"/>
        </w:rPr>
        <w:t>十六、其他重大事项的说明</w:t>
      </w:r>
      <w:bookmarkEnd w:id="534"/>
      <w:bookmarkEnd w:id="535"/>
      <w:bookmarkEnd w:id="536"/>
    </w:p>
    <w:p>
      <w:pPr>
        <w:pStyle w:val="Style18"/>
        <w:keepNext w:val="0"/>
        <w:keepLines w:val="0"/>
        <w:widowControl w:val="0"/>
        <w:shd w:val="clear" w:color="auto" w:fill="auto"/>
        <w:bidi w:val="0"/>
        <w:spacing w:before="0" w:after="340" w:line="240" w:lineRule="auto"/>
        <w:ind w:left="0" w:right="0" w:firstLine="500"/>
        <w:jc w:val="both"/>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r>
        <w:br w:type="page"/>
      </w:r>
    </w:p>
    <w:p>
      <w:pPr>
        <w:pStyle w:val="Style18"/>
        <w:keepNext w:val="0"/>
        <w:keepLines w:val="0"/>
        <w:widowControl w:val="0"/>
        <w:shd w:val="clear" w:color="auto" w:fill="auto"/>
        <w:bidi w:val="0"/>
        <w:spacing w:before="0" w:after="160" w:line="427" w:lineRule="exact"/>
        <w:ind w:left="0" w:right="0" w:firstLine="500"/>
        <w:jc w:val="left"/>
      </w:pPr>
      <w:r>
        <w:rPr>
          <w:color w:val="000000"/>
          <w:spacing w:val="0"/>
          <w:w w:val="100"/>
          <w:position w:val="0"/>
        </w:rPr>
        <w:t>报告期内，公司临时公告均在以下信息披露网站披露：巨潮资讯网，网址</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w:t>
      </w:r>
      <w:r>
        <w:fldChar w:fldCharType="end"/>
      </w:r>
      <w:r>
        <w:rPr>
          <w:rFonts w:ascii="Times New Roman" w:eastAsia="Times New Roman" w:hAnsi="Times New Roman" w:cs="Times New Roman"/>
          <w:color w:val="000000"/>
          <w:spacing w:val="0"/>
          <w:w w:val="100"/>
          <w:position w:val="0"/>
          <w:sz w:val="24"/>
          <w:szCs w:val="24"/>
        </w:rPr>
        <w:t xml:space="preserve">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m.cn</w:t>
      </w:r>
      <w:r>
        <w:rPr>
          <w:color w:val="000000"/>
          <w:spacing w:val="0"/>
          <w:w w:val="100"/>
          <w:position w:val="0"/>
        </w:rPr>
        <w:t>；</w:t>
      </w:r>
      <w:r>
        <w:fldChar w:fldCharType="end"/>
      </w:r>
      <w:r>
        <w:rPr>
          <w:color w:val="000000"/>
          <w:spacing w:val="0"/>
          <w:w w:val="100"/>
          <w:position w:val="0"/>
        </w:rPr>
        <w:t>中证网，网址</w:t>
      </w:r>
      <w:r>
        <w:fldChar w:fldCharType="begin"/>
      </w:r>
      <w:r>
        <w:rPr/>
        <w:instrText> HYPERLINK "http://www.cs.com.cn/" </w:instrText>
      </w:r>
      <w:r>
        <w:fldChar w:fldCharType="separate"/>
      </w:r>
      <w:r>
        <w:rPr>
          <w:rFonts w:ascii="Times New Roman" w:eastAsia="Times New Roman" w:hAnsi="Times New Roman" w:cs="Times New Roman"/>
          <w:color w:val="000000"/>
          <w:spacing w:val="0"/>
          <w:w w:val="100"/>
          <w:position w:val="0"/>
          <w:sz w:val="24"/>
          <w:szCs w:val="24"/>
        </w:rPr>
        <w:t>www.cs.com.cn</w:t>
      </w:r>
      <w:r>
        <w:rPr>
          <w:color w:val="000000"/>
          <w:spacing w:val="0"/>
          <w:w w:val="100"/>
          <w:position w:val="0"/>
        </w:rPr>
        <w:t>；</w:t>
      </w:r>
      <w:r>
        <w:fldChar w:fldCharType="end"/>
      </w:r>
      <w:r>
        <w:rPr>
          <w:color w:val="000000"/>
          <w:spacing w:val="0"/>
          <w:w w:val="100"/>
          <w:position w:val="0"/>
        </w:rPr>
        <w:t>中国证券网，网址</w:t>
      </w:r>
      <w:r>
        <w:fldChar w:fldCharType="begin"/>
      </w:r>
      <w:r>
        <w:rPr/>
        <w:instrText> HYPERLINK "http://www.cnstock.com/" </w:instrText>
      </w:r>
      <w:r>
        <w:fldChar w:fldCharType="separate"/>
      </w:r>
      <w:r>
        <w:rPr>
          <w:rFonts w:ascii="Times New Roman" w:eastAsia="Times New Roman" w:hAnsi="Times New Roman" w:cs="Times New Roman"/>
          <w:color w:val="000000"/>
          <w:spacing w:val="0"/>
          <w:w w:val="100"/>
          <w:position w:val="0"/>
          <w:sz w:val="24"/>
          <w:szCs w:val="24"/>
        </w:rPr>
        <w:t>www.cnstock.com</w:t>
      </w:r>
      <w:r>
        <w:rPr>
          <w:color w:val="000000"/>
          <w:spacing w:val="0"/>
          <w:w w:val="100"/>
          <w:position w:val="0"/>
        </w:rPr>
        <w:t>；</w:t>
      </w:r>
      <w:r>
        <w:fldChar w:fldCharType="end"/>
      </w:r>
      <w:r>
        <w:rPr>
          <w:color w:val="000000"/>
          <w:spacing w:val="0"/>
          <w:w w:val="100"/>
          <w:position w:val="0"/>
        </w:rPr>
        <w:t>证券时报网，网</w:t>
      </w:r>
    </w:p>
    <w:p>
      <w:pPr>
        <w:pStyle w:val="Style2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22"/>
          <w:szCs w:val="22"/>
        </w:rPr>
        <w:t>址</w:t>
      </w:r>
      <w:r>
        <w:fldChar w:fldCharType="begin"/>
      </w:r>
      <w:r>
        <w:rPr/>
        <w:instrText> HYPERLINK "http://www.secutimes.com/"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www.secutimes.com</w:t>
      </w:r>
      <w:r>
        <w:rPr>
          <w:color w:val="000000"/>
          <w:spacing w:val="0"/>
          <w:w w:val="100"/>
          <w:position w:val="0"/>
          <w:sz w:val="22"/>
          <w:szCs w:val="22"/>
        </w:rPr>
        <w:t>；</w:t>
      </w:r>
      <w:r>
        <w:fldChar w:fldCharType="end"/>
      </w:r>
      <w:r>
        <w:rPr>
          <w:color w:val="000000"/>
          <w:spacing w:val="0"/>
          <w:w w:val="100"/>
          <w:position w:val="0"/>
          <w:sz w:val="22"/>
          <w:szCs w:val="22"/>
        </w:rPr>
        <w:t>中 国资本证券网，网址</w:t>
      </w:r>
      <w:r>
        <w:fldChar w:fldCharType="begin"/>
      </w:r>
      <w:r>
        <w:rPr/>
        <w:instrText> HYPERLINK "http://www.ccstock.cn/"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www.ccstock.cn</w:t>
      </w:r>
      <w:r>
        <w:rPr>
          <w:rFonts w:ascii="Arial" w:eastAsia="Arial" w:hAnsi="Arial" w:cs="Arial"/>
          <w:color w:val="000000"/>
          <w:spacing w:val="0"/>
          <w:w w:val="100"/>
          <w:position w:val="0"/>
          <w:sz w:val="16"/>
          <w:szCs w:val="16"/>
          <w:vertAlign w:val="subscript"/>
        </w:rPr>
        <w:t>o</w:t>
      </w:r>
      <w:r>
        <w:fldChar w:fldCharType="end"/>
      </w:r>
    </w:p>
    <w:tbl>
      <w:tblPr>
        <w:tblOverlap w:val="never"/>
        <w:jc w:val="center"/>
        <w:tblLayout w:type="fixed"/>
      </w:tblPr>
      <w:tblGrid>
        <w:gridCol w:w="605"/>
        <w:gridCol w:w="7469"/>
        <w:gridCol w:w="1608"/>
      </w:tblGrid>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第五届监事会第二次（临时）会议决议公告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独立董事关于公司第五届董事会第二次（临时）会议相关事项的独立意见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关于使用闲置自有资金和超募资金购买理财产品的公告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年报披露提示性公告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年年度内部控制自我评价报告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2020</w:t>
            </w:r>
            <w:r>
              <w:rPr>
                <w:color w:val="000000"/>
                <w:spacing w:val="0"/>
                <w:w w:val="100"/>
                <w:position w:val="0"/>
              </w:rPr>
              <w:t>年度网上业绩说明会的公告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关于修订公司章程的公告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年度计提信用减值及资产减值准备的公告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独立董事关于公司第五届董事会第四次（临时）会议相关事项的独立意见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独立董事关于公司第五届董事会第四次（临时）会议相关事项的事前认可意见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年度拟不进行权益分派的专项说明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年年度募集资金存放与使用情况的专项报告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653"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关于以超募资金置换预先投入基于电力物联网的输变电智能监测和运维系统项目 自筹资金的公告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rPr>
              <w:t>2021</w:t>
            </w:r>
            <w:r>
              <w:rPr>
                <w:color w:val="000000"/>
                <w:spacing w:val="0"/>
                <w:w w:val="100"/>
                <w:position w:val="0"/>
              </w:rPr>
              <w:t>年审计机构的公告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第五届监事会第四次（临时）会议决议公告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独立董事关于公司第五届董事会第五次（临时）会议相关事项的独立意见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653"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关于延长公司</w:t>
            </w: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年创业板向特定对象发行股票决议有效期及相关授权有效期的 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r>
              <w:rPr>
                <w:rFonts w:ascii="Times New Roman" w:eastAsia="Times New Roman" w:hAnsi="Times New Roman" w:cs="Times New Roman"/>
                <w:color w:val="000000"/>
                <w:spacing w:val="0"/>
                <w:w w:val="100"/>
                <w:position w:val="0"/>
              </w:rPr>
              <w:t>2020</w:t>
            </w:r>
            <w:r>
              <w:rPr>
                <w:color w:val="000000"/>
                <w:spacing w:val="0"/>
                <w:w w:val="100"/>
                <w:position w:val="0"/>
              </w:rPr>
              <w:t>年度工作报告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年年度股东大会临时提案暨股东大会补充通知的公告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年创业板向特定对象发行股票会后重大事项的说明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2021/3/24</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2021/4/7</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一季报披露提示性公告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2021/4/7</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年第一季度报告全文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2021/4/7</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关于实际控制人之一部分股份质押延期购回的公告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2021/7/8</w:t>
            </w:r>
          </w:p>
        </w:tc>
      </w:tr>
      <w:tr>
        <w:trPr>
          <w:trHeight w:val="35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年半年度业绩预告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2021/7/15</w:t>
            </w:r>
          </w:p>
        </w:tc>
      </w:tr>
    </w:tbl>
    <w:p>
      <w:pPr>
        <w:spacing w:lineRule="exact" w:line="1"/>
        <w:rPr>
          <w:sz w:val="2"/>
          <w:szCs w:val="2"/>
        </w:rPr>
      </w:pPr>
      <w:r>
        <w:br w:type="page"/>
      </w:r>
    </w:p>
    <w:tbl>
      <w:tblPr>
        <w:tblOverlap w:val="never"/>
        <w:jc w:val="center"/>
        <w:tblLayout w:type="fixed"/>
      </w:tblPr>
      <w:tblGrid>
        <w:gridCol w:w="605"/>
        <w:gridCol w:w="7469"/>
        <w:gridCol w:w="1637"/>
      </w:tblGrid>
      <w:tr>
        <w:trPr>
          <w:trHeight w:val="35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关于副总裁兼董事会秘书辞职的公告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2021/7/16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年半年度业绩预告的补充公告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2021/7/16</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关于实际控制人之一部分股份质押及解除质押的公告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2021/8/7</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年半年度报告披露的提示性公告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独立董事关于公司第五届董事会第七次会议相关事项的独立意见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年半年度募集资金存放与使用情况的专项报告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2021/8/30</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关于公司实际控制人减持股份预披露公告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2021/9/16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关于董事长代行董事会秘书职责的公告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2021/10/14</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年第三季度报告披露的提示性公告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2021/10/29</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2021/10/29</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关于向特定对象发行股票注册批复到期失效的公告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2021/11/6</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关于公司实际控制人之一减持股份预披露公告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2021/11/11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关于实际控制人之一部分股份质押的公告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2021/11/12</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第五届监事会第八次（临时）会议决议公告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2021/12/31</w:t>
            </w:r>
          </w:p>
        </w:tc>
      </w:tr>
      <w:tr>
        <w:trPr>
          <w:trHeight w:val="34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第五届董事会第九次（临时）会议决议公告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2021/12/31</w:t>
            </w:r>
          </w:p>
        </w:tc>
      </w:tr>
      <w:tr>
        <w:trPr>
          <w:trHeight w:val="346"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独立董事关于公司第五届董事会第九次（临时）会议相关事项的独立意见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2021/12/31</w:t>
            </w:r>
          </w:p>
        </w:tc>
      </w:tr>
      <w:tr>
        <w:trPr>
          <w:trHeight w:val="35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关于使用闲置自有资金及超募资金进行现金管理的公告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2021/12/31</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537" w:name="bookmark537"/>
      <w:bookmarkStart w:id="538" w:name="bookmark538"/>
      <w:bookmarkStart w:id="539" w:name="bookmark539"/>
      <w:r>
        <w:rPr>
          <w:color w:val="000000"/>
          <w:spacing w:val="0"/>
          <w:w w:val="100"/>
          <w:position w:val="0"/>
        </w:rPr>
        <w:t>十七、公司子公司重大事项</w:t>
      </w:r>
      <w:bookmarkEnd w:id="537"/>
      <w:bookmarkEnd w:id="538"/>
      <w:bookmarkEnd w:id="539"/>
    </w:p>
    <w:p>
      <w:pPr>
        <w:pStyle w:val="Style18"/>
        <w:keepNext w:val="0"/>
        <w:keepLines w:val="0"/>
        <w:widowControl w:val="0"/>
        <w:shd w:val="clear" w:color="auto" w:fill="auto"/>
        <w:bidi w:val="0"/>
        <w:spacing w:before="0" w:after="0" w:line="451" w:lineRule="exact"/>
        <w:ind w:left="0" w:right="0" w:firstLine="50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300" w:line="451" w:lineRule="exact"/>
        <w:ind w:left="0" w:right="0" w:firstLine="500"/>
        <w:jc w:val="both"/>
      </w:pPr>
      <w:r>
        <w:rPr>
          <w:color w:val="000000"/>
          <w:spacing w:val="0"/>
          <w:w w:val="100"/>
          <w:position w:val="0"/>
        </w:rPr>
        <w:t>报告期内，控股子公司发生的重要事项已作为临时报告在规定网站披露，信息披露规定 网站的相关查询索引及披露日期见前文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十六、其他重大事项的说明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br w:type="page"/>
      </w:r>
    </w:p>
    <w:p>
      <w:pPr>
        <w:pStyle w:val="Style10"/>
        <w:keepNext/>
        <w:keepLines/>
        <w:widowControl w:val="0"/>
        <w:shd w:val="clear" w:color="auto" w:fill="auto"/>
        <w:bidi w:val="0"/>
        <w:spacing w:before="0" w:after="560" w:line="240" w:lineRule="auto"/>
        <w:ind w:left="0" w:right="0" w:firstLine="0"/>
        <w:jc w:val="center"/>
      </w:pPr>
      <w:bookmarkStart w:id="540" w:name="bookmark540"/>
      <w:bookmarkStart w:id="541" w:name="bookmark541"/>
      <w:bookmarkStart w:id="542" w:name="bookmark542"/>
      <w:r>
        <w:rPr>
          <w:color w:val="000000"/>
          <w:spacing w:val="0"/>
          <w:w w:val="100"/>
          <w:position w:val="0"/>
        </w:rPr>
        <w:t>第七节股份变动及股东情况</w:t>
      </w:r>
      <w:bookmarkEnd w:id="540"/>
      <w:bookmarkEnd w:id="541"/>
      <w:bookmarkEnd w:id="542"/>
    </w:p>
    <w:p>
      <w:pPr>
        <w:pStyle w:val="Style29"/>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bookmarkStart w:id="547" w:name="bookmark547"/>
      <w:r>
        <w:rPr>
          <w:color w:val="000000"/>
          <w:spacing w:val="0"/>
          <w:w w:val="100"/>
          <w:position w:val="0"/>
        </w:rPr>
        <w:t>一</w:t>
      </w:r>
      <w:bookmarkEnd w:id="546"/>
      <w:r>
        <w:rPr>
          <w:color w:val="000000"/>
          <w:spacing w:val="0"/>
          <w:w w:val="100"/>
          <w:position w:val="0"/>
        </w:rPr>
        <w:t>、股份变动情况</w:t>
      </w:r>
      <w:bookmarkEnd w:id="544"/>
      <w:bookmarkEnd w:id="545"/>
      <w:bookmarkEnd w:id="547"/>
      <w:bookmarkEnd w:id="543"/>
    </w:p>
    <w:p>
      <w:pPr>
        <w:pStyle w:val="Style32"/>
        <w:keepNext/>
        <w:keepLines/>
        <w:widowControl w:val="0"/>
        <w:shd w:val="clear" w:color="auto" w:fill="auto"/>
        <w:bidi w:val="0"/>
        <w:spacing w:before="0" w:after="340" w:line="240" w:lineRule="auto"/>
        <w:ind w:left="0" w:right="0" w:firstLine="0"/>
        <w:jc w:val="left"/>
      </w:pPr>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、股份变动情况</w:t>
      </w:r>
      <w:bookmarkEnd w:id="548"/>
      <w:bookmarkEnd w:id="549"/>
      <w:bookmarkEnd w:id="5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54"/>
        <w:gridCol w:w="1114"/>
        <w:gridCol w:w="811"/>
        <w:gridCol w:w="605"/>
        <w:gridCol w:w="451"/>
        <w:gridCol w:w="624"/>
        <w:gridCol w:w="1070"/>
        <w:gridCol w:w="1070"/>
        <w:gridCol w:w="1104"/>
        <w:gridCol w:w="816"/>
      </w:tblGrid>
      <w:tr>
        <w:trPr>
          <w:trHeight w:val="40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公积</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75,739,947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75,739,947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其中：境内法人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080"/>
              <w:jc w:val="both"/>
            </w:pPr>
            <w:r>
              <w:rPr>
                <w:color w:val="000000"/>
                <w:spacing w:val="0"/>
                <w:w w:val="100"/>
                <w:position w:val="0"/>
              </w:rPr>
              <w:t>境内自然 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89,305,040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75,739,947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其中：境外法人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80"/>
              <w:jc w:val="both"/>
            </w:pPr>
            <w:r>
              <w:rPr>
                <w:color w:val="000000"/>
                <w:spacing w:val="0"/>
                <w:w w:val="100"/>
                <w:position w:val="0"/>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391,526,496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405,091,589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391,526,496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405,091,589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股份变动的原因</w:t>
      </w:r>
    </w:p>
    <w:p>
      <w:pPr>
        <w:pStyle w:val="Style18"/>
        <w:keepNext w:val="0"/>
        <w:keepLines w:val="0"/>
        <w:widowControl w:val="0"/>
        <w:shd w:val="clear" w:color="auto" w:fill="auto"/>
        <w:bidi w:val="0"/>
        <w:spacing w:before="0" w:after="180" w:line="240" w:lineRule="auto"/>
        <w:ind w:left="0" w:right="0" w:firstLine="5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傅多女士原为公司董事，离任后其股份锁定</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个月，锁定期届满新增可上市交易股份</w:t>
      </w:r>
    </w:p>
    <w:p>
      <w:pPr>
        <w:pStyle w:val="Style4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 xml:space="preserve">13,565,093 </w:t>
      </w:r>
      <w:r>
        <w:rPr>
          <w:rFonts w:ascii="SimSun" w:eastAsia="SimSun" w:hAnsi="SimSun" w:cs="SimSun"/>
          <w:color w:val="000000"/>
          <w:spacing w:val="0"/>
          <w:w w:val="100"/>
          <w:position w:val="0"/>
          <w:sz w:val="22"/>
          <w:szCs w:val="22"/>
        </w:rPr>
        <w:t>股。</w:t>
      </w:r>
    </w:p>
    <w:p>
      <w:pPr>
        <w:pStyle w:val="Style18"/>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7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7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股份变动对最近一年和最近一期基本每股收益和稀释每股收益、归属于公司普通股股东 的每股净资产等财务指标的影响</w:t>
      </w:r>
    </w:p>
    <w:p>
      <w:pPr>
        <w:pStyle w:val="Style18"/>
        <w:keepNext w:val="0"/>
        <w:keepLines w:val="0"/>
        <w:widowControl w:val="0"/>
        <w:shd w:val="clear" w:color="auto" w:fill="auto"/>
        <w:bidi w:val="0"/>
        <w:spacing w:before="0" w:after="0" w:line="37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00" w:line="437" w:lineRule="exact"/>
        <w:ind w:left="0" w:right="0" w:firstLine="50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200" w:line="37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280" w:line="379"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sz w:val="24"/>
          <w:szCs w:val="24"/>
        </w:rPr>
        <w:t>2</w:t>
      </w:r>
      <w:bookmarkEnd w:id="553"/>
      <w:r>
        <w:rPr>
          <w:color w:val="000000"/>
          <w:spacing w:val="0"/>
          <w:w w:val="100"/>
          <w:position w:val="0"/>
        </w:rPr>
        <w:t>、限售股份变动情况</w:t>
      </w:r>
      <w:bookmarkEnd w:id="551"/>
      <w:bookmarkEnd w:id="552"/>
      <w:bookmarkEnd w:id="554"/>
    </w:p>
    <w:p>
      <w:pPr>
        <w:pStyle w:val="Style18"/>
        <w:keepNext w:val="0"/>
        <w:keepLines w:val="0"/>
        <w:widowControl w:val="0"/>
        <w:shd w:val="clear" w:color="auto" w:fill="auto"/>
        <w:bidi w:val="0"/>
        <w:spacing w:before="0" w:after="0" w:line="379" w:lineRule="auto"/>
        <w:ind w:left="0" w:right="0" w:firstLine="500"/>
        <w:jc w:val="both"/>
      </w:pP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29"/>
        <w:gridCol w:w="1488"/>
        <w:gridCol w:w="1488"/>
        <w:gridCol w:w="1483"/>
        <w:gridCol w:w="1493"/>
        <w:gridCol w:w="1200"/>
        <w:gridCol w:w="1210"/>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20,212,500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20,212,500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17,757,975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17,757,975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17,512,762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17,512,762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8,261,250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8,261,250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5,383,500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5,383,500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6,399,675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6,399,675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89,305,040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-13,565,093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75,739,947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二</w:t>
      </w:r>
      <w:bookmarkEnd w:id="557"/>
      <w:r>
        <w:rPr>
          <w:color w:val="000000"/>
          <w:spacing w:val="0"/>
          <w:w w:val="100"/>
          <w:position w:val="0"/>
        </w:rPr>
        <w:t>、证券发行与上市情况</w:t>
      </w:r>
      <w:bookmarkEnd w:id="555"/>
      <w:bookmarkEnd w:id="556"/>
      <w:bookmarkEnd w:id="558"/>
    </w:p>
    <w:p>
      <w:pPr>
        <w:pStyle w:val="Style32"/>
        <w:keepNext/>
        <w:keepLines/>
        <w:widowControl w:val="0"/>
        <w:shd w:val="clear" w:color="auto" w:fill="auto"/>
        <w:bidi w:val="0"/>
        <w:spacing w:before="0" w:after="420" w:line="240" w:lineRule="auto"/>
        <w:ind w:left="0" w:right="0" w:firstLine="0"/>
        <w:jc w:val="left"/>
      </w:pPr>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、报告期内证券发行（不含优先股）情况</w:t>
      </w:r>
      <w:bookmarkEnd w:id="559"/>
      <w:bookmarkEnd w:id="560"/>
      <w:bookmarkEnd w:id="561"/>
    </w:p>
    <w:p>
      <w:pPr>
        <w:pStyle w:val="Style18"/>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32"/>
        <w:keepNext/>
        <w:keepLines/>
        <w:widowControl w:val="0"/>
        <w:shd w:val="clear" w:color="auto" w:fill="auto"/>
        <w:tabs>
          <w:tab w:pos="402" w:val="left"/>
        </w:tabs>
        <w:bidi w:val="0"/>
        <w:spacing w:before="0" w:after="42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sz w:val="24"/>
          <w:szCs w:val="24"/>
        </w:rPr>
        <w:t>2</w:t>
      </w:r>
      <w:bookmarkEnd w:id="564"/>
      <w:r>
        <w:rPr>
          <w:color w:val="000000"/>
          <w:spacing w:val="0"/>
          <w:w w:val="100"/>
          <w:position w:val="0"/>
        </w:rPr>
        <w:t>、</w:t>
        <w:tab/>
        <w:t>公司股份总数及股东结构的变动、公司资产和负债结构的变动情况说明</w:t>
      </w:r>
      <w:bookmarkEnd w:id="562"/>
      <w:bookmarkEnd w:id="563"/>
      <w:bookmarkEnd w:id="565"/>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tabs>
          <w:tab w:pos="402" w:val="left"/>
        </w:tabs>
        <w:bidi w:val="0"/>
        <w:spacing w:before="0" w:after="42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sz w:val="24"/>
          <w:szCs w:val="24"/>
        </w:rPr>
        <w:t>3</w:t>
      </w:r>
      <w:bookmarkEnd w:id="568"/>
      <w:r>
        <w:rPr>
          <w:color w:val="000000"/>
          <w:spacing w:val="0"/>
          <w:w w:val="100"/>
          <w:position w:val="0"/>
        </w:rPr>
        <w:t>、</w:t>
        <w:tab/>
        <w:t>现存的内部职工股情况</w:t>
      </w:r>
      <w:bookmarkEnd w:id="566"/>
      <w:bookmarkEnd w:id="567"/>
      <w:bookmarkEnd w:id="569"/>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三</w:t>
      </w:r>
      <w:bookmarkEnd w:id="572"/>
      <w:r>
        <w:rPr>
          <w:color w:val="000000"/>
          <w:spacing w:val="0"/>
          <w:w w:val="100"/>
          <w:position w:val="0"/>
        </w:rPr>
        <w:t>、股东和实际控制人情况</w:t>
      </w:r>
      <w:bookmarkEnd w:id="570"/>
      <w:bookmarkEnd w:id="571"/>
      <w:bookmarkEnd w:id="573"/>
    </w:p>
    <w:p>
      <w:pPr>
        <w:pStyle w:val="Style32"/>
        <w:keepNext/>
        <w:keepLines/>
        <w:widowControl w:val="0"/>
        <w:shd w:val="clear" w:color="auto" w:fill="auto"/>
        <w:bidi w:val="0"/>
        <w:spacing w:before="0" w:after="340" w:line="240" w:lineRule="auto"/>
        <w:ind w:left="0" w:right="0" w:firstLine="0"/>
        <w:jc w:val="left"/>
      </w:pPr>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、公司股东数量及持股情况</w:t>
      </w:r>
      <w:bookmarkEnd w:id="574"/>
      <w:bookmarkEnd w:id="575"/>
      <w:bookmarkEnd w:id="576"/>
    </w:p>
    <w:tbl>
      <w:tblPr>
        <w:tblOverlap w:val="never"/>
        <w:jc w:val="center"/>
        <w:tblLayout w:type="fixed"/>
      </w:tblPr>
      <w:tblGrid>
        <w:gridCol w:w="955"/>
        <w:gridCol w:w="950"/>
        <w:gridCol w:w="398"/>
        <w:gridCol w:w="288"/>
        <w:gridCol w:w="715"/>
        <w:gridCol w:w="312"/>
        <w:gridCol w:w="797"/>
        <w:gridCol w:w="312"/>
        <w:gridCol w:w="710"/>
        <w:gridCol w:w="283"/>
        <w:gridCol w:w="1133"/>
        <w:gridCol w:w="394"/>
        <w:gridCol w:w="840"/>
        <w:gridCol w:w="610"/>
        <w:gridCol w:w="192"/>
        <w:gridCol w:w="830"/>
      </w:tblGrid>
      <w:tr>
        <w:trPr>
          <w:trHeight w:val="322" w:hRule="exact"/>
        </w:trPr>
        <w:tc>
          <w:tcPr>
            <w:gridSpan w:val="1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c>
      </w:tr>
      <w:tr>
        <w:trPr>
          <w:trHeight w:val="258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普通股股</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38,126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 告披露 日前上 一月末 普通股 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33,096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 末表决 权恢复 的优先 股股东 总数（如 有）（参</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年度报告披露日前 上一月末表决权恢 复的优先股股东总 数（如有）（参见注 </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 别表决 权股份 的股东 总数（如 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6"/>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715"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3"/>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报告期内</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增减变动</w:t>
            </w:r>
          </w:p>
          <w:p>
            <w:pPr>
              <w:pStyle w:val="Style21"/>
              <w:keepNext w:val="0"/>
              <w:keepLines w:val="0"/>
              <w:widowControl w:val="0"/>
              <w:shd w:val="clear" w:color="auto" w:fill="auto"/>
              <w:bidi w:val="0"/>
              <w:spacing w:before="0" w:after="80" w:line="240" w:lineRule="auto"/>
              <w:ind w:left="0" w:right="0" w:firstLine="280"/>
              <w:jc w:val="both"/>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80" w:line="240" w:lineRule="auto"/>
              <w:ind w:left="0" w:right="34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持有无限售</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数量</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质押、标记或冻结 情况</w:t>
            </w:r>
          </w:p>
        </w:tc>
      </w:tr>
      <w:tr>
        <w:trPr>
          <w:trHeight w:val="710" w:hRule="exact"/>
        </w:trPr>
        <w:tc>
          <w:tcPr>
            <w:vMerge/>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26,950,000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20,212,500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4,890,000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4.92%</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23,677,300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17,757,975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5,919,325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4.86%</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23,350,350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17,512,762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5,837,588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3.24%</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15,559,300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3,450,000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2.29%</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11,015,000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8,261,250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2,753,750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潘小任</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10,080,000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1.77%</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8,532,900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6,399,675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2,133,225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1.59%</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7,627,000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7,178,000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5,383,500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5,079,400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715" w:hRule="exact"/>
        </w:trPr>
        <w:tc>
          <w:tcPr>
            <w:gridSpan w:val="3"/>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上述股东关联关系或一 致行动的说明</w:t>
            </w: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邓志刚、王永业、张小波、刘屹、卢春明、尹健、尹力光为一致行动人，徐福轩、 傅多为夫妻关系，未知其他股东之间是否存在关联关系或构成一致行动人。</w:t>
            </w:r>
          </w:p>
        </w:tc>
      </w:tr>
      <w:tr>
        <w:trPr>
          <w:trHeight w:val="413" w:hRule="exact"/>
        </w:trPr>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w:t>
            </w:r>
          </w:p>
        </w:tc>
        <w:tc>
          <w:tcPr>
            <w:gridSpan w:val="1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886"/>
        <w:gridCol w:w="4546"/>
        <w:gridCol w:w="1651"/>
        <w:gridCol w:w="1666"/>
      </w:tblGrid>
      <w:tr>
        <w:trPr>
          <w:trHeight w:val="677"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表决权、放弃表决权情况 的说明</w:t>
            </w:r>
          </w:p>
        </w:tc>
      </w:tr>
      <w:tr>
        <w:trPr>
          <w:trHeight w:val="403" w:hRule="exact"/>
        </w:trPr>
        <w:tc>
          <w:tcPr>
            <w:gridSpan w:val="4"/>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数量</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15,559,300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潘小任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7,627,000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7,627,000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6,737,500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6,737,500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5,919,325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5,919,325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5,837,588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5,837,588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徐福轩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5,079,400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5,079,400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2,946,800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2,946,800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2,753,750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2,753,750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西安天厚滤清技术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60" w:right="0" w:firstLine="0"/>
              <w:jc w:val="left"/>
            </w:pPr>
            <w:r>
              <w:rPr>
                <w:rFonts w:ascii="Times New Roman" w:eastAsia="Times New Roman" w:hAnsi="Times New Roman" w:cs="Times New Roman"/>
                <w:color w:val="000000"/>
                <w:spacing w:val="0"/>
                <w:w w:val="100"/>
                <w:position w:val="0"/>
              </w:rPr>
              <w:t>2,301,500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2,301,500</w:t>
            </w:r>
          </w:p>
        </w:tc>
      </w:tr>
      <w:tr>
        <w:trPr>
          <w:trHeight w:val="197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 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 致行动的说明</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刘屹、邓志刚、王永业、张小波、卢春明为一致行动人，傅多、徐福轩为夫妻关系， 未知其他股东之间是否存在关联关系或构成一致行动人。</w:t>
            </w:r>
          </w:p>
        </w:tc>
      </w:tr>
    </w:tbl>
    <w:p>
      <w:pPr>
        <w:widowControl w:val="0"/>
        <w:spacing w:after="119" w:line="1" w:lineRule="exact"/>
      </w:pP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5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名无限售条件普通股股东在报告期内是否进行约定购回 </w:t>
      </w:r>
      <w:r>
        <w:rPr>
          <w:color w:val="000000"/>
          <w:spacing w:val="0"/>
          <w:w w:val="100"/>
          <w:position w:val="0"/>
        </w:rPr>
        <w:t>交易</w:t>
      </w:r>
    </w:p>
    <w:p>
      <w:pPr>
        <w:pStyle w:val="Style18"/>
        <w:keepNext w:val="0"/>
        <w:keepLines w:val="0"/>
        <w:widowControl w:val="0"/>
        <w:shd w:val="clear" w:color="auto" w:fill="auto"/>
        <w:bidi w:val="0"/>
        <w:spacing w:before="0" w:line="442" w:lineRule="exact"/>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18"/>
        <w:keepNext w:val="0"/>
        <w:keepLines w:val="0"/>
        <w:widowControl w:val="0"/>
        <w:shd w:val="clear" w:color="auto" w:fill="auto"/>
        <w:bidi w:val="0"/>
        <w:spacing w:before="0" w:after="200" w:line="442" w:lineRule="exact"/>
        <w:ind w:left="0" w:right="0" w:firstLine="5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名无限售条件普通股股东在报告期内未进行约定购回交 易。</w:t>
      </w:r>
    </w:p>
    <w:p>
      <w:pPr>
        <w:pStyle w:val="Style32"/>
        <w:keepNext/>
        <w:keepLines/>
        <w:widowControl w:val="0"/>
        <w:shd w:val="clear" w:color="auto" w:fill="auto"/>
        <w:bidi w:val="0"/>
        <w:spacing w:before="0" w:line="442" w:lineRule="exact"/>
        <w:ind w:left="0" w:right="0" w:firstLine="0"/>
        <w:jc w:val="left"/>
      </w:pPr>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、公司控股股东情况</w:t>
      </w:r>
      <w:bookmarkEnd w:id="577"/>
      <w:bookmarkEnd w:id="578"/>
      <w:bookmarkEnd w:id="579"/>
    </w:p>
    <w:p>
      <w:pPr>
        <w:pStyle w:val="Style18"/>
        <w:keepNext w:val="0"/>
        <w:keepLines w:val="0"/>
        <w:widowControl w:val="0"/>
        <w:shd w:val="clear" w:color="auto" w:fill="auto"/>
        <w:bidi w:val="0"/>
        <w:spacing w:before="0" w:line="442" w:lineRule="exact"/>
        <w:ind w:left="0" w:right="0" w:firstLine="52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line="442" w:lineRule="exact"/>
        <w:ind w:left="0" w:right="0" w:firstLine="520"/>
        <w:jc w:val="left"/>
      </w:pPr>
      <w:r>
        <w:rPr>
          <w:color w:val="000000"/>
          <w:spacing w:val="0"/>
          <w:w w:val="100"/>
          <w:position w:val="0"/>
        </w:rPr>
        <w:t>控股股东类型：不存在</w:t>
      </w:r>
    </w:p>
    <w:p>
      <w:pPr>
        <w:pStyle w:val="Style18"/>
        <w:keepNext w:val="0"/>
        <w:keepLines w:val="0"/>
        <w:widowControl w:val="0"/>
        <w:shd w:val="clear" w:color="auto" w:fill="auto"/>
        <w:bidi w:val="0"/>
        <w:spacing w:before="0" w:after="160" w:line="442" w:lineRule="exact"/>
        <w:ind w:left="0" w:right="0" w:firstLine="520"/>
        <w:jc w:val="left"/>
      </w:pPr>
      <w:r>
        <w:rPr>
          <w:color w:val="000000"/>
          <w:spacing w:val="0"/>
          <w:w w:val="100"/>
          <w:position w:val="0"/>
        </w:rPr>
        <w:t>公司不存在控股股东情况的说明</w:t>
      </w:r>
    </w:p>
    <w:p>
      <w:pPr>
        <w:pStyle w:val="Style18"/>
        <w:keepNext w:val="0"/>
        <w:keepLines w:val="0"/>
        <w:widowControl w:val="0"/>
        <w:shd w:val="clear" w:color="auto" w:fill="auto"/>
        <w:bidi w:val="0"/>
        <w:spacing w:before="0" w:after="60" w:line="434" w:lineRule="exact"/>
        <w:ind w:left="0" w:right="0" w:firstLine="500"/>
        <w:jc w:val="both"/>
      </w:pPr>
      <w:r>
        <w:rPr>
          <w:color w:val="000000"/>
          <w:spacing w:val="0"/>
          <w:w w:val="100"/>
          <w:position w:val="0"/>
        </w:rPr>
        <w:t>王永业、尹健、卢春明、邓志刚、张小波、刘屹、尹力光为一致行动人，陈志兵先生作 为刘屹女士配偶，自动计入一致行动人。截至报告期末，上述</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位一致行动人合计持有公司 股份</w:t>
      </w:r>
      <w:r>
        <w:rPr>
          <w:rFonts w:ascii="Times New Roman" w:eastAsia="Times New Roman" w:hAnsi="Times New Roman" w:cs="Times New Roman"/>
          <w:color w:val="000000"/>
          <w:spacing w:val="0"/>
          <w:w w:val="100"/>
          <w:position w:val="0"/>
          <w:sz w:val="24"/>
          <w:szCs w:val="24"/>
        </w:rPr>
        <w:t>116,545,897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rPr>
        <w:t>，为公司实际控制人。</w:t>
      </w:r>
    </w:p>
    <w:p>
      <w:pPr>
        <w:pStyle w:val="Style18"/>
        <w:keepNext w:val="0"/>
        <w:keepLines w:val="0"/>
        <w:widowControl w:val="0"/>
        <w:shd w:val="clear" w:color="auto" w:fill="auto"/>
        <w:bidi w:val="0"/>
        <w:spacing w:before="0" w:after="220" w:line="434" w:lineRule="exact"/>
        <w:ind w:left="0" w:right="0" w:firstLine="500"/>
        <w:jc w:val="both"/>
      </w:pPr>
      <w:r>
        <w:rPr>
          <w:color w:val="000000"/>
          <w:spacing w:val="0"/>
          <w:w w:val="100"/>
          <w:position w:val="0"/>
        </w:rPr>
        <w:t>控股股东报告期内变更</w:t>
      </w:r>
    </w:p>
    <w:p>
      <w:pPr>
        <w:pStyle w:val="Style18"/>
        <w:keepNext w:val="0"/>
        <w:keepLines w:val="0"/>
        <w:widowControl w:val="0"/>
        <w:shd w:val="clear" w:color="auto" w:fill="auto"/>
        <w:bidi w:val="0"/>
        <w:spacing w:before="0" w:after="0" w:line="37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360" w:line="434" w:lineRule="exact"/>
        <w:ind w:left="0" w:right="0" w:firstLine="500"/>
        <w:jc w:val="both"/>
      </w:pPr>
      <w:r>
        <w:rPr>
          <w:color w:val="000000"/>
          <w:spacing w:val="0"/>
          <w:w w:val="100"/>
          <w:position w:val="0"/>
        </w:rPr>
        <w:t>公司报告期控股股东未发生变更。</w:t>
      </w:r>
    </w:p>
    <w:p>
      <w:pPr>
        <w:pStyle w:val="Style32"/>
        <w:keepNext/>
        <w:keepLines/>
        <w:widowControl w:val="0"/>
        <w:shd w:val="clear" w:color="auto" w:fill="auto"/>
        <w:bidi w:val="0"/>
        <w:spacing w:before="0" w:after="300" w:line="379"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sz w:val="24"/>
          <w:szCs w:val="24"/>
        </w:rPr>
        <w:t>3</w:t>
      </w:r>
      <w:bookmarkEnd w:id="582"/>
      <w:r>
        <w:rPr>
          <w:color w:val="000000"/>
          <w:spacing w:val="0"/>
          <w:w w:val="100"/>
          <w:position w:val="0"/>
        </w:rPr>
        <w:t>、公司实际控制人及其一致行动人</w:t>
      </w:r>
      <w:bookmarkEnd w:id="580"/>
      <w:bookmarkEnd w:id="581"/>
      <w:bookmarkEnd w:id="583"/>
    </w:p>
    <w:p>
      <w:pPr>
        <w:pStyle w:val="Style18"/>
        <w:keepNext w:val="0"/>
        <w:keepLines w:val="0"/>
        <w:widowControl w:val="0"/>
        <w:shd w:val="clear" w:color="auto" w:fill="auto"/>
        <w:bidi w:val="0"/>
        <w:spacing w:before="0" w:after="60" w:line="240" w:lineRule="auto"/>
        <w:ind w:left="0" w:right="0" w:firstLine="500"/>
        <w:jc w:val="both"/>
      </w:pPr>
      <w:r>
        <w:rPr>
          <w:color w:val="000000"/>
          <w:spacing w:val="0"/>
          <w:w w:val="100"/>
          <w:position w:val="0"/>
        </w:rPr>
        <w:t>实际控制人性质：境内自然人</w:t>
      </w:r>
    </w:p>
    <w:tbl>
      <w:tblPr>
        <w:tblOverlap w:val="never"/>
        <w:jc w:val="center"/>
        <w:tblLayout w:type="fixed"/>
      </w:tblPr>
      <w:tblGrid>
        <w:gridCol w:w="2410"/>
        <w:gridCol w:w="2395"/>
        <w:gridCol w:w="2395"/>
        <w:gridCol w:w="2390"/>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 居留权</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王永业、尹健、卢春明、邓志刚、张小波、陈志兵、尹力光</w:t>
            </w:r>
            <w:r>
              <w:rPr>
                <w:rFonts w:ascii="Times New Roman" w:eastAsia="Times New Roman" w:hAnsi="Times New Roman" w:cs="Times New Roman"/>
                <w:color w:val="000000"/>
                <w:spacing w:val="0"/>
                <w:w w:val="100"/>
                <w:position w:val="0"/>
              </w:rPr>
              <w:t>7</w:t>
            </w:r>
            <w:r>
              <w:rPr>
                <w:color w:val="000000"/>
                <w:spacing w:val="0"/>
                <w:w w:val="100"/>
                <w:position w:val="0"/>
              </w:rPr>
              <w:t>人最近</w:t>
            </w:r>
            <w:r>
              <w:rPr>
                <w:rFonts w:ascii="Times New Roman" w:eastAsia="Times New Roman" w:hAnsi="Times New Roman" w:cs="Times New Roman"/>
                <w:color w:val="000000"/>
                <w:spacing w:val="0"/>
                <w:w w:val="100"/>
                <w:position w:val="0"/>
              </w:rPr>
              <w:t>5</w:t>
            </w:r>
            <w:r>
              <w:rPr>
                <w:color w:val="000000"/>
                <w:spacing w:val="0"/>
                <w:w w:val="100"/>
                <w:position w:val="0"/>
              </w:rPr>
              <w:t>年均在 公司关键岗位担任职务，刘屹现已退休。</w:t>
            </w:r>
          </w:p>
        </w:tc>
      </w:tr>
      <w:tr>
        <w:trPr>
          <w:trHeight w:val="72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 外上市公司情况</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after="22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0415" cy="34505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4590415" cy="345059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200" w:line="317" w:lineRule="exact"/>
        <w:ind w:left="0" w:right="0" w:firstLine="50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260" w:line="276"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tabs>
          <w:tab w:pos="402" w:val="left"/>
        </w:tabs>
        <w:bidi w:val="0"/>
        <w:spacing w:before="0" w:after="440" w:line="317" w:lineRule="exact"/>
        <w:ind w:left="0" w:right="0" w:firstLine="0"/>
        <w:jc w:val="left"/>
        <w:rPr>
          <w:sz w:val="24"/>
          <w:szCs w:val="24"/>
        </w:rPr>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sz w:val="24"/>
          <w:szCs w:val="24"/>
        </w:rPr>
        <w:t>4</w:t>
      </w:r>
      <w:bookmarkEnd w:id="586"/>
      <w:r>
        <w:rPr>
          <w:color w:val="000000"/>
          <w:spacing w:val="0"/>
          <w:w w:val="100"/>
          <w:position w:val="0"/>
          <w:sz w:val="22"/>
          <w:szCs w:val="22"/>
        </w:rPr>
        <w:t>、</w:t>
        <w:tab/>
        <w:t>公司控股股东或第一大股东及其一致行动人累计质押股份数量占其所持公司股份数量比例 达到</w:t>
      </w:r>
      <w:r>
        <w:rPr>
          <w:rFonts w:ascii="Times New Roman" w:eastAsia="Times New Roman" w:hAnsi="Times New Roman" w:cs="Times New Roman"/>
          <w:color w:val="000000"/>
          <w:spacing w:val="0"/>
          <w:w w:val="100"/>
          <w:position w:val="0"/>
          <w:sz w:val="24"/>
          <w:szCs w:val="24"/>
        </w:rPr>
        <w:t>80%</w:t>
      </w:r>
      <w:bookmarkEnd w:id="584"/>
      <w:bookmarkEnd w:id="585"/>
      <w:bookmarkEnd w:id="587"/>
    </w:p>
    <w:p>
      <w:pPr>
        <w:pStyle w:val="Style18"/>
        <w:keepNext w:val="0"/>
        <w:keepLines w:val="0"/>
        <w:widowControl w:val="0"/>
        <w:shd w:val="clear" w:color="auto" w:fill="auto"/>
        <w:bidi w:val="0"/>
        <w:spacing w:before="0" w:after="300" w:line="276"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tabs>
          <w:tab w:pos="397" w:val="left"/>
        </w:tabs>
        <w:bidi w:val="0"/>
        <w:spacing w:before="0" w:after="380" w:line="276"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sz w:val="24"/>
          <w:szCs w:val="24"/>
        </w:rPr>
        <w:t>5</w:t>
      </w:r>
      <w:bookmarkEnd w:id="590"/>
      <w:r>
        <w:rPr>
          <w:color w:val="000000"/>
          <w:spacing w:val="0"/>
          <w:w w:val="100"/>
          <w:position w:val="0"/>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588"/>
      <w:bookmarkEnd w:id="589"/>
      <w:bookmarkEnd w:id="591"/>
    </w:p>
    <w:p>
      <w:pPr>
        <w:pStyle w:val="Style18"/>
        <w:keepNext w:val="0"/>
        <w:keepLines w:val="0"/>
        <w:widowControl w:val="0"/>
        <w:shd w:val="clear" w:color="auto" w:fill="auto"/>
        <w:bidi w:val="0"/>
        <w:spacing w:before="0" w:after="260" w:line="276"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tabs>
          <w:tab w:pos="397" w:val="left"/>
        </w:tabs>
        <w:bidi w:val="0"/>
        <w:spacing w:before="0" w:after="440" w:line="317" w:lineRule="exact"/>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sz w:val="24"/>
          <w:szCs w:val="24"/>
        </w:rPr>
        <w:t>6</w:t>
      </w:r>
      <w:bookmarkEnd w:id="594"/>
      <w:r>
        <w:rPr>
          <w:color w:val="000000"/>
          <w:spacing w:val="0"/>
          <w:w w:val="100"/>
          <w:position w:val="0"/>
        </w:rPr>
        <w:t>、</w:t>
        <w:tab/>
        <w:t>控股股东、实际控制人、重组方及其他承诺主体股份限制减持情况</w:t>
      </w:r>
      <w:bookmarkEnd w:id="592"/>
      <w:bookmarkEnd w:id="593"/>
      <w:bookmarkEnd w:id="595"/>
    </w:p>
    <w:p>
      <w:pPr>
        <w:pStyle w:val="Style18"/>
        <w:keepNext w:val="0"/>
        <w:keepLines w:val="0"/>
        <w:widowControl w:val="0"/>
        <w:numPr>
          <w:ilvl w:val="0"/>
          <w:numId w:val="7"/>
        </w:numPr>
        <w:shd w:val="clear" w:color="auto" w:fill="auto"/>
        <w:tabs>
          <w:tab w:pos="810" w:val="left"/>
        </w:tabs>
        <w:bidi w:val="0"/>
        <w:spacing w:before="0" w:after="260" w:line="276" w:lineRule="auto"/>
        <w:ind w:left="0" w:right="0" w:firstLine="500"/>
        <w:jc w:val="both"/>
      </w:pPr>
      <w:bookmarkStart w:id="596" w:name="bookmark596"/>
      <w:bookmarkEnd w:id="5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29"/>
        <w:keepNext/>
        <w:keepLines/>
        <w:widowControl w:val="0"/>
        <w:shd w:val="clear" w:color="auto" w:fill="auto"/>
        <w:bidi w:val="0"/>
        <w:spacing w:before="0" w:after="380" w:line="317" w:lineRule="exact"/>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四</w:t>
      </w:r>
      <w:bookmarkEnd w:id="599"/>
      <w:r>
        <w:rPr>
          <w:color w:val="000000"/>
          <w:spacing w:val="0"/>
          <w:w w:val="100"/>
          <w:position w:val="0"/>
        </w:rPr>
        <w:t>、股份回购在报告期的具体实施情况</w:t>
      </w:r>
      <w:bookmarkEnd w:id="597"/>
      <w:bookmarkEnd w:id="598"/>
      <w:bookmarkEnd w:id="600"/>
    </w:p>
    <w:p>
      <w:pPr>
        <w:pStyle w:val="Style18"/>
        <w:keepNext w:val="0"/>
        <w:keepLines w:val="0"/>
        <w:widowControl w:val="0"/>
        <w:shd w:val="clear" w:color="auto" w:fill="auto"/>
        <w:bidi w:val="0"/>
        <w:spacing w:before="0" w:after="200" w:line="317" w:lineRule="exact"/>
        <w:ind w:left="0" w:right="0" w:firstLine="500"/>
        <w:jc w:val="left"/>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810" w:val="left"/>
        </w:tabs>
        <w:bidi w:val="0"/>
        <w:spacing w:before="0" w:after="120" w:line="276" w:lineRule="auto"/>
        <w:ind w:left="0" w:right="0" w:firstLine="500"/>
        <w:jc w:val="left"/>
      </w:pPr>
      <w:bookmarkStart w:id="601" w:name="bookmark601"/>
      <w:bookmarkEnd w:id="6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8"/>
        <w:keepNext w:val="0"/>
        <w:keepLines w:val="0"/>
        <w:widowControl w:val="0"/>
        <w:shd w:val="clear" w:color="auto" w:fill="auto"/>
        <w:bidi w:val="0"/>
        <w:spacing w:before="0" w:after="200" w:line="317" w:lineRule="exact"/>
        <w:ind w:left="0" w:right="0" w:firstLine="50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280" w:line="240" w:lineRule="auto"/>
        <w:ind w:left="0" w:right="0" w:firstLine="500"/>
        <w:jc w:val="both"/>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V </w:t>
      </w:r>
      <w:r>
        <w:rPr>
          <w:color w:val="000000"/>
          <w:spacing w:val="0"/>
          <w:w w:val="100"/>
          <w:position w:val="0"/>
        </w:rPr>
        <w:t>不适用</w:t>
      </w:r>
    </w:p>
    <w:p>
      <w:pPr>
        <w:pStyle w:val="Style10"/>
        <w:keepNext/>
        <w:keepLines/>
        <w:widowControl w:val="0"/>
        <w:shd w:val="clear" w:color="auto" w:fill="auto"/>
        <w:bidi w:val="0"/>
        <w:spacing w:before="0" w:after="660" w:line="240" w:lineRule="auto"/>
        <w:ind w:left="0" w:right="0" w:firstLine="0"/>
        <w:jc w:val="center"/>
      </w:pPr>
      <w:bookmarkStart w:id="602" w:name="bookmark602"/>
      <w:bookmarkStart w:id="603" w:name="bookmark603"/>
      <w:bookmarkStart w:id="604" w:name="bookmark604"/>
      <w:r>
        <w:rPr>
          <w:color w:val="000000"/>
          <w:spacing w:val="0"/>
          <w:w w:val="100"/>
          <w:position w:val="0"/>
        </w:rPr>
        <w:t>第八节优先股相关情况</w:t>
      </w:r>
      <w:bookmarkEnd w:id="602"/>
      <w:bookmarkEnd w:id="603"/>
      <w:bookmarkEnd w:id="604"/>
    </w:p>
    <w:p>
      <w:pPr>
        <w:pStyle w:val="Style18"/>
        <w:keepNext w:val="0"/>
        <w:keepLines w:val="0"/>
        <w:widowControl w:val="0"/>
        <w:shd w:val="clear" w:color="auto" w:fill="auto"/>
        <w:bidi w:val="0"/>
        <w:spacing w:before="0" w:after="200" w:line="240" w:lineRule="auto"/>
        <w:ind w:left="0" w:right="0" w:firstLine="500"/>
        <w:jc w:val="left"/>
      </w:pPr>
      <w:bookmarkStart w:id="605" w:name="bookmark605"/>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605"/>
    </w:p>
    <w:p>
      <w:pPr>
        <w:pStyle w:val="Style18"/>
        <w:keepNext w:val="0"/>
        <w:keepLines w:val="0"/>
        <w:widowControl w:val="0"/>
        <w:shd w:val="clear" w:color="auto" w:fill="auto"/>
        <w:bidi w:val="0"/>
        <w:spacing w:before="0" w:after="420" w:line="240" w:lineRule="auto"/>
        <w:ind w:left="0" w:right="0" w:firstLine="500"/>
        <w:jc w:val="left"/>
        <w:sectPr>
          <w:footnotePr>
            <w:pos w:val="pageBottom"/>
            <w:numFmt w:val="decimal"/>
            <w:numRestart w:val="continuous"/>
          </w:footnotePr>
          <w:pgSz w:w="11900" w:h="16840"/>
          <w:pgMar w:top="1278" w:right="1052" w:bottom="1513" w:left="1046"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9" w:bottom="1162" w:left="1598" w:header="0" w:footer="3" w:gutter="0"/>
          <w:cols w:space="720"/>
          <w:noEndnote/>
          <w:rtlGutter w:val="0"/>
          <w:docGrid w:linePitch="360"/>
        </w:sectPr>
      </w:pPr>
    </w:p>
    <w:p>
      <w:pPr>
        <w:pStyle w:val="Style18"/>
        <w:keepNext w:val="0"/>
        <w:keepLines w:val="0"/>
        <w:framePr w:w="1867" w:h="336" w:wrap="none" w:vAnchor="text" w:hAnchor="page" w:x="1599" w:y="999"/>
        <w:widowControl w:val="0"/>
        <w:shd w:val="clear" w:color="auto" w:fill="auto"/>
        <w:bidi w:val="0"/>
        <w:spacing w:before="0" w:after="0" w:line="240" w:lineRule="auto"/>
        <w:ind w:left="0" w:right="0" w:firstLine="0"/>
        <w:jc w:val="left"/>
      </w:pPr>
      <w:bookmarkStart w:id="606" w:name="bookmark606"/>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bookmarkEnd w:id="606"/>
    </w:p>
    <w:p>
      <w:pPr>
        <w:pStyle w:val="Style10"/>
        <w:keepNext/>
        <w:keepLines/>
        <w:framePr w:w="2933" w:h="389" w:wrap="none" w:vAnchor="text" w:hAnchor="page" w:x="4479" w:y="21"/>
        <w:widowControl w:val="0"/>
        <w:shd w:val="clear" w:color="auto" w:fill="auto"/>
        <w:bidi w:val="0"/>
        <w:spacing w:before="0" w:after="0" w:line="240" w:lineRule="auto"/>
        <w:ind w:left="0" w:right="0" w:firstLine="0"/>
        <w:jc w:val="left"/>
      </w:pPr>
      <w:bookmarkStart w:id="607" w:name="bookmark607"/>
      <w:bookmarkStart w:id="608" w:name="bookmark608"/>
      <w:bookmarkStart w:id="609" w:name="bookmark609"/>
      <w:r>
        <w:rPr>
          <w:color w:val="000000"/>
          <w:spacing w:val="0"/>
          <w:w w:val="100"/>
          <w:position w:val="0"/>
        </w:rPr>
        <w:t>第九节债券相关情况</w:t>
      </w:r>
      <w:bookmarkEnd w:id="607"/>
      <w:bookmarkEnd w:id="608"/>
      <w:bookmarkEnd w:id="609"/>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152" w:right="1139" w:bottom="1162" w:left="1598" w:header="0" w:footer="3" w:gutter="0"/>
          <w:cols w:space="720"/>
          <w:noEndnote/>
          <w:rtlGutter w:val="0"/>
          <w:docGrid w:linePitch="360"/>
        </w:sectPr>
      </w:pPr>
    </w:p>
    <w:p>
      <w:pPr>
        <w:pStyle w:val="Style10"/>
        <w:keepNext/>
        <w:keepLines/>
        <w:widowControl w:val="0"/>
        <w:shd w:val="clear" w:color="auto" w:fill="auto"/>
        <w:bidi w:val="0"/>
        <w:spacing w:before="540" w:after="540" w:line="240" w:lineRule="auto"/>
        <w:ind w:left="0" w:right="0" w:firstLine="0"/>
        <w:jc w:val="center"/>
      </w:pPr>
      <w:bookmarkStart w:id="610" w:name="bookmark610"/>
      <w:bookmarkStart w:id="611" w:name="bookmark611"/>
      <w:bookmarkStart w:id="612" w:name="bookmark612"/>
      <w:r>
        <w:rPr>
          <w:color w:val="000000"/>
          <w:spacing w:val="0"/>
          <w:w w:val="100"/>
          <w:position w:val="0"/>
        </w:rPr>
        <w:t>第十节财务报告</w:t>
      </w:r>
      <w:bookmarkEnd w:id="610"/>
      <w:bookmarkEnd w:id="611"/>
      <w:bookmarkEnd w:id="612"/>
    </w:p>
    <w:p>
      <w:pPr>
        <w:pStyle w:val="Style29"/>
        <w:keepNext/>
        <w:keepLines/>
        <w:widowControl w:val="0"/>
        <w:shd w:val="clear" w:color="auto" w:fill="auto"/>
        <w:bidi w:val="0"/>
        <w:spacing w:before="0" w:after="320" w:line="240" w:lineRule="auto"/>
        <w:ind w:left="0" w:right="0" w:firstLine="0"/>
        <w:jc w:val="both"/>
      </w:pPr>
      <w:bookmarkStart w:id="613" w:name="bookmark613"/>
      <w:bookmarkStart w:id="614" w:name="bookmark614"/>
      <w:bookmarkStart w:id="615" w:name="bookmark615"/>
      <w:bookmarkStart w:id="616" w:name="bookmark616"/>
      <w:bookmarkStart w:id="617" w:name="bookmark617"/>
      <w:r>
        <w:rPr>
          <w:color w:val="000000"/>
          <w:spacing w:val="0"/>
          <w:w w:val="100"/>
          <w:position w:val="0"/>
        </w:rPr>
        <w:t>一</w:t>
      </w:r>
      <w:bookmarkEnd w:id="616"/>
      <w:r>
        <w:rPr>
          <w:color w:val="000000"/>
          <w:spacing w:val="0"/>
          <w:w w:val="100"/>
          <w:position w:val="0"/>
        </w:rPr>
        <w:t>、审计报告</w:t>
      </w:r>
      <w:bookmarkEnd w:id="614"/>
      <w:bookmarkEnd w:id="615"/>
      <w:bookmarkEnd w:id="617"/>
      <w:bookmarkEnd w:id="613"/>
    </w:p>
    <w:tbl>
      <w:tblPr>
        <w:tblOverlap w:val="never"/>
        <w:jc w:val="center"/>
        <w:tblLayout w:type="fixed"/>
      </w:tblPr>
      <w:tblGrid>
        <w:gridCol w:w="4637"/>
        <w:gridCol w:w="5011"/>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标准的无保留意见</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XYZH/2022BJAA</w:t>
            </w:r>
            <w:r>
              <w:rPr>
                <w:rFonts w:ascii="Times New Roman" w:eastAsia="Times New Roman" w:hAnsi="Times New Roman" w:cs="Times New Roman"/>
                <w:color w:val="000000"/>
                <w:spacing w:val="0"/>
                <w:w w:val="100"/>
                <w:position w:val="0"/>
              </w:rPr>
              <w:t>120214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黄简、王文杰</w:t>
            </w:r>
          </w:p>
        </w:tc>
      </w:tr>
      <w:tr>
        <w:trPr>
          <w:trHeight w:val="1157"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审计报告正文</w:t>
            </w:r>
          </w:p>
          <w:p>
            <w:pPr>
              <w:pStyle w:val="Style21"/>
              <w:keepNext w:val="0"/>
              <w:keepLines w:val="0"/>
              <w:widowControl w:val="0"/>
              <w:shd w:val="clear" w:color="auto" w:fill="auto"/>
              <w:bidi w:val="0"/>
              <w:spacing w:before="0" w:after="200" w:line="240" w:lineRule="auto"/>
              <w:ind w:left="0" w:right="0" w:firstLine="0"/>
              <w:jc w:val="left"/>
              <w:rPr>
                <w:sz w:val="26"/>
                <w:szCs w:val="26"/>
              </w:rPr>
            </w:pPr>
            <w:r>
              <w:rPr>
                <w:b/>
                <w:bCs/>
                <w:color w:val="000000"/>
                <w:spacing w:val="0"/>
                <w:w w:val="100"/>
                <w:position w:val="0"/>
                <w:sz w:val="22"/>
                <w:szCs w:val="22"/>
              </w:rPr>
              <w:t>武汉中元华电科技股份有限公司全体股东</w:t>
            </w:r>
            <w:r>
              <w:rPr>
                <w:b/>
                <w:bCs/>
                <w:color w:val="000000"/>
                <w:spacing w:val="0"/>
                <w:w w:val="100"/>
                <w:position w:val="0"/>
                <w:sz w:val="26"/>
                <w:szCs w:val="26"/>
              </w:rPr>
              <w:t>：</w:t>
            </w:r>
          </w:p>
          <w:p>
            <w:pPr>
              <w:pStyle w:val="Style21"/>
              <w:keepNext w:val="0"/>
              <w:keepLines w:val="0"/>
              <w:widowControl w:val="0"/>
              <w:shd w:val="clear" w:color="auto" w:fill="auto"/>
              <w:bidi w:val="0"/>
              <w:spacing w:before="0" w:after="160" w:line="240" w:lineRule="auto"/>
              <w:ind w:left="0" w:right="0" w:firstLine="520"/>
              <w:jc w:val="left"/>
              <w:rPr>
                <w:sz w:val="22"/>
                <w:szCs w:val="22"/>
              </w:rPr>
            </w:pPr>
            <w:r>
              <w:rPr>
                <w:color w:val="000000"/>
                <w:spacing w:val="0"/>
                <w:w w:val="100"/>
                <w:position w:val="0"/>
                <w:sz w:val="22"/>
                <w:szCs w:val="22"/>
              </w:rPr>
              <w:t>一、对财务报表出具的审计报告</w:t>
            </w:r>
          </w:p>
        </w:tc>
      </w:tr>
    </w:tbl>
    <w:p>
      <w:pPr>
        <w:pStyle w:val="Style18"/>
        <w:keepNext w:val="0"/>
        <w:keepLines w:val="0"/>
        <w:widowControl w:val="0"/>
        <w:shd w:val="clear" w:color="auto" w:fill="auto"/>
        <w:tabs>
          <w:tab w:pos="1166" w:val="left"/>
        </w:tabs>
        <w:bidi w:val="0"/>
        <w:spacing w:before="0" w:after="0" w:line="439" w:lineRule="exact"/>
        <w:ind w:left="0" w:right="0" w:firstLine="520"/>
        <w:jc w:val="both"/>
      </w:pPr>
      <w:bookmarkStart w:id="618" w:name="bookmark618"/>
      <w:r>
        <w:rPr>
          <w:color w:val="000000"/>
          <w:spacing w:val="0"/>
          <w:w w:val="100"/>
          <w:position w:val="0"/>
        </w:rPr>
        <w:t>（</w:t>
      </w:r>
      <w:bookmarkEnd w:id="618"/>
      <w:r>
        <w:rPr>
          <w:color w:val="000000"/>
          <w:spacing w:val="0"/>
          <w:w w:val="100"/>
          <w:position w:val="0"/>
        </w:rPr>
        <w:t>一）</w:t>
        <w:tab/>
        <w:t>审计意见</w:t>
      </w:r>
    </w:p>
    <w:p>
      <w:pPr>
        <w:pStyle w:val="Style18"/>
        <w:keepNext w:val="0"/>
        <w:keepLines w:val="0"/>
        <w:widowControl w:val="0"/>
        <w:shd w:val="clear" w:color="auto" w:fill="auto"/>
        <w:bidi w:val="0"/>
        <w:spacing w:before="0" w:after="0" w:line="439" w:lineRule="exact"/>
        <w:ind w:left="0" w:right="0" w:firstLine="520"/>
        <w:jc w:val="both"/>
      </w:pPr>
      <w:r>
        <w:rPr>
          <w:color w:val="000000"/>
          <w:spacing w:val="0"/>
          <w:w w:val="100"/>
          <w:position w:val="0"/>
        </w:rPr>
        <w:t>我们审计了武汉中元华电科技股份有限公司（以下简称中元股份）财务报表，包括</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年度的合并及母公司利润表、合并及母公司 现金流量表、合并及母公司股东权益变动表，以及相关财务报表附注。</w:t>
      </w:r>
    </w:p>
    <w:p>
      <w:pPr>
        <w:pStyle w:val="Style18"/>
        <w:keepNext w:val="0"/>
        <w:keepLines w:val="0"/>
        <w:widowControl w:val="0"/>
        <w:shd w:val="clear" w:color="auto" w:fill="auto"/>
        <w:bidi w:val="0"/>
        <w:spacing w:before="0" w:after="0" w:line="442" w:lineRule="exact"/>
        <w:ind w:left="0" w:right="0" w:firstLine="520"/>
        <w:jc w:val="both"/>
      </w:pPr>
      <w:r>
        <w:rPr>
          <w:color w:val="000000"/>
          <w:spacing w:val="0"/>
          <w:w w:val="100"/>
          <w:position w:val="0"/>
        </w:rPr>
        <w:t>我们认为，后附的财务报表在所有重大方面按照企业会计准则的规定编制，公允反映了 中元股份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年度的合并及母公司经营成 果和现金流量。</w:t>
      </w:r>
    </w:p>
    <w:p>
      <w:pPr>
        <w:pStyle w:val="Style18"/>
        <w:keepNext w:val="0"/>
        <w:keepLines w:val="0"/>
        <w:widowControl w:val="0"/>
        <w:shd w:val="clear" w:color="auto" w:fill="auto"/>
        <w:tabs>
          <w:tab w:pos="1166" w:val="left"/>
        </w:tabs>
        <w:bidi w:val="0"/>
        <w:spacing w:before="0" w:after="0" w:line="439" w:lineRule="exact"/>
        <w:ind w:left="0" w:right="0" w:firstLine="520"/>
        <w:jc w:val="both"/>
      </w:pPr>
      <w:bookmarkStart w:id="619" w:name="bookmark619"/>
      <w:r>
        <w:rPr>
          <w:color w:val="000000"/>
          <w:spacing w:val="0"/>
          <w:w w:val="100"/>
          <w:position w:val="0"/>
        </w:rPr>
        <w:t>（</w:t>
      </w:r>
      <w:bookmarkEnd w:id="619"/>
      <w:r>
        <w:rPr>
          <w:color w:val="000000"/>
          <w:spacing w:val="0"/>
          <w:w w:val="100"/>
          <w:position w:val="0"/>
        </w:rPr>
        <w:t>二）</w:t>
        <w:tab/>
        <w:t>形成审计意见的基础</w:t>
      </w:r>
    </w:p>
    <w:p>
      <w:pPr>
        <w:pStyle w:val="Style18"/>
        <w:keepNext w:val="0"/>
        <w:keepLines w:val="0"/>
        <w:widowControl w:val="0"/>
        <w:shd w:val="clear" w:color="auto" w:fill="auto"/>
        <w:bidi w:val="0"/>
        <w:spacing w:before="0" w:after="0" w:line="438" w:lineRule="exact"/>
        <w:ind w:left="0" w:right="0" w:firstLine="5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德守则，我们独立于中元股份，并履行了职业道德方面的其他责任。我们相信，我们获取的 审计证据是充分、适当的，为发表审计意见提供了基础。</w:t>
      </w:r>
    </w:p>
    <w:p>
      <w:pPr>
        <w:pStyle w:val="Style18"/>
        <w:keepNext w:val="0"/>
        <w:keepLines w:val="0"/>
        <w:widowControl w:val="0"/>
        <w:shd w:val="clear" w:color="auto" w:fill="auto"/>
        <w:tabs>
          <w:tab w:pos="1166" w:val="left"/>
        </w:tabs>
        <w:bidi w:val="0"/>
        <w:spacing w:before="0" w:after="0" w:line="439" w:lineRule="exact"/>
        <w:ind w:left="0" w:right="0" w:firstLine="520"/>
        <w:jc w:val="both"/>
      </w:pPr>
      <w:bookmarkStart w:id="620" w:name="bookmark620"/>
      <w:r>
        <w:rPr>
          <w:color w:val="000000"/>
          <w:spacing w:val="0"/>
          <w:w w:val="100"/>
          <w:position w:val="0"/>
        </w:rPr>
        <w:t>（</w:t>
      </w:r>
      <w:bookmarkEnd w:id="620"/>
      <w:r>
        <w:rPr>
          <w:color w:val="000000"/>
          <w:spacing w:val="0"/>
          <w:w w:val="100"/>
          <w:position w:val="0"/>
        </w:rPr>
        <w:t>三）</w:t>
        <w:tab/>
        <w:t>关键审计事项</w:t>
      </w:r>
    </w:p>
    <w:p>
      <w:pPr>
        <w:pStyle w:val="Style18"/>
        <w:keepNext w:val="0"/>
        <w:keepLines w:val="0"/>
        <w:widowControl w:val="0"/>
        <w:pBdr>
          <w:bottom w:val="single" w:sz="4" w:space="0" w:color="auto"/>
        </w:pBdr>
        <w:shd w:val="clear" w:color="auto" w:fill="auto"/>
        <w:bidi w:val="0"/>
        <w:spacing w:before="0" w:after="140" w:line="439" w:lineRule="exact"/>
        <w:ind w:left="0" w:right="0" w:firstLine="52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18"/>
        <w:keepNext w:val="0"/>
        <w:keepLines w:val="0"/>
        <w:widowControl w:val="0"/>
        <w:shd w:val="clear" w:color="auto" w:fill="auto"/>
        <w:tabs>
          <w:tab w:pos="4560" w:val="left"/>
          <w:tab w:leader="underscore" w:pos="9629" w:val="left"/>
        </w:tabs>
        <w:bidi w:val="0"/>
        <w:spacing w:before="0" w:after="0" w:line="317"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u w:val="single"/>
        </w:rPr>
        <w:t>1.</w:t>
      </w:r>
      <w:r>
        <w:rPr>
          <w:color w:val="000000"/>
          <w:spacing w:val="0"/>
          <w:w w:val="100"/>
          <w:position w:val="0"/>
          <w:sz w:val="20"/>
          <w:szCs w:val="20"/>
          <w:u w:val="single"/>
        </w:rPr>
        <w:t>收入事项</w:t>
        <w:tab/>
        <w:t>，</w:t>
      </w:r>
      <w:r>
        <w:rPr>
          <w:color w:val="000000"/>
          <w:spacing w:val="0"/>
          <w:w w:val="100"/>
          <w:position w:val="0"/>
          <w:sz w:val="20"/>
          <w:szCs w:val="20"/>
        </w:rPr>
        <w:tab/>
      </w:r>
    </w:p>
    <w:p>
      <w:pPr>
        <w:pStyle w:val="Style18"/>
        <w:keepNext w:val="0"/>
        <w:keepLines w:val="0"/>
        <w:widowControl w:val="0"/>
        <w:pBdr>
          <w:bottom w:val="single" w:sz="4" w:space="0" w:color="auto"/>
        </w:pBdr>
        <w:shd w:val="clear" w:color="auto" w:fill="auto"/>
        <w:tabs>
          <w:tab w:pos="2904" w:val="left"/>
          <w:tab w:pos="4829" w:val="left"/>
        </w:tabs>
        <w:bidi w:val="0"/>
        <w:spacing w:before="0" w:after="0" w:line="302" w:lineRule="exact"/>
        <w:ind w:left="0" w:right="0" w:firstLine="0"/>
        <w:jc w:val="center"/>
        <w:rPr>
          <w:sz w:val="20"/>
          <w:szCs w:val="20"/>
        </w:rPr>
      </w:pPr>
      <w:r>
        <w:rPr>
          <w:color w:val="000000"/>
          <w:spacing w:val="0"/>
          <w:w w:val="100"/>
          <w:position w:val="0"/>
          <w:sz w:val="20"/>
          <w:szCs w:val="20"/>
        </w:rPr>
        <w:t>关键审计事项</w:t>
        <w:tab/>
        <w:t>|</w:t>
        <w:tab/>
        <w:t>审计中的应对</w:t>
      </w:r>
    </w:p>
    <w:p>
      <w:pPr>
        <w:pStyle w:val="Style18"/>
        <w:keepNext w:val="0"/>
        <w:keepLines w:val="0"/>
        <w:widowControl w:val="0"/>
        <w:pBdr>
          <w:bottom w:val="single" w:sz="4" w:space="0" w:color="auto"/>
        </w:pBdr>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中元股份的主营业务收入主要包括输配电、控制设（</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）了解和评价管理层对与收入确认相关的关键内部 备制造业务和医疗健康业务。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年度实现营业收［控制制度设计和运行的有效性，并进行内部控制测试；</w:t>
      </w:r>
      <w:r>
        <w:br w:type="page"/>
      </w:r>
    </w:p>
    <w:p>
      <w:pPr>
        <w:pStyle w:val="Style18"/>
        <w:keepNext w:val="0"/>
        <w:keepLines w:val="0"/>
        <w:widowControl w:val="0"/>
        <w:shd w:val="clear" w:color="auto" w:fill="auto"/>
        <w:tabs>
          <w:tab w:pos="572" w:val="left"/>
        </w:tabs>
        <w:bidi w:val="0"/>
        <w:spacing w:before="0" w:after="0" w:line="322" w:lineRule="exact"/>
        <w:ind w:left="0" w:right="0" w:firstLine="0"/>
        <w:jc w:val="both"/>
        <w:rPr>
          <w:sz w:val="20"/>
          <w:szCs w:val="20"/>
        </w:rPr>
      </w:pPr>
      <w:r>
        <mc:AlternateContent>
          <mc:Choice Requires="wps">
            <w:drawing>
              <wp:anchor distT="0" distB="0" distL="0" distR="0" simplePos="0" relativeHeight="125829382" behindDoc="0" locked="0" layoutInCell="1" allowOverlap="1">
                <wp:simplePos x="0" y="0"/>
                <wp:positionH relativeFrom="page">
                  <wp:posOffset>688340</wp:posOffset>
                </wp:positionH>
                <wp:positionV relativeFrom="margin">
                  <wp:posOffset>21590</wp:posOffset>
                </wp:positionV>
                <wp:extent cx="2932430" cy="1200785"/>
                <wp:wrapSquare wrapText="right"/>
                <wp:docPr id="6" name="Shape 6"/>
                <a:graphic xmlns:a="http://schemas.openxmlformats.org/drawingml/2006/main">
                  <a:graphicData uri="http://schemas.microsoft.com/office/word/2010/wordprocessingShape">
                    <wps:wsp>
                      <wps:cNvSpPr txBox="1"/>
                      <wps:spPr>
                        <a:xfrm>
                          <a:ext cx="2932430" cy="1200785"/>
                        </a:xfrm>
                        <a:prstGeom prst="rect"/>
                        <a:noFill/>
                      </wps:spPr>
                      <wps:txbx>
                        <w:txbxContent>
                          <w:p>
                            <w:pPr>
                              <w:pStyle w:val="Style18"/>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入</w:t>
                            </w:r>
                            <w:r>
                              <w:rPr>
                                <w:rFonts w:ascii="Times New Roman" w:eastAsia="Times New Roman" w:hAnsi="Times New Roman" w:cs="Times New Roman"/>
                                <w:color w:val="000000"/>
                                <w:spacing w:val="0"/>
                                <w:w w:val="100"/>
                                <w:position w:val="0"/>
                                <w:sz w:val="20"/>
                                <w:szCs w:val="20"/>
                              </w:rPr>
                              <w:t>420,509,087.13</w:t>
                            </w:r>
                            <w:r>
                              <w:rPr>
                                <w:color w:val="000000"/>
                                <w:spacing w:val="0"/>
                                <w:w w:val="100"/>
                                <w:position w:val="0"/>
                                <w:sz w:val="20"/>
                                <w:szCs w:val="20"/>
                              </w:rPr>
                              <w:t>元。由于收入是中元股份的关键; 业绩指标之一，从而存在管理层为了达到特定目标 或期望而操纵收入确认的固有风险，因此我们将收 入确认识别为关键审计事项。</w:t>
                            </w:r>
                          </w:p>
                          <w:p>
                            <w:pPr>
                              <w:pStyle w:val="Style18"/>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 xml:space="preserve">及附注七、 </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032" type="#_x0000_t202" style="position:absolute;margin-left:54.200000000000003pt;margin-top:1.7pt;width:230.90000000000001pt;height:94.549999999999997pt;z-index:-125829371;mso-wrap-distance-left:0;mso-wrap-distance-right:0;mso-position-horizontal-relative:page;mso-position-vertical-relative:margin" filled="f" stroked="f">
                <v:textbox inset="0,0,0,0">
                  <w:txbxContent>
                    <w:p>
                      <w:pPr>
                        <w:pStyle w:val="Style18"/>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入</w:t>
                      </w:r>
                      <w:r>
                        <w:rPr>
                          <w:rFonts w:ascii="Times New Roman" w:eastAsia="Times New Roman" w:hAnsi="Times New Roman" w:cs="Times New Roman"/>
                          <w:color w:val="000000"/>
                          <w:spacing w:val="0"/>
                          <w:w w:val="100"/>
                          <w:position w:val="0"/>
                          <w:sz w:val="20"/>
                          <w:szCs w:val="20"/>
                        </w:rPr>
                        <w:t>420,509,087.13</w:t>
                      </w:r>
                      <w:r>
                        <w:rPr>
                          <w:color w:val="000000"/>
                          <w:spacing w:val="0"/>
                          <w:w w:val="100"/>
                          <w:position w:val="0"/>
                          <w:sz w:val="20"/>
                          <w:szCs w:val="20"/>
                        </w:rPr>
                        <w:t>元。由于收入是中元股份的关键; 业绩指标之一，从而存在管理层为了达到特定目标 或期望而操纵收入确认的固有风险，因此我们将收 入确认识别为关键审计事项。</w:t>
                      </w:r>
                    </w:p>
                    <w:p>
                      <w:pPr>
                        <w:pStyle w:val="Style18"/>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 xml:space="preserve">及附注七、 </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p>
                  </w:txbxContent>
                </v:textbox>
                <w10:wrap type="square" side="right" anchorx="page" anchory="margin"/>
              </v:shape>
            </w:pict>
          </mc:Fallback>
        </mc:AlternateContent>
      </w:r>
      <w:bookmarkStart w:id="621" w:name="bookmark621"/>
      <w:r>
        <w:rPr>
          <w:color w:val="000000"/>
          <w:spacing w:val="0"/>
          <w:w w:val="100"/>
          <w:position w:val="0"/>
          <w:sz w:val="20"/>
          <w:szCs w:val="20"/>
        </w:rPr>
        <w:t>（</w:t>
      </w:r>
      <w:bookmarkEnd w:id="6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检查主要客户的销售合同，识别与商品控制权转 移相关的条款，评价收入确认是否符合企业会计准则的 要求；</w:t>
      </w:r>
    </w:p>
    <w:p>
      <w:pPr>
        <w:pStyle w:val="Style18"/>
        <w:keepNext w:val="0"/>
        <w:keepLines w:val="0"/>
        <w:widowControl w:val="0"/>
        <w:shd w:val="clear" w:color="auto" w:fill="auto"/>
        <w:tabs>
          <w:tab w:pos="572" w:val="left"/>
        </w:tabs>
        <w:bidi w:val="0"/>
        <w:spacing w:before="0" w:after="0" w:line="331" w:lineRule="exact"/>
        <w:ind w:left="0" w:right="0" w:firstLine="0"/>
        <w:jc w:val="both"/>
        <w:rPr>
          <w:sz w:val="20"/>
          <w:szCs w:val="20"/>
        </w:rPr>
      </w:pPr>
      <w:bookmarkStart w:id="622" w:name="bookmark622"/>
      <w:r>
        <w:rPr>
          <w:color w:val="000000"/>
          <w:spacing w:val="0"/>
          <w:w w:val="100"/>
          <w:position w:val="0"/>
          <w:sz w:val="20"/>
          <w:szCs w:val="20"/>
        </w:rPr>
        <w:t>（</w:t>
      </w:r>
      <w:bookmarkEnd w:id="62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结合业务类型对收入和成本执行分析程序，分析 毛利率变动情况，复核收入的合理性；</w:t>
      </w:r>
    </w:p>
    <w:p>
      <w:pPr>
        <w:pStyle w:val="Style18"/>
        <w:keepNext w:val="0"/>
        <w:keepLines w:val="0"/>
        <w:widowControl w:val="0"/>
        <w:shd w:val="clear" w:color="auto" w:fill="auto"/>
        <w:tabs>
          <w:tab w:pos="572" w:val="left"/>
        </w:tabs>
        <w:bidi w:val="0"/>
        <w:spacing w:before="0" w:after="0" w:line="295" w:lineRule="exact"/>
        <w:ind w:left="0" w:right="0" w:firstLine="0"/>
        <w:jc w:val="both"/>
        <w:rPr>
          <w:sz w:val="20"/>
          <w:szCs w:val="20"/>
        </w:rPr>
      </w:pPr>
      <w:bookmarkStart w:id="623" w:name="bookmark623"/>
      <w:r>
        <w:rPr>
          <w:color w:val="000000"/>
          <w:spacing w:val="0"/>
          <w:w w:val="100"/>
          <w:position w:val="0"/>
          <w:sz w:val="20"/>
          <w:szCs w:val="20"/>
        </w:rPr>
        <w:t>（</w:t>
      </w:r>
      <w:bookmarkEnd w:id="62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选取样本对收入确认进行细节测试，包括检查销 售合同、销售订单、销售发票、出库单、发货单、客户 签收单、客户验收单等支持性证据；</w:t>
      </w:r>
    </w:p>
    <w:p>
      <w:pPr>
        <w:pStyle w:val="Style18"/>
        <w:keepNext w:val="0"/>
        <w:keepLines w:val="0"/>
        <w:widowControl w:val="0"/>
        <w:shd w:val="clear" w:color="auto" w:fill="auto"/>
        <w:tabs>
          <w:tab w:pos="5212" w:val="left"/>
        </w:tabs>
        <w:bidi w:val="0"/>
        <w:spacing w:before="0" w:after="0" w:line="326" w:lineRule="exact"/>
        <w:ind w:left="4640" w:right="0" w:firstLine="0"/>
        <w:jc w:val="both"/>
        <w:rPr>
          <w:sz w:val="20"/>
          <w:szCs w:val="20"/>
        </w:rPr>
      </w:pPr>
      <w:bookmarkStart w:id="624" w:name="bookmark624"/>
      <w:r>
        <w:rPr>
          <w:color w:val="000000"/>
          <w:spacing w:val="0"/>
          <w:w w:val="100"/>
          <w:position w:val="0"/>
          <w:sz w:val="20"/>
          <w:szCs w:val="20"/>
        </w:rPr>
        <w:t>（</w:t>
      </w:r>
      <w:bookmarkEnd w:id="62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结合应收账款函证，以抽样方式向主要客户函证 本期销售额，对大额应收账款客户执行期后回款测试；</w:t>
      </w:r>
    </w:p>
    <w:p>
      <w:pPr>
        <w:pStyle w:val="Style18"/>
        <w:keepNext w:val="0"/>
        <w:keepLines w:val="0"/>
        <w:widowControl w:val="0"/>
        <w:shd w:val="clear" w:color="auto" w:fill="auto"/>
        <w:tabs>
          <w:tab w:pos="5188" w:val="left"/>
        </w:tabs>
        <w:bidi w:val="0"/>
        <w:spacing w:before="0" w:after="0" w:line="326" w:lineRule="exact"/>
        <w:ind w:left="4640" w:right="0" w:firstLine="0"/>
        <w:jc w:val="both"/>
        <w:rPr>
          <w:sz w:val="20"/>
          <w:szCs w:val="20"/>
        </w:rPr>
      </w:pPr>
      <w:bookmarkStart w:id="625" w:name="bookmark625"/>
      <w:r>
        <w:rPr>
          <w:color w:val="000000"/>
          <w:spacing w:val="0"/>
          <w:w w:val="100"/>
          <w:position w:val="0"/>
          <w:sz w:val="20"/>
          <w:szCs w:val="20"/>
        </w:rPr>
        <w:t>（</w:t>
      </w:r>
      <w:bookmarkEnd w:id="625"/>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对资产负债表日前后确认的收入执行截止测试， 以评价收入是否被记录于恰当的会计期间；</w:t>
      </w:r>
    </w:p>
    <w:p>
      <w:pPr>
        <w:pStyle w:val="Style18"/>
        <w:keepNext w:val="0"/>
        <w:keepLines w:val="0"/>
        <w:widowControl w:val="0"/>
        <w:shd w:val="clear" w:color="auto" w:fill="auto"/>
        <w:tabs>
          <w:tab w:pos="5212" w:val="left"/>
        </w:tabs>
        <w:bidi w:val="0"/>
        <w:spacing w:before="0" w:after="0" w:line="331" w:lineRule="exact"/>
        <w:ind w:left="4640" w:right="0" w:firstLine="0"/>
        <w:jc w:val="both"/>
        <w:rPr>
          <w:sz w:val="20"/>
          <w:szCs w:val="20"/>
        </w:rPr>
      </w:pPr>
      <w:r>
        <mc:AlternateContent>
          <mc:Choice Requires="wps">
            <w:drawing>
              <wp:anchor distT="0" distB="119380" distL="114300" distR="3317875" simplePos="0" relativeHeight="125829384" behindDoc="0" locked="0" layoutInCell="1" allowOverlap="1">
                <wp:simplePos x="0" y="0"/>
                <wp:positionH relativeFrom="page">
                  <wp:posOffset>688340</wp:posOffset>
                </wp:positionH>
                <wp:positionV relativeFrom="margin">
                  <wp:posOffset>2813050</wp:posOffset>
                </wp:positionV>
                <wp:extent cx="2944495" cy="2233930"/>
                <wp:wrapTopAndBottom/>
                <wp:docPr id="8" name="Shape 8"/>
                <a:graphic xmlns:a="http://schemas.openxmlformats.org/drawingml/2006/main">
                  <a:graphicData uri="http://schemas.microsoft.com/office/word/2010/wordprocessingShape">
                    <wps:wsp>
                      <wps:cNvSpPr txBox="1"/>
                      <wps:spPr>
                        <a:xfrm>
                          <a:ext cx="2944495" cy="2233930"/>
                        </a:xfrm>
                        <a:prstGeom prst="rect"/>
                        <a:noFill/>
                      </wps:spPr>
                      <wps:txbx>
                        <w:txbxContent>
                          <w:p>
                            <w:pPr>
                              <w:pStyle w:val="Style18"/>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应收账款坏账准备事项</w:t>
                            </w:r>
                          </w:p>
                          <w:p>
                            <w:pPr>
                              <w:pStyle w:val="Style18"/>
                              <w:keepNext w:val="0"/>
                              <w:keepLines w:val="0"/>
                              <w:widowControl w:val="0"/>
                              <w:shd w:val="clear" w:color="auto" w:fill="auto"/>
                              <w:tabs>
                                <w:tab w:pos="2635" w:val="left"/>
                              </w:tabs>
                              <w:bidi w:val="0"/>
                              <w:spacing w:before="0" w:after="0" w:line="315" w:lineRule="exact"/>
                              <w:ind w:left="0" w:right="0" w:firstLine="0"/>
                              <w:jc w:val="right"/>
                              <w:rPr>
                                <w:sz w:val="20"/>
                                <w:szCs w:val="20"/>
                              </w:rPr>
                            </w:pPr>
                            <w:r>
                              <w:rPr>
                                <w:color w:val="000000"/>
                                <w:spacing w:val="0"/>
                                <w:w w:val="100"/>
                                <w:position w:val="0"/>
                                <w:sz w:val="20"/>
                                <w:szCs w:val="20"/>
                              </w:rPr>
                              <w:t>关键审计事项</w:t>
                              <w:tab/>
                              <w:t>一</w:t>
                            </w:r>
                          </w:p>
                          <w:p>
                            <w:pPr>
                              <w:pStyle w:val="Style18"/>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中元股份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日应收账款余额为 </w:t>
                            </w:r>
                            <w:r>
                              <w:rPr>
                                <w:rFonts w:ascii="Times New Roman" w:eastAsia="Times New Roman" w:hAnsi="Times New Roman" w:cs="Times New Roman"/>
                                <w:color w:val="000000"/>
                                <w:spacing w:val="0"/>
                                <w:w w:val="100"/>
                                <w:position w:val="0"/>
                                <w:sz w:val="20"/>
                                <w:szCs w:val="20"/>
                              </w:rPr>
                              <w:t>254,732,477.92</w:t>
                            </w:r>
                            <w:r>
                              <w:rPr>
                                <w:color w:val="000000"/>
                                <w:spacing w:val="0"/>
                                <w:w w:val="100"/>
                                <w:position w:val="0"/>
                                <w:sz w:val="20"/>
                                <w:szCs w:val="20"/>
                              </w:rPr>
                              <w:t>元，坏账准备为</w:t>
                            </w:r>
                            <w:r>
                              <w:rPr>
                                <w:rFonts w:ascii="Times New Roman" w:eastAsia="Times New Roman" w:hAnsi="Times New Roman" w:cs="Times New Roman"/>
                                <w:color w:val="000000"/>
                                <w:spacing w:val="0"/>
                                <w:w w:val="100"/>
                                <w:position w:val="0"/>
                                <w:sz w:val="20"/>
                                <w:szCs w:val="20"/>
                              </w:rPr>
                              <w:t xml:space="preserve">62,098,805.31 </w:t>
                            </w:r>
                            <w:r>
                              <w:rPr>
                                <w:color w:val="000000"/>
                                <w:spacing w:val="0"/>
                                <w:w w:val="100"/>
                                <w:position w:val="0"/>
                                <w:sz w:val="20"/>
                                <w:szCs w:val="20"/>
                              </w:rPr>
                              <w:t>元， 净值为</w:t>
                            </w:r>
                            <w:r>
                              <w:rPr>
                                <w:rFonts w:ascii="Times New Roman" w:eastAsia="Times New Roman" w:hAnsi="Times New Roman" w:cs="Times New Roman"/>
                                <w:color w:val="000000"/>
                                <w:spacing w:val="0"/>
                                <w:w w:val="100"/>
                                <w:position w:val="0"/>
                                <w:sz w:val="20"/>
                                <w:szCs w:val="20"/>
                              </w:rPr>
                              <w:t>192,633,672.61</w:t>
                            </w:r>
                            <w:r>
                              <w:rPr>
                                <w:color w:val="000000"/>
                                <w:spacing w:val="0"/>
                                <w:w w:val="100"/>
                                <w:position w:val="0"/>
                                <w:sz w:val="20"/>
                                <w:szCs w:val="20"/>
                              </w:rPr>
                              <w:t>元。由于管理层在确定应收 账款预计可收回金额时需要运用重要会计估计和 判断，且应收账款不能按期收回或者无法收回对财 务报表的影响较为重大，因此我们将应收账款坏账 准备识别为关键审计事项。</w:t>
                            </w:r>
                          </w:p>
                          <w:p>
                            <w:pPr>
                              <w:pStyle w:val="Style18"/>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及附注七、 四。</w:t>
                            </w:r>
                          </w:p>
                        </w:txbxContent>
                      </wps:txbx>
                      <wps:bodyPr lIns="0" tIns="0" rIns="0" bIns="0">
                        <a:noAutoFit/>
                      </wps:bodyPr>
                    </wps:wsp>
                  </a:graphicData>
                </a:graphic>
              </wp:anchor>
            </w:drawing>
          </mc:Choice>
          <mc:Fallback>
            <w:pict>
              <v:shape id="_x0000_s1034" type="#_x0000_t202" style="position:absolute;margin-left:54.200000000000003pt;margin-top:221.5pt;width:231.84999999999999pt;height:175.90000000000001pt;z-index:-125829369;mso-wrap-distance-left:9.pt;mso-wrap-distance-right:261.25pt;mso-wrap-distance-bottom:9.4000000000000004pt;mso-position-horizontal-relative:page;mso-position-vertical-relative:margin" filled="f" stroked="f">
                <v:textbox inset="0,0,0,0">
                  <w:txbxContent>
                    <w:p>
                      <w:pPr>
                        <w:pStyle w:val="Style18"/>
                        <w:keepNext w:val="0"/>
                        <w:keepLines w:val="0"/>
                        <w:widowControl w:val="0"/>
                        <w:shd w:val="clear" w:color="auto" w:fill="auto"/>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应收账款坏账准备事项</w:t>
                      </w:r>
                    </w:p>
                    <w:p>
                      <w:pPr>
                        <w:pStyle w:val="Style18"/>
                        <w:keepNext w:val="0"/>
                        <w:keepLines w:val="0"/>
                        <w:widowControl w:val="0"/>
                        <w:shd w:val="clear" w:color="auto" w:fill="auto"/>
                        <w:tabs>
                          <w:tab w:pos="2635" w:val="left"/>
                        </w:tabs>
                        <w:bidi w:val="0"/>
                        <w:spacing w:before="0" w:after="0" w:line="315" w:lineRule="exact"/>
                        <w:ind w:left="0" w:right="0" w:firstLine="0"/>
                        <w:jc w:val="right"/>
                        <w:rPr>
                          <w:sz w:val="20"/>
                          <w:szCs w:val="20"/>
                        </w:rPr>
                      </w:pPr>
                      <w:r>
                        <w:rPr>
                          <w:color w:val="000000"/>
                          <w:spacing w:val="0"/>
                          <w:w w:val="100"/>
                          <w:position w:val="0"/>
                          <w:sz w:val="20"/>
                          <w:szCs w:val="20"/>
                        </w:rPr>
                        <w:t>关键审计事项</w:t>
                        <w:tab/>
                        <w:t>一</w:t>
                      </w:r>
                    </w:p>
                    <w:p>
                      <w:pPr>
                        <w:pStyle w:val="Style18"/>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中元股份</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日应收账款余额为 </w:t>
                      </w:r>
                      <w:r>
                        <w:rPr>
                          <w:rFonts w:ascii="Times New Roman" w:eastAsia="Times New Roman" w:hAnsi="Times New Roman" w:cs="Times New Roman"/>
                          <w:color w:val="000000"/>
                          <w:spacing w:val="0"/>
                          <w:w w:val="100"/>
                          <w:position w:val="0"/>
                          <w:sz w:val="20"/>
                          <w:szCs w:val="20"/>
                        </w:rPr>
                        <w:t>254,732,477.92</w:t>
                      </w:r>
                      <w:r>
                        <w:rPr>
                          <w:color w:val="000000"/>
                          <w:spacing w:val="0"/>
                          <w:w w:val="100"/>
                          <w:position w:val="0"/>
                          <w:sz w:val="20"/>
                          <w:szCs w:val="20"/>
                        </w:rPr>
                        <w:t>元，坏账准备为</w:t>
                      </w:r>
                      <w:r>
                        <w:rPr>
                          <w:rFonts w:ascii="Times New Roman" w:eastAsia="Times New Roman" w:hAnsi="Times New Roman" w:cs="Times New Roman"/>
                          <w:color w:val="000000"/>
                          <w:spacing w:val="0"/>
                          <w:w w:val="100"/>
                          <w:position w:val="0"/>
                          <w:sz w:val="20"/>
                          <w:szCs w:val="20"/>
                        </w:rPr>
                        <w:t xml:space="preserve">62,098,805.31 </w:t>
                      </w:r>
                      <w:r>
                        <w:rPr>
                          <w:color w:val="000000"/>
                          <w:spacing w:val="0"/>
                          <w:w w:val="100"/>
                          <w:position w:val="0"/>
                          <w:sz w:val="20"/>
                          <w:szCs w:val="20"/>
                        </w:rPr>
                        <w:t>元， 净值为</w:t>
                      </w:r>
                      <w:r>
                        <w:rPr>
                          <w:rFonts w:ascii="Times New Roman" w:eastAsia="Times New Roman" w:hAnsi="Times New Roman" w:cs="Times New Roman"/>
                          <w:color w:val="000000"/>
                          <w:spacing w:val="0"/>
                          <w:w w:val="100"/>
                          <w:position w:val="0"/>
                          <w:sz w:val="20"/>
                          <w:szCs w:val="20"/>
                        </w:rPr>
                        <w:t>192,633,672.61</w:t>
                      </w:r>
                      <w:r>
                        <w:rPr>
                          <w:color w:val="000000"/>
                          <w:spacing w:val="0"/>
                          <w:w w:val="100"/>
                          <w:position w:val="0"/>
                          <w:sz w:val="20"/>
                          <w:szCs w:val="20"/>
                        </w:rPr>
                        <w:t>元。由于管理层在确定应收 账款预计可收回金额时需要运用重要会计估计和 判断，且应收账款不能按期收回或者无法收回对财 务报表的影响较为重大，因此我们将应收账款坏账 准备识别为关键审计事项。</w:t>
                      </w:r>
                    </w:p>
                    <w:p>
                      <w:pPr>
                        <w:pStyle w:val="Style18"/>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相关信息披露参见财务报表附注五、</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及附注七、 四。</w:t>
                      </w:r>
                    </w:p>
                  </w:txbxContent>
                </v:textbox>
                <w10:wrap type="topAndBottom" anchorx="page" anchory="margin"/>
              </v:shape>
            </w:pict>
          </mc:Fallback>
        </mc:AlternateContent>
      </w:r>
      <w:r>
        <mc:AlternateContent>
          <mc:Choice Requires="wps">
            <w:drawing>
              <wp:anchor distT="259080" distB="1935480" distL="4247515" distR="1309370" simplePos="0" relativeHeight="125829386" behindDoc="0" locked="0" layoutInCell="1" allowOverlap="1">
                <wp:simplePos x="0" y="0"/>
                <wp:positionH relativeFrom="page">
                  <wp:posOffset>4821555</wp:posOffset>
                </wp:positionH>
                <wp:positionV relativeFrom="margin">
                  <wp:posOffset>3072130</wp:posOffset>
                </wp:positionV>
                <wp:extent cx="819785" cy="158750"/>
                <wp:wrapTopAndBottom/>
                <wp:docPr id="10" name="Shape 10"/>
                <a:graphic xmlns:a="http://schemas.openxmlformats.org/drawingml/2006/main">
                  <a:graphicData uri="http://schemas.microsoft.com/office/word/2010/wordprocessingShape">
                    <wps:wsp>
                      <wps:cNvSpPr txBox="1"/>
                      <wps:spPr>
                        <a:xfrm>
                          <a:ext cx="819785" cy="1587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审计中的应对</w:t>
                            </w:r>
                          </w:p>
                        </w:txbxContent>
                      </wps:txbx>
                      <wps:bodyPr wrap="none" lIns="0" tIns="0" rIns="0" bIns="0">
                        <a:noAutoFit/>
                      </wps:bodyPr>
                    </wps:wsp>
                  </a:graphicData>
                </a:graphic>
              </wp:anchor>
            </w:drawing>
          </mc:Choice>
          <mc:Fallback>
            <w:pict>
              <v:shape id="_x0000_s1036" type="#_x0000_t202" style="position:absolute;margin-left:379.65000000000003pt;margin-top:241.90000000000001pt;width:64.549999999999997pt;height:12.5pt;z-index:-125829367;mso-wrap-distance-left:334.44999999999999pt;mso-wrap-distance-top:20.400000000000002pt;mso-wrap-distance-right:103.10000000000001pt;mso-wrap-distance-bottom:152.4000000000000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审计中的应对</w:t>
                      </w:r>
                    </w:p>
                  </w:txbxContent>
                </v:textbox>
                <w10:wrap type="topAndBottom" anchorx="page" anchory="margin"/>
              </v:shape>
            </w:pict>
          </mc:Fallback>
        </mc:AlternateContent>
      </w:r>
      <w:r>
        <mc:AlternateContent>
          <mc:Choice Requires="wps">
            <w:drawing>
              <wp:anchor distT="469265" distB="1417955" distL="3043555" distR="114300" simplePos="0" relativeHeight="125829388" behindDoc="0" locked="0" layoutInCell="1" allowOverlap="1">
                <wp:simplePos x="0" y="0"/>
                <wp:positionH relativeFrom="page">
                  <wp:posOffset>3617595</wp:posOffset>
                </wp:positionH>
                <wp:positionV relativeFrom="margin">
                  <wp:posOffset>3282315</wp:posOffset>
                </wp:positionV>
                <wp:extent cx="3218815" cy="466090"/>
                <wp:wrapTopAndBottom/>
                <wp:docPr id="12" name="Shape 12"/>
                <a:graphic xmlns:a="http://schemas.openxmlformats.org/drawingml/2006/main">
                  <a:graphicData uri="http://schemas.microsoft.com/office/word/2010/wordprocessingShape">
                    <wps:wsp>
                      <wps:cNvSpPr txBox="1"/>
                      <wps:spPr>
                        <a:xfrm>
                          <a:ext cx="3218815" cy="466090"/>
                        </a:xfrm>
                        <a:prstGeom prst="rect"/>
                        <a:noFill/>
                      </wps:spPr>
                      <wps:txbx>
                        <w:txbxContent>
                          <w:p>
                            <w:pPr>
                              <w:pStyle w:val="Style18"/>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）了解和评价管理层与应收账款管理的关键内部控 制制度设计和运行的有效性；</w:t>
                            </w:r>
                          </w:p>
                        </w:txbxContent>
                      </wps:txbx>
                      <wps:bodyPr lIns="0" tIns="0" rIns="0" bIns="0">
                        <a:noAutoFit/>
                      </wps:bodyPr>
                    </wps:wsp>
                  </a:graphicData>
                </a:graphic>
              </wp:anchor>
            </w:drawing>
          </mc:Choice>
          <mc:Fallback>
            <w:pict>
              <v:shape id="_x0000_s1038" type="#_x0000_t202" style="position:absolute;margin-left:284.85000000000002pt;margin-top:258.44999999999999pt;width:253.45000000000002pt;height:36.700000000000003pt;z-index:-125829365;mso-wrap-distance-left:239.65000000000001pt;mso-wrap-distance-top:36.950000000000003pt;mso-wrap-distance-right:9.pt;mso-wrap-distance-bottom:111.65000000000001pt;mso-position-horizontal-relative:page;mso-position-vertical-relative:margin" filled="f" stroked="f">
                <v:textbox inset="0,0,0,0">
                  <w:txbxContent>
                    <w:p>
                      <w:pPr>
                        <w:pStyle w:val="Style18"/>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）了解和评价管理层与应收账款管理的关键内部控 制制度设计和运行的有效性；</w:t>
                      </w:r>
                    </w:p>
                  </w:txbxContent>
                </v:textbox>
                <w10:wrap type="topAndBottom" anchorx="page" anchory="margin"/>
              </v:shape>
            </w:pict>
          </mc:Fallback>
        </mc:AlternateContent>
      </w:r>
      <w:r>
        <mc:AlternateContent>
          <mc:Choice Requires="wps">
            <w:drawing>
              <wp:anchor distT="948055" distB="710565" distL="3046730" distR="114300" simplePos="0" relativeHeight="125829390" behindDoc="0" locked="0" layoutInCell="1" allowOverlap="1">
                <wp:simplePos x="0" y="0"/>
                <wp:positionH relativeFrom="page">
                  <wp:posOffset>3620770</wp:posOffset>
                </wp:positionH>
                <wp:positionV relativeFrom="margin">
                  <wp:posOffset>3761105</wp:posOffset>
                </wp:positionV>
                <wp:extent cx="3215640" cy="694690"/>
                <wp:wrapTopAndBottom/>
                <wp:docPr id="14" name="Shape 14"/>
                <a:graphic xmlns:a="http://schemas.openxmlformats.org/drawingml/2006/main">
                  <a:graphicData uri="http://schemas.microsoft.com/office/word/2010/wordprocessingShape">
                    <wps:wsp>
                      <wps:cNvSpPr txBox="1"/>
                      <wps:spPr>
                        <a:xfrm>
                          <a:ext cx="3215640" cy="694690"/>
                        </a:xfrm>
                        <a:prstGeom prst="rect"/>
                        <a:noFill/>
                      </wps:spPr>
                      <wps:txbx>
                        <w:txbxContent>
                          <w:p>
                            <w:pPr>
                              <w:pStyle w:val="Style18"/>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）通过查阅销售合同、检查以往款项的回收情况、 与管理层沟通等程序了解和评价管理层对应收账款坏 账准备计提的会计估计是否合理；</w:t>
                            </w:r>
                          </w:p>
                        </w:txbxContent>
                      </wps:txbx>
                      <wps:bodyPr lIns="0" tIns="0" rIns="0" bIns="0">
                        <a:noAutoFit/>
                      </wps:bodyPr>
                    </wps:wsp>
                  </a:graphicData>
                </a:graphic>
              </wp:anchor>
            </w:drawing>
          </mc:Choice>
          <mc:Fallback>
            <w:pict>
              <v:shape id="_x0000_s1040" type="#_x0000_t202" style="position:absolute;margin-left:285.10000000000002pt;margin-top:296.15000000000003pt;width:253.20000000000002pt;height:54.700000000000003pt;z-index:-125829363;mso-wrap-distance-left:239.90000000000001pt;mso-wrap-distance-top:74.650000000000006pt;mso-wrap-distance-right:9.pt;mso-wrap-distance-bottom:55.950000000000003pt;mso-position-horizontal-relative:page;mso-position-vertical-relative:margin" filled="f" stroked="f">
                <v:textbox inset="0,0,0,0">
                  <w:txbxContent>
                    <w:p>
                      <w:pPr>
                        <w:pStyle w:val="Style18"/>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）通过查阅销售合同、检查以往款项的回收情况、 与管理层沟通等程序了解和评价管理层对应收账款坏 账准备计提的会计估计是否合理；</w:t>
                      </w:r>
                    </w:p>
                  </w:txbxContent>
                </v:textbox>
                <w10:wrap type="topAndBottom" anchorx="page" anchory="margin"/>
              </v:shape>
            </w:pict>
          </mc:Fallback>
        </mc:AlternateContent>
      </w:r>
      <w:r>
        <mc:AlternateContent>
          <mc:Choice Requires="wps">
            <w:drawing>
              <wp:anchor distT="1654810" distB="635" distL="3043555" distR="114300" simplePos="0" relativeHeight="125829392" behindDoc="0" locked="0" layoutInCell="1" allowOverlap="1">
                <wp:simplePos x="0" y="0"/>
                <wp:positionH relativeFrom="page">
                  <wp:posOffset>3617595</wp:posOffset>
                </wp:positionH>
                <wp:positionV relativeFrom="margin">
                  <wp:posOffset>4467860</wp:posOffset>
                </wp:positionV>
                <wp:extent cx="3218815" cy="697865"/>
                <wp:wrapTopAndBottom/>
                <wp:docPr id="16" name="Shape 16"/>
                <a:graphic xmlns:a="http://schemas.openxmlformats.org/drawingml/2006/main">
                  <a:graphicData uri="http://schemas.microsoft.com/office/word/2010/wordprocessingShape">
                    <wps:wsp>
                      <wps:cNvSpPr txBox="1"/>
                      <wps:spPr>
                        <a:xfrm>
                          <a:ext cx="3218815" cy="697865"/>
                        </a:xfrm>
                        <a:prstGeom prst="rect"/>
                        <a:noFill/>
                      </wps:spPr>
                      <wps:txbx>
                        <w:txbxContent>
                          <w:p>
                            <w:pPr>
                              <w:pStyle w:val="Style18"/>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）复核中元股份对应收账款坏账准备的计提过程， 包括对以账龄特征为基础的预期信用损失组合进行计 提坏账准备的合理性；</w:t>
                            </w:r>
                          </w:p>
                        </w:txbxContent>
                      </wps:txbx>
                      <wps:bodyPr lIns="0" tIns="0" rIns="0" bIns="0">
                        <a:noAutoFit/>
                      </wps:bodyPr>
                    </wps:wsp>
                  </a:graphicData>
                </a:graphic>
              </wp:anchor>
            </w:drawing>
          </mc:Choice>
          <mc:Fallback>
            <w:pict>
              <v:shape id="_x0000_s1042" type="#_x0000_t202" style="position:absolute;margin-left:284.85000000000002pt;margin-top:351.80000000000001pt;width:253.45000000000002pt;height:54.950000000000003pt;z-index:-125829361;mso-wrap-distance-left:239.65000000000001pt;mso-wrap-distance-top:130.30000000000001pt;mso-wrap-distance-right:9.pt;mso-wrap-distance-bottom:5.0000000000000003e-002pt;mso-position-horizontal-relative:page;mso-position-vertical-relative:margin" filled="f" stroked="f">
                <v:textbox inset="0,0,0,0">
                  <w:txbxContent>
                    <w:p>
                      <w:pPr>
                        <w:pStyle w:val="Style18"/>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）复核中元股份对应收账款坏账准备的计提过程， 包括对以账龄特征为基础的预期信用损失组合进行计 提坏账准备的合理性；</w:t>
                      </w:r>
                    </w:p>
                  </w:txbxContent>
                </v:textbox>
                <w10:wrap type="topAndBottom" anchorx="page" anchory="margin"/>
              </v:shape>
            </w:pict>
          </mc:Fallback>
        </mc:AlternateContent>
      </w:r>
      <w:bookmarkStart w:id="626" w:name="bookmark626"/>
      <w:r>
        <w:rPr>
          <w:color w:val="000000"/>
          <w:spacing w:val="0"/>
          <w:w w:val="100"/>
          <w:position w:val="0"/>
          <w:sz w:val="20"/>
          <w:szCs w:val="20"/>
        </w:rPr>
        <w:t>（</w:t>
      </w:r>
      <w:bookmarkEnd w:id="626"/>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检查与营业收入相关的信息是否已在财务报表中 作出恰当列报。</w:t>
      </w:r>
    </w:p>
    <w:p>
      <w:pPr>
        <w:pStyle w:val="Style18"/>
        <w:keepNext w:val="0"/>
        <w:keepLines w:val="0"/>
        <w:widowControl w:val="0"/>
        <w:shd w:val="clear" w:color="auto" w:fill="auto"/>
        <w:tabs>
          <w:tab w:pos="5110" w:val="left"/>
        </w:tabs>
        <w:bidi w:val="0"/>
        <w:spacing w:before="0" w:line="317" w:lineRule="exact"/>
        <w:ind w:left="4620" w:right="0" w:firstLine="0"/>
        <w:jc w:val="both"/>
        <w:rPr>
          <w:sz w:val="20"/>
          <w:szCs w:val="20"/>
        </w:rPr>
      </w:pPr>
      <w:bookmarkStart w:id="627" w:name="bookmark627"/>
      <w:r>
        <w:rPr>
          <w:color w:val="000000"/>
          <w:spacing w:val="0"/>
          <w:w w:val="100"/>
          <w:position w:val="0"/>
          <w:sz w:val="20"/>
          <w:szCs w:val="20"/>
        </w:rPr>
        <w:t>（</w:t>
      </w:r>
      <w:bookmarkEnd w:id="62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对应收账款期末余额选取样本执行函证程序；</w:t>
      </w:r>
    </w:p>
    <w:p>
      <w:pPr>
        <w:pStyle w:val="Style18"/>
        <w:keepNext w:val="0"/>
        <w:keepLines w:val="0"/>
        <w:widowControl w:val="0"/>
        <w:shd w:val="clear" w:color="auto" w:fill="auto"/>
        <w:tabs>
          <w:tab w:pos="5228" w:val="left"/>
        </w:tabs>
        <w:bidi w:val="0"/>
        <w:spacing w:before="0" w:after="400" w:line="317" w:lineRule="exact"/>
        <w:ind w:left="4620" w:right="0" w:firstLine="0"/>
        <w:jc w:val="both"/>
        <w:rPr>
          <w:sz w:val="20"/>
          <w:szCs w:val="20"/>
        </w:rPr>
      </w:pPr>
      <w:bookmarkStart w:id="628" w:name="bookmark628"/>
      <w:r>
        <w:rPr>
          <w:color w:val="000000"/>
          <w:spacing w:val="0"/>
          <w:w w:val="100"/>
          <w:position w:val="0"/>
          <w:sz w:val="20"/>
          <w:szCs w:val="20"/>
        </w:rPr>
        <w:t>（</w:t>
      </w:r>
      <w:bookmarkEnd w:id="62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比较前期坏账准备的计提数和实际发生数，对应 收账款余额进行期后收款测试，评价本期应收账款坏账 准备计提的合理性。</w:t>
      </w:r>
    </w:p>
    <w:p>
      <w:pPr>
        <w:pStyle w:val="Style18"/>
        <w:keepNext w:val="0"/>
        <w:keepLines w:val="0"/>
        <w:widowControl w:val="0"/>
        <w:shd w:val="clear" w:color="auto" w:fill="auto"/>
        <w:bidi w:val="0"/>
        <w:spacing w:before="0" w:line="442" w:lineRule="exact"/>
        <w:ind w:left="0" w:right="0" w:firstLine="480"/>
        <w:jc w:val="both"/>
      </w:pPr>
      <w:bookmarkStart w:id="629" w:name="bookmark629"/>
      <w:r>
        <w:rPr>
          <w:color w:val="000000"/>
          <w:spacing w:val="0"/>
          <w:w w:val="100"/>
          <w:position w:val="0"/>
        </w:rPr>
        <w:t>（</w:t>
      </w:r>
      <w:bookmarkEnd w:id="629"/>
      <w:r>
        <w:rPr>
          <w:color w:val="000000"/>
          <w:spacing w:val="0"/>
          <w:w w:val="100"/>
          <w:position w:val="0"/>
        </w:rPr>
        <w:t>四）其他信息</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中元股份管理层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对其他信息负责。其他信息包括中元股份</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 报告中涵盖的信息，但不包括财务报表和我们的审计报告。</w:t>
      </w:r>
    </w:p>
    <w:p>
      <w:pPr>
        <w:pStyle w:val="Style18"/>
        <w:keepNext w:val="0"/>
        <w:keepLines w:val="0"/>
        <w:widowControl w:val="0"/>
        <w:shd w:val="clear" w:color="auto" w:fill="auto"/>
        <w:bidi w:val="0"/>
        <w:spacing w:before="0" w:line="427"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 xml:space="preserve">基于我们已执行的工作，如果我们确定其他信息存在重大错报，我们应当报告该事实。 </w:t>
      </w:r>
      <w:r>
        <w:rPr>
          <w:color w:val="000000"/>
          <w:spacing w:val="0"/>
          <w:w w:val="100"/>
          <w:position w:val="0"/>
        </w:rPr>
        <w:t>在这方面，我们无任何事项需要报告。</w:t>
      </w:r>
    </w:p>
    <w:p>
      <w:pPr>
        <w:pStyle w:val="Style18"/>
        <w:keepNext w:val="0"/>
        <w:keepLines w:val="0"/>
        <w:widowControl w:val="0"/>
        <w:shd w:val="clear" w:color="auto" w:fill="auto"/>
        <w:tabs>
          <w:tab w:pos="1122" w:val="left"/>
        </w:tabs>
        <w:bidi w:val="0"/>
        <w:spacing w:before="0" w:line="442" w:lineRule="exact"/>
        <w:ind w:left="0" w:right="0" w:firstLine="480"/>
        <w:jc w:val="left"/>
      </w:pPr>
      <w:bookmarkStart w:id="630" w:name="bookmark630"/>
      <w:r>
        <w:rPr>
          <w:color w:val="000000"/>
          <w:spacing w:val="0"/>
          <w:w w:val="100"/>
          <w:position w:val="0"/>
        </w:rPr>
        <w:t>（</w:t>
      </w:r>
      <w:bookmarkEnd w:id="630"/>
      <w:r>
        <w:rPr>
          <w:color w:val="000000"/>
          <w:spacing w:val="0"/>
          <w:w w:val="100"/>
          <w:position w:val="0"/>
        </w:rPr>
        <w:t>五）</w:t>
        <w:tab/>
        <w:t>管理层和治理层对财务报表的责任</w:t>
      </w:r>
    </w:p>
    <w:p>
      <w:pPr>
        <w:pStyle w:val="Style18"/>
        <w:keepNext w:val="0"/>
        <w:keepLines w:val="0"/>
        <w:widowControl w:val="0"/>
        <w:shd w:val="clear" w:color="auto" w:fill="auto"/>
        <w:bidi w:val="0"/>
        <w:spacing w:before="0" w:line="427" w:lineRule="exact"/>
        <w:ind w:left="0" w:right="0" w:firstLine="480"/>
        <w:jc w:val="left"/>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18"/>
        <w:keepNext w:val="0"/>
        <w:keepLines w:val="0"/>
        <w:widowControl w:val="0"/>
        <w:shd w:val="clear" w:color="auto" w:fill="auto"/>
        <w:bidi w:val="0"/>
        <w:spacing w:before="0" w:line="442" w:lineRule="exact"/>
        <w:ind w:left="0" w:right="0" w:firstLine="480"/>
        <w:jc w:val="left"/>
      </w:pPr>
      <w:r>
        <w:rPr>
          <w:color w:val="000000"/>
          <w:spacing w:val="0"/>
          <w:w w:val="100"/>
          <w:position w:val="0"/>
        </w:rPr>
        <w:t>在编制财务报表时，管理层负责评估中元股份的持续经营能力，披露与持续经营相关的 事项（如适用），并运用持续经营假设，除非管理层计划清算中元股份、终止运营或别无其他 现实的选择。</w:t>
      </w:r>
    </w:p>
    <w:p>
      <w:pPr>
        <w:pStyle w:val="Style18"/>
        <w:keepNext w:val="0"/>
        <w:keepLines w:val="0"/>
        <w:widowControl w:val="0"/>
        <w:shd w:val="clear" w:color="auto" w:fill="auto"/>
        <w:bidi w:val="0"/>
        <w:spacing w:before="0" w:line="442" w:lineRule="exact"/>
        <w:ind w:left="0" w:right="0" w:firstLine="480"/>
        <w:jc w:val="left"/>
      </w:pPr>
      <w:r>
        <w:rPr>
          <w:color w:val="000000"/>
          <w:spacing w:val="0"/>
          <w:w w:val="100"/>
          <w:position w:val="0"/>
        </w:rPr>
        <w:t>治理层负责监督中元股份的财务报告过程。</w:t>
      </w:r>
    </w:p>
    <w:p>
      <w:pPr>
        <w:pStyle w:val="Style18"/>
        <w:keepNext w:val="0"/>
        <w:keepLines w:val="0"/>
        <w:widowControl w:val="0"/>
        <w:shd w:val="clear" w:color="auto" w:fill="auto"/>
        <w:tabs>
          <w:tab w:pos="1122" w:val="left"/>
        </w:tabs>
        <w:bidi w:val="0"/>
        <w:spacing w:before="0" w:line="442" w:lineRule="exact"/>
        <w:ind w:left="0" w:right="0" w:firstLine="480"/>
        <w:jc w:val="left"/>
      </w:pPr>
      <w:bookmarkStart w:id="631" w:name="bookmark631"/>
      <w:r>
        <w:rPr>
          <w:color w:val="000000"/>
          <w:spacing w:val="0"/>
          <w:w w:val="100"/>
          <w:position w:val="0"/>
        </w:rPr>
        <w:t>（</w:t>
      </w:r>
      <w:bookmarkEnd w:id="631"/>
      <w:r>
        <w:rPr>
          <w:color w:val="000000"/>
          <w:spacing w:val="0"/>
          <w:w w:val="100"/>
          <w:position w:val="0"/>
        </w:rPr>
        <w:t>六）</w:t>
        <w:tab/>
        <w:t>注册会计师对财务报表审计的责任</w:t>
      </w:r>
    </w:p>
    <w:p>
      <w:pPr>
        <w:pStyle w:val="Style18"/>
        <w:keepNext w:val="0"/>
        <w:keepLines w:val="0"/>
        <w:widowControl w:val="0"/>
        <w:shd w:val="clear" w:color="auto" w:fill="auto"/>
        <w:bidi w:val="0"/>
        <w:spacing w:before="0" w:after="340" w:line="439" w:lineRule="exact"/>
        <w:ind w:left="0" w:right="0" w:firstLine="48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18"/>
        <w:keepNext w:val="0"/>
        <w:keepLines w:val="0"/>
        <w:widowControl w:val="0"/>
        <w:shd w:val="clear" w:color="auto" w:fill="auto"/>
        <w:tabs>
          <w:tab w:pos="1132" w:val="left"/>
        </w:tabs>
        <w:bidi w:val="0"/>
        <w:spacing w:before="0" w:line="440" w:lineRule="exact"/>
        <w:ind w:left="0" w:right="0" w:firstLine="48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8"/>
        <w:keepNext w:val="0"/>
        <w:keepLines w:val="0"/>
        <w:widowControl w:val="0"/>
        <w:shd w:val="clear" w:color="auto" w:fill="auto"/>
        <w:tabs>
          <w:tab w:pos="1122" w:val="left"/>
        </w:tabs>
        <w:bidi w:val="0"/>
        <w:spacing w:before="0" w:line="442" w:lineRule="exact"/>
        <w:ind w:left="0" w:right="0" w:firstLine="48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了解与审计相关的内部控制，以设计恰当的审计程序，但目的并非对内部控制的有 效性发表意见。</w:t>
      </w:r>
    </w:p>
    <w:p>
      <w:pPr>
        <w:pStyle w:val="Style18"/>
        <w:keepNext w:val="0"/>
        <w:keepLines w:val="0"/>
        <w:widowControl w:val="0"/>
        <w:shd w:val="clear" w:color="auto" w:fill="auto"/>
        <w:tabs>
          <w:tab w:pos="1046" w:val="left"/>
        </w:tabs>
        <w:bidi w:val="0"/>
        <w:spacing w:before="0" w:line="442" w:lineRule="exact"/>
        <w:ind w:left="0" w:right="0" w:firstLine="480"/>
        <w:jc w:val="left"/>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1132" w:val="left"/>
        </w:tabs>
        <w:bidi w:val="0"/>
        <w:spacing w:before="0" w:line="442" w:lineRule="exact"/>
        <w:ind w:left="0" w:right="0" w:firstLine="48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对管理层使用持续经营假设的恰当性得出结论。同时，根据获取的审计证据，就可 能导致对中元股份持续经营能力产生重大疑虑的事项或情况是否存在重大不确定性得出结论。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于截至审计报告日可获得的信息。然而，未来的事项或情况可能导致中元股份不能持续经营。</w:t>
      </w:r>
    </w:p>
    <w:p>
      <w:pPr>
        <w:pStyle w:val="Style18"/>
        <w:keepNext w:val="0"/>
        <w:keepLines w:val="0"/>
        <w:widowControl w:val="0"/>
        <w:shd w:val="clear" w:color="auto" w:fill="auto"/>
        <w:bidi w:val="0"/>
        <w:spacing w:before="0" w:after="0" w:line="442" w:lineRule="exact"/>
        <w:ind w:left="0" w:right="0" w:firstLine="48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 评价财务报表的总体列报、结构和内容，并评价财务报表是否公允反映相关交易和 </w:t>
      </w:r>
      <w:r>
        <w:rPr>
          <w:color w:val="000000"/>
          <w:spacing w:val="0"/>
          <w:w w:val="100"/>
          <w:position w:val="0"/>
        </w:rPr>
        <w:t>事项。</w:t>
      </w:r>
    </w:p>
    <w:p>
      <w:pPr>
        <w:pStyle w:val="Style18"/>
        <w:keepNext w:val="0"/>
        <w:keepLines w:val="0"/>
        <w:widowControl w:val="0"/>
        <w:shd w:val="clear" w:color="auto" w:fill="auto"/>
        <w:bidi w:val="0"/>
        <w:spacing w:before="0" w:after="0" w:line="451" w:lineRule="exact"/>
        <w:ind w:left="0" w:right="0" w:firstLine="48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24"/>
          <w:szCs w:val="24"/>
        </w:rPr>
        <w:t>6</w:t>
      </w:r>
      <w:r>
        <w:rPr>
          <w:color w:val="000000"/>
          <w:spacing w:val="0"/>
          <w:w w:val="100"/>
          <w:position w:val="0"/>
        </w:rPr>
        <w:t>）就中元股份中实体或业务活动的财务信息获取充分、适当的审计证据，以对财务报 表发表审计意见。我们负责指导、监督和执行集团审计，并对审计意见承担全部责任。</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18"/>
        <w:keepNext w:val="0"/>
        <w:keepLines w:val="0"/>
        <w:widowControl w:val="0"/>
        <w:shd w:val="clear" w:color="auto" w:fill="auto"/>
        <w:bidi w:val="0"/>
        <w:spacing w:before="0" w:after="600" w:line="440"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18"/>
        <w:keepNext w:val="0"/>
        <w:keepLines w:val="0"/>
        <w:widowControl w:val="0"/>
        <w:shd w:val="clear" w:color="auto" w:fill="auto"/>
        <w:tabs>
          <w:tab w:pos="5222" w:val="left"/>
        </w:tabs>
        <w:bidi w:val="0"/>
        <w:spacing w:before="0" w:after="1140" w:line="446" w:lineRule="exact"/>
        <w:ind w:left="0" w:right="0" w:firstLine="0"/>
        <w:jc w:val="left"/>
      </w:pPr>
      <w:r>
        <w:rPr>
          <w:color w:val="000000"/>
          <w:spacing w:val="0"/>
          <w:w w:val="100"/>
          <w:position w:val="0"/>
        </w:rPr>
        <w:t>信永中和会计师事务所（特殊普通合伙）</w:t>
        <w:tab/>
        <w:t>中国注册会计师：黄简</w:t>
      </w:r>
    </w:p>
    <w:p>
      <w:pPr>
        <w:pStyle w:val="Style18"/>
        <w:keepNext w:val="0"/>
        <w:keepLines w:val="0"/>
        <w:widowControl w:val="0"/>
        <w:shd w:val="clear" w:color="auto" w:fill="auto"/>
        <w:bidi w:val="0"/>
        <w:spacing w:before="0" w:after="760" w:line="240" w:lineRule="auto"/>
        <w:ind w:left="5240" w:right="0" w:firstLine="0"/>
        <w:jc w:val="left"/>
      </w:pPr>
      <w:r>
        <w:rPr>
          <w:color w:val="000000"/>
          <w:spacing w:val="0"/>
          <w:w w:val="100"/>
          <w:position w:val="0"/>
        </w:rPr>
        <w:t>中国注册会计师：王文杰</w:t>
      </w:r>
    </w:p>
    <w:p>
      <w:pPr>
        <w:pStyle w:val="Style18"/>
        <w:keepNext w:val="0"/>
        <w:keepLines w:val="0"/>
        <w:widowControl w:val="0"/>
        <w:shd w:val="clear" w:color="auto" w:fill="auto"/>
        <w:tabs>
          <w:tab w:pos="3648" w:val="left"/>
        </w:tabs>
        <w:bidi w:val="0"/>
        <w:spacing w:before="0" w:after="440" w:line="240" w:lineRule="auto"/>
        <w:ind w:left="0" w:right="0" w:firstLine="0"/>
        <w:jc w:val="center"/>
      </w:pPr>
      <w:r>
        <w:rPr>
          <w:color w:val="000000"/>
          <w:spacing w:val="0"/>
          <w:w w:val="100"/>
          <w:position w:val="0"/>
        </w:rPr>
        <w:t>中国北京</w:t>
        <w:tab/>
        <w:t>二。二二年四月十五日</w:t>
      </w:r>
    </w:p>
    <w:p>
      <w:pPr>
        <w:pStyle w:val="Style29"/>
        <w:keepNext/>
        <w:keepLines/>
        <w:widowControl w:val="0"/>
        <w:shd w:val="clear" w:color="auto" w:fill="auto"/>
        <w:bidi w:val="0"/>
        <w:spacing w:before="0" w:after="44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rPr>
        <w:t>二</w:t>
      </w:r>
      <w:bookmarkEnd w:id="640"/>
      <w:r>
        <w:rPr>
          <w:color w:val="000000"/>
          <w:spacing w:val="0"/>
          <w:w w:val="100"/>
          <w:position w:val="0"/>
        </w:rPr>
        <w:t>、财务报表</w:t>
      </w:r>
      <w:bookmarkEnd w:id="638"/>
      <w:bookmarkEnd w:id="639"/>
      <w:bookmarkEnd w:id="641"/>
    </w:p>
    <w:p>
      <w:pPr>
        <w:pStyle w:val="Style18"/>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财务附注中报表的单位为：元</w:t>
      </w:r>
    </w:p>
    <w:p>
      <w:pPr>
        <w:pStyle w:val="Style32"/>
        <w:keepNext/>
        <w:keepLines/>
        <w:widowControl w:val="0"/>
        <w:shd w:val="clear" w:color="auto" w:fill="auto"/>
        <w:bidi w:val="0"/>
        <w:spacing w:before="0" w:after="440" w:line="240" w:lineRule="auto"/>
        <w:ind w:left="0" w:right="0" w:firstLine="0"/>
        <w:jc w:val="both"/>
      </w:pPr>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、合并资产负债表</w:t>
      </w:r>
      <w:bookmarkEnd w:id="642"/>
      <w:bookmarkEnd w:id="643"/>
      <w:bookmarkEnd w:id="644"/>
    </w:p>
    <w:p>
      <w:pPr>
        <w:pStyle w:val="Style18"/>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编制单位：武汉中元华电科技股份有限公司</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0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250,669,248.43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551,547,412.25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268,000,000.00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4,824,793.50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2,787,158.91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192,633,672.61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212,066,333.16</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8,229,320.00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12,045,884.34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6,946,441.59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6,061,526.74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43,349,521.95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47,315,569.43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137,996,037.90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132,483,423.01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1,212,983.86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1,708,764.47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3,072,747.70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914,357,800.45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968,593,039.40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2,272,417.58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1,557,982.08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188,334,265.97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113,762,053.91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48,393,763.88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50,202,949.69</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57,759,144.56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55,048,320.74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5,043,445.89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25,865,299.24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28,316,619.67</w:t>
            </w:r>
          </w:p>
        </w:tc>
      </w:tr>
    </w:tbl>
    <w:p>
      <w:pPr>
        <w:widowControl w:val="0"/>
        <w:spacing w:line="1" w:lineRule="exact"/>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16,051,338.99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18,270,266.02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3,601,889.20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3,294,326.06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13,642,711.47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12,919,978.54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87,598,206.50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70,650,387.40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506,562,483.28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354,022,884.11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1,420,920,283.73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1,322,615,923.51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741,211.64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58,569,841.25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74,482,228.16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42,996,416.57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30,792,348.27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27,482,913.74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26,835,400.98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11,508,750.26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9,081,271.87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24,731,364.96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22,062,859.54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2,192,738.42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825,359.38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1,255,479.67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171,097,624.79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171,608,617.06</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2,782,477.65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7,282,477.65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178,380,102.44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172,016,364.51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480,831,536.00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595,026,076.78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41,653,059.31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62,577,149.23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1,180,087,821.32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1,090,478,148.27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62,452,359.97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60,121,410.73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1,242,540,181.29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1,150,599,559.00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1,420,920,283.73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1,322,615,923.51</w:t>
            </w:r>
          </w:p>
        </w:tc>
      </w:tr>
    </w:tbl>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法定代表人：王永业主管会计工作负责人：卢春明会计机构负责人：黄伟兵</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sz w:val="24"/>
          <w:szCs w:val="24"/>
        </w:rPr>
        <w:t>2</w:t>
      </w:r>
      <w:r>
        <w:rPr>
          <w:color w:val="000000"/>
          <w:spacing w:val="0"/>
          <w:w w:val="100"/>
          <w:position w:val="0"/>
        </w:rPr>
        <w:t>、母公司资产负债表</w:t>
      </w:r>
      <w:bookmarkEnd w:id="645"/>
      <w:bookmarkEnd w:id="646"/>
      <w:bookmarkEnd w:id="647"/>
    </w:p>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21"/>
        <w:keepNext w:val="0"/>
        <w:keepLines w:val="0"/>
        <w:widowControl w:val="0"/>
        <w:shd w:val="clear" w:color="auto" w:fill="auto"/>
        <w:tabs>
          <w:tab w:pos="2462" w:val="left"/>
          <w:tab w:pos="5760" w:val="left"/>
        </w:tabs>
        <w:bidi w:val="0"/>
        <w:spacing w:before="0" w:after="360" w:line="240" w:lineRule="auto"/>
        <w:ind w:left="0" w:right="0" w:firstLine="0"/>
        <w:jc w:val="center"/>
      </w:pPr>
      <w:r>
        <w:rPr>
          <w:color w:val="000000"/>
          <w:spacing w:val="0"/>
          <w:w w:val="100"/>
          <w:position w:val="0"/>
        </w:rPr>
        <w:t>项目</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141,785,746.48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332,175,754.17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215,000,000.00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4,729,793.50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2,636,865.87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84,648,932.33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93,615,956.80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3,499,520.00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5,060,480.00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1,507,067.51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998,447.28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15,942,754.22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17,009,403.70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81,064,942.33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75,193,685.50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1,362,464.20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1,549,709.04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549,541,220.57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528,240,302.36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15,633,333.35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571,424,579.70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555,872,879.70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39,714,282.67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40,694,427.12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26,611,911.13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25,952,235.63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21,024,378.31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21,645,160.79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1,040,553.68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189,817.81</w:t>
            </w:r>
          </w:p>
        </w:tc>
      </w:tr>
    </w:tbl>
    <w:p>
      <w:pPr>
        <w:widowControl w:val="0"/>
        <w:spacing w:line="1" w:lineRule="exact"/>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2,745,230.73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3,094,183.89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699,000.00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693,259,936.22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663,082,038.29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1,242,801,156.79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741,211.64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80,362,333.43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82,061,041.67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13,271,450.48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12,046,588.30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13,637,688.81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13,145,328.65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5,070,884.99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4,124,968.16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11,606,927.00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2,560,667.37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445,000.82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363,043.64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125,135,497.17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114,301,637.79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125,135,497.17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114,301,637.79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480,831,536.00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605,920,741.11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-9,739,676.80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-50,384,633.56</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1,117,665,659.62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1,077,020,702.86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1,242,801,156.79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1,191,322,340.65</w:t>
            </w:r>
          </w:p>
        </w:tc>
      </w:tr>
    </w:tbl>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法定代表人：王永业主管会计工作负责人：卢春明会计机构负责人：黄伟兵</w:t>
      </w:r>
    </w:p>
    <w:p>
      <w:pPr>
        <w:widowControl w:val="0"/>
        <w:spacing w:after="379" w:line="1" w:lineRule="exact"/>
      </w:pPr>
    </w:p>
    <w:p>
      <w:pPr>
        <w:pStyle w:val="Style32"/>
        <w:keepNext/>
        <w:keepLines/>
        <w:widowControl w:val="0"/>
        <w:shd w:val="clear" w:color="auto" w:fill="auto"/>
        <w:bidi w:val="0"/>
        <w:spacing w:before="0" w:after="34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sz w:val="24"/>
          <w:szCs w:val="24"/>
        </w:rPr>
        <w:t>3</w:t>
      </w:r>
      <w:bookmarkEnd w:id="650"/>
      <w:r>
        <w:rPr>
          <w:color w:val="000000"/>
          <w:spacing w:val="0"/>
          <w:w w:val="100"/>
          <w:position w:val="0"/>
        </w:rPr>
        <w:t>、合并利润表</w:t>
      </w:r>
      <w:bookmarkEnd w:id="648"/>
      <w:bookmarkEnd w:id="649"/>
      <w:bookmarkEnd w:id="6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6"/>
        <w:gridCol w:w="3283"/>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420,509,087.13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406,391,731.77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420,509,087.13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406,391,731.77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409,461,169.92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377,279,084.66</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218,902,992.05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196,178,354.25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1080" w:right="0" w:firstLine="0"/>
              <w:jc w:val="left"/>
            </w:pPr>
            <w:r>
              <w:rPr>
                <w:color w:val="000000"/>
                <w:spacing w:val="0"/>
                <w:w w:val="100"/>
                <w:position w:val="0"/>
              </w:rPr>
              <w:t>提取保险责任合同准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26"/>
        <w:gridCol w:w="3283"/>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4,508,926.31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4,399,328.90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68,509,935.48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62,565,416.66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44,002,086.89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42,109,987.30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79,862,236.24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79,660,655.48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-6,325,007.05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-7,634,657.93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553,754.61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1,787,285.27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6,969,741.33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9,531,946.07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8,255,025.49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10,194,962.38</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26,883,579.51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11,911,705.07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其中：对联营企业和合 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14,967,608.43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4,164,169.48</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1300" w:right="0" w:firstLine="0"/>
              <w:jc w:val="left"/>
            </w:pPr>
            <w:r>
              <w:rPr>
                <w:color w:val="000000"/>
                <w:spacing w:val="0"/>
                <w:w w:val="100"/>
                <w:position w:val="0"/>
              </w:rPr>
              <w:t>以摊余成本计量的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80"/>
              <w:jc w:val="left"/>
            </w:pPr>
            <w:r>
              <w:rPr>
                <w:color w:val="000000"/>
                <w:spacing w:val="0"/>
                <w:w w:val="100"/>
                <w:position w:val="0"/>
              </w:rPr>
              <w:t>净敞口套期收益（损失 以</w:t>
            </w:r>
            <w:r>
              <w:rPr>
                <w:color w:val="000000"/>
                <w:spacing w:val="0"/>
                <w:w w:val="100"/>
                <w:position w:val="0"/>
              </w:rPr>
              <w:t>，，</w:t>
            </w:r>
            <w:r>
              <w:rPr>
                <w:color w:val="000000"/>
                <w:spacing w:val="0"/>
                <w:w w:val="100"/>
                <w:position w:val="0"/>
              </w:rPr>
              <w:t>_</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公允价值变动收益（损 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54,572,212.06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22,117,750.37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信用减值损失（损失以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-8,934,558.37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-8,099,095.67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资产减值损失（损失以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-2,042,222.68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-16,629,132.72</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资产处置收益（损失以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248,771.95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90,030,725.17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48,765,904.34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4,729,056.53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6,093,174.99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3,773,524.90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462,628.40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90,986,256.80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54,396,450.93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4,856,056.48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4,773,810.10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86,130,200.32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49,622,640.83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86,130,200.32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49,622,640.83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26"/>
        <w:gridCol w:w="3283"/>
      </w:tblGrid>
      <w:tr>
        <w:trPr>
          <w:trHeight w:val="36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89,609,673.05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45,794,436.33</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-3,479,472.73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3,828,204.50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40"/>
              <w:jc w:val="both"/>
            </w:pPr>
            <w:r>
              <w:rPr>
                <w:color w:val="000000"/>
                <w:spacing w:val="0"/>
                <w:w w:val="100"/>
                <w:position w:val="0"/>
              </w:rPr>
              <w:t>归属母公司所有者的其他综合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（二）将重分类进损益的其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 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108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86,130,200.32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49,622,640.83</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归属于母公司所有者的综合 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89,609,673.05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45,794,436.33</w:t>
            </w:r>
          </w:p>
        </w:tc>
      </w:tr>
    </w:tbl>
    <w:p>
      <w:pPr>
        <w:widowControl w:val="0"/>
        <w:spacing w:line="1" w:lineRule="exact"/>
      </w:pPr>
      <w:r>
        <w:br w:type="page"/>
      </w:r>
    </w:p>
    <w:tbl>
      <w:tblPr>
        <w:tblOverlap w:val="never"/>
        <w:jc w:val="center"/>
        <w:tblLayout w:type="fixed"/>
      </w:tblPr>
      <w:tblGrid>
        <w:gridCol w:w="3091"/>
        <w:gridCol w:w="3221"/>
        <w:gridCol w:w="3283"/>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归属于少数股东的综合收益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-3,479,472.73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3,828,204.50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bl>
    <w:p>
      <w:pPr>
        <w:pStyle w:val="Style18"/>
        <w:keepNext w:val="0"/>
        <w:keepLines w:val="0"/>
        <w:widowControl w:val="0"/>
        <w:shd w:val="clear" w:color="auto" w:fill="auto"/>
        <w:bidi w:val="0"/>
        <w:spacing w:before="0" w:after="360" w:line="446" w:lineRule="exact"/>
        <w:ind w:left="0" w:right="0" w:firstLine="480"/>
        <w:jc w:val="left"/>
      </w:pPr>
      <w:r>
        <w:rPr>
          <w:color w:val="000000"/>
          <w:spacing w:val="0"/>
          <w:w w:val="100"/>
          <w:position w:val="0"/>
        </w:rPr>
        <w:t>本期发生同一控制下企业合并的，被合并方在合并前实现的净利润为：元，上期被合并 方实现的净利润为：元。</w:t>
      </w:r>
    </w:p>
    <w:p>
      <w:pPr>
        <w:pStyle w:val="Style21"/>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法定代表人：王永业主管会计工作负责人：卢春明会计机构负责人：黄伟兵</w:t>
      </w:r>
    </w:p>
    <w:p>
      <w:pPr>
        <w:pStyle w:val="Style32"/>
        <w:keepNext/>
        <w:keepLines/>
        <w:widowControl w:val="0"/>
        <w:shd w:val="clear" w:color="auto" w:fill="auto"/>
        <w:bidi w:val="0"/>
        <w:spacing w:before="0" w:after="3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sz w:val="24"/>
          <w:szCs w:val="24"/>
        </w:rPr>
        <w:t>4</w:t>
      </w:r>
      <w:bookmarkEnd w:id="654"/>
      <w:r>
        <w:rPr>
          <w:color w:val="000000"/>
          <w:spacing w:val="0"/>
          <w:w w:val="100"/>
          <w:position w:val="0"/>
        </w:rPr>
        <w:t>、母公司利润表</w:t>
      </w:r>
      <w:bookmarkEnd w:id="652"/>
      <w:bookmarkEnd w:id="653"/>
      <w:bookmarkEnd w:id="6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217,087,142.92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207,515,665.47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144,913,309.46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127,483,987.32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2,231,459.49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1,926,429.21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28,683,898.04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26,305,596.88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19,651,989.55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17,838,028.95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25,211,343.05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22,177,262.57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-4,318,058.17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-6,014,406.30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1,619,906.16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4,365,333.00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7,679,185.10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154,989.00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36,289,002.07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64,031,327.77</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其中：对联营企业和合 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-636,372.75</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300"/>
              <w:jc w:val="left"/>
            </w:pPr>
            <w:r>
              <w:rPr>
                <w:color w:val="000000"/>
                <w:spacing w:val="0"/>
                <w:w w:val="100"/>
                <w:position w:val="0"/>
              </w:rPr>
              <w:t>以摊余成本计量 的金融资产终止确认收益（损失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净敞口套期收益（损失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以，，_，，号填列）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公允价值变动收益（损 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信用减值损失（损失以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398,069.27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-1,445,904.30</w:t>
            </w:r>
          </w:p>
        </w:tc>
      </w:tr>
    </w:tbl>
    <w:p>
      <w:pPr>
        <w:widowControl w:val="0"/>
        <w:spacing w:line="1" w:lineRule="exact"/>
      </w:pPr>
      <w:r>
        <w:br w:type="page"/>
      </w:r>
    </w:p>
    <w:tbl>
      <w:tblPr>
        <w:tblOverlap w:val="never"/>
        <w:jc w:val="center"/>
        <w:tblLayout w:type="fixed"/>
      </w:tblPr>
      <w:tblGrid>
        <w:gridCol w:w="2976"/>
        <w:gridCol w:w="3312"/>
        <w:gridCol w:w="3331"/>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both"/>
            </w:pPr>
            <w:r>
              <w:rPr>
                <w:color w:val="000000"/>
                <w:spacing w:val="0"/>
                <w:w w:val="100"/>
                <w:position w:val="0"/>
              </w:rPr>
              <w:t>资产减值损失（损失以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3,231,139.22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-19,130,360.95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both"/>
            </w:pPr>
            <w:r>
              <w:rPr>
                <w:color w:val="000000"/>
                <w:spacing w:val="0"/>
                <w:w w:val="100"/>
                <w:position w:val="0"/>
              </w:rPr>
              <w:t>资产处置收益（损失以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-2,635.03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40,732,005.25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61,406,183.33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1,588,324.54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888,036.27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272,317.47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141,320.38</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42,048,012.32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62,152,899.22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367,793.23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587,222.27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41,680,219.09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61,565,676.95</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41,680,219.09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61,565,676.95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both"/>
            </w:pPr>
            <w:r>
              <w:rPr>
                <w:color w:val="000000"/>
                <w:spacing w:val="0"/>
                <w:w w:val="100"/>
                <w:position w:val="0"/>
              </w:rPr>
              <w:t>（二）终止经营净利润（净 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440"/>
              <w:jc w:val="both"/>
            </w:pPr>
            <w:r>
              <w:rPr>
                <w:color w:val="000000"/>
                <w:spacing w:val="0"/>
                <w:w w:val="100"/>
                <w:position w:val="0"/>
              </w:rPr>
              <w:t>（一）不能重分类进损益的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 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40"/>
              <w:jc w:val="both"/>
            </w:pPr>
            <w:r>
              <w:rPr>
                <w:color w:val="000000"/>
                <w:spacing w:val="0"/>
                <w:w w:val="100"/>
                <w:position w:val="0"/>
              </w:rPr>
              <w:t>（二）将重分类进损益的其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08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108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108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 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8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7"/>
        <w:gridCol w:w="3307"/>
      </w:tblGrid>
      <w:tr>
        <w:trPr>
          <w:trHeight w:val="36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108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41,680,219.09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61,565,676.95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法定代表人：王永业主管会计工作负责人：卢春明会计机构负责人：黄伟兵</w:t>
      </w:r>
    </w:p>
    <w:p>
      <w:pPr>
        <w:widowControl w:val="0"/>
        <w:spacing w:after="379" w:line="1" w:lineRule="exact"/>
      </w:pPr>
    </w:p>
    <w:p>
      <w:pPr>
        <w:pStyle w:val="Style32"/>
        <w:keepNext/>
        <w:keepLines/>
        <w:widowControl w:val="0"/>
        <w:shd w:val="clear" w:color="auto" w:fill="auto"/>
        <w:bidi w:val="0"/>
        <w:spacing w:before="0" w:after="3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sz w:val="24"/>
          <w:szCs w:val="24"/>
        </w:rPr>
        <w:t>5</w:t>
      </w:r>
      <w:bookmarkEnd w:id="658"/>
      <w:r>
        <w:rPr>
          <w:color w:val="000000"/>
          <w:spacing w:val="0"/>
          <w:w w:val="100"/>
          <w:position w:val="0"/>
        </w:rPr>
        <w:t>、合并现金流量表</w:t>
      </w:r>
      <w:bookmarkEnd w:id="656"/>
      <w:bookmarkEnd w:id="657"/>
      <w:bookmarkEnd w:id="6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468,177,850.40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437,181,675.74</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保户储金及投资款净增加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代理买卖证券收到的现金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5,619,297.90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6,304,007.09</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收到其他与经营活动有关 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35,501,870.11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54,632,112.50</w:t>
            </w:r>
          </w:p>
        </w:tc>
      </w:tr>
    </w:tbl>
    <w:p>
      <w:pPr>
        <w:widowControl w:val="0"/>
        <w:spacing w:line="1" w:lineRule="exact"/>
      </w:pPr>
      <w:r>
        <w:br w:type="page"/>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509,299,018.41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498,117,795.33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194,128,002.83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192,205,078.62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rPr>
              <w:t>存放中央银行和同业款项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151,840,354.33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129,845,175.05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32,799,408.75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38,311,574.63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89,809,832.75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95,397,979.84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468,577,598.66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455,759,808.14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40,721,419.75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42,357,987.19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132,000,000.00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453,951,111.30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6,864,933.18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10,138,198.45</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332,489.99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1,788,565.92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10,000,000.00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396,237.91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153,799,189.10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474,818,037.65</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16,953,716.18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14,960,223.13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478,490,000.00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478,500,000.00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 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495,443,716.18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493,460,223.13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-341,644,527.08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-18,642,185.48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4,048,300.00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1,660,000.00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 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4,048,300.00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10,050,000.00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11,710,000.00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6,000,000.00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870,410.77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1,586,315.15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460"/>
              <w:jc w:val="both"/>
            </w:pPr>
            <w:r>
              <w:rPr>
                <w:color w:val="000000"/>
                <w:spacing w:val="0"/>
                <w:w w:val="100"/>
                <w:position w:val="0"/>
              </w:rPr>
              <w:t>支付其他与筹资活动有关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2,664,030.72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9,507,990.00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10,584,441.49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17,094,305.15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463,858.51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-5,384,305.15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-300,459,248.82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18,331,496.56</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546,340,339.70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528,008,843.14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245,881,090.88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546,340,339.70</w:t>
            </w:r>
          </w:p>
        </w:tc>
      </w:tr>
    </w:tbl>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法定代表人：王永业主管会计工作负责人：卢春明会计机构负责人：黄伟兵</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sz w:val="24"/>
          <w:szCs w:val="24"/>
        </w:rPr>
        <w:t>6</w:t>
      </w:r>
      <w:bookmarkEnd w:id="662"/>
      <w:r>
        <w:rPr>
          <w:color w:val="000000"/>
          <w:spacing w:val="0"/>
          <w:w w:val="100"/>
          <w:position w:val="0"/>
        </w:rPr>
        <w:t>、母公司现金流量表</w:t>
      </w:r>
      <w:bookmarkEnd w:id="660"/>
      <w:bookmarkEnd w:id="661"/>
      <w:bookmarkEnd w:id="6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12"/>
        <w:gridCol w:w="330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233,055,628.92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214,381,872.01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收到其他与经营活动有关 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25,708,255.72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20,076,284.53</w:t>
            </w:r>
          </w:p>
        </w:tc>
      </w:tr>
    </w:tbl>
    <w:p>
      <w:pPr>
        <w:widowControl w:val="0"/>
        <w:spacing w:line="1" w:lineRule="exact"/>
      </w:pPr>
      <w:r>
        <w:br w:type="page"/>
      </w:r>
    </w:p>
    <w:tbl>
      <w:tblPr>
        <w:tblOverlap w:val="never"/>
        <w:jc w:val="center"/>
        <w:tblLayout w:type="fixed"/>
      </w:tblPr>
      <w:tblGrid>
        <w:gridCol w:w="2976"/>
        <w:gridCol w:w="3312"/>
        <w:gridCol w:w="330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258,763,884.64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234,458,156.54</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123,378,230.27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149,119,229.39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支付给职工以及为职工支 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64,600,205.06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54,504,702.07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10,820,900.08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13,403,167.04</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42,737,963.96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32,130,267.18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241,537,299.37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249,157,365.68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17,226,585.27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-14,699,209.14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178,500,000.00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37,425,870.41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64,785,337.99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14,489.99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处置子公司及其他营业单 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2,400,001.00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收到其他与投资活动有关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22,633,333.35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8,671,111.04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124,468,904.76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251,970,939.02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4,761,052.48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1,846,307.54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327,351,700.00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272,300,000.00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取得子公司及其他营业单 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332,112,752.48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279,146,307.54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-207,643,847.72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-27,175,368.52</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12"/>
        <w:gridCol w:w="3331"/>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1,461,615.86</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9,507,990.00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10,969,605.86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-10,969,605.86</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-190,417,262.45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-52,844,183.52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加：期初现金及现金等价物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327,478,601.38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380,322,784.90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137,061,338.93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327,478,601.38</w:t>
            </w:r>
          </w:p>
        </w:tc>
      </w:tr>
    </w:tbl>
    <w:p>
      <w:pPr>
        <w:pStyle w:val="Style25"/>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1900" w:h="16840"/>
          <w:pgMar w:top="1393" w:right="1010" w:bottom="1446" w:left="979" w:header="0" w:footer="3" w:gutter="0"/>
          <w:cols w:space="720"/>
          <w:noEndnote/>
          <w:rtlGutter w:val="0"/>
          <w:docGrid w:linePitch="360"/>
        </w:sectPr>
      </w:pPr>
      <w:r>
        <w:rPr>
          <w:color w:val="000000"/>
          <w:spacing w:val="0"/>
          <w:w w:val="100"/>
          <w:position w:val="0"/>
          <w:sz w:val="17"/>
          <w:szCs w:val="17"/>
        </w:rPr>
        <w:t>法定代表人：王永业主管会计工作负责人：卢春明会计机构负责人：黄伟兵</w:t>
      </w:r>
    </w:p>
    <w:p>
      <w:pPr>
        <w:pStyle w:val="Style32"/>
        <w:keepNext/>
        <w:keepLines/>
        <w:widowControl w:val="0"/>
        <w:shd w:val="clear" w:color="auto" w:fill="auto"/>
        <w:bidi w:val="0"/>
        <w:spacing w:before="0" w:after="44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sz w:val="24"/>
          <w:szCs w:val="24"/>
        </w:rPr>
        <w:t>7</w:t>
      </w:r>
      <w:bookmarkEnd w:id="666"/>
      <w:r>
        <w:rPr>
          <w:color w:val="000000"/>
          <w:spacing w:val="0"/>
          <w:w w:val="100"/>
          <w:position w:val="0"/>
        </w:rPr>
        <w:t>、合并所有者权益变动表</w:t>
      </w:r>
      <w:bookmarkEnd w:id="664"/>
      <w:bookmarkEnd w:id="665"/>
      <w:bookmarkEnd w:id="667"/>
    </w:p>
    <w:p>
      <w:pPr>
        <w:pStyle w:val="Style1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本期金额</w:t>
      </w:r>
    </w:p>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bl>
      <w:tblPr>
        <w:tblOverlap w:val="never"/>
        <w:jc w:val="center"/>
        <w:tblLayout w:type="fixed"/>
      </w:tblPr>
      <w:tblGrid>
        <w:gridCol w:w="1421"/>
        <w:gridCol w:w="1368"/>
        <w:gridCol w:w="264"/>
        <w:gridCol w:w="269"/>
        <w:gridCol w:w="264"/>
        <w:gridCol w:w="1368"/>
        <w:gridCol w:w="480"/>
        <w:gridCol w:w="374"/>
        <w:gridCol w:w="432"/>
        <w:gridCol w:w="1272"/>
        <w:gridCol w:w="418"/>
        <w:gridCol w:w="1344"/>
        <w:gridCol w:w="432"/>
        <w:gridCol w:w="1526"/>
        <w:gridCol w:w="1262"/>
        <w:gridCol w:w="1531"/>
      </w:tblGrid>
      <w:tr>
        <w:trPr>
          <w:trHeight w:val="408" w:hRule="exact"/>
        </w:trPr>
        <w:tc>
          <w:tcPr>
            <w:vMerge w:val="restart"/>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他</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综</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一</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24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优 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1,090,478,148.27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60,121,410.73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1,150,599,559.00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86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860"/>
              <w:jc w:val="both"/>
            </w:pPr>
            <w:r>
              <w:rPr>
                <w:color w:val="000000"/>
                <w:spacing w:val="0"/>
                <w:w w:val="100"/>
                <w:position w:val="0"/>
              </w:rPr>
              <w:t>同一</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控制下企业合 并</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1,090,478,148.27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60,121,410.73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1,150,599,559.00</w:t>
            </w:r>
          </w:p>
        </w:tc>
      </w:tr>
      <w:tr>
        <w:trPr>
          <w:trHeight w:val="994"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89,609,673.05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89,609,673.05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2,330,949.24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91,940,622.29</w:t>
            </w:r>
          </w:p>
        </w:tc>
      </w:tr>
    </w:tbl>
    <w:p>
      <w:pPr>
        <w:spacing w:lineRule="exact" w:line="1"/>
        <w:rPr>
          <w:sz w:val="2"/>
          <w:szCs w:val="2"/>
        </w:rPr>
      </w:pPr>
      <w:r>
        <w:br w:type="page"/>
      </w:r>
    </w:p>
    <w:tbl>
      <w:tblPr>
        <w:tblOverlap w:val="never"/>
        <w:jc w:val="center"/>
        <w:tblLayout w:type="fixed"/>
      </w:tblPr>
      <w:tblGrid>
        <w:gridCol w:w="1421"/>
        <w:gridCol w:w="1368"/>
        <w:gridCol w:w="264"/>
        <w:gridCol w:w="269"/>
        <w:gridCol w:w="264"/>
        <w:gridCol w:w="1368"/>
        <w:gridCol w:w="480"/>
        <w:gridCol w:w="374"/>
        <w:gridCol w:w="432"/>
        <w:gridCol w:w="1267"/>
        <w:gridCol w:w="432"/>
        <w:gridCol w:w="1334"/>
        <w:gridCol w:w="432"/>
        <w:gridCol w:w="1526"/>
        <w:gridCol w:w="1262"/>
        <w:gridCol w:w="1560"/>
      </w:tblGrid>
      <w:tr>
        <w:trPr>
          <w:trHeight w:val="39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（一）综合收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89,609,673.05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89,609,673.05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-3,479,472.73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86,130,200.32</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6,490,421.97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6,490,421.97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4,048,300.00</w:t>
            </w: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2,442,121.97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2,442,121.97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368"/>
        <w:gridCol w:w="264"/>
        <w:gridCol w:w="269"/>
        <w:gridCol w:w="264"/>
        <w:gridCol w:w="1368"/>
        <w:gridCol w:w="480"/>
        <w:gridCol w:w="374"/>
        <w:gridCol w:w="432"/>
        <w:gridCol w:w="1267"/>
        <w:gridCol w:w="432"/>
        <w:gridCol w:w="1334"/>
        <w:gridCol w:w="432"/>
        <w:gridCol w:w="1526"/>
        <w:gridCol w:w="1262"/>
        <w:gridCol w:w="1560"/>
      </w:tblGrid>
      <w:tr>
        <w:trPr>
          <w:trHeight w:val="106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595,026,076.78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41,653,059.31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62,577,149.23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1,180,087,821.32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62,452,359.97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1,242,540,181.29</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上期金额</w:t>
      </w:r>
    </w:p>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bl>
      <w:tblPr>
        <w:tblOverlap w:val="never"/>
        <w:jc w:val="center"/>
        <w:tblLayout w:type="fixed"/>
      </w:tblPr>
      <w:tblGrid>
        <w:gridCol w:w="1272"/>
        <w:gridCol w:w="1368"/>
        <w:gridCol w:w="269"/>
        <w:gridCol w:w="264"/>
        <w:gridCol w:w="269"/>
        <w:gridCol w:w="1368"/>
        <w:gridCol w:w="1234"/>
        <w:gridCol w:w="259"/>
        <w:gridCol w:w="269"/>
        <w:gridCol w:w="1267"/>
        <w:gridCol w:w="254"/>
        <w:gridCol w:w="1339"/>
        <w:gridCol w:w="269"/>
        <w:gridCol w:w="1526"/>
        <w:gridCol w:w="1267"/>
        <w:gridCol w:w="1531"/>
      </w:tblGrid>
      <w:tr>
        <w:trPr>
          <w:trHeight w:val="408" w:hRule="exact"/>
        </w:trPr>
        <w:tc>
          <w:tcPr>
            <w:vMerge w:val="restart"/>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他</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综</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313" w:lineRule="exact"/>
              <w:ind w:left="0" w:right="0" w:firstLine="0"/>
              <w:jc w:val="both"/>
            </w:pPr>
            <w:r>
              <w:rPr>
                <w:color w:val="000000"/>
                <w:spacing w:val="0"/>
                <w:w w:val="100"/>
                <w:position w:val="0"/>
              </w:rPr>
              <w:t>一</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24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优 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602,933,416.78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-70,312,437.32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1,047,198,234.77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54,633,206.23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1,101,831,441.00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-2,514,522.83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-2,514,522.83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-2,514,522.83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860"/>
              <w:jc w:val="left"/>
            </w:pPr>
            <w:r>
              <w:rPr>
                <w:color w:val="000000"/>
                <w:spacing w:val="0"/>
                <w:w w:val="100"/>
                <w:position w:val="0"/>
              </w:rPr>
              <w:t>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860"/>
              <w:jc w:val="left"/>
            </w:pPr>
            <w:r>
              <w:rPr>
                <w:color w:val="000000"/>
                <w:spacing w:val="0"/>
                <w:w w:val="100"/>
                <w:position w:val="0"/>
              </w:rPr>
              <w:t>同</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一控制下企</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6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602,933,416.78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-72,826,960.15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1,044,683,711.94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54,633,206.23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1,099,316,918.17</w:t>
            </w:r>
          </w:p>
        </w:tc>
      </w:tr>
      <w:tr>
        <w:trPr>
          <w:trHeight w:val="1349"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_</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-1,686,000.00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-7,907,340.00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45,794,436.33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45,794,436.33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5,488,204.50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51,282,640.83</w:t>
            </w:r>
          </w:p>
        </w:tc>
      </w:tr>
    </w:tbl>
    <w:p>
      <w:pPr>
        <w:spacing w:lineRule="exact" w:line="1"/>
        <w:rPr>
          <w:sz w:val="2"/>
          <w:szCs w:val="2"/>
        </w:rPr>
      </w:pPr>
      <w:r>
        <w:br w:type="page"/>
      </w:r>
    </w:p>
    <w:p>
      <w:pPr>
        <w:widowControl w:val="0"/>
        <w:jc w:val="center"/>
        <w:rPr>
          <w:sz w:val="2"/>
          <w:szCs w:val="2"/>
        </w:rPr>
      </w:pPr>
      <w:r>
        <w:drawing>
          <wp:inline>
            <wp:extent cx="8918575" cy="606552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pic:blipFill>
                  <pic:spPr>
                    <a:xfrm>
                      <a:ext cx="8918575" cy="6065520"/>
                    </a:xfrm>
                    <a:prstGeom prst="rect"/>
                  </pic:spPr>
                </pic:pic>
              </a:graphicData>
            </a:graphic>
          </wp:inline>
        </w:drawing>
      </w:r>
      <w:r>
        <w:br w:type="page"/>
      </w:r>
    </w:p>
    <w:tbl>
      <w:tblPr>
        <w:tblOverlap w:val="never"/>
        <w:jc w:val="center"/>
        <w:tblLayout w:type="fixed"/>
      </w:tblPr>
      <w:tblGrid>
        <w:gridCol w:w="1272"/>
        <w:gridCol w:w="1368"/>
        <w:gridCol w:w="269"/>
        <w:gridCol w:w="264"/>
        <w:gridCol w:w="269"/>
        <w:gridCol w:w="1368"/>
        <w:gridCol w:w="1229"/>
        <w:gridCol w:w="264"/>
        <w:gridCol w:w="269"/>
        <w:gridCol w:w="1262"/>
        <w:gridCol w:w="264"/>
        <w:gridCol w:w="1334"/>
        <w:gridCol w:w="269"/>
        <w:gridCol w:w="1526"/>
        <w:gridCol w:w="1267"/>
        <w:gridCol w:w="1560"/>
      </w:tblGrid>
      <w:tr>
        <w:trPr>
          <w:trHeight w:val="106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595,026,076.78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41,653,059.31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-27,032,523.82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1,090,478,148.27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60,121,410.73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1,150,599,559.00</w:t>
            </w:r>
          </w:p>
        </w:tc>
      </w:tr>
    </w:tbl>
    <w:p>
      <w:pPr>
        <w:pStyle w:val="Style25"/>
        <w:keepNext w:val="0"/>
        <w:keepLines w:val="0"/>
        <w:widowControl w:val="0"/>
        <w:shd w:val="clear" w:color="auto" w:fill="auto"/>
        <w:bidi w:val="0"/>
        <w:spacing w:before="0" w:after="0" w:line="240" w:lineRule="auto"/>
        <w:ind w:left="14" w:right="0" w:firstLine="0"/>
        <w:jc w:val="left"/>
        <w:rPr>
          <w:sz w:val="17"/>
          <w:szCs w:val="17"/>
        </w:rPr>
      </w:pPr>
      <w:r>
        <w:rPr>
          <w:color w:val="000000"/>
          <w:spacing w:val="0"/>
          <w:w w:val="100"/>
          <w:position w:val="0"/>
          <w:sz w:val="17"/>
          <w:szCs w:val="17"/>
        </w:rPr>
        <w:t>法定代表人：王永业主管会计工作负责人：卢春明会计机构负责人：黄伟兵</w:t>
      </w:r>
      <w:r>
        <w:br w:type="page"/>
      </w:r>
    </w:p>
    <w:p>
      <w:pPr>
        <w:pStyle w:val="Style32"/>
        <w:keepNext/>
        <w:keepLines/>
        <w:widowControl w:val="0"/>
        <w:shd w:val="clear" w:color="auto" w:fill="auto"/>
        <w:bidi w:val="0"/>
        <w:spacing w:before="0" w:after="4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4"/>
          <w:szCs w:val="24"/>
        </w:rPr>
        <w:t>8</w:t>
      </w:r>
      <w:bookmarkEnd w:id="670"/>
      <w:r>
        <w:rPr>
          <w:color w:val="000000"/>
          <w:spacing w:val="0"/>
          <w:w w:val="100"/>
          <w:position w:val="0"/>
        </w:rPr>
        <w:t>、母公司所有者权益变动表</w:t>
      </w:r>
      <w:bookmarkEnd w:id="668"/>
      <w:bookmarkEnd w:id="669"/>
      <w:bookmarkEnd w:id="671"/>
    </w:p>
    <w:p>
      <w:pPr>
        <w:pStyle w:val="Style1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本期金额</w:t>
      </w:r>
    </w:p>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bl>
      <w:tblPr>
        <w:tblOverlap w:val="never"/>
        <w:jc w:val="center"/>
        <w:tblLayout w:type="fixed"/>
      </w:tblPr>
      <w:tblGrid>
        <w:gridCol w:w="1699"/>
        <w:gridCol w:w="1382"/>
        <w:gridCol w:w="682"/>
        <w:gridCol w:w="682"/>
        <w:gridCol w:w="677"/>
        <w:gridCol w:w="1363"/>
        <w:gridCol w:w="859"/>
        <w:gridCol w:w="859"/>
        <w:gridCol w:w="859"/>
        <w:gridCol w:w="1262"/>
        <w:gridCol w:w="1334"/>
        <w:gridCol w:w="835"/>
        <w:gridCol w:w="1531"/>
      </w:tblGrid>
      <w:tr>
        <w:trPr>
          <w:trHeight w:val="408" w:hRule="exact"/>
        </w:trPr>
        <w:tc>
          <w:tcPr>
            <w:vMerge w:val="restart"/>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-50,384,633.56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1,077,020,702.86</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60"/>
              <w:jc w:val="left"/>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-1,035,262.33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-51,419,895.89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1,075,985,440.53</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41,680,219.09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41,680,219.09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41,680,219.09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41,680,219.09</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1382"/>
        <w:gridCol w:w="682"/>
        <w:gridCol w:w="682"/>
        <w:gridCol w:w="677"/>
        <w:gridCol w:w="1363"/>
        <w:gridCol w:w="859"/>
        <w:gridCol w:w="859"/>
        <w:gridCol w:w="859"/>
        <w:gridCol w:w="1262"/>
        <w:gridCol w:w="1334"/>
        <w:gridCol w:w="835"/>
        <w:gridCol w:w="1560"/>
      </w:tblGrid>
      <w:tr>
        <w:trPr>
          <w:trHeight w:val="1061"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8"/>
        <w:gridCol w:w="1368"/>
        <w:gridCol w:w="682"/>
        <w:gridCol w:w="682"/>
        <w:gridCol w:w="677"/>
        <w:gridCol w:w="1363"/>
        <w:gridCol w:w="859"/>
        <w:gridCol w:w="859"/>
        <w:gridCol w:w="859"/>
        <w:gridCol w:w="1262"/>
        <w:gridCol w:w="1334"/>
        <w:gridCol w:w="835"/>
        <w:gridCol w:w="1560"/>
      </w:tblGrid>
      <w:tr>
        <w:trPr>
          <w:trHeight w:val="43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40,653,059.31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-9,739,676.80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1,117,665,659.62</w:t>
            </w:r>
          </w:p>
        </w:tc>
      </w:tr>
    </w:tbl>
    <w:p>
      <w:pPr>
        <w:widowControl w:val="0"/>
        <w:spacing w:after="15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上期金额</w:t>
      </w:r>
    </w:p>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单位：元</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bl>
      <w:tblPr>
        <w:tblOverlap w:val="never"/>
        <w:jc w:val="center"/>
        <w:tblLayout w:type="fixed"/>
      </w:tblPr>
      <w:tblGrid>
        <w:gridCol w:w="1541"/>
        <w:gridCol w:w="1382"/>
        <w:gridCol w:w="581"/>
        <w:gridCol w:w="581"/>
        <w:gridCol w:w="586"/>
        <w:gridCol w:w="1358"/>
        <w:gridCol w:w="1229"/>
        <w:gridCol w:w="749"/>
        <w:gridCol w:w="888"/>
        <w:gridCol w:w="1267"/>
        <w:gridCol w:w="1421"/>
        <w:gridCol w:w="912"/>
        <w:gridCol w:w="1531"/>
      </w:tblGrid>
      <w:tr>
        <w:trPr>
          <w:trHeight w:val="408" w:hRule="exact"/>
        </w:trPr>
        <w:tc>
          <w:tcPr>
            <w:vMerge w:val="restart"/>
            <w:tcBorders/>
            <w:shd w:val="clear" w:color="auto" w:fill="D3D3D3"/>
            <w:vAlign w:val="top"/>
          </w:tcPr>
          <w:p>
            <w:pPr>
              <w:pStyle w:val="Style21"/>
              <w:keepNext w:val="0"/>
              <w:keepLines w:val="0"/>
              <w:widowControl w:val="0"/>
              <w:shd w:val="clear" w:color="auto" w:fill="auto"/>
              <w:bidi w:val="0"/>
              <w:spacing w:before="24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0"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1,015,455,025.91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860"/>
              <w:jc w:val="both"/>
            </w:pPr>
            <w:r>
              <w:rPr>
                <w:color w:val="000000"/>
                <w:spacing w:val="0"/>
                <w:w w:val="100"/>
                <w:position w:val="0"/>
              </w:rPr>
              <w:t>前期差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482,517,536.00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613,828,081.11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-111,950,310.51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1,015,455,025.91</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61,565,676.95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61,565,676.95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61,565,676.95</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382"/>
        <w:gridCol w:w="581"/>
        <w:gridCol w:w="581"/>
        <w:gridCol w:w="586"/>
        <w:gridCol w:w="1358"/>
        <w:gridCol w:w="1229"/>
        <w:gridCol w:w="749"/>
        <w:gridCol w:w="888"/>
        <w:gridCol w:w="1267"/>
        <w:gridCol w:w="1421"/>
        <w:gridCol w:w="912"/>
        <w:gridCol w:w="1560"/>
      </w:tblGrid>
      <w:tr>
        <w:trPr>
          <w:trHeight w:val="39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（四）所有者权</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378"/>
        <w:gridCol w:w="581"/>
        <w:gridCol w:w="581"/>
        <w:gridCol w:w="586"/>
        <w:gridCol w:w="1358"/>
        <w:gridCol w:w="1229"/>
        <w:gridCol w:w="749"/>
        <w:gridCol w:w="888"/>
        <w:gridCol w:w="1267"/>
        <w:gridCol w:w="1421"/>
        <w:gridCol w:w="912"/>
        <w:gridCol w:w="1560"/>
      </w:tblGrid>
      <w:tr>
        <w:trPr>
          <w:trHeight w:val="43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40,653,059.31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-50,384,633.56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1,077,020,702.86</w:t>
            </w:r>
          </w:p>
        </w:tc>
      </w:tr>
    </w:tbl>
    <w:p>
      <w:pPr>
        <w:pStyle w:val="Style25"/>
        <w:keepNext w:val="0"/>
        <w:keepLines w:val="0"/>
        <w:widowControl w:val="0"/>
        <w:shd w:val="clear" w:color="auto" w:fill="auto"/>
        <w:bidi w:val="0"/>
        <w:spacing w:before="0" w:after="0" w:line="240" w:lineRule="auto"/>
        <w:ind w:left="29" w:right="0" w:firstLine="0"/>
        <w:jc w:val="left"/>
        <w:rPr>
          <w:sz w:val="17"/>
          <w:szCs w:val="17"/>
        </w:rPr>
        <w:sectPr>
          <w:footnotePr>
            <w:pos w:val="pageBottom"/>
            <w:numFmt w:val="decimal"/>
            <w:numRestart w:val="continuous"/>
          </w:footnotePr>
          <w:pgSz w:w="16840" w:h="11900" w:orient="landscape"/>
          <w:pgMar w:top="1098" w:right="1379" w:bottom="1206" w:left="1392" w:header="0" w:footer="3" w:gutter="0"/>
          <w:cols w:space="720"/>
          <w:noEndnote/>
          <w:rtlGutter w:val="0"/>
          <w:docGrid w:linePitch="360"/>
        </w:sectPr>
      </w:pPr>
      <w:r>
        <w:rPr>
          <w:color w:val="000000"/>
          <w:spacing w:val="0"/>
          <w:w w:val="100"/>
          <w:position w:val="0"/>
          <w:sz w:val="17"/>
          <w:szCs w:val="17"/>
        </w:rPr>
        <w:t>法定代表人：王永业主管会计工作负责人：卢春明会计机构负责人：黄伟兵</w:t>
      </w:r>
    </w:p>
    <w:p>
      <w:pPr>
        <w:pStyle w:val="Style29"/>
        <w:keepNext/>
        <w:keepLines/>
        <w:widowControl w:val="0"/>
        <w:shd w:val="clear" w:color="auto" w:fill="auto"/>
        <w:bidi w:val="0"/>
        <w:spacing w:before="0" w:after="280" w:line="441" w:lineRule="exact"/>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三</w:t>
      </w:r>
      <w:bookmarkEnd w:id="674"/>
      <w:r>
        <w:rPr>
          <w:color w:val="000000"/>
          <w:spacing w:val="0"/>
          <w:w w:val="100"/>
          <w:position w:val="0"/>
        </w:rPr>
        <w:t>、公司基本情况</w:t>
      </w:r>
      <w:bookmarkEnd w:id="672"/>
      <w:bookmarkEnd w:id="673"/>
      <w:bookmarkEnd w:id="675"/>
    </w:p>
    <w:p>
      <w:pPr>
        <w:pStyle w:val="Style18"/>
        <w:keepNext w:val="0"/>
        <w:keepLines w:val="0"/>
        <w:widowControl w:val="0"/>
        <w:shd w:val="clear" w:color="auto" w:fill="auto"/>
        <w:bidi w:val="0"/>
        <w:spacing w:before="0" w:after="0" w:line="441" w:lineRule="exact"/>
        <w:ind w:left="0" w:right="0" w:firstLine="500"/>
        <w:jc w:val="both"/>
      </w:pPr>
      <w:r>
        <w:rPr>
          <w:color w:val="000000"/>
          <w:spacing w:val="0"/>
          <w:w w:val="100"/>
          <w:position w:val="0"/>
        </w:rPr>
        <w:t>武汉中元华电科技股份有限公司（以下简称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）是由邓志刚、陈西平等 </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位自然人共同发起设立的股份有限公司，注册地为中华人民共和国湖北省武汉市。公司于 </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 xml:space="preserve">日经湖北省武汉市工商行政管理局批准成立，统一社会信用代码号： </w:t>
      </w:r>
      <w:r>
        <w:rPr>
          <w:rFonts w:ascii="Times New Roman" w:eastAsia="Times New Roman" w:hAnsi="Times New Roman" w:cs="Times New Roman"/>
          <w:color w:val="000000"/>
          <w:spacing w:val="0"/>
          <w:w w:val="100"/>
          <w:position w:val="0"/>
          <w:sz w:val="24"/>
          <w:szCs w:val="24"/>
        </w:rPr>
        <w:t>91420100731084500Y</w:t>
      </w:r>
      <w:r>
        <w:rPr>
          <w:color w:val="000000"/>
          <w:spacing w:val="0"/>
          <w:w w:val="100"/>
          <w:position w:val="0"/>
        </w:rPr>
        <w:t>。</w:t>
      </w:r>
      <w:r>
        <w:rPr>
          <w:color w:val="000000"/>
          <w:spacing w:val="0"/>
          <w:w w:val="100"/>
          <w:position w:val="0"/>
        </w:rPr>
        <w:t xml:space="preserve">本公司总部位于湖北省武汉市东湖新技术开发区华中科技大学园六路 </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号。本公司主要从事电力系统智能化记录分析、时间同步和变电站综合自动化系统相关产 品的研发、制造、销售和服务。本公司主要生产电力故障录波装置、时间同步系统、变电站 综合自动化系统等产品，属输配电及控制设备制造业。</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本公司前身为原武汉中元华电科技有限公司，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日整体改制为武汉中元华 电科技股份有限公司，公司以截至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日经审计确认的净资产</w:t>
      </w:r>
      <w:r>
        <w:rPr>
          <w:rFonts w:ascii="Times New Roman" w:eastAsia="Times New Roman" w:hAnsi="Times New Roman" w:cs="Times New Roman"/>
          <w:color w:val="000000"/>
          <w:spacing w:val="0"/>
          <w:w w:val="100"/>
          <w:position w:val="0"/>
          <w:sz w:val="24"/>
          <w:szCs w:val="24"/>
        </w:rPr>
        <w:t>50,966,314.45</w:t>
      </w:r>
      <w:r>
        <w:rPr>
          <w:color w:val="000000"/>
          <w:spacing w:val="0"/>
          <w:w w:val="100"/>
          <w:position w:val="0"/>
        </w:rPr>
        <w:t>元折 为股本</w:t>
      </w:r>
      <w:r>
        <w:rPr>
          <w:rFonts w:ascii="Times New Roman" w:eastAsia="Times New Roman" w:hAnsi="Times New Roman" w:cs="Times New Roman"/>
          <w:color w:val="000000"/>
          <w:spacing w:val="0"/>
          <w:w w:val="100"/>
          <w:position w:val="0"/>
          <w:sz w:val="24"/>
          <w:szCs w:val="24"/>
        </w:rPr>
        <w:t>4,500.00</w:t>
      </w:r>
      <w:r>
        <w:rPr>
          <w:color w:val="000000"/>
          <w:spacing w:val="0"/>
          <w:w w:val="100"/>
          <w:position w:val="0"/>
        </w:rPr>
        <w:t>万股，剩余部分列入资本公积金。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日中国</w:t>
      </w:r>
      <w:r>
        <w:rPr>
          <w:color w:val="000000"/>
          <w:spacing w:val="0"/>
          <w:w w:val="100"/>
          <w:position w:val="0"/>
          <w:sz w:val="24"/>
          <w:szCs w:val="24"/>
        </w:rPr>
        <w:t>一</w:t>
      </w:r>
      <w:r>
        <w:rPr>
          <w:color w:val="000000"/>
          <w:spacing w:val="0"/>
          <w:w w:val="100"/>
          <w:position w:val="0"/>
        </w:rPr>
        <w:t>比利时直接股权 投资基金（下称中比基金）以货币资金出资</w:t>
      </w:r>
      <w:r>
        <w:rPr>
          <w:rFonts w:ascii="Times New Roman" w:eastAsia="Times New Roman" w:hAnsi="Times New Roman" w:cs="Times New Roman"/>
          <w:color w:val="000000"/>
          <w:spacing w:val="0"/>
          <w:w w:val="100"/>
          <w:position w:val="0"/>
          <w:sz w:val="24"/>
          <w:szCs w:val="24"/>
        </w:rPr>
        <w:t>2,362.50</w:t>
      </w:r>
      <w:r>
        <w:rPr>
          <w:color w:val="000000"/>
          <w:spacing w:val="0"/>
          <w:w w:val="100"/>
          <w:position w:val="0"/>
        </w:rPr>
        <w:t>万元，增加股本</w:t>
      </w:r>
      <w:r>
        <w:rPr>
          <w:rFonts w:ascii="Times New Roman" w:eastAsia="Times New Roman" w:hAnsi="Times New Roman" w:cs="Times New Roman"/>
          <w:color w:val="000000"/>
          <w:spacing w:val="0"/>
          <w:w w:val="100"/>
          <w:position w:val="0"/>
          <w:sz w:val="24"/>
          <w:szCs w:val="24"/>
        </w:rPr>
        <w:t>365.00</w:t>
      </w:r>
      <w:r>
        <w:rPr>
          <w:color w:val="000000"/>
          <w:spacing w:val="0"/>
          <w:w w:val="100"/>
          <w:position w:val="0"/>
        </w:rPr>
        <w:t>万元，增加资本 公积金</w:t>
      </w:r>
      <w:r>
        <w:rPr>
          <w:rFonts w:ascii="Times New Roman" w:eastAsia="Times New Roman" w:hAnsi="Times New Roman" w:cs="Times New Roman"/>
          <w:color w:val="000000"/>
          <w:spacing w:val="0"/>
          <w:w w:val="100"/>
          <w:position w:val="0"/>
          <w:sz w:val="24"/>
          <w:szCs w:val="24"/>
        </w:rPr>
        <w:t>1,997.50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证监许可</w:t>
      </w:r>
      <w:r>
        <w:rPr>
          <w:rFonts w:ascii="Times New Roman" w:eastAsia="Times New Roman" w:hAnsi="Times New Roman" w:cs="Times New Roman"/>
          <w:color w:val="000000"/>
          <w:spacing w:val="0"/>
          <w:w w:val="100"/>
          <w:position w:val="0"/>
          <w:sz w:val="24"/>
          <w:szCs w:val="24"/>
        </w:rPr>
        <w:t>[2009]1011</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 xml:space="preserve">日向社会发行人民币普通股股票 </w:t>
      </w:r>
      <w:r>
        <w:rPr>
          <w:rFonts w:ascii="Times New Roman" w:eastAsia="Times New Roman" w:hAnsi="Times New Roman" w:cs="Times New Roman"/>
          <w:color w:val="000000"/>
          <w:spacing w:val="0"/>
          <w:w w:val="100"/>
          <w:position w:val="0"/>
          <w:sz w:val="24"/>
          <w:szCs w:val="24"/>
        </w:rPr>
        <w:t>1,635.00</w:t>
      </w:r>
      <w:r>
        <w:rPr>
          <w:color w:val="000000"/>
          <w:spacing w:val="0"/>
          <w:w w:val="100"/>
          <w:position w:val="0"/>
        </w:rPr>
        <w:t>万股，收到社会公众股股东认缴的投入资金</w:t>
      </w:r>
      <w:r>
        <w:rPr>
          <w:rFonts w:ascii="Times New Roman" w:eastAsia="Times New Roman" w:hAnsi="Times New Roman" w:cs="Times New Roman"/>
          <w:color w:val="000000"/>
          <w:spacing w:val="0"/>
          <w:w w:val="100"/>
          <w:position w:val="0"/>
          <w:sz w:val="24"/>
          <w:szCs w:val="24"/>
        </w:rPr>
        <w:t>49,683.59</w:t>
      </w:r>
      <w:r>
        <w:rPr>
          <w:color w:val="000000"/>
          <w:spacing w:val="0"/>
          <w:w w:val="100"/>
          <w:position w:val="0"/>
        </w:rPr>
        <w:t>万元，扣除发行费用后，募集 资金净额为</w:t>
      </w:r>
      <w:r>
        <w:rPr>
          <w:rFonts w:ascii="Times New Roman" w:eastAsia="Times New Roman" w:hAnsi="Times New Roman" w:cs="Times New Roman"/>
          <w:color w:val="000000"/>
          <w:spacing w:val="0"/>
          <w:w w:val="100"/>
          <w:position w:val="0"/>
          <w:sz w:val="24"/>
          <w:szCs w:val="24"/>
        </w:rPr>
        <w:t>48,917.81</w:t>
      </w:r>
      <w:r>
        <w:rPr>
          <w:color w:val="000000"/>
          <w:spacing w:val="0"/>
          <w:w w:val="100"/>
          <w:position w:val="0"/>
        </w:rPr>
        <w:t>万元，其中增加股本</w:t>
      </w:r>
      <w:r>
        <w:rPr>
          <w:rFonts w:ascii="Times New Roman" w:eastAsia="Times New Roman" w:hAnsi="Times New Roman" w:cs="Times New Roman"/>
          <w:color w:val="000000"/>
          <w:spacing w:val="0"/>
          <w:w w:val="100"/>
          <w:position w:val="0"/>
          <w:sz w:val="24"/>
          <w:szCs w:val="24"/>
        </w:rPr>
        <w:t>1,635.00</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24"/>
          <w:szCs w:val="24"/>
        </w:rPr>
        <w:t>47,282.81</w:t>
      </w:r>
      <w:r>
        <w:rPr>
          <w:color w:val="000000"/>
          <w:spacing w:val="0"/>
          <w:w w:val="100"/>
          <w:position w:val="0"/>
        </w:rPr>
        <w:t>万元。根 据公司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年度股东大会会议决议和修改后的章程规定，公司申请增加注册资本人民币 </w:t>
      </w:r>
      <w:r>
        <w:rPr>
          <w:rFonts w:ascii="Times New Roman" w:eastAsia="Times New Roman" w:hAnsi="Times New Roman" w:cs="Times New Roman"/>
          <w:color w:val="000000"/>
          <w:spacing w:val="0"/>
          <w:w w:val="100"/>
          <w:position w:val="0"/>
          <w:sz w:val="24"/>
          <w:szCs w:val="24"/>
        </w:rPr>
        <w:t>6,500.00</w:t>
      </w:r>
      <w:r>
        <w:rPr>
          <w:color w:val="000000"/>
          <w:spacing w:val="0"/>
          <w:w w:val="100"/>
          <w:position w:val="0"/>
        </w:rPr>
        <w:t>万元，由资本公积转增股本，转增基准日期为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日，变更后注册资本 为人民币</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万元，至此本公司股本增加至</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万股。</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rPr>
        <w:t xml:space="preserve">万股，并于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年度实施。转增后，注册资本增至人民币</w:t>
      </w:r>
      <w:r>
        <w:rPr>
          <w:rFonts w:ascii="Times New Roman" w:eastAsia="Times New Roman" w:hAnsi="Times New Roman" w:cs="Times New Roman"/>
          <w:color w:val="000000"/>
          <w:spacing w:val="0"/>
          <w:w w:val="100"/>
          <w:position w:val="0"/>
          <w:sz w:val="24"/>
          <w:szCs w:val="24"/>
        </w:rPr>
        <w:t>19,500.00</w:t>
      </w:r>
      <w:r>
        <w:rPr>
          <w:color w:val="000000"/>
          <w:spacing w:val="0"/>
          <w:w w:val="100"/>
          <w:position w:val="0"/>
        </w:rPr>
        <w:t>万元。</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 xml:space="preserve">年第一次临时股东大会决议及中国证券监督管理委员会证监许可 </w:t>
      </w:r>
      <w:r>
        <w:rPr>
          <w:rFonts w:ascii="Times New Roman" w:eastAsia="Times New Roman" w:hAnsi="Times New Roman" w:cs="Times New Roman"/>
          <w:color w:val="000000"/>
          <w:spacing w:val="0"/>
          <w:w w:val="100"/>
          <w:position w:val="0"/>
          <w:sz w:val="24"/>
          <w:szCs w:val="24"/>
        </w:rPr>
        <w:t>[2015]2108</w:t>
      </w:r>
      <w:r>
        <w:rPr>
          <w:color w:val="000000"/>
          <w:spacing w:val="0"/>
          <w:w w:val="100"/>
          <w:position w:val="0"/>
        </w:rPr>
        <w:t>号文《关于核准武汉中元华电科技股份有限公司向徐福轩等发行股份购买资产的 批复》，核准本公司向徐福轩等合计发行</w:t>
      </w:r>
      <w:r>
        <w:rPr>
          <w:rFonts w:ascii="Times New Roman" w:eastAsia="Times New Roman" w:hAnsi="Times New Roman" w:cs="Times New Roman"/>
          <w:color w:val="000000"/>
          <w:spacing w:val="0"/>
          <w:w w:val="100"/>
          <w:position w:val="0"/>
          <w:sz w:val="24"/>
          <w:szCs w:val="24"/>
        </w:rPr>
        <w:t>45,415,768</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元，每股发行价格 为人民币 </w:t>
      </w:r>
      <w:r>
        <w:rPr>
          <w:rFonts w:ascii="Times New Roman" w:eastAsia="Times New Roman" w:hAnsi="Times New Roman" w:cs="Times New Roman"/>
          <w:color w:val="000000"/>
          <w:spacing w:val="0"/>
          <w:w w:val="100"/>
          <w:position w:val="0"/>
          <w:sz w:val="24"/>
          <w:szCs w:val="24"/>
        </w:rPr>
        <w:t xml:space="preserve">11.67 </w:t>
      </w:r>
      <w:r>
        <w:rPr>
          <w:color w:val="000000"/>
          <w:spacing w:val="0"/>
          <w:w w:val="100"/>
          <w:position w:val="0"/>
        </w:rPr>
        <w:t xml:space="preserve">元，合计 </w:t>
      </w:r>
      <w:r>
        <w:rPr>
          <w:rFonts w:ascii="Times New Roman" w:eastAsia="Times New Roman" w:hAnsi="Times New Roman" w:cs="Times New Roman"/>
          <w:color w:val="000000"/>
          <w:spacing w:val="0"/>
          <w:w w:val="100"/>
          <w:position w:val="0"/>
          <w:sz w:val="24"/>
          <w:szCs w:val="24"/>
        </w:rPr>
        <w:t xml:space="preserve">530,002,195.20 </w:t>
      </w:r>
      <w:r>
        <w:rPr>
          <w:color w:val="000000"/>
          <w:spacing w:val="0"/>
          <w:w w:val="100"/>
          <w:position w:val="0"/>
        </w:rPr>
        <w:t xml:space="preserve">元，扣除发行费用后，募集资金净额为人民币 </w:t>
      </w:r>
      <w:r>
        <w:rPr>
          <w:rFonts w:ascii="Times New Roman" w:eastAsia="Times New Roman" w:hAnsi="Times New Roman" w:cs="Times New Roman"/>
          <w:color w:val="000000"/>
          <w:spacing w:val="0"/>
          <w:w w:val="100"/>
          <w:position w:val="0"/>
          <w:sz w:val="24"/>
          <w:szCs w:val="24"/>
        </w:rPr>
        <w:t>517,002,195.20</w:t>
      </w:r>
      <w:r>
        <w:rPr>
          <w:color w:val="000000"/>
          <w:spacing w:val="0"/>
          <w:w w:val="100"/>
          <w:position w:val="0"/>
        </w:rPr>
        <w:t>元，其中转入股本人民币</w:t>
      </w:r>
      <w:r>
        <w:rPr>
          <w:rFonts w:ascii="Times New Roman" w:eastAsia="Times New Roman" w:hAnsi="Times New Roman" w:cs="Times New Roman"/>
          <w:color w:val="000000"/>
          <w:spacing w:val="0"/>
          <w:w w:val="100"/>
          <w:position w:val="0"/>
          <w:sz w:val="24"/>
          <w:szCs w:val="24"/>
        </w:rPr>
        <w:t>45,415,768.00</w:t>
      </w:r>
      <w:r>
        <w:rPr>
          <w:color w:val="000000"/>
          <w:spacing w:val="0"/>
          <w:w w:val="100"/>
          <w:position w:val="0"/>
        </w:rPr>
        <w:t>元，余额人民币</w:t>
      </w:r>
      <w:r>
        <w:rPr>
          <w:rFonts w:ascii="Times New Roman" w:eastAsia="Times New Roman" w:hAnsi="Times New Roman" w:cs="Times New Roman"/>
          <w:color w:val="000000"/>
          <w:spacing w:val="0"/>
          <w:w w:val="100"/>
          <w:position w:val="0"/>
          <w:sz w:val="24"/>
          <w:szCs w:val="24"/>
        </w:rPr>
        <w:t>471,586,427.20</w:t>
      </w:r>
      <w:r>
        <w:rPr>
          <w:color w:val="000000"/>
          <w:spacing w:val="0"/>
          <w:w w:val="100"/>
          <w:position w:val="0"/>
        </w:rPr>
        <w:t>元转入 资本公积。</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年度股东大会审议通过的公司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年年度权 益分派方案，以公司现有总股本</w:t>
      </w:r>
      <w:r>
        <w:rPr>
          <w:rFonts w:ascii="Times New Roman" w:eastAsia="Times New Roman" w:hAnsi="Times New Roman" w:cs="Times New Roman"/>
          <w:color w:val="000000"/>
          <w:spacing w:val="0"/>
          <w:w w:val="100"/>
          <w:position w:val="0"/>
          <w:sz w:val="24"/>
          <w:szCs w:val="24"/>
        </w:rPr>
        <w:t>240,415,768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元人民币， </w:t>
      </w:r>
      <w:r>
        <w:rPr>
          <w:color w:val="000000"/>
          <w:spacing w:val="0"/>
          <w:w w:val="100"/>
          <w:position w:val="0"/>
        </w:rPr>
        <w:t>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股。转增后，注册资本增至人民币 </w:t>
      </w:r>
      <w:r>
        <w:rPr>
          <w:rFonts w:ascii="Times New Roman" w:eastAsia="Times New Roman" w:hAnsi="Times New Roman" w:cs="Times New Roman"/>
          <w:color w:val="000000"/>
          <w:spacing w:val="0"/>
          <w:w w:val="100"/>
          <w:position w:val="0"/>
          <w:sz w:val="24"/>
          <w:szCs w:val="24"/>
        </w:rPr>
        <w:t xml:space="preserve">480,831,536.00 </w:t>
      </w:r>
      <w:r>
        <w:rPr>
          <w:color w:val="000000"/>
          <w:spacing w:val="0"/>
          <w:w w:val="100"/>
          <w:position w:val="0"/>
        </w:rPr>
        <w:t>元。</w:t>
      </w:r>
    </w:p>
    <w:p>
      <w:pPr>
        <w:pStyle w:val="Style18"/>
        <w:keepNext w:val="0"/>
        <w:keepLines w:val="0"/>
        <w:widowControl w:val="0"/>
        <w:shd w:val="clear" w:color="auto" w:fill="auto"/>
        <w:bidi w:val="0"/>
        <w:spacing w:before="0" w:after="0" w:line="441"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年第一次临时股东大会，审议通过了《武汉中 元华电科技股份有限公司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年限制性股票激励计划（草案）及其摘要的议案》，根据股东 大会的授权，本公司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日第三届董事会第二十次（临时）会议决议公告确定</w:t>
      </w:r>
      <w:r>
        <w:rPr>
          <w:rFonts w:ascii="Times New Roman" w:eastAsia="Times New Roman" w:hAnsi="Times New Roman" w:cs="Times New Roman"/>
          <w:color w:val="000000"/>
          <w:spacing w:val="0"/>
          <w:w w:val="100"/>
          <w:position w:val="0"/>
          <w:sz w:val="24"/>
          <w:szCs w:val="24"/>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年限制性股票激励计划的首次授予日，向</w:t>
      </w:r>
      <w:r>
        <w:rPr>
          <w:rFonts w:ascii="Times New Roman" w:eastAsia="Times New Roman" w:hAnsi="Times New Roman" w:cs="Times New Roman"/>
          <w:color w:val="000000"/>
          <w:spacing w:val="0"/>
          <w:w w:val="100"/>
          <w:position w:val="0"/>
          <w:sz w:val="24"/>
          <w:szCs w:val="24"/>
        </w:rPr>
        <w:t>174</w:t>
      </w:r>
      <w:r>
        <w:rPr>
          <w:color w:val="000000"/>
          <w:spacing w:val="0"/>
          <w:w w:val="100"/>
          <w:position w:val="0"/>
        </w:rPr>
        <w:t>名激励对象授予限制性股 票</w:t>
      </w:r>
      <w:r>
        <w:rPr>
          <w:rFonts w:ascii="Times New Roman" w:eastAsia="Times New Roman" w:hAnsi="Times New Roman" w:cs="Times New Roman"/>
          <w:color w:val="000000"/>
          <w:spacing w:val="0"/>
          <w:w w:val="100"/>
          <w:position w:val="0"/>
          <w:sz w:val="24"/>
          <w:szCs w:val="24"/>
        </w:rPr>
        <w:t>628.50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24"/>
          <w:szCs w:val="24"/>
        </w:rPr>
        <w:t>5.69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股。授予股份的上市日期为</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日，注册资 本增至人民币</w:t>
      </w:r>
      <w:r>
        <w:rPr>
          <w:rFonts w:ascii="Times New Roman" w:eastAsia="Times New Roman" w:hAnsi="Times New Roman" w:cs="Times New Roman"/>
          <w:color w:val="000000"/>
          <w:spacing w:val="0"/>
          <w:w w:val="100"/>
          <w:position w:val="0"/>
          <w:sz w:val="24"/>
          <w:szCs w:val="24"/>
        </w:rPr>
        <w:t>487,116,536.00</w:t>
      </w:r>
      <w:r>
        <w:rPr>
          <w:color w:val="000000"/>
          <w:spacing w:val="0"/>
          <w:w w:val="100"/>
          <w:position w:val="0"/>
        </w:rPr>
        <w:t>元。</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年年度股东大会决议公告，特别决议审议通过 《关于减少注册资本并修订公司章程的议案》，根据股东大会授权，本公司回购注销限制性股 票共</w:t>
      </w:r>
      <w:r>
        <w:rPr>
          <w:rFonts w:ascii="Times New Roman" w:eastAsia="Times New Roman" w:hAnsi="Times New Roman" w:cs="Times New Roman"/>
          <w:color w:val="000000"/>
          <w:spacing w:val="0"/>
          <w:w w:val="100"/>
          <w:position w:val="0"/>
          <w:sz w:val="24"/>
          <w:szCs w:val="24"/>
        </w:rPr>
        <w:t>265.80</w:t>
      </w:r>
      <w:r>
        <w:rPr>
          <w:color w:val="000000"/>
          <w:spacing w:val="0"/>
          <w:w w:val="100"/>
          <w:position w:val="0"/>
        </w:rPr>
        <w:t>万股。公司于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日在中国证券登记结算有限责任公司深圳分公司完 成了回购注销手续，本次回购注销完成后，注册资本减少为</w:t>
      </w:r>
      <w:r>
        <w:rPr>
          <w:rFonts w:ascii="Times New Roman" w:eastAsia="Times New Roman" w:hAnsi="Times New Roman" w:cs="Times New Roman"/>
          <w:color w:val="000000"/>
          <w:spacing w:val="0"/>
          <w:w w:val="100"/>
          <w:position w:val="0"/>
          <w:sz w:val="24"/>
          <w:szCs w:val="24"/>
        </w:rPr>
        <w:t>484,458,536.00</w:t>
      </w:r>
      <w:r>
        <w:rPr>
          <w:color w:val="000000"/>
          <w:spacing w:val="0"/>
          <w:w w:val="100"/>
          <w:position w:val="0"/>
        </w:rPr>
        <w:t>元。</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年年度股东大会决议公告，特别决议审议通过 《关于减少注册资本的议案》以及《关于修改《公司章程》及相关制度的议案》，根据股东大 会授权，本公司回购注销限制性股票共</w:t>
      </w:r>
      <w:r>
        <w:rPr>
          <w:rFonts w:ascii="Times New Roman" w:eastAsia="Times New Roman" w:hAnsi="Times New Roman" w:cs="Times New Roman"/>
          <w:color w:val="000000"/>
          <w:spacing w:val="0"/>
          <w:w w:val="100"/>
          <w:position w:val="0"/>
          <w:sz w:val="24"/>
          <w:szCs w:val="24"/>
        </w:rPr>
        <w:t>194.10</w:t>
      </w:r>
      <w:r>
        <w:rPr>
          <w:color w:val="000000"/>
          <w:spacing w:val="0"/>
          <w:w w:val="100"/>
          <w:position w:val="0"/>
        </w:rPr>
        <w:t>万股。公司于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日在中国证券登 记结算有限责任公司深圳分公司完成了回购注销手续，本次回购注销完成后，注册资本减少 为 </w:t>
      </w:r>
      <w:r>
        <w:rPr>
          <w:rFonts w:ascii="Times New Roman" w:eastAsia="Times New Roman" w:hAnsi="Times New Roman" w:cs="Times New Roman"/>
          <w:color w:val="000000"/>
          <w:spacing w:val="0"/>
          <w:w w:val="100"/>
          <w:position w:val="0"/>
          <w:sz w:val="24"/>
          <w:szCs w:val="24"/>
        </w:rPr>
        <w:t xml:space="preserve">482,517,536 </w:t>
      </w:r>
      <w:r>
        <w:rPr>
          <w:color w:val="000000"/>
          <w:spacing w:val="0"/>
          <w:w w:val="100"/>
          <w:position w:val="0"/>
        </w:rPr>
        <w:t>股。</w:t>
      </w:r>
    </w:p>
    <w:p>
      <w:pPr>
        <w:pStyle w:val="Style18"/>
        <w:keepNext w:val="0"/>
        <w:keepLines w:val="0"/>
        <w:widowControl w:val="0"/>
        <w:shd w:val="clear" w:color="auto" w:fill="auto"/>
        <w:bidi w:val="0"/>
        <w:spacing w:before="0" w:after="0" w:line="440"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日，公司第四届董事第十九次（临时）会议审议通过了《关于回购注销 部分已授予但尚未解锁的限制性股票的议案》</w:t>
      </w:r>
      <w:r>
        <w:rPr>
          <w:color w:val="000000"/>
          <w:spacing w:val="0"/>
          <w:w w:val="100"/>
          <w:position w:val="0"/>
          <w:sz w:val="24"/>
          <w:szCs w:val="24"/>
        </w:rPr>
        <w:t>，</w:t>
      </w:r>
      <w:r>
        <w:rPr>
          <w:color w:val="000000"/>
          <w:spacing w:val="0"/>
          <w:w w:val="100"/>
          <w:position w:val="0"/>
        </w:rPr>
        <w:t>本公司回购注销限制性股票共</w:t>
      </w:r>
      <w:r>
        <w:rPr>
          <w:rFonts w:ascii="Times New Roman" w:eastAsia="Times New Roman" w:hAnsi="Times New Roman" w:cs="Times New Roman"/>
          <w:color w:val="000000"/>
          <w:spacing w:val="0"/>
          <w:w w:val="100"/>
          <w:position w:val="0"/>
          <w:sz w:val="24"/>
          <w:szCs w:val="24"/>
        </w:rPr>
        <w:t>168.60</w:t>
      </w:r>
      <w:r>
        <w:rPr>
          <w:color w:val="000000"/>
          <w:spacing w:val="0"/>
          <w:w w:val="100"/>
          <w:position w:val="0"/>
        </w:rPr>
        <w:t>万股。公 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日在中国证券登记结算有限责任公司深圳分公司完成了回购注销手续， 本次回购注销完成后，注册资本减少为</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w:t>
      </w:r>
    </w:p>
    <w:p>
      <w:pPr>
        <w:pStyle w:val="Style18"/>
        <w:keepNext w:val="0"/>
        <w:keepLines w:val="0"/>
        <w:widowControl w:val="0"/>
        <w:shd w:val="clear" w:color="auto" w:fill="auto"/>
        <w:bidi w:val="0"/>
        <w:spacing w:before="0" w:after="0" w:line="451"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4"/>
          <w:szCs w:val="24"/>
        </w:rPr>
        <w:t>480,831,536</w:t>
      </w:r>
      <w:r>
        <w:rPr>
          <w:color w:val="000000"/>
          <w:spacing w:val="0"/>
          <w:w w:val="100"/>
          <w:position w:val="0"/>
        </w:rPr>
        <w:t>股，详见附注七、</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股 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。一致行动人合计持有本公司股份</w:t>
      </w:r>
      <w:r>
        <w:rPr>
          <w:rFonts w:ascii="Times New Roman" w:eastAsia="Times New Roman" w:hAnsi="Times New Roman" w:cs="Times New Roman"/>
          <w:color w:val="000000"/>
          <w:spacing w:val="0"/>
          <w:w w:val="100"/>
          <w:position w:val="0"/>
          <w:sz w:val="24"/>
          <w:szCs w:val="24"/>
        </w:rPr>
        <w:t>116,545,897</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24"/>
          <w:szCs w:val="24"/>
        </w:rPr>
        <w:t>24.24%</w:t>
      </w:r>
      <w:r>
        <w:rPr>
          <w:color w:val="000000"/>
          <w:spacing w:val="0"/>
          <w:w w:val="100"/>
          <w:position w:val="0"/>
        </w:rPr>
        <w:t>，为公司实际 控制人。</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本公司经营范围为：计算机软、硬件、自动化、电力、电子设备与器件、电力作业机器 人及系统、通讯、办公设备的开发、研制、生产、销售及技术服务；信息系统集成及服务； 一、二、三类医疗器械的开发、研制、生产、批发兼零售及技术服务；医疗信息化领域的技 术开发、技术服务、技术咨询；医疗投资；健康管理；养老服务；医院管理服务（不含诊疗）； 自有房屋租赁；物业管理；自营和代理各类产品和技术的进出口业务（国家禁止经营或禁止 进出口的产品和技术除外）。（涉及许可经营项目，应取得相关部门许可后方可经营）</w:t>
      </w:r>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本公司合并财务报表范围包括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家一级子公司、</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 xml:space="preserve">家二级子公司。与上年相比，本年因 </w:t>
      </w:r>
      <w:r>
        <w:rPr>
          <w:color w:val="000000"/>
          <w:spacing w:val="0"/>
          <w:w w:val="100"/>
          <w:position w:val="0"/>
        </w:rPr>
        <w:t>处置减少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家一级子公司，因注销减少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家二级子公司。</w:t>
      </w:r>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八、合并范围的变化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相关内容。</w:t>
      </w:r>
    </w:p>
    <w:p>
      <w:pPr>
        <w:pStyle w:val="Style29"/>
        <w:keepNext/>
        <w:keepLines/>
        <w:widowControl w:val="0"/>
        <w:shd w:val="clear" w:color="auto" w:fill="auto"/>
        <w:tabs>
          <w:tab w:pos="498" w:val="left"/>
        </w:tabs>
        <w:bidi w:val="0"/>
        <w:spacing w:before="0" w:after="180" w:line="442" w:lineRule="exact"/>
        <w:ind w:left="0" w:right="0" w:firstLine="0"/>
        <w:jc w:val="both"/>
      </w:pPr>
      <w:bookmarkStart w:id="676" w:name="bookmark676"/>
      <w:bookmarkStart w:id="677" w:name="bookmark677"/>
      <w:bookmarkStart w:id="678" w:name="bookmark678"/>
      <w:bookmarkStart w:id="679" w:name="bookmark679"/>
      <w:r>
        <w:rPr>
          <w:color w:val="000000"/>
          <w:spacing w:val="0"/>
          <w:w w:val="100"/>
          <w:position w:val="0"/>
        </w:rPr>
        <w:t>四</w:t>
      </w:r>
      <w:bookmarkEnd w:id="678"/>
      <w:r>
        <w:rPr>
          <w:color w:val="000000"/>
          <w:spacing w:val="0"/>
          <w:w w:val="100"/>
          <w:position w:val="0"/>
        </w:rPr>
        <w:t>、</w:t>
        <w:tab/>
        <w:t>财务报表的编制基础</w:t>
      </w:r>
      <w:bookmarkEnd w:id="676"/>
      <w:bookmarkEnd w:id="677"/>
      <w:bookmarkEnd w:id="679"/>
    </w:p>
    <w:p>
      <w:pPr>
        <w:pStyle w:val="Style32"/>
        <w:keepNext/>
        <w:keepLines/>
        <w:widowControl w:val="0"/>
        <w:shd w:val="clear" w:color="auto" w:fill="auto"/>
        <w:tabs>
          <w:tab w:pos="388" w:val="left"/>
        </w:tabs>
        <w:bidi w:val="0"/>
        <w:spacing w:before="0" w:line="442" w:lineRule="exact"/>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sz w:val="24"/>
          <w:szCs w:val="24"/>
        </w:rPr>
        <w:t>1</w:t>
      </w:r>
      <w:bookmarkEnd w:id="682"/>
      <w:r>
        <w:rPr>
          <w:color w:val="000000"/>
          <w:spacing w:val="0"/>
          <w:w w:val="100"/>
          <w:position w:val="0"/>
        </w:rPr>
        <w:t>、</w:t>
        <w:tab/>
        <w:t>编制基础</w:t>
      </w:r>
      <w:bookmarkEnd w:id="680"/>
      <w:bookmarkEnd w:id="681"/>
      <w:bookmarkEnd w:id="683"/>
    </w:p>
    <w:p>
      <w:pPr>
        <w:pStyle w:val="Style18"/>
        <w:keepNext w:val="0"/>
        <w:keepLines w:val="0"/>
        <w:widowControl w:val="0"/>
        <w:shd w:val="clear" w:color="auto" w:fill="auto"/>
        <w:bidi w:val="0"/>
        <w:spacing w:before="0" w:after="180" w:line="444" w:lineRule="exact"/>
        <w:ind w:left="0" w:right="0" w:firstLine="500"/>
        <w:jc w:val="both"/>
      </w:pPr>
      <w:r>
        <w:rPr>
          <w:color w:val="000000"/>
          <w:spacing w:val="0"/>
          <w:w w:val="100"/>
          <w:position w:val="0"/>
        </w:rPr>
        <w:t>本公司财务报表以持续经营为基础，根据实际发生的交易和事项，按照财政部颁布的《企 业会计准则》及相关规定，并基于本附注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所述会计政策和会 计估计编制。</w:t>
      </w:r>
    </w:p>
    <w:p>
      <w:pPr>
        <w:pStyle w:val="Style32"/>
        <w:keepNext/>
        <w:keepLines/>
        <w:widowControl w:val="0"/>
        <w:shd w:val="clear" w:color="auto" w:fill="auto"/>
        <w:tabs>
          <w:tab w:pos="402" w:val="left"/>
        </w:tabs>
        <w:bidi w:val="0"/>
        <w:spacing w:before="0" w:line="442" w:lineRule="exact"/>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2</w:t>
      </w:r>
      <w:bookmarkEnd w:id="686"/>
      <w:r>
        <w:rPr>
          <w:color w:val="000000"/>
          <w:spacing w:val="0"/>
          <w:w w:val="100"/>
          <w:position w:val="0"/>
        </w:rPr>
        <w:t>、</w:t>
        <w:tab/>
        <w:t>持续经营</w:t>
      </w:r>
      <w:bookmarkEnd w:id="684"/>
      <w:bookmarkEnd w:id="685"/>
      <w:bookmarkEnd w:id="687"/>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本公司董事会相信本公司拥有充足的营运资金，将能自本财务报表批准日后不短于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 月的可预见未来期间内持续经营，无影响持续经营能力的重大事项。</w:t>
      </w:r>
    </w:p>
    <w:p>
      <w:pPr>
        <w:pStyle w:val="Style18"/>
        <w:keepNext w:val="0"/>
        <w:keepLines w:val="0"/>
        <w:widowControl w:val="0"/>
        <w:shd w:val="clear" w:color="auto" w:fill="auto"/>
        <w:bidi w:val="0"/>
        <w:spacing w:before="0" w:after="180" w:line="446" w:lineRule="exact"/>
        <w:ind w:left="0" w:right="0" w:firstLine="500"/>
        <w:jc w:val="both"/>
      </w:pPr>
      <w:r>
        <w:rPr>
          <w:color w:val="000000"/>
          <w:spacing w:val="0"/>
          <w:w w:val="100"/>
          <w:position w:val="0"/>
        </w:rPr>
        <w:t>本公司近期有获利经营的历史且有财务资源支持，认为以持续经营为基础编制财务报表 是合理的。</w:t>
      </w:r>
    </w:p>
    <w:p>
      <w:pPr>
        <w:pStyle w:val="Style29"/>
        <w:keepNext/>
        <w:keepLines/>
        <w:widowControl w:val="0"/>
        <w:shd w:val="clear" w:color="auto" w:fill="auto"/>
        <w:tabs>
          <w:tab w:pos="517" w:val="left"/>
        </w:tabs>
        <w:bidi w:val="0"/>
        <w:spacing w:before="0" w:after="260" w:line="442"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五</w:t>
      </w:r>
      <w:bookmarkEnd w:id="690"/>
      <w:r>
        <w:rPr>
          <w:color w:val="000000"/>
          <w:spacing w:val="0"/>
          <w:w w:val="100"/>
          <w:position w:val="0"/>
        </w:rPr>
        <w:t>、</w:t>
        <w:tab/>
        <w:t>重要会计政策及会计估计</w:t>
      </w:r>
      <w:bookmarkEnd w:id="688"/>
      <w:bookmarkEnd w:id="689"/>
      <w:bookmarkEnd w:id="691"/>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180" w:line="437" w:lineRule="exact"/>
        <w:ind w:left="0" w:right="0" w:firstLine="500"/>
        <w:jc w:val="both"/>
      </w:pPr>
      <w:r>
        <w:rPr>
          <w:color w:val="000000"/>
          <w:spacing w:val="0"/>
          <w:w w:val="100"/>
          <w:position w:val="0"/>
        </w:rPr>
        <w:t>具体会计政策和会计估计提示：本公司根据实际生产经营特点制定的具体会计政策和会 计估计包括营业周期、应收款项坏账准备的确认和计量、发出存货计量、固定资产分类及折 旧方法、无形资产摊销、研发费用资本化条件、收入确认和计量等。</w:t>
      </w:r>
    </w:p>
    <w:p>
      <w:pPr>
        <w:pStyle w:val="Style32"/>
        <w:keepNext/>
        <w:keepLines/>
        <w:widowControl w:val="0"/>
        <w:shd w:val="clear" w:color="auto" w:fill="auto"/>
        <w:tabs>
          <w:tab w:pos="388" w:val="left"/>
        </w:tabs>
        <w:bidi w:val="0"/>
        <w:spacing w:before="0" w:line="442" w:lineRule="exact"/>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sz w:val="24"/>
          <w:szCs w:val="24"/>
        </w:rPr>
        <w:t>1</w:t>
      </w:r>
      <w:bookmarkEnd w:id="694"/>
      <w:r>
        <w:rPr>
          <w:color w:val="000000"/>
          <w:spacing w:val="0"/>
          <w:w w:val="100"/>
          <w:position w:val="0"/>
        </w:rPr>
        <w:t>、</w:t>
        <w:tab/>
        <w:t>遵循企业会计准则的声明</w:t>
      </w:r>
      <w:bookmarkEnd w:id="692"/>
      <w:bookmarkEnd w:id="693"/>
      <w:bookmarkEnd w:id="695"/>
    </w:p>
    <w:p>
      <w:pPr>
        <w:pStyle w:val="Style18"/>
        <w:keepNext w:val="0"/>
        <w:keepLines w:val="0"/>
        <w:widowControl w:val="0"/>
        <w:shd w:val="clear" w:color="auto" w:fill="auto"/>
        <w:bidi w:val="0"/>
        <w:spacing w:before="0" w:after="180" w:line="437" w:lineRule="exact"/>
        <w:ind w:left="0" w:right="0" w:firstLine="500"/>
        <w:jc w:val="both"/>
      </w:pPr>
      <w:r>
        <w:rPr>
          <w:color w:val="000000"/>
          <w:spacing w:val="0"/>
          <w:w w:val="100"/>
          <w:position w:val="0"/>
        </w:rPr>
        <w:t>本公司编制的财务报表符合企业会计准则的要求，真实、完整地反映了本公司的财务状 况、经营成果和现金流量等有关信息。</w:t>
      </w:r>
    </w:p>
    <w:p>
      <w:pPr>
        <w:pStyle w:val="Style32"/>
        <w:keepNext/>
        <w:keepLines/>
        <w:widowControl w:val="0"/>
        <w:shd w:val="clear" w:color="auto" w:fill="auto"/>
        <w:tabs>
          <w:tab w:pos="402" w:val="left"/>
        </w:tabs>
        <w:bidi w:val="0"/>
        <w:spacing w:before="0" w:line="442" w:lineRule="exact"/>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sz w:val="24"/>
          <w:szCs w:val="24"/>
        </w:rPr>
        <w:t>2</w:t>
      </w:r>
      <w:bookmarkEnd w:id="698"/>
      <w:r>
        <w:rPr>
          <w:color w:val="000000"/>
          <w:spacing w:val="0"/>
          <w:w w:val="100"/>
          <w:position w:val="0"/>
        </w:rPr>
        <w:t>、</w:t>
        <w:tab/>
        <w:t>会计期间</w:t>
      </w:r>
      <w:bookmarkEnd w:id="696"/>
      <w:bookmarkEnd w:id="697"/>
      <w:bookmarkEnd w:id="699"/>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2"/>
        <w:keepNext/>
        <w:keepLines/>
        <w:widowControl w:val="0"/>
        <w:shd w:val="clear" w:color="auto" w:fill="auto"/>
        <w:tabs>
          <w:tab w:pos="402" w:val="left"/>
        </w:tabs>
        <w:bidi w:val="0"/>
        <w:spacing w:before="0" w:after="440" w:line="442" w:lineRule="exact"/>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sz w:val="24"/>
          <w:szCs w:val="24"/>
        </w:rPr>
        <w:t>3</w:t>
      </w:r>
      <w:bookmarkEnd w:id="702"/>
      <w:r>
        <w:rPr>
          <w:color w:val="000000"/>
          <w:spacing w:val="0"/>
          <w:w w:val="100"/>
          <w:position w:val="0"/>
        </w:rPr>
        <w:t>、</w:t>
        <w:tab/>
        <w:t>营业周期</w:t>
      </w:r>
      <w:bookmarkEnd w:id="700"/>
      <w:bookmarkEnd w:id="701"/>
      <w:bookmarkEnd w:id="703"/>
    </w:p>
    <w:p>
      <w:pPr>
        <w:pStyle w:val="Style18"/>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2"/>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sz w:val="24"/>
          <w:szCs w:val="24"/>
        </w:rPr>
        <w:t>4</w:t>
      </w:r>
      <w:bookmarkEnd w:id="706"/>
      <w:r>
        <w:rPr>
          <w:color w:val="000000"/>
          <w:spacing w:val="0"/>
          <w:w w:val="100"/>
          <w:position w:val="0"/>
        </w:rPr>
        <w:t>、记账本位币</w:t>
      </w:r>
      <w:bookmarkEnd w:id="704"/>
      <w:bookmarkEnd w:id="705"/>
      <w:bookmarkEnd w:id="707"/>
    </w:p>
    <w:p>
      <w:pPr>
        <w:pStyle w:val="Style18"/>
        <w:keepNext w:val="0"/>
        <w:keepLines w:val="0"/>
        <w:widowControl w:val="0"/>
        <w:shd w:val="clear" w:color="auto" w:fill="auto"/>
        <w:bidi w:val="0"/>
        <w:spacing w:before="0" w:after="200" w:line="440" w:lineRule="exact"/>
        <w:ind w:left="0" w:right="0" w:firstLine="480"/>
        <w:jc w:val="both"/>
      </w:pPr>
      <w:r>
        <w:rPr>
          <w:color w:val="000000"/>
          <w:spacing w:val="0"/>
          <w:w w:val="100"/>
          <w:position w:val="0"/>
        </w:rPr>
        <w:t>本公司以人民币为记账本位币。</w:t>
      </w:r>
    </w:p>
    <w:p>
      <w:pPr>
        <w:pStyle w:val="Style32"/>
        <w:keepNext/>
        <w:keepLines/>
        <w:widowControl w:val="0"/>
        <w:shd w:val="clear" w:color="auto" w:fill="auto"/>
        <w:tabs>
          <w:tab w:pos="370" w:val="left"/>
        </w:tabs>
        <w:bidi w:val="0"/>
        <w:spacing w:before="0" w:line="440"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sz w:val="24"/>
          <w:szCs w:val="24"/>
        </w:rPr>
        <w:t>5</w:t>
      </w:r>
      <w:bookmarkEnd w:id="710"/>
      <w:r>
        <w:rPr>
          <w:color w:val="000000"/>
          <w:spacing w:val="0"/>
          <w:w w:val="100"/>
          <w:position w:val="0"/>
        </w:rPr>
        <w:t>、</w:t>
        <w:tab/>
        <w:t>同一控制下和非同一控制下企业合并的会计处理方法</w:t>
      </w:r>
      <w:bookmarkEnd w:id="708"/>
      <w:bookmarkEnd w:id="709"/>
      <w:bookmarkEnd w:id="711"/>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本公司作为合并方，在同一控制下企业合并中取得的资产和负债，在合并日按被合并方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在非同一控制下企业合并中取得的被购买方可辨认资产、负债及或有负债在收购日以公 允价值计量。合并成本为本公司在购买日为取得对被购买方的控制权而支付的现金或非现金 资产、发行或承担的负债、发行的权益性证券等的公允价值以及在企业合并中发生的各项直 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公允价值份额的，将其差额计入合并当期营业外收入。</w:t>
      </w:r>
    </w:p>
    <w:p>
      <w:pPr>
        <w:pStyle w:val="Style32"/>
        <w:keepNext/>
        <w:keepLines/>
        <w:widowControl w:val="0"/>
        <w:shd w:val="clear" w:color="auto" w:fill="auto"/>
        <w:tabs>
          <w:tab w:pos="370" w:val="left"/>
        </w:tabs>
        <w:bidi w:val="0"/>
        <w:spacing w:before="0" w:after="100"/>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sz w:val="24"/>
          <w:szCs w:val="24"/>
        </w:rPr>
        <w:t>6</w:t>
      </w:r>
      <w:bookmarkEnd w:id="714"/>
      <w:r>
        <w:rPr>
          <w:color w:val="000000"/>
          <w:spacing w:val="0"/>
          <w:w w:val="100"/>
          <w:position w:val="0"/>
        </w:rPr>
        <w:t>、</w:t>
        <w:tab/>
        <w:t>合并财务报表的编制方法</w:t>
      </w:r>
      <w:bookmarkEnd w:id="712"/>
      <w:bookmarkEnd w:id="713"/>
      <w:bookmarkEnd w:id="715"/>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本公司将所有控制的子公司纳入合并财务报表范围。</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在编制合并财务报表时，子公司与本公司采用的会计政策或会计期间不一致的，按照本 公司的会计政策或会计期间对子公司财务报表进行必要的调整。</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合并范围内的所有重大内部交易、往来余额及未实现利润在合并报表编制时予以抵销。 子公司的所有者权益中不属于母公司的份额以及当期净损益、其他综合收益及综合收益总额 中属于少数股东权益的份额，分别在合并财务报表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少数股东权益、少数股东损益、归属于少 数股东的其他综合收益及归属于少数股东的综合收益总额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w:t>
      </w:r>
    </w:p>
    <w:p>
      <w:pPr>
        <w:pStyle w:val="Style18"/>
        <w:keepNext w:val="0"/>
        <w:keepLines w:val="0"/>
        <w:widowControl w:val="0"/>
        <w:shd w:val="clear" w:color="auto" w:fill="auto"/>
        <w:bidi w:val="0"/>
        <w:spacing w:before="0" w:after="0" w:line="439" w:lineRule="exact"/>
        <w:ind w:left="0" w:right="0" w:firstLine="480"/>
        <w:jc w:val="both"/>
      </w:pPr>
      <w:r>
        <w:rPr>
          <w:color w:val="000000"/>
          <w:spacing w:val="0"/>
          <w:w w:val="100"/>
          <w:position w:val="0"/>
        </w:rPr>
        <w:t>对于同一控制下企业合并取得的子公司，其经营成果和现金流量自合并当期期初纳入合 并财务报表。编制比较合并财务报表时，对上年财务报表的相关项目进行调整，视同合并后 形成的报告主体自最终控制方开始控制时点起一直存在。</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 xml:space="preserve">通过多次交易分步取得同一控制下被投资单位的股权，最终形成企业合并，编制合并报 表时，视同在最终控制方开始控制时即以目前的状态存在进行调整，在编制比较报表时，以 </w:t>
      </w:r>
      <w:r>
        <w:rPr>
          <w:color w:val="000000"/>
          <w:spacing w:val="0"/>
          <w:w w:val="100"/>
          <w:position w:val="0"/>
        </w:rPr>
        <w:t>不早于本公司和被合并方同处于最终控制方的控制之下的时点为限，将被合并方的有关资产、 负债并入本公司合并财务报表的比较报表中，并将合并而增加的净资产在比较报表中调整所 有者权益项下的相关项目。为避免对被合并方净资产的价值进行重复计算，本公司在达到合 并之前持有的长期股权投资，在取得原股权之日与本公司和被合并方处于同一方最终控制之 日孰晚日起至合并日之间已确认有关损益、其他综合收益和其他净资产变动，应分别冲减比 较报表期间的期初留存收益和当期损益。</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通过多次交易分步取得非同一控制下被投资单位的股权，最终形成企业合并，编制合并 报表时，对于购买日之前持有的被购买方的股权，按照该股权在购买日的公允价值进行重新 计量，公允价值与其账面价值的差额计入当期投资收益；与其相关的购买日之前持有的被购 买方的股权涉及权益法核算下的其他综合收益以及除净损益、其他综合收益和利润分配外的 其他所有者权益变动，在购买日所属当期转为投资损益，由于被投资方重新计量设定受益计 划净负债或净资产变动而产生的其他综合收益除外。</w:t>
      </w:r>
    </w:p>
    <w:p>
      <w:pPr>
        <w:pStyle w:val="Style18"/>
        <w:keepNext w:val="0"/>
        <w:keepLines w:val="0"/>
        <w:widowControl w:val="0"/>
        <w:shd w:val="clear" w:color="auto" w:fill="auto"/>
        <w:bidi w:val="0"/>
        <w:spacing w:before="0" w:line="444" w:lineRule="exact"/>
        <w:ind w:left="0" w:right="0" w:firstLine="480"/>
        <w:jc w:val="both"/>
      </w:pPr>
      <w:r>
        <w:rPr>
          <w:color w:val="000000"/>
          <w:spacing w:val="0"/>
          <w:w w:val="100"/>
          <w:position w:val="0"/>
        </w:rPr>
        <w:t>本公司在不丧失控制权的情况下部分处置对子公司的长期股权投资，在合并财务报表中， 处置价款与处置长期股权投资相对应享有子公司自购买日或合并日开始持续计算的净资产份 额之间的差额，调整资本溢价或股本溢价，资本公积不足冲减的，调整留存收益。</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持续计算的净资产的份额之间的差额，计入丧失控制权当期的投资损益，同时冲减商誉。与 原有子公司股权投资相关的其他综合收益等，在丧失控制权时转为当期投资损益。</w:t>
      </w:r>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本公司通过多次交易分步处置对子公司股权投资直至丧失控制权的，如果处置对子公司 股权投资直至丧失控制权的各项交易属于一揽子交易的，应当将各项交易作为一项处置子公 司并丧失控制权的交易进行会计处理；但是，在丧失控制权之前每一次处置价款与处置投资 对应的享有该子公司净资产份额的差额，在合并财务报表中确认为其他综合收益，在丧失控 制权时一并转入丧失控制权当期的投资损益。</w:t>
      </w:r>
    </w:p>
    <w:p>
      <w:pPr>
        <w:pStyle w:val="Style32"/>
        <w:keepNext/>
        <w:keepLines/>
        <w:widowControl w:val="0"/>
        <w:shd w:val="clear" w:color="auto" w:fill="auto"/>
        <w:bidi w:val="0"/>
        <w:spacing w:before="0" w:after="100"/>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sz w:val="24"/>
          <w:szCs w:val="24"/>
        </w:rPr>
        <w:t>7</w:t>
      </w:r>
      <w:bookmarkEnd w:id="718"/>
      <w:r>
        <w:rPr>
          <w:color w:val="000000"/>
          <w:spacing w:val="0"/>
          <w:w w:val="100"/>
          <w:position w:val="0"/>
        </w:rPr>
        <w:t>、合营安排分类及共同经营会计处理方法</w:t>
      </w:r>
      <w:bookmarkEnd w:id="716"/>
      <w:bookmarkEnd w:id="717"/>
      <w:bookmarkEnd w:id="719"/>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本公司的合营安排包括共同经营和合营企业。对于共同经营项目</w:t>
      </w:r>
      <w:r>
        <w:rPr>
          <w:color w:val="000000"/>
          <w:spacing w:val="0"/>
          <w:w w:val="100"/>
          <w:position w:val="0"/>
          <w:sz w:val="24"/>
          <w:szCs w:val="24"/>
        </w:rPr>
        <w:t>，</w:t>
      </w:r>
      <w:r>
        <w:rPr>
          <w:color w:val="000000"/>
          <w:spacing w:val="0"/>
          <w:w w:val="100"/>
          <w:position w:val="0"/>
        </w:rPr>
        <w:t xml:space="preserve">本公司作为共同经营中 </w:t>
      </w:r>
      <w:r>
        <w:rPr>
          <w:color w:val="000000"/>
          <w:spacing w:val="0"/>
          <w:w w:val="100"/>
          <w:position w:val="0"/>
        </w:rPr>
        <w:t>的合营方确认单独持有的资产和承担的负债，以及按份额确认持有的资产和承担的负债，根 据相关约定单独或按份额确认相关的收入和费用。与共同经营发生购买、销售不构成业务的 资产交易的，仅确认因该交易产生的损益中归属于共同经营其他参与方的部分。</w:t>
      </w:r>
    </w:p>
    <w:p>
      <w:pPr>
        <w:pStyle w:val="Style32"/>
        <w:keepNext/>
        <w:keepLines/>
        <w:widowControl w:val="0"/>
        <w:shd w:val="clear" w:color="auto" w:fill="auto"/>
        <w:tabs>
          <w:tab w:pos="397" w:val="left"/>
        </w:tabs>
        <w:bidi w:val="0"/>
        <w:spacing w:before="0" w:after="100"/>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sz w:val="24"/>
          <w:szCs w:val="24"/>
        </w:rPr>
        <w:t>8</w:t>
      </w:r>
      <w:bookmarkEnd w:id="722"/>
      <w:r>
        <w:rPr>
          <w:color w:val="000000"/>
          <w:spacing w:val="0"/>
          <w:w w:val="100"/>
          <w:position w:val="0"/>
        </w:rPr>
        <w:t>、</w:t>
        <w:tab/>
        <w:t>现金及现金等价物的确定标准</w:t>
      </w:r>
      <w:bookmarkEnd w:id="720"/>
      <w:bookmarkEnd w:id="721"/>
      <w:bookmarkEnd w:id="723"/>
    </w:p>
    <w:p>
      <w:pPr>
        <w:pStyle w:val="Style18"/>
        <w:keepNext w:val="0"/>
        <w:keepLines w:val="0"/>
        <w:widowControl w:val="0"/>
        <w:shd w:val="clear" w:color="auto" w:fill="auto"/>
        <w:bidi w:val="0"/>
        <w:spacing w:before="0" w:after="360" w:line="444" w:lineRule="exact"/>
        <w:ind w:left="0" w:right="0" w:firstLine="480"/>
        <w:jc w:val="both"/>
      </w:pPr>
      <w:r>
        <w:rPr>
          <w:color w:val="000000"/>
          <w:spacing w:val="0"/>
          <w:w w:val="100"/>
          <w:position w:val="0"/>
        </w:rPr>
        <w:t>本公司现金流量表之现金指库存现金以及可以随时用于支付的存款。现金流量表之现金 等价物指持有期限不超过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 投资。</w:t>
      </w:r>
    </w:p>
    <w:p>
      <w:pPr>
        <w:pStyle w:val="Style32"/>
        <w:keepNext/>
        <w:keepLines/>
        <w:widowControl w:val="0"/>
        <w:shd w:val="clear" w:color="auto" w:fill="auto"/>
        <w:tabs>
          <w:tab w:pos="397" w:val="left"/>
        </w:tabs>
        <w:bidi w:val="0"/>
        <w:spacing w:before="0" w:after="100"/>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4"/>
          <w:szCs w:val="24"/>
        </w:rPr>
        <w:t>9</w:t>
      </w:r>
      <w:bookmarkEnd w:id="726"/>
      <w:r>
        <w:rPr>
          <w:color w:val="000000"/>
          <w:spacing w:val="0"/>
          <w:w w:val="100"/>
          <w:position w:val="0"/>
        </w:rPr>
        <w:t>、</w:t>
        <w:tab/>
        <w:t>外币业务和外币报表折算</w:t>
      </w:r>
      <w:bookmarkEnd w:id="724"/>
      <w:bookmarkEnd w:id="725"/>
      <w:bookmarkEnd w:id="727"/>
    </w:p>
    <w:p>
      <w:pPr>
        <w:pStyle w:val="Style18"/>
        <w:keepNext w:val="0"/>
        <w:keepLines w:val="0"/>
        <w:widowControl w:val="0"/>
        <w:shd w:val="clear" w:color="auto" w:fill="auto"/>
        <w:tabs>
          <w:tab w:pos="1006" w:val="left"/>
        </w:tabs>
        <w:bidi w:val="0"/>
        <w:spacing w:before="0" w:line="439" w:lineRule="exact"/>
        <w:ind w:left="0" w:right="0" w:firstLine="48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外币交易</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本公司外币交易按交易发生日的即期汇率将外币金额折算为人民币金额。于资产负债表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购建或生产符合资本化条件的资产而借入的外币专门借款产生的汇兑差额按资本化的原则处 理外，直接计入当期损益。</w:t>
      </w:r>
    </w:p>
    <w:p>
      <w:pPr>
        <w:pStyle w:val="Style18"/>
        <w:keepNext w:val="0"/>
        <w:keepLines w:val="0"/>
        <w:widowControl w:val="0"/>
        <w:shd w:val="clear" w:color="auto" w:fill="auto"/>
        <w:tabs>
          <w:tab w:pos="1006" w:val="left"/>
        </w:tabs>
        <w:bidi w:val="0"/>
        <w:spacing w:before="0" w:line="439" w:lineRule="exact"/>
        <w:ind w:left="0" w:right="0" w:firstLine="48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外币财务报表的折算</w:t>
      </w:r>
    </w:p>
    <w:p>
      <w:pPr>
        <w:pStyle w:val="Style18"/>
        <w:keepNext w:val="0"/>
        <w:keepLines w:val="0"/>
        <w:widowControl w:val="0"/>
        <w:shd w:val="clear" w:color="auto" w:fill="auto"/>
        <w:bidi w:val="0"/>
        <w:spacing w:before="0" w:after="360" w:line="439" w:lineRule="exact"/>
        <w:ind w:left="0" w:right="0" w:firstLine="480"/>
        <w:jc w:val="both"/>
      </w:pPr>
      <w:r>
        <w:rPr>
          <w:color w:val="000000"/>
          <w:spacing w:val="0"/>
          <w:w w:val="100"/>
          <w:position w:val="0"/>
        </w:rPr>
        <w:t>外币资产负债表中资产、负债类项目采用资产负债表日的即期汇率折算；所有者权益类 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外，均按业务发生时的即期汇率折算；利润表中的收入与费用项目，采 用交易发生日的即期汇率折算。上述折算产生的外币报表折算差额，在其他综合收益项目中 列示。外币现金流量采用现金流量发生日的即期汇率折算。汇率变动对现金的影响额，在现 金流量表中单独列示。</w:t>
      </w:r>
    </w:p>
    <w:p>
      <w:pPr>
        <w:pStyle w:val="Style32"/>
        <w:keepNext/>
        <w:keepLines/>
        <w:widowControl w:val="0"/>
        <w:shd w:val="clear" w:color="auto" w:fill="auto"/>
        <w:tabs>
          <w:tab w:pos="507" w:val="left"/>
        </w:tabs>
        <w:bidi w:val="0"/>
        <w:spacing w:before="0" w:after="100"/>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sz w:val="24"/>
          <w:szCs w:val="24"/>
        </w:rPr>
        <w:t>1</w:t>
      </w:r>
      <w:bookmarkEnd w:id="732"/>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金融工具</w:t>
      </w:r>
      <w:bookmarkEnd w:id="730"/>
      <w:bookmarkEnd w:id="731"/>
      <w:bookmarkEnd w:id="733"/>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本公司成为金融工具合同的一方时确认一项金融资产或金融负债。</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金融资产</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金融资产分类、确认依据和计量方法</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本公司根据管理金融资产的业务模式和金融资产的合同现金流特征，将金融资产分类为 以摊余成本计量的金融资产、以公允价值计量且其变动计入其他综合收益的金融资产、以公 允价值计量且其变动计入当期损益的金融资产。</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 xml:space="preserve">本公司将同时符合下列条件的金融资产分类为以摊余成本计量的金融资产：①管理该金 </w:t>
      </w:r>
      <w:r>
        <w:rPr>
          <w:color w:val="000000"/>
          <w:spacing w:val="0"/>
          <w:w w:val="100"/>
          <w:position w:val="0"/>
        </w:rPr>
        <w:t>融资产的业务模式是以收取合同现金流量为目标。②该金融资产的合同条款规定，在特定日 期产生的现金流量，仅为对本金和以未偿付本金金额为基础的利息的支付。此类金融资产按 照公允价值进行初始计量，相关交易费用计入初始确认金额；以摊余成本进行后续计量。不 属于任何套期关系的一部分的该类金融资产，按照实际利率法摊销、减值、汇兑损益以及终 止确认时产生的利得或损失，计入当期损益。本公司分类为该类的金融资产具体包括：应收 账款、应收票据、其他应收款、债权投资。</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本公司将同时符合下列条件的金融资产分类为以公允价值计量且其变动计入其他综合收 益的金融资产：①管理该金融资产的业务模式既以收取合同现金流量为目标又以出售该金融 资产为目标。②该金融资产的合同条款规定，在特定日期产生的现金流量，仅为对本金和以 未偿付本金金额为基础的利息的支付。此类金融资产按照公允价值进行初始计量，相关交易 费用计入初始确认金额。不属于任何套期关系的一部分的该类金融资产所产生的所有利得或 损失，除信用减值损失或利得、汇兑损益和按照实际利率法计算的该金融资产利息之外，所 产生的其他利得或损失，均计入其他综合收益；金融资产终止确认时，之前计入其他综合收 益的累计利得或损失应当从其他综合收益中转出，计入当期损益。</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本公司按照实际利率法确认利息收入。利息收入根据金融资产账面余额乘以实际利率计 算确定，但下列情况除外：①对于购入或源生的已发生信用减值的金融资产，自初始确认起， 按照该金融资产的摊余成本和经信用调整的实际利率计算确定其利息收入。②对于购入或源 生的未发生信用减值、但在后续期间成为已发生信用减值的金融资产，在后续期间，按照该 金融资产的摊余成本和实际利率计算确定其利息收入。</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本公司将非交易性权益工具投资指定为以公允价值计量且其变动计入其他综合收益的金 融资产。该指定一经作出，不得撤销。本公司指定的以公允价值计量且其变动计入其他综合 收益的非交易性权益工具投资，按照公允价值进行初始计量，相关交易费用计入初始确认金 额；除了获得股利（属于投资成本收回部分的除外）计入当期损益外，其他相关的利得和损 失（包括汇兑损益）均计入其他综合收益，且后续不得转入当期损益。当其终止确认时，之 前计入其他综合收益的累计利得或损失从其他综合收益中转出，计入留存收益。</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除上述分类为以摊余成本计量的金融资产和分类为以公允价值计量且其变动计入其他综 合收益的金融资产之外的金融资产，本公司将其分类为以公允价值计量且其变动计入当期损 益的金融资产。此类金融资产按照公允价值进行初始计量，相关交易费用直接计入当期损益。 此类金融资产的利得或损失，计入当期损益。本公司分类为该类的金融资产具体包括：交易 性金融资产、其他非流动金融资产。</w:t>
      </w:r>
    </w:p>
    <w:p>
      <w:pPr>
        <w:pStyle w:val="Style18"/>
        <w:keepNext w:val="0"/>
        <w:keepLines w:val="0"/>
        <w:widowControl w:val="0"/>
        <w:shd w:val="clear" w:color="auto" w:fill="auto"/>
        <w:bidi w:val="0"/>
        <w:spacing w:before="0" w:after="0" w:line="439" w:lineRule="exact"/>
        <w:ind w:left="0" w:right="0" w:firstLine="480"/>
        <w:jc w:val="both"/>
      </w:pPr>
      <w:r>
        <w:rPr>
          <w:color w:val="000000"/>
          <w:spacing w:val="0"/>
          <w:w w:val="100"/>
          <w:position w:val="0"/>
        </w:rPr>
        <w:t xml:space="preserve">本公司在非同一控制下的企业合并中确认的或有对价构成金融资产的，该金融资产分类 </w:t>
      </w:r>
      <w:r>
        <w:rPr>
          <w:color w:val="000000"/>
          <w:spacing w:val="0"/>
          <w:w w:val="100"/>
          <w:position w:val="0"/>
        </w:rPr>
        <w:t>为以公允价值计量且其变动计入当期损益的金融资产。</w:t>
      </w:r>
    </w:p>
    <w:p>
      <w:pPr>
        <w:pStyle w:val="Style18"/>
        <w:keepNext w:val="0"/>
        <w:keepLines w:val="0"/>
        <w:widowControl w:val="0"/>
        <w:shd w:val="clear" w:color="auto" w:fill="auto"/>
        <w:bidi w:val="0"/>
        <w:spacing w:before="0" w:after="0" w:line="440" w:lineRule="exact"/>
        <w:ind w:left="0" w:right="0" w:firstLine="480"/>
        <w:jc w:val="left"/>
      </w:pPr>
      <w:r>
        <w:rPr>
          <w:color w:val="000000"/>
          <w:spacing w:val="0"/>
          <w:w w:val="100"/>
          <w:position w:val="0"/>
        </w:rPr>
        <w:t>本公司在改变管理金融资产的业务模式时，对所有受影响的相关金融资产进行重分类。</w:t>
      </w:r>
    </w:p>
    <w:p>
      <w:pPr>
        <w:pStyle w:val="Style18"/>
        <w:keepNext w:val="0"/>
        <w:keepLines w:val="0"/>
        <w:widowControl w:val="0"/>
        <w:shd w:val="clear" w:color="auto" w:fill="auto"/>
        <w:bidi w:val="0"/>
        <w:spacing w:before="0" w:after="0" w:line="440" w:lineRule="exact"/>
        <w:ind w:left="0" w:right="0" w:firstLine="480"/>
        <w:jc w:val="left"/>
      </w:pPr>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本公司将满足下列条件之一的金融资产予以终止确认：①收取该金融资产现金流量的合 同权利终止；②金融资产发生转移，本公司转移了金融资产所有权上几乎所有风险和报酬； ③金融资产发生转移，本公司既没有转移也没有保留金融资产所有权上几乎所有风险和报酬， 且未保留对该金融资产控制的。</w:t>
      </w:r>
    </w:p>
    <w:p>
      <w:pPr>
        <w:pStyle w:val="Style18"/>
        <w:keepNext w:val="0"/>
        <w:keepLines w:val="0"/>
        <w:widowControl w:val="0"/>
        <w:shd w:val="clear" w:color="auto" w:fill="auto"/>
        <w:bidi w:val="0"/>
        <w:spacing w:before="0" w:after="0" w:line="439" w:lineRule="exact"/>
        <w:ind w:left="0" w:right="0" w:firstLine="480"/>
        <w:jc w:val="both"/>
      </w:pPr>
      <w:r>
        <w:rPr>
          <w:color w:val="000000"/>
          <w:spacing w:val="0"/>
          <w:w w:val="100"/>
          <w:position w:val="0"/>
        </w:rPr>
        <w:t>金融资产整体转移满足终止确认条件的，将所转移金融资产在终止确认日的账面价值， 与因转移而收到的对价及原直接计入其他综合收益的公允价值变动累计额中对应终止确认部 分的金额（涉及转移的金融资产同时符合下列条件：公司管理该金融资产的业务模式是以收 取合同现金流量为目标；该金融资产的合同条款规定，在特定日期产生的现金流，仅为对本 金金额为基础的利息的支付）之和的差额计入当期损益。</w:t>
      </w:r>
    </w:p>
    <w:p>
      <w:pPr>
        <w:pStyle w:val="Style18"/>
        <w:keepNext w:val="0"/>
        <w:keepLines w:val="0"/>
        <w:widowControl w:val="0"/>
        <w:shd w:val="clear" w:color="auto" w:fill="auto"/>
        <w:bidi w:val="0"/>
        <w:spacing w:before="0" w:after="520" w:line="441" w:lineRule="exact"/>
        <w:ind w:left="0" w:right="0" w:firstLine="48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价及应分摊至终止确认部分的原计入其他综合收益的公允价值变动累计额中对应终止确认部 分的金额（涉及转移的金融资产同时符合下列条件：公司管理该金融资产的业务模式是以收 取合同现金流量为目标；该金融资产的合同条款规定，在特定日期产生的现金流，仅为对本 金金额为基础的利息的支付）之和，与分摊的前述金融资产整体账面价值的差额计入当期损 益。</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金融负债</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金融负债分类、确认依据和计量方法</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除下列各项外，本公司将金融负债分类为以摊余成本计量的金融负债，采用实际利率法， 按照摊余成本进行后续计量：</w:t>
      </w:r>
    </w:p>
    <w:p>
      <w:pPr>
        <w:pStyle w:val="Style18"/>
        <w:keepNext w:val="0"/>
        <w:keepLines w:val="0"/>
        <w:widowControl w:val="0"/>
        <w:numPr>
          <w:ilvl w:val="0"/>
          <w:numId w:val="9"/>
        </w:numPr>
        <w:shd w:val="clear" w:color="auto" w:fill="auto"/>
        <w:tabs>
          <w:tab w:pos="871" w:val="left"/>
        </w:tabs>
        <w:bidi w:val="0"/>
        <w:spacing w:before="0" w:after="0" w:line="440" w:lineRule="exact"/>
        <w:ind w:left="0" w:right="0" w:firstLine="480"/>
        <w:jc w:val="both"/>
      </w:pPr>
      <w:bookmarkStart w:id="734" w:name="bookmark734"/>
      <w:bookmarkEnd w:id="734"/>
      <w:r>
        <w:rPr>
          <w:color w:val="000000"/>
          <w:spacing w:val="0"/>
          <w:w w:val="100"/>
          <w:position w:val="0"/>
        </w:rPr>
        <w:t>以公允价值计量且其变动计入当期损益的金融负债（含属于金融负债的衍生工具），包 括交易性金融负债和初始确认时指定为以公允价值计量且其变动计入当期损益的金融负债， 此类金融负债按照公允价值进行后续计量，公允价值变动形成的利得或损失以及与该金融负 债相关的股利和利息支出计入当期损益。</w:t>
      </w:r>
    </w:p>
    <w:p>
      <w:pPr>
        <w:pStyle w:val="Style18"/>
        <w:keepNext w:val="0"/>
        <w:keepLines w:val="0"/>
        <w:widowControl w:val="0"/>
        <w:numPr>
          <w:ilvl w:val="0"/>
          <w:numId w:val="9"/>
        </w:numPr>
        <w:shd w:val="clear" w:color="auto" w:fill="auto"/>
        <w:tabs>
          <w:tab w:pos="871" w:val="left"/>
        </w:tabs>
        <w:bidi w:val="0"/>
        <w:spacing w:before="0" w:after="0" w:line="451" w:lineRule="exact"/>
        <w:ind w:left="0" w:right="0" w:firstLine="480"/>
        <w:jc w:val="both"/>
      </w:pPr>
      <w:bookmarkStart w:id="735" w:name="bookmark735"/>
      <w:bookmarkEnd w:id="735"/>
      <w:r>
        <w:rPr>
          <w:color w:val="000000"/>
          <w:spacing w:val="0"/>
          <w:w w:val="100"/>
          <w:position w:val="0"/>
        </w:rPr>
        <w:t>不符合终止确认条件的金融资产转移或继续涉入被转移金融资产所形成的金融负债。 此类金融负债，本公司按照金融资产转移相关准则规定进行计量。</w:t>
      </w:r>
    </w:p>
    <w:p>
      <w:pPr>
        <w:pStyle w:val="Style18"/>
        <w:keepNext w:val="0"/>
        <w:keepLines w:val="0"/>
        <w:widowControl w:val="0"/>
        <w:numPr>
          <w:ilvl w:val="0"/>
          <w:numId w:val="9"/>
        </w:numPr>
        <w:shd w:val="clear" w:color="auto" w:fill="auto"/>
        <w:bidi w:val="0"/>
        <w:spacing w:before="0" w:line="440" w:lineRule="exact"/>
        <w:ind w:left="0" w:right="0" w:firstLine="480"/>
        <w:jc w:val="both"/>
      </w:pPr>
      <w:bookmarkStart w:id="736" w:name="bookmark736"/>
      <w:bookmarkEnd w:id="736"/>
      <w:r>
        <w:rPr>
          <w:color w:val="000000"/>
          <w:spacing w:val="0"/>
          <w:w w:val="100"/>
          <w:position w:val="0"/>
        </w:rPr>
        <w:t>不属于以上①或②情形的财务担保合同，以及不属于以上①情形的以低于市场利率贷 款的贷款承诺。本公司作为此类金融负债的发行方的，在初始确认后按照依据金融工具减值 相关准则规定确定的损失准备金额以及初始确认金额扣除依据收入准则相关规定所确定的累 计摊销后的余额孰高进行计量。</w:t>
      </w:r>
    </w:p>
    <w:p>
      <w:pPr>
        <w:pStyle w:val="Style18"/>
        <w:keepNext w:val="0"/>
        <w:keepLines w:val="0"/>
        <w:widowControl w:val="0"/>
        <w:shd w:val="clear" w:color="auto" w:fill="auto"/>
        <w:bidi w:val="0"/>
        <w:spacing w:before="0" w:after="500" w:line="437" w:lineRule="exact"/>
        <w:ind w:left="0" w:right="0" w:firstLine="480"/>
        <w:jc w:val="both"/>
      </w:pPr>
      <w:r>
        <w:rPr>
          <w:color w:val="000000"/>
          <w:spacing w:val="0"/>
          <w:w w:val="100"/>
          <w:position w:val="0"/>
        </w:rPr>
        <w:t>本公司将在非同一控制下的企业合并中作为购买方确认的或有对价形成金融负债的，按 照以公允价值计量且其变动计入当期损益进行会计处理。</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金融负债终止确认条件</w:t>
      </w:r>
    </w:p>
    <w:p>
      <w:pPr>
        <w:pStyle w:val="Style18"/>
        <w:keepNext w:val="0"/>
        <w:keepLines w:val="0"/>
        <w:widowControl w:val="0"/>
        <w:shd w:val="clear" w:color="auto" w:fill="auto"/>
        <w:bidi w:val="0"/>
        <w:spacing w:before="0" w:line="441" w:lineRule="exact"/>
        <w:ind w:left="0" w:right="0" w:firstLine="480"/>
        <w:jc w:val="both"/>
      </w:pPr>
      <w:r>
        <w:rPr>
          <w:color w:val="000000"/>
          <w:spacing w:val="0"/>
          <w:w w:val="100"/>
          <w:position w:val="0"/>
        </w:rPr>
        <w:t>当金融负债的现时义务全部或部分已经解除时，终止确认该金融负债或义务已解除的部 分。本公司与债权人之间签订协议，以承担新金融负债方式替换现存金融负债，且新金融负 债与现存金融负债的合同条款实质上不同的，终止确认现存金融负债，并同时确认新金融负 债。本公司对现存金融负债全部或部分的合同条款作出实质性修改的，终止确认现存金融负 债或其一部分，同时将修改条款后的金融负债确认为一项新金融负债。终止确认部分的账面 价值与支付的对价之间的差额，计入当期损益。</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金融资产和金融负债的公允价值确定方法</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本公司以主要市场的价格计量金融资产和金融负债的公允价值，不存在主要市场的，以 最有利市场的价格计量金融资产和金融负债的公允价值，并且采用当时适用并且有足够可利 用数据和其他信息支持的估值技术。公允价值计量所使用的输入值分为三个层次，即第一层 次输入值是计量日能够取得的相同资产或负债在活跃市场上未经调整的报价；第二层次输入 值是除第一层次输入值外相关资产或负债直接或间接可观察的输入值；第三层次输入值是相 关资产或负债的不可观察输入值。本公司优先使用第一层次输入值，最后再使用第三层次输 入值。公允价值计量结果所属的层次，由对公允价值计量整体而言具有重大意义的输入值所 属的最低层次决定。</w:t>
      </w:r>
    </w:p>
    <w:p>
      <w:pPr>
        <w:pStyle w:val="Style18"/>
        <w:keepNext w:val="0"/>
        <w:keepLines w:val="0"/>
        <w:widowControl w:val="0"/>
        <w:shd w:val="clear" w:color="auto" w:fill="auto"/>
        <w:bidi w:val="0"/>
        <w:spacing w:before="0" w:line="444" w:lineRule="exact"/>
        <w:ind w:left="0" w:right="0" w:firstLine="480"/>
        <w:jc w:val="both"/>
      </w:pPr>
      <w:r>
        <w:rPr>
          <w:color w:val="000000"/>
          <w:spacing w:val="0"/>
          <w:w w:val="100"/>
          <w:position w:val="0"/>
        </w:rPr>
        <w:t>本公司对权益工具的投资以公允价值计量。但在有限情况下，如果用以确定公允价值的 近期信息不足，或者公允价值的可能估计金额分布范围很广，而成本代表了该范围内对公允 价值的最佳估计的，该成本可代表其在该分布范围内对公允价值的恰当估计。</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金融资产和金融负债的抵销</w:t>
      </w:r>
    </w:p>
    <w:p>
      <w:pPr>
        <w:pStyle w:val="Style18"/>
        <w:keepNext w:val="0"/>
        <w:keepLines w:val="0"/>
        <w:widowControl w:val="0"/>
        <w:shd w:val="clear" w:color="auto" w:fill="auto"/>
        <w:bidi w:val="0"/>
        <w:spacing w:before="0" w:after="520" w:line="437" w:lineRule="exact"/>
        <w:ind w:left="0" w:right="0" w:firstLine="480"/>
        <w:jc w:val="both"/>
      </w:pPr>
      <w:r>
        <w:rPr>
          <w:color w:val="000000"/>
          <w:spacing w:val="0"/>
          <w:w w:val="100"/>
          <w:position w:val="0"/>
        </w:rPr>
        <w:t>本公司的金融资产和金融负债在资产负债表内分别列示，不相互抵销。但同时满足下列 条件时，以相互抵销后的净额在资产负债表内列示：（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）本公司具有抵销已确认金额的法定 权利，且该种法定权利是当前可执行的；（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）本公司计划以净额结算，或同时变现该金融资 </w:t>
      </w:r>
      <w:r>
        <w:rPr>
          <w:color w:val="000000"/>
          <w:spacing w:val="0"/>
          <w:w w:val="100"/>
          <w:position w:val="0"/>
        </w:rPr>
        <w:t>产和清偿该金融负债。</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金融负债与权益工具的区分及相关处理方法</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）如果本公司不能无条件地避免以交 付现金或其他金融资产来履行一项合同义务，则该合同义务符合金融负债的定义。有些金融 工具虽然没有明确地包含交付现金或其他金融资产义务的条款和条件，但有可能通过其他条 款和条件间接地形成合同义务。（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）如果一项金融工具须用或可用本公司自身权益工具进行 结算，需要考虑用于结算该工具的本公司自身权益工具，是作为现金或其他金融资产的替代 品，还是为了使该工具持有方享有在发行方扣除所有负债后的资产中的剩余权益。如果是前 者，该工具是发行方的金融负债；如果是后者，该工具是发行方的权益工具。在某些情况下， 一项金融工具合同规定本公司须用或可用自身权益工具结算该金融工具，其中合同权利或合 同义务的金额等于可获取或需交付的自身权益工具的数量乘以其结算时的公允价值，则无论 该合同权利或义务的金额是固定的，还是完全或部分地基于除本公司自身权益工具的市场价 格以外的变量（例如利率、某种商品的价格或某项金融工具的价格）的变动而变动，该合同 分类为金融负债。</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本公司在合并报表中对金融工具（或其组成部分）进行分类时，考虑了公司成员和金融 工具持有方之间达成的所有条款和条件。如果公司作为一个整体由于该工具而承担了交付现 金、其他金融资产或者以其他导致该工具成为金融负债的方式进行结算的义务，则该工具应 当分类为金融负债。</w:t>
      </w:r>
    </w:p>
    <w:p>
      <w:pPr>
        <w:pStyle w:val="Style18"/>
        <w:keepNext w:val="0"/>
        <w:keepLines w:val="0"/>
        <w:widowControl w:val="0"/>
        <w:shd w:val="clear" w:color="auto" w:fill="auto"/>
        <w:bidi w:val="0"/>
        <w:spacing w:before="0" w:after="0" w:line="446" w:lineRule="exact"/>
        <w:ind w:left="0" w:right="0" w:firstLine="480"/>
        <w:jc w:val="both"/>
      </w:pPr>
      <w:r>
        <w:rPr>
          <w:color w:val="000000"/>
          <w:spacing w:val="0"/>
          <w:w w:val="100"/>
          <w:position w:val="0"/>
        </w:rPr>
        <w:t>金融工具或其组成部分属于金融负债的，相关利息、股利（或股息）、利得或损失，以及 赎回或再融资产生的利得或损失等，本公司计入当期损益。</w:t>
      </w:r>
    </w:p>
    <w:p>
      <w:pPr>
        <w:pStyle w:val="Style18"/>
        <w:keepNext w:val="0"/>
        <w:keepLines w:val="0"/>
        <w:widowControl w:val="0"/>
        <w:shd w:val="clear" w:color="auto" w:fill="auto"/>
        <w:bidi w:val="0"/>
        <w:spacing w:before="0" w:after="520" w:line="490" w:lineRule="exact"/>
        <w:ind w:left="0" w:right="0" w:firstLine="480"/>
        <w:jc w:val="both"/>
      </w:pPr>
      <w:r>
        <w:rPr>
          <w:color w:val="000000"/>
          <w:spacing w:val="0"/>
          <w:w w:val="100"/>
          <w:position w:val="0"/>
        </w:rPr>
        <w:t>金融工具或其组成部分属于权益工具的，其发行（含再融资）、回购、出售或注销时，本 公司作为权益的变动处理，不确认权益工具的公允价值变动。</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金融资产减值</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本公司需确认减值损失的金融资产系以摊余成本计量的金融资产，主要包括应收票据、 应收账款、应收款项融资、其他应收款等。</w:t>
      </w:r>
    </w:p>
    <w:p>
      <w:pPr>
        <w:pStyle w:val="Style18"/>
        <w:keepNext w:val="0"/>
        <w:keepLines w:val="0"/>
        <w:widowControl w:val="0"/>
        <w:shd w:val="clear" w:color="auto" w:fill="auto"/>
        <w:bidi w:val="0"/>
        <w:spacing w:before="0" w:after="0" w:line="440" w:lineRule="exact"/>
        <w:ind w:left="0" w:right="0" w:firstLine="48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）减值准备的确认方法</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本公司以预期信用损失为基础，对上述各项目按照其适用的预期信用损失计量方法（一 般方法或简化方法）计提减值准备并确认信用减值损失。</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信用损失，是指本公司按照原实际利率折现的、根据合同应收的所有合同现金流量与预 期收取的所有现金流量之间的差额，即全部现金短缺的现值。其中，对于购买或源生的已发 生信用减值的金融资产，本公司按照该金融资产经信用调整的实际利率折现。</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预期信用损失计量的一般方法是指，本公司在每个资产负债表日评估金融资产（含合同 资产等其他适用项目，下同）的信用风险自初始确认后是否已经显著增加，如果信用风险自 初始确认后已显著增加，本公司按照相当于整个存续期内预期信用损失的金额计量损失准备; 如果信用风险自初始确认后未显著增加，本公司按照相当于未来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个月内预期信用损失的金 额计量损失准备。本公司在评估预期信用损失时，考虑所有合理且有依据的信息，包括前瞻 性信息。</w:t>
      </w:r>
    </w:p>
    <w:p>
      <w:pPr>
        <w:pStyle w:val="Style18"/>
        <w:keepNext w:val="0"/>
        <w:keepLines w:val="0"/>
        <w:widowControl w:val="0"/>
        <w:shd w:val="clear" w:color="auto" w:fill="auto"/>
        <w:bidi w:val="0"/>
        <w:spacing w:before="0" w:line="444" w:lineRule="exact"/>
        <w:ind w:left="0" w:right="0" w:firstLine="480"/>
        <w:jc w:val="both"/>
      </w:pPr>
      <w:r>
        <w:rPr>
          <w:color w:val="000000"/>
          <w:spacing w:val="0"/>
          <w:w w:val="100"/>
          <w:position w:val="0"/>
        </w:rPr>
        <w:t>对于在资产负债表日具有较低信用风险的金融工具，本公司不选择简化处理方法，依据 其信用风险自初始确认后是否已显著增加，而采用未来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月内或者整个存续期内预期信用损 失金额为基础计量损失准备。</w:t>
      </w:r>
    </w:p>
    <w:p>
      <w:pPr>
        <w:pStyle w:val="Style18"/>
        <w:keepNext w:val="0"/>
        <w:keepLines w:val="0"/>
        <w:widowControl w:val="0"/>
        <w:shd w:val="clear" w:color="auto" w:fill="auto"/>
        <w:tabs>
          <w:tab w:pos="985" w:val="left"/>
        </w:tabs>
        <w:bidi w:val="0"/>
        <w:spacing w:before="0" w:line="439" w:lineRule="exact"/>
        <w:ind w:left="0" w:right="0" w:firstLine="48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信用风险自初始确认后是否显著增加的判断标准</w:t>
      </w:r>
    </w:p>
    <w:p>
      <w:pPr>
        <w:pStyle w:val="Style18"/>
        <w:keepNext w:val="0"/>
        <w:keepLines w:val="0"/>
        <w:widowControl w:val="0"/>
        <w:shd w:val="clear" w:color="auto" w:fill="auto"/>
        <w:bidi w:val="0"/>
        <w:spacing w:before="0" w:line="426" w:lineRule="exact"/>
        <w:ind w:left="0" w:right="0" w:firstLine="480"/>
        <w:jc w:val="both"/>
      </w:pPr>
      <w:r>
        <w:rPr>
          <w:color w:val="000000"/>
          <w:spacing w:val="0"/>
          <w:w w:val="100"/>
          <w:position w:val="0"/>
        </w:rPr>
        <w:t>如果某项金融资产在资产负债表日确定的预计存续期内的违约概率显著高于在初始确认 时确定的预计存续期内的违约概率，则表明该项金融资产的信用风险显著增加。除特殊情况 外，本公司采用未来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个月内发生的违约风险的变化作为整个存续期内发生违约风险变化的 合理估计，来确定自初始确认后信用风险是否显著增加。</w:t>
      </w:r>
    </w:p>
    <w:p>
      <w:pPr>
        <w:pStyle w:val="Style18"/>
        <w:keepNext w:val="0"/>
        <w:keepLines w:val="0"/>
        <w:widowControl w:val="0"/>
        <w:shd w:val="clear" w:color="auto" w:fill="auto"/>
        <w:tabs>
          <w:tab w:pos="985" w:val="left"/>
        </w:tabs>
        <w:bidi w:val="0"/>
        <w:spacing w:before="0" w:line="439" w:lineRule="exact"/>
        <w:ind w:left="0" w:right="0" w:firstLine="48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以组合为基础评估预期信用风险的组合方法</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本公司对信用风险显著不同的金融资产单项评价信用风险，如：应收关联方款项；与对 方存在争议或涉及诉讼、仲裁的应收款项；已有明显迹象表明债务人很可能无法履行还款义 务的应收款项等。</w:t>
      </w:r>
    </w:p>
    <w:p>
      <w:pPr>
        <w:pStyle w:val="Style18"/>
        <w:keepNext w:val="0"/>
        <w:keepLines w:val="0"/>
        <w:widowControl w:val="0"/>
        <w:shd w:val="clear" w:color="auto" w:fill="auto"/>
        <w:bidi w:val="0"/>
        <w:spacing w:before="0" w:line="432" w:lineRule="exact"/>
        <w:ind w:left="0" w:right="0" w:firstLine="480"/>
        <w:jc w:val="both"/>
      </w:pPr>
      <w:r>
        <w:rPr>
          <w:color w:val="000000"/>
          <w:spacing w:val="0"/>
          <w:w w:val="100"/>
          <w:position w:val="0"/>
        </w:rPr>
        <w:t>除了单项评估信用风险的金融资产外，本公司基于共同风险特征将金融资产划分为不同 的组别，在组合的基础上评估信用风险。</w:t>
      </w:r>
    </w:p>
    <w:p>
      <w:pPr>
        <w:pStyle w:val="Style18"/>
        <w:keepNext w:val="0"/>
        <w:keepLines w:val="0"/>
        <w:widowControl w:val="0"/>
        <w:shd w:val="clear" w:color="auto" w:fill="auto"/>
        <w:tabs>
          <w:tab w:pos="985" w:val="left"/>
        </w:tabs>
        <w:bidi w:val="0"/>
        <w:spacing w:before="0" w:line="439" w:lineRule="exact"/>
        <w:ind w:left="0" w:right="0" w:firstLine="48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金融资产减值的会计处理方法</w:t>
      </w:r>
    </w:p>
    <w:p>
      <w:pPr>
        <w:pStyle w:val="Style18"/>
        <w:keepNext w:val="0"/>
        <w:keepLines w:val="0"/>
        <w:widowControl w:val="0"/>
        <w:shd w:val="clear" w:color="auto" w:fill="auto"/>
        <w:bidi w:val="0"/>
        <w:spacing w:before="0" w:after="360" w:line="444" w:lineRule="exact"/>
        <w:ind w:left="0" w:right="0" w:firstLine="480"/>
        <w:jc w:val="both"/>
      </w:pPr>
      <w:r>
        <w:rPr>
          <w:color w:val="000000"/>
          <w:spacing w:val="0"/>
          <w:w w:val="100"/>
          <w:position w:val="0"/>
        </w:rPr>
        <w:t>期末，本公司计算各类金融资产的预计信用损失，如果该预计信用损失大于其当前减值 准备的账面金额，将其差额确认为减值损失；如果小于当前减值准备的账面金额，则将差额 确认为减值利得。</w:t>
      </w:r>
    </w:p>
    <w:p>
      <w:pPr>
        <w:pStyle w:val="Style32"/>
        <w:keepNext/>
        <w:keepLines/>
        <w:widowControl w:val="0"/>
        <w:shd w:val="clear" w:color="auto" w:fill="auto"/>
        <w:bidi w:val="0"/>
        <w:spacing w:before="0" w:after="100"/>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sz w:val="24"/>
          <w:szCs w:val="24"/>
        </w:rPr>
        <w:t>1</w:t>
      </w:r>
      <w:bookmarkEnd w:id="7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w:t>
      </w:r>
      <w:bookmarkEnd w:id="741"/>
      <w:bookmarkEnd w:id="742"/>
      <w:bookmarkEnd w:id="744"/>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本公司对于应收票据按照相当于整个存续期内的预期信用损失金额计量损失准备。基于</w:t>
      </w:r>
      <w:r>
        <w:br w:type="page"/>
      </w:r>
    </w:p>
    <w:p>
      <w:pPr>
        <w:pStyle w:val="Style25"/>
        <w:keepNext w:val="0"/>
        <w:keepLines w:val="0"/>
        <w:widowControl w:val="0"/>
        <w:shd w:val="clear" w:color="auto" w:fill="auto"/>
        <w:bidi w:val="0"/>
        <w:spacing w:before="0" w:after="0" w:line="240" w:lineRule="auto"/>
        <w:ind w:left="24" w:right="0" w:firstLine="0"/>
        <w:jc w:val="left"/>
        <w:rPr>
          <w:sz w:val="22"/>
          <w:szCs w:val="22"/>
        </w:rPr>
      </w:pPr>
      <w:r>
        <w:rPr>
          <w:color w:val="000000"/>
          <w:spacing w:val="0"/>
          <w:w w:val="100"/>
          <w:position w:val="0"/>
          <w:sz w:val="22"/>
          <w:szCs w:val="22"/>
        </w:rPr>
        <w:t>应收票据的信用风险特征，将其划分为不同组合:</w:t>
      </w:r>
    </w:p>
    <w:tbl>
      <w:tblPr>
        <w:tblOverlap w:val="never"/>
        <w:jc w:val="center"/>
        <w:tblLayout w:type="fixed"/>
      </w:tblPr>
      <w:tblGrid>
        <w:gridCol w:w="2213"/>
        <w:gridCol w:w="7512"/>
      </w:tblGrid>
      <w:tr>
        <w:trPr>
          <w:trHeight w:val="33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确定组合的依据</w:t>
            </w:r>
          </w:p>
        </w:tc>
      </w:tr>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根据承兑人的信用风险划分，应与</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组合划分相同</w:t>
            </w:r>
          </w:p>
        </w:tc>
      </w:tr>
      <w:tr>
        <w:trPr>
          <w:trHeight w:val="605"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745" w:name="bookmark745"/>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2"/>
                <w:szCs w:val="22"/>
              </w:rPr>
              <w:t>、应收账款</w:t>
            </w:r>
            <w:bookmarkEnd w:id="745"/>
          </w:p>
        </w:tc>
        <w:tc>
          <w:tcPr>
            <w:tcBorders>
              <w:top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val="0"/>
        <w:keepLines w:val="0"/>
        <w:widowControl w:val="0"/>
        <w:shd w:val="clear" w:color="auto" w:fill="auto"/>
        <w:bidi w:val="0"/>
        <w:spacing w:before="0" w:line="442" w:lineRule="exact"/>
        <w:ind w:left="0" w:right="0" w:firstLine="520"/>
        <w:jc w:val="left"/>
      </w:pPr>
      <w:r>
        <w:rPr>
          <w:color w:val="000000"/>
          <w:spacing w:val="0"/>
          <w:w w:val="100"/>
          <w:position w:val="0"/>
        </w:rPr>
        <w:t>对于不含重大融资成分的应收款项，本公司按照相当于整个存续期内的预期信用损失金 额计量损失准备。</w:t>
      </w:r>
    </w:p>
    <w:p>
      <w:pPr>
        <w:pStyle w:val="Style18"/>
        <w:keepNext w:val="0"/>
        <w:keepLines w:val="0"/>
        <w:widowControl w:val="0"/>
        <w:shd w:val="clear" w:color="auto" w:fill="auto"/>
        <w:bidi w:val="0"/>
        <w:spacing w:before="0" w:line="446" w:lineRule="exact"/>
        <w:ind w:left="0" w:right="0" w:firstLine="520"/>
        <w:jc w:val="left"/>
      </w:pPr>
      <w:r>
        <w:rPr>
          <w:color w:val="000000"/>
          <w:spacing w:val="0"/>
          <w:w w:val="100"/>
          <w:position w:val="0"/>
        </w:rPr>
        <w:t>对于包含重大融资成分的应收款项，本公司选择始终按照相当于存续期内预期信用损失 的金额计量损失准备。</w:t>
      </w:r>
    </w:p>
    <w:p>
      <w:pPr>
        <w:pStyle w:val="Style25"/>
        <w:keepNext w:val="0"/>
        <w:keepLines w:val="0"/>
        <w:widowControl w:val="0"/>
        <w:shd w:val="clear" w:color="auto" w:fill="auto"/>
        <w:bidi w:val="0"/>
        <w:spacing w:before="0" w:after="0" w:line="422" w:lineRule="exact"/>
        <w:ind w:left="43" w:right="0" w:firstLine="0"/>
        <w:jc w:val="left"/>
        <w:rPr>
          <w:sz w:val="22"/>
          <w:szCs w:val="22"/>
        </w:rPr>
      </w:pPr>
      <w:r>
        <w:rPr>
          <w:color w:val="000000"/>
          <w:spacing w:val="0"/>
          <w:w w:val="100"/>
          <w:position w:val="0"/>
          <w:sz w:val="22"/>
          <w:szCs w:val="22"/>
        </w:rPr>
        <w:t>除了单项评估信用风险的应收账款和合同资产外，基于其信用风险特征，将其划分为不 同组合:</w:t>
      </w:r>
    </w:p>
    <w:tbl>
      <w:tblPr>
        <w:tblOverlap w:val="never"/>
        <w:jc w:val="center"/>
        <w:tblLayout w:type="fixed"/>
      </w:tblPr>
      <w:tblGrid>
        <w:gridCol w:w="2611"/>
        <w:gridCol w:w="7114"/>
      </w:tblGrid>
      <w:tr>
        <w:trPr>
          <w:trHeight w:val="33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确定组合的依据</w:t>
            </w:r>
          </w:p>
        </w:tc>
      </w:tr>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本组合以应收款项的账龄作为信用风险特征。</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本组合为合并范围内的关联方的应收款项。</w:t>
            </w:r>
          </w:p>
        </w:tc>
      </w:tr>
      <w:tr>
        <w:trPr>
          <w:trHeight w:val="494"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各组合预期信用损失率如下列示：</w:t>
            </w:r>
          </w:p>
        </w:tc>
      </w:tr>
      <w:tr>
        <w:trPr>
          <w:trHeight w:val="398"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（账龄组合）：</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预期信用损失率</w:t>
            </w:r>
          </w:p>
        </w:tc>
      </w:tr>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color w:val="000000"/>
                <w:spacing w:val="0"/>
                <w:w w:val="100"/>
                <w:position w:val="0"/>
              </w:rPr>
              <w:t>％</w:t>
            </w:r>
            <w:r>
              <w:rPr>
                <w:color w:val="000000"/>
                <w:spacing w:val="0"/>
                <w:w w:val="100"/>
                <w:position w:val="0"/>
              </w:rPr>
              <w:t>）</w:t>
            </w:r>
          </w:p>
        </w:tc>
      </w:tr>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4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355" w:hRule="exact"/>
        </w:trPr>
        <w:tc>
          <w:tcPr>
            <w:tcBorders>
              <w:top w:val="single" w:sz="4"/>
              <w:bottom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18"/>
        <w:keepNext w:val="0"/>
        <w:keepLines w:val="0"/>
        <w:widowControl w:val="0"/>
        <w:shd w:val="clear" w:color="auto" w:fill="auto"/>
        <w:bidi w:val="0"/>
        <w:spacing w:before="0" w:after="360" w:line="446" w:lineRule="exact"/>
        <w:ind w:left="0" w:right="0" w:firstLine="52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（关联方组合）：结合历史违约损失经验及目前经济状况、考虑前瞻性信息，对合 并范围内关联方组合单独进行测试，如不存在减值的，不计提。</w:t>
      </w:r>
    </w:p>
    <w:p>
      <w:pPr>
        <w:pStyle w:val="Style32"/>
        <w:keepNext/>
        <w:keepLines/>
        <w:widowControl w:val="0"/>
        <w:shd w:val="clear" w:color="auto" w:fill="auto"/>
        <w:bidi w:val="0"/>
        <w:spacing w:before="0" w:line="240" w:lineRule="auto"/>
        <w:ind w:left="0" w:right="0" w:firstLine="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、应收款项融资</w:t>
      </w:r>
      <w:bookmarkEnd w:id="746"/>
      <w:bookmarkEnd w:id="747"/>
      <w:bookmarkEnd w:id="748"/>
    </w:p>
    <w:p>
      <w:pPr>
        <w:pStyle w:val="Style25"/>
        <w:keepNext w:val="0"/>
        <w:keepLines w:val="0"/>
        <w:widowControl w:val="0"/>
        <w:shd w:val="clear" w:color="auto" w:fill="auto"/>
        <w:bidi w:val="0"/>
        <w:spacing w:before="0" w:after="0" w:line="451" w:lineRule="exact"/>
        <w:ind w:left="38" w:right="0" w:firstLine="0"/>
        <w:jc w:val="left"/>
        <w:rPr>
          <w:sz w:val="22"/>
          <w:szCs w:val="22"/>
        </w:rPr>
      </w:pPr>
      <w:r>
        <w:rPr>
          <w:color w:val="000000"/>
          <w:spacing w:val="0"/>
          <w:w w:val="100"/>
          <w:position w:val="0"/>
          <w:sz w:val="22"/>
          <w:szCs w:val="22"/>
        </w:rPr>
        <w:t>本公司对于应收票据按照相当于整个存续期内的预期信用损失金额计量损失准备。基于 应收票据的信用风险特征，将其划分为不同组合：</w:t>
      </w:r>
    </w:p>
    <w:tbl>
      <w:tblPr>
        <w:tblOverlap w:val="never"/>
        <w:jc w:val="center"/>
        <w:tblLayout w:type="fixed"/>
      </w:tblPr>
      <w:tblGrid>
        <w:gridCol w:w="2150"/>
        <w:gridCol w:w="7589"/>
      </w:tblGrid>
      <w:tr>
        <w:trPr>
          <w:trHeight w:val="34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确定组合的依据</w:t>
            </w:r>
          </w:p>
        </w:tc>
      </w:tr>
      <w:tr>
        <w:trPr>
          <w:trHeight w:val="35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承兑人为信用风险较小的银行或财务公司</w:t>
            </w:r>
          </w:p>
        </w:tc>
      </w:tr>
    </w:tbl>
    <w:p>
      <w:pPr>
        <w:pStyle w:val="Style18"/>
        <w:keepNext w:val="0"/>
        <w:keepLines w:val="0"/>
        <w:widowControl w:val="0"/>
        <w:shd w:val="clear" w:color="auto" w:fill="auto"/>
        <w:bidi w:val="0"/>
        <w:spacing w:before="0" w:after="260" w:line="442" w:lineRule="exact"/>
        <w:ind w:left="0" w:right="0" w:firstLine="520"/>
        <w:jc w:val="left"/>
      </w:pPr>
      <w:r>
        <w:rPr>
          <w:color w:val="000000"/>
          <w:spacing w:val="0"/>
          <w:w w:val="100"/>
          <w:position w:val="0"/>
        </w:rPr>
        <w:t>结合历史违约损失经验及目前经济状况、考虑前瞻性信息，对银行承兑汇票组合单独进 行测试，如不存在减值的，不计提。</w:t>
      </w:r>
    </w:p>
    <w:p>
      <w:pPr>
        <w:pStyle w:val="Style32"/>
        <w:keepNext/>
        <w:keepLines/>
        <w:widowControl w:val="0"/>
        <w:shd w:val="clear" w:color="auto" w:fill="auto"/>
        <w:bidi w:val="0"/>
        <w:spacing w:before="0" w:line="240" w:lineRule="auto"/>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、其他应收款</w:t>
      </w:r>
      <w:bookmarkEnd w:id="749"/>
      <w:bookmarkEnd w:id="750"/>
      <w:bookmarkEnd w:id="751"/>
    </w:p>
    <w:p>
      <w:pPr>
        <w:pStyle w:val="Style18"/>
        <w:keepNext w:val="0"/>
        <w:keepLines w:val="0"/>
        <w:widowControl w:val="0"/>
        <w:shd w:val="clear" w:color="auto" w:fill="auto"/>
        <w:bidi w:val="0"/>
        <w:spacing w:before="0" w:after="0" w:line="451" w:lineRule="exact"/>
        <w:ind w:left="0" w:right="0" w:firstLine="50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451" w:lineRule="exact"/>
        <w:ind w:left="0" w:right="0" w:firstLine="50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180" w:line="451" w:lineRule="exact"/>
        <w:ind w:left="0" w:right="0" w:firstLine="50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 月内、或整个存续期的预期信用损失的金额计量减值损失。除了单项评估信用风险的其他应</w:t>
      </w:r>
    </w:p>
    <w:tbl>
      <w:tblPr>
        <w:tblOverlap w:val="never"/>
        <w:jc w:val="center"/>
        <w:tblLayout w:type="fixed"/>
      </w:tblPr>
      <w:tblGrid>
        <w:gridCol w:w="2957"/>
        <w:gridCol w:w="6725"/>
      </w:tblGrid>
      <w:tr>
        <w:trPr>
          <w:trHeight w:val="317"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收款外，基于其信用风险特，</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征，将其划分为不同组合：</w:t>
            </w:r>
          </w:p>
        </w:tc>
      </w:tr>
      <w:tr>
        <w:trPr>
          <w:trHeight w:val="336"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本组合为合并范围内的关联方的应收款项。</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3 </w:t>
            </w:r>
            <w:r>
              <w:rPr>
                <w:color w:val="000000"/>
                <w:spacing w:val="0"/>
                <w:w w:val="100"/>
                <w:position w:val="0"/>
              </w:rPr>
              <w:t>（清算款组合）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本组合为子公司清算支付给股东的款项。</w:t>
            </w:r>
          </w:p>
        </w:tc>
      </w:tr>
    </w:tbl>
    <w:p>
      <w:pPr>
        <w:pStyle w:val="Style18"/>
        <w:keepNext w:val="0"/>
        <w:keepLines w:val="0"/>
        <w:widowControl w:val="0"/>
        <w:shd w:val="clear" w:color="auto" w:fill="auto"/>
        <w:bidi w:val="0"/>
        <w:spacing w:before="0" w:after="0" w:line="451" w:lineRule="exact"/>
        <w:ind w:left="0" w:right="0" w:firstLine="50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（关联方组合）：结合历史违约损失经验及目前经济状况、考虑前瞻性信息，对合 并范围内关联方组合单独进行测试，如不存在减值的，不计提。</w:t>
      </w:r>
    </w:p>
    <w:p>
      <w:pPr>
        <w:pStyle w:val="Style18"/>
        <w:keepNext w:val="0"/>
        <w:keepLines w:val="0"/>
        <w:widowControl w:val="0"/>
        <w:shd w:val="clear" w:color="auto" w:fill="auto"/>
        <w:bidi w:val="0"/>
        <w:spacing w:before="0" w:after="180" w:line="446" w:lineRule="exact"/>
        <w:ind w:left="0" w:right="0" w:firstLine="500"/>
        <w:jc w:val="left"/>
      </w:pPr>
      <w:r>
        <w:rPr>
          <w:color w:val="000000"/>
          <w:spacing w:val="0"/>
          <w:w w:val="100"/>
          <w:position w:val="0"/>
        </w:rPr>
        <w:t>组合</w:t>
      </w:r>
      <w:r>
        <w:rPr>
          <w:rFonts w:ascii="Times New Roman" w:eastAsia="Times New Roman" w:hAnsi="Times New Roman" w:cs="Times New Roman"/>
          <w:color w:val="000000"/>
          <w:spacing w:val="0"/>
          <w:w w:val="100"/>
          <w:position w:val="0"/>
        </w:rPr>
        <w:t xml:space="preserve">3 </w:t>
      </w:r>
      <w:r>
        <w:rPr>
          <w:color w:val="000000"/>
          <w:spacing w:val="0"/>
          <w:w w:val="100"/>
          <w:position w:val="0"/>
        </w:rPr>
        <w:t>（清算款组合）：结合历史违约损失经验及目前经济状况、考虑前瞻性信息，对清 算款组合单独进行测试，如不存在减值的，不计提。</w:t>
      </w:r>
    </w:p>
    <w:p>
      <w:pPr>
        <w:pStyle w:val="Style32"/>
        <w:keepNext/>
        <w:keepLines/>
        <w:widowControl w:val="0"/>
        <w:shd w:val="clear" w:color="auto" w:fill="auto"/>
        <w:bidi w:val="0"/>
        <w:spacing w:before="0" w:line="439" w:lineRule="exact"/>
        <w:ind w:left="0" w:right="0" w:firstLine="0"/>
        <w:jc w:val="left"/>
      </w:pPr>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、存货</w:t>
      </w:r>
      <w:bookmarkEnd w:id="752"/>
      <w:bookmarkEnd w:id="753"/>
      <w:bookmarkEnd w:id="754"/>
    </w:p>
    <w:p>
      <w:pPr>
        <w:pStyle w:val="Style18"/>
        <w:keepNext w:val="0"/>
        <w:keepLines w:val="0"/>
        <w:widowControl w:val="0"/>
        <w:shd w:val="clear" w:color="auto" w:fill="auto"/>
        <w:tabs>
          <w:tab w:pos="1026" w:val="left"/>
        </w:tabs>
        <w:bidi w:val="0"/>
        <w:spacing w:before="0" w:after="0" w:line="439" w:lineRule="exact"/>
        <w:ind w:left="0" w:right="0" w:firstLine="500"/>
        <w:jc w:val="left"/>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p>
    <w:p>
      <w:pPr>
        <w:pStyle w:val="Style18"/>
        <w:keepNext w:val="0"/>
        <w:keepLines w:val="0"/>
        <w:widowControl w:val="0"/>
        <w:shd w:val="clear" w:color="auto" w:fill="auto"/>
        <w:bidi w:val="0"/>
        <w:spacing w:before="0" w:after="0" w:line="439" w:lineRule="exact"/>
        <w:ind w:left="0" w:right="0" w:firstLine="500"/>
        <w:jc w:val="left"/>
      </w:pPr>
      <w:r>
        <w:rPr>
          <w:color w:val="000000"/>
          <w:spacing w:val="0"/>
          <w:w w:val="100"/>
          <w:position w:val="0"/>
        </w:rPr>
        <w:t>存货主要包括原材料、在产品、发出商品、库存商品、委托加工物资等。</w:t>
      </w:r>
    </w:p>
    <w:p>
      <w:pPr>
        <w:pStyle w:val="Style18"/>
        <w:keepNext w:val="0"/>
        <w:keepLines w:val="0"/>
        <w:widowControl w:val="0"/>
        <w:shd w:val="clear" w:color="auto" w:fill="auto"/>
        <w:tabs>
          <w:tab w:pos="1026" w:val="left"/>
        </w:tabs>
        <w:bidi w:val="0"/>
        <w:spacing w:before="0" w:after="0" w:line="439" w:lineRule="exact"/>
        <w:ind w:left="0" w:right="0" w:firstLine="50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存货取得和发出的计价方法</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存货在取得时按实际成本计价，存货成本包括采购成本、加工成本和其他成本。领用和 发出时按加权平均法计价。</w:t>
      </w:r>
    </w:p>
    <w:p>
      <w:pPr>
        <w:pStyle w:val="Style18"/>
        <w:keepNext w:val="0"/>
        <w:keepLines w:val="0"/>
        <w:widowControl w:val="0"/>
        <w:shd w:val="clear" w:color="auto" w:fill="auto"/>
        <w:tabs>
          <w:tab w:pos="1026" w:val="left"/>
        </w:tabs>
        <w:bidi w:val="0"/>
        <w:spacing w:before="0" w:after="0" w:line="439" w:lineRule="exact"/>
        <w:ind w:left="0" w:right="0" w:firstLine="50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存货可变现净值的确认和跌价准备的计提方法</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在资产负债表日，存货按照成本与可变现净值孰低计量。当其可变现净值低于成本时， 提取存货跌价准备。存货跌价准备通常按单个存货项目的成本高于其可变现净值的差额提取。</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18"/>
        <w:keepNext w:val="0"/>
        <w:keepLines w:val="0"/>
        <w:widowControl w:val="0"/>
        <w:shd w:val="clear" w:color="auto" w:fill="auto"/>
        <w:tabs>
          <w:tab w:pos="1026" w:val="left"/>
        </w:tabs>
        <w:bidi w:val="0"/>
        <w:spacing w:before="0" w:after="0" w:line="439" w:lineRule="exact"/>
        <w:ind w:left="0" w:right="0" w:firstLine="50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存货的盘存制度为永续盘存制。</w:t>
      </w:r>
    </w:p>
    <w:p>
      <w:pPr>
        <w:pStyle w:val="Style18"/>
        <w:keepNext w:val="0"/>
        <w:keepLines w:val="0"/>
        <w:widowControl w:val="0"/>
        <w:shd w:val="clear" w:color="auto" w:fill="auto"/>
        <w:tabs>
          <w:tab w:pos="1026" w:val="left"/>
        </w:tabs>
        <w:bidi w:val="0"/>
        <w:spacing w:before="0" w:after="0" w:line="439" w:lineRule="exact"/>
        <w:ind w:left="0" w:right="0" w:firstLine="50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低值易耗品和包装物的摊销方法</w:t>
      </w:r>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低值易耗品于领用时按一次摊销法摊销；包装物于领用时按一次摊销法摊销。</w:t>
      </w:r>
    </w:p>
    <w:p>
      <w:pPr>
        <w:pStyle w:val="Style32"/>
        <w:keepNext/>
        <w:keepLines/>
        <w:widowControl w:val="0"/>
        <w:shd w:val="clear" w:color="auto" w:fill="auto"/>
        <w:tabs>
          <w:tab w:pos="504" w:val="left"/>
        </w:tabs>
        <w:bidi w:val="0"/>
        <w:spacing w:before="0" w:after="120" w:line="384"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sz w:val="24"/>
          <w:szCs w:val="24"/>
        </w:rPr>
        <w:t>1</w:t>
      </w:r>
      <w:bookmarkEnd w:id="762"/>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合同资产</w:t>
      </w:r>
      <w:bookmarkEnd w:id="760"/>
      <w:bookmarkEnd w:id="761"/>
      <w:bookmarkEnd w:id="763"/>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合同资产的确认方法及标准</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合同资产，是指本公司已向客户转让商品而有权收取对价的权利，且该权利取决于时间 流逝之外的其他因素。如本公司向客户销售两项可明确区分的商品，因已交付其中一项商品 而有权收取款项，但收取该款项还取决于交付另一项商品的，本公司将该收款权利作为合同 资产。</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会计处理方法，本公司在资产负债表日计算合同资产预期信用损失，如果该预期信用损 失大于当前合同资产减值准备的账面金额，本公司将其差额确认为减值损失，借记“资产减 值损失”，贷记“合同资产减值准备”。相反，本公司将差额确认为减值利得，做相反的会 计记录。</w:t>
      </w:r>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本公司实际发生信用损失，认定相关合同资产无法收回，经批准予以核销的，根据批准 的核销金额，借记“合同资产减值准备”，贷记“合同资产”。若核销金额大于已计提的损 失准备，按其差额借记“资产减值损失”。</w:t>
      </w:r>
    </w:p>
    <w:p>
      <w:pPr>
        <w:pStyle w:val="Style32"/>
        <w:keepNext/>
        <w:keepLines/>
        <w:widowControl w:val="0"/>
        <w:shd w:val="clear" w:color="auto" w:fill="auto"/>
        <w:tabs>
          <w:tab w:pos="504" w:val="left"/>
        </w:tabs>
        <w:bidi w:val="0"/>
        <w:spacing w:before="0" w:after="120" w:line="384"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sz w:val="24"/>
          <w:szCs w:val="24"/>
        </w:rPr>
        <w:t>1</w:t>
      </w:r>
      <w:bookmarkEnd w:id="766"/>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合同成本</w:t>
      </w:r>
      <w:bookmarkEnd w:id="764"/>
      <w:bookmarkEnd w:id="765"/>
      <w:bookmarkEnd w:id="767"/>
    </w:p>
    <w:p>
      <w:pPr>
        <w:pStyle w:val="Style18"/>
        <w:keepNext w:val="0"/>
        <w:keepLines w:val="0"/>
        <w:widowControl w:val="0"/>
        <w:shd w:val="clear" w:color="auto" w:fill="auto"/>
        <w:tabs>
          <w:tab w:pos="1003" w:val="left"/>
        </w:tabs>
        <w:bidi w:val="0"/>
        <w:spacing w:before="0" w:after="0" w:line="440" w:lineRule="exact"/>
        <w:ind w:left="0" w:right="0" w:firstLine="48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与合同成本有关的资产金额的确定方法</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本公司与合同成本有关的资产包括合同履约成本和合同取得成本。</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合同履约成本，即本公司为履行合同发生的成本，不属于其他企业会计准则规范范围且 同时满足下列条件的，作为合同履约成本确认为一项资产：该成本与一份当前或预期取得的 合同直接相关，包括直接人工、直接材料、制造费用（或类似费用）、明确由客户承担的成 本以及仅因该合同而发生的其他成本；该成本增加了本公司未来用于履行履约义务的资源； 该成本预期能够收回。</w:t>
      </w:r>
    </w:p>
    <w:p>
      <w:pPr>
        <w:pStyle w:val="Style18"/>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合同取得成本，即本公司为取得合同发生的增量成本预期能够收回的，作为合同取得成 本确认为一项资产；该资产摊销期限不超过一年的，在发生时计入当期损益。增量成本，是 指本公司不取得合同就不会发生的成本（如销售佣金等）。本公司为取得合同发生的、除预 期能够收回的增量成本之外的其他支出（如无论是否取得合同均会发生的差旅费等），在发 生时计入当期损益，但是，明确由客户承担的除外。</w:t>
      </w:r>
    </w:p>
    <w:p>
      <w:pPr>
        <w:pStyle w:val="Style18"/>
        <w:keepNext w:val="0"/>
        <w:keepLines w:val="0"/>
        <w:widowControl w:val="0"/>
        <w:shd w:val="clear" w:color="auto" w:fill="auto"/>
        <w:tabs>
          <w:tab w:pos="1003" w:val="left"/>
        </w:tabs>
        <w:bidi w:val="0"/>
        <w:spacing w:before="0" w:after="120" w:line="440" w:lineRule="exact"/>
        <w:ind w:left="0" w:right="0" w:firstLine="48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与合同成本有关的资产的摊销</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本公司与合同成本有关的资产采用与该资产相关的商品收入确认相同的基础进行摊销， 计入当期损益。</w:t>
      </w:r>
    </w:p>
    <w:p>
      <w:pPr>
        <w:pStyle w:val="Style18"/>
        <w:keepNext w:val="0"/>
        <w:keepLines w:val="0"/>
        <w:widowControl w:val="0"/>
        <w:shd w:val="clear" w:color="auto" w:fill="auto"/>
        <w:bidi w:val="0"/>
        <w:spacing w:before="0" w:after="0" w:line="442" w:lineRule="exact"/>
        <w:ind w:left="0" w:right="0" w:firstLine="4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）与合同成本有关的资产的减值</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本公司在确定与合同成本有关的资产的减值损失时，首先对按照其他相关企业会计准则 确认的、与合同有关的其他资产确定减值损失；然后根据其账面价值高于本公司因转让与该 资产相关的商品预期能够取得的剩余对价以及为转让该相关商品估计将要发生的成本这两项 差额的，超出部分应当计提减值准备，并确认为资产减值损失。</w:t>
      </w:r>
    </w:p>
    <w:p>
      <w:pPr>
        <w:pStyle w:val="Style18"/>
        <w:keepNext w:val="0"/>
        <w:keepLines w:val="0"/>
        <w:widowControl w:val="0"/>
        <w:shd w:val="clear" w:color="auto" w:fill="auto"/>
        <w:bidi w:val="0"/>
        <w:spacing w:before="0" w:after="360" w:line="442" w:lineRule="exact"/>
        <w:ind w:left="0" w:right="0" w:firstLine="480"/>
        <w:jc w:val="both"/>
      </w:pPr>
      <w:r>
        <w:rPr>
          <w:color w:val="000000"/>
          <w:spacing w:val="0"/>
          <w:w w:val="100"/>
          <w:position w:val="0"/>
        </w:rPr>
        <w:t>以前期间减值的因素之后发生变化，使得前述差额高于该资产账面价值的，转回原已计 提的资产减值准备，并计入当期损益，但转回后的资产账面价值不应超过假定不计提减值准 备情况下该资产在转回日的账面价值。</w:t>
      </w:r>
    </w:p>
    <w:p>
      <w:pPr>
        <w:pStyle w:val="Style32"/>
        <w:keepNext/>
        <w:keepLines/>
        <w:widowControl w:val="0"/>
        <w:shd w:val="clear" w:color="auto" w:fill="auto"/>
        <w:bidi w:val="0"/>
        <w:spacing w:before="0" w:after="100" w:line="384"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sz w:val="24"/>
          <w:szCs w:val="24"/>
        </w:rPr>
        <w:t>1</w:t>
      </w:r>
      <w:bookmarkEnd w:id="773"/>
      <w:r>
        <w:rPr>
          <w:rFonts w:ascii="Times New Roman" w:eastAsia="Times New Roman" w:hAnsi="Times New Roman" w:cs="Times New Roman"/>
          <w:color w:val="000000"/>
          <w:spacing w:val="0"/>
          <w:w w:val="100"/>
          <w:position w:val="0"/>
          <w:sz w:val="24"/>
          <w:szCs w:val="24"/>
        </w:rPr>
        <w:t>8</w:t>
      </w:r>
      <w:r>
        <w:rPr>
          <w:color w:val="000000"/>
          <w:spacing w:val="0"/>
          <w:w w:val="100"/>
          <w:position w:val="0"/>
        </w:rPr>
        <w:t>、持有待售资产</w:t>
      </w:r>
      <w:bookmarkEnd w:id="771"/>
      <w:bookmarkEnd w:id="772"/>
      <w:bookmarkEnd w:id="774"/>
    </w:p>
    <w:p>
      <w:pPr>
        <w:pStyle w:val="Style18"/>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本公司将同时符合下列条件的非流动资产或处置组划分为持有待售：（</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）根据类似交易 中出售此类资产或处置组的惯例，在当前状况下即可立即出售；（</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）出售极可能发生，即已 经就一项出售计划作出决议且获得确定的购买承诺，预计出售将在一年内完成。有关规定要 求相关权力机构或者监管部门批准后方可出售的需要获得相关批准。本公司将非流动资产或 处置组首次划分为持有待售类别前，按照相关会计准则规定计量非流动资产或处置组中各项 资产和负债的账面价值。初始计量或在资产负债表日重新计量持有待售的非流动资产或处置 组时，其账面价值高于公允价值减去出售费用后的净额的，将账面价值减记至公允价值减去 出售费用后的净额，减记的金额确认为资产减值损失，计入当期损益，同时计提持有待售资 产减值准备。</w:t>
      </w:r>
    </w:p>
    <w:p>
      <w:pPr>
        <w:pStyle w:val="Style18"/>
        <w:keepNext w:val="0"/>
        <w:keepLines w:val="0"/>
        <w:widowControl w:val="0"/>
        <w:shd w:val="clear" w:color="auto" w:fill="auto"/>
        <w:bidi w:val="0"/>
        <w:spacing w:before="0" w:after="0" w:line="441" w:lineRule="exact"/>
        <w:ind w:left="0" w:right="0" w:firstLine="480"/>
        <w:jc w:val="both"/>
      </w:pPr>
      <w:r>
        <w:rPr>
          <w:color w:val="000000"/>
          <w:spacing w:val="0"/>
          <w:w w:val="100"/>
          <w:position w:val="0"/>
        </w:rPr>
        <w:t>本公司专为转售而取得的非流动资产或处置组，在取得日满足“预计出售将在一年内完 成”的规定条件，且短期（通常为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个月）内很可能满足持有待售类别的其他划分条件的，在 取得日将其划分为持有待售类别。在初始计量时，比较假定其不划分为持有待售类别情况下 的初始计量金额和公允价值减去出售费用后的净额，以两者孰低计量。除企业合并中取得的 非流动资产或处置组外，由非流动资产或处置组以公允价值减去出售费用后的净额作为初始 计量金额而产生的差额，计入当期损益。</w:t>
      </w:r>
    </w:p>
    <w:p>
      <w:pPr>
        <w:pStyle w:val="Style18"/>
        <w:keepNext w:val="0"/>
        <w:keepLines w:val="0"/>
        <w:widowControl w:val="0"/>
        <w:shd w:val="clear" w:color="auto" w:fill="auto"/>
        <w:bidi w:val="0"/>
        <w:spacing w:before="0" w:after="100" w:line="441" w:lineRule="exact"/>
        <w:ind w:left="0" w:right="0" w:firstLine="480"/>
        <w:jc w:val="both"/>
      </w:pPr>
      <w:r>
        <w:rPr>
          <w:color w:val="000000"/>
          <w:spacing w:val="0"/>
          <w:w w:val="100"/>
          <w:position w:val="0"/>
        </w:rPr>
        <w:t>本公司因出售对子公司的投资等原因导致丧失对子公司控制权的，无论出售后本公司是 否保留部分权益性投资，在拟出售的对子公司投资满足持有待售类别划分条件时，在母公司 个别财务报表中将对子公司投资整体划分为持有待售类别，在合并财务报表中将子公司所有 资产和负债划分为持有待售类别。</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后续资产负债表日持有待售的非流动资产公允价值减去出售费用后的净额增加的，以前 减记的金额应当予以恢复，并在划分为持有待售类别后确认的资产减值损失金额内转回，转 回金额计入当期损益。划分为持有待售类别前确认的资产减值损失不得转回。</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对于持有待售的处置组确认的资产减值损失金额，先抵减处置组中商誉的账面价值，再 根据各项非流动资产账面价值所占比重，按比例抵减其账面价值。</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后续资产负债表日持有待售的处置组公允价值减去出售费用后的净额增加的，以前减记 的金额应当予以恢复，并在划分为持有待售类别后适用相关计量规定的非流动资产确认的资 产减值损失金额内转回，转回金额计入当期损益。已抵减的商誉账面价值，以及非流动资产 在划分为持有待售类别前确认的资产减值损失不得转回。</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持有待售的处置组确认的资产减值损失后续转回金额，根据处置组中除商誉外，各项非 流动资产账面价值所占比重，按比例增加其账面价值。</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持有待售的非流动资产或处置组中的非流动资产不计提折旧或摊销，持有待售的处置组 中负债的利息和其他费用继续予以确认。</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持有待售的非流动资产或处置组因不再满足持有待售类别的划分条件，而不再继续划分 为持有待售类别或非流动资产从持有待售的处置组中移除时，按照以下两者孰低计量：（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划分为持有待售类别前的账面价值，按照假定不划分为持有待售类别情况下本应确认的折旧、 摊销或减值等进行调整后的金额；（</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）可收回金额。</w:t>
      </w:r>
    </w:p>
    <w:p>
      <w:pPr>
        <w:pStyle w:val="Style18"/>
        <w:keepNext w:val="0"/>
        <w:keepLines w:val="0"/>
        <w:widowControl w:val="0"/>
        <w:shd w:val="clear" w:color="auto" w:fill="auto"/>
        <w:bidi w:val="0"/>
        <w:spacing w:before="0" w:after="360" w:line="436" w:lineRule="exact"/>
        <w:ind w:left="0" w:right="0" w:firstLine="480"/>
        <w:jc w:val="both"/>
      </w:pPr>
      <w:r>
        <w:rPr>
          <w:color w:val="000000"/>
          <w:spacing w:val="0"/>
          <w:w w:val="100"/>
          <w:position w:val="0"/>
        </w:rPr>
        <w:t>终止确认持有待售的非流动资产或处置组时，将尚未确认的利得或损失计入当期损益。</w:t>
      </w:r>
    </w:p>
    <w:p>
      <w:pPr>
        <w:pStyle w:val="Style32"/>
        <w:keepNext/>
        <w:keepLines/>
        <w:widowControl w:val="0"/>
        <w:shd w:val="clear" w:color="auto" w:fill="auto"/>
        <w:bidi w:val="0"/>
        <w:spacing w:before="0" w:after="100" w:line="379"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sz w:val="24"/>
          <w:szCs w:val="24"/>
        </w:rPr>
        <w:t>1</w:t>
      </w:r>
      <w:bookmarkEnd w:id="777"/>
      <w:r>
        <w:rPr>
          <w:rFonts w:ascii="Times New Roman" w:eastAsia="Times New Roman" w:hAnsi="Times New Roman" w:cs="Times New Roman"/>
          <w:color w:val="000000"/>
          <w:spacing w:val="0"/>
          <w:w w:val="100"/>
          <w:position w:val="0"/>
          <w:sz w:val="24"/>
          <w:szCs w:val="24"/>
        </w:rPr>
        <w:t>9</w:t>
      </w:r>
      <w:r>
        <w:rPr>
          <w:color w:val="000000"/>
          <w:spacing w:val="0"/>
          <w:w w:val="100"/>
          <w:position w:val="0"/>
        </w:rPr>
        <w:t>、债权投资</w:t>
      </w:r>
      <w:bookmarkEnd w:id="775"/>
      <w:bookmarkEnd w:id="776"/>
      <w:bookmarkEnd w:id="778"/>
    </w:p>
    <w:p>
      <w:pPr>
        <w:pStyle w:val="Style18"/>
        <w:keepNext w:val="0"/>
        <w:keepLines w:val="0"/>
        <w:widowControl w:val="0"/>
        <w:shd w:val="clear" w:color="auto" w:fill="auto"/>
        <w:tabs>
          <w:tab w:pos="1006" w:val="left"/>
        </w:tabs>
        <w:bidi w:val="0"/>
        <w:spacing w:before="0" w:after="0" w:line="442" w:lineRule="exact"/>
        <w:ind w:left="0" w:right="0" w:firstLine="4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债权投资确认方法及标准</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债权投资，是指本公司以收取合同现金流量为目标，不以出售该金融资产为目的的金融 资产等。自资产负债表日起一年内到期的长期债权投资的期末账面价值，在“一年内到期的 非流动资产”项目反映。企业购入的以摊余成本计量的一年内到期的债权投资的期末账面价 值，在“其他流动资产”项目反映。</w:t>
      </w:r>
    </w:p>
    <w:p>
      <w:pPr>
        <w:pStyle w:val="Style18"/>
        <w:keepNext w:val="0"/>
        <w:keepLines w:val="0"/>
        <w:widowControl w:val="0"/>
        <w:shd w:val="clear" w:color="auto" w:fill="auto"/>
        <w:tabs>
          <w:tab w:pos="1006" w:val="left"/>
        </w:tabs>
        <w:bidi w:val="0"/>
        <w:spacing w:before="0" w:after="0" w:line="436" w:lineRule="exact"/>
        <w:ind w:left="0" w:right="0" w:firstLine="4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债权投资的预期信用损失的确定方法及会计处理方法</w:t>
      </w:r>
    </w:p>
    <w:p>
      <w:pPr>
        <w:pStyle w:val="Style18"/>
        <w:keepNext w:val="0"/>
        <w:keepLines w:val="0"/>
        <w:widowControl w:val="0"/>
        <w:shd w:val="clear" w:color="auto" w:fill="auto"/>
        <w:bidi w:val="0"/>
        <w:spacing w:before="0" w:after="0" w:line="436" w:lineRule="exact"/>
        <w:ind w:left="0" w:right="0" w:firstLine="480"/>
        <w:jc w:val="both"/>
      </w:pPr>
      <w:r>
        <w:rPr>
          <w:color w:val="000000"/>
          <w:spacing w:val="0"/>
          <w:w w:val="100"/>
          <w:position w:val="0"/>
        </w:rPr>
        <w:t>债权投资的预期信用损失的确定方法，详见附注五、</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“金融资产减值”。</w:t>
      </w:r>
    </w:p>
    <w:p>
      <w:pPr>
        <w:pStyle w:val="Style32"/>
        <w:keepNext/>
        <w:keepLines/>
        <w:widowControl w:val="0"/>
        <w:shd w:val="clear" w:color="auto" w:fill="auto"/>
        <w:bidi w:val="0"/>
        <w:spacing w:before="0" w:after="1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sz w:val="24"/>
          <w:szCs w:val="24"/>
        </w:rPr>
        <w:t>2</w:t>
      </w:r>
      <w:bookmarkEnd w:id="783"/>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、其他债权投资</w:t>
      </w:r>
      <w:bookmarkEnd w:id="781"/>
      <w:bookmarkEnd w:id="782"/>
      <w:bookmarkEnd w:id="784"/>
    </w:p>
    <w:p>
      <w:pPr>
        <w:pStyle w:val="Style32"/>
        <w:keepNext/>
        <w:keepLines/>
        <w:widowControl w:val="0"/>
        <w:shd w:val="clear" w:color="auto" w:fill="auto"/>
        <w:tabs>
          <w:tab w:pos="472" w:val="left"/>
        </w:tabs>
        <w:bidi w:val="0"/>
        <w:spacing w:before="0" w:after="160" w:line="442" w:lineRule="exact"/>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sz w:val="24"/>
          <w:szCs w:val="24"/>
        </w:rPr>
        <w:t>2</w:t>
      </w:r>
      <w:bookmarkEnd w:id="7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长期应收款</w:t>
      </w:r>
      <w:bookmarkEnd w:id="785"/>
      <w:bookmarkEnd w:id="786"/>
      <w:bookmarkEnd w:id="788"/>
    </w:p>
    <w:p>
      <w:pPr>
        <w:pStyle w:val="Style32"/>
        <w:keepNext/>
        <w:keepLines/>
        <w:widowControl w:val="0"/>
        <w:shd w:val="clear" w:color="auto" w:fill="auto"/>
        <w:tabs>
          <w:tab w:pos="472" w:val="left"/>
        </w:tabs>
        <w:bidi w:val="0"/>
        <w:spacing w:before="0" w:line="442"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sz w:val="24"/>
          <w:szCs w:val="24"/>
        </w:rPr>
        <w:t>2</w:t>
      </w:r>
      <w:bookmarkEnd w:id="79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长期股权投资</w:t>
      </w:r>
      <w:bookmarkEnd w:id="789"/>
      <w:bookmarkEnd w:id="790"/>
      <w:bookmarkEnd w:id="792"/>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本公司长期股权投资主要是对子公司的投资、对联营企业的投资和对合营企业的投资。</w:t>
      </w:r>
    </w:p>
    <w:p>
      <w:pPr>
        <w:pStyle w:val="Style18"/>
        <w:keepNext w:val="0"/>
        <w:keepLines w:val="0"/>
        <w:widowControl w:val="0"/>
        <w:shd w:val="clear" w:color="auto" w:fill="auto"/>
        <w:bidi w:val="0"/>
        <w:spacing w:before="0" w:after="0" w:line="451" w:lineRule="exact"/>
        <w:ind w:left="0" w:right="0" w:firstLine="500"/>
        <w:jc w:val="both"/>
      </w:pPr>
      <w:r>
        <w:rPr>
          <w:color w:val="000000"/>
          <w:spacing w:val="0"/>
          <w:w w:val="100"/>
          <w:position w:val="0"/>
        </w:rPr>
        <w:t>本公司对共同控制的判断依据是所有参与方或参与方组合集体控制该安排，并且该安排 相关活动的政策必须经过这些集体控制该安排的参与方一致同意。</w:t>
      </w:r>
    </w:p>
    <w:p>
      <w:pPr>
        <w:pStyle w:val="Style18"/>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%的表决权时， 通常认为对被投资单位具有重大影响。持有被投资单位</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通过多次交易分步取得同一控制下被投资单位的股权，最终形成企业合并，属于一揽子 交易的，本公司将各项交易作为一项取得控制权的交易进行会计处理。不属于一览交易的， 在合并日，根据合并后享有被合并方净资产在最终控制方合并财务报表中的账面价值的份额 作为长期股权投资的的初始投资成本。初始投资成本与达到合并前的长期股权投资账面价值 加上合并日进一步取得股份新支付对价的账面价值之和的差额，调整资本公积，资本公积不 足冲减的，冲减留存收益。</w:t>
      </w:r>
    </w:p>
    <w:p>
      <w:pPr>
        <w:pStyle w:val="Style18"/>
        <w:keepNext w:val="0"/>
        <w:keepLines w:val="0"/>
        <w:widowControl w:val="0"/>
        <w:shd w:val="clear" w:color="auto" w:fill="auto"/>
        <w:bidi w:val="0"/>
        <w:spacing w:before="0" w:after="0" w:line="442" w:lineRule="exact"/>
        <w:ind w:left="0" w:right="0" w:firstLine="500"/>
        <w:jc w:val="left"/>
      </w:pPr>
      <w:r>
        <w:rPr>
          <w:color w:val="000000"/>
          <w:spacing w:val="0"/>
          <w:w w:val="100"/>
          <w:position w:val="0"/>
        </w:rPr>
        <w:t>通过非同一控制下的企业合并取得的长期股权投资，以合并成本作为初始投资成本。</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通过多次交易分步取得非同一控制下被投资单位的股权，最终形成企业合并，属于一揽 子交易的，本公司将各项交易作为一项取得控制权的交易进行会计处理。不属于一揽子交易 的，按照原持有的股权投资账面价值加上新增投资成本之和，作为改按成本法核算的初始投 资成本。购买日之前持有的股权采用权益法核算的，原权益法核算的相关其他综合收益暂不 做调整，在处置该项投资时采用与被投资单位直接处置相关资产或负债相同的基础进行会计 处理。购买日之前持有的股权为指定以公允价值计量且其变动计入其他综合收益的非交易性 权益工具，原计入其他综合收益的累计公允价值变动不得转入当期损益。</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值作为投资成本；公司如有以债务重组、非货币性资产交换等方式取得的长期股权投资，应 根据相关企业会计准则的规定并结合公司的实际情况披露确定投资成本的方法。</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本公司对子公司投资采用成本法核算，对合营企业及联营企业投资采用权益法核算。</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现金股利或利润，按照应享有的金额确认为当期投资收益。</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后续计量采用权益法核算的长期股权投资，随着被他投资单位所有者权益的变动相应调 整增加或减少长期股权投资的账面价值。其中在确认应享有被投资单位净损益的份额时，以 取得投资时被投资单位各项可辨认资产等的公允价值为基础，按照本公司的会计政策及会计 期间，并抵销与联营企业及合营企业之间发生的内部交易损益按照持股比例计算归属于投资 企业的部分，对被投资单位的净利润进行调整后确认。</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处置长期股权投资，其账面价值与实际取得价款的差额，计入当期投资收益。采用权益 法核算的长期股权投资，原权益法核算的相关其他综合收益应当在终止采用权益法核算时采 用与被投资单位直接处置相关资产或负债相同的基础进行会计处理，因被投资方除净损益、 其他综合收益和利润分配以外的其他所有者权益变动而确认的所有者权益，应当在终止采用 权益法核算时全部转入当期投资收益。</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因处置部分股权投资等原因丧失了对被投资单位的共同控制或重大影响的，处置后的剩 余股权适用《企业会计准则第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金融工具确认和计量（财会</w:t>
      </w:r>
      <w:r>
        <w:rPr>
          <w:rFonts w:ascii="Times New Roman" w:eastAsia="Times New Roman" w:hAnsi="Times New Roman" w:cs="Times New Roman"/>
          <w:color w:val="000000"/>
          <w:spacing w:val="0"/>
          <w:w w:val="100"/>
          <w:position w:val="0"/>
          <w:sz w:val="24"/>
          <w:szCs w:val="24"/>
        </w:rPr>
        <w:t>[2017]7</w:t>
      </w:r>
      <w:r>
        <w:rPr>
          <w:color w:val="000000"/>
          <w:spacing w:val="0"/>
          <w:w w:val="100"/>
          <w:position w:val="0"/>
        </w:rPr>
        <w:t>号）》核算的， 剩余股权在丧失共同控制或重大影响之日的公允价值与账面价值之间的差额计入当期损益。 原股权投资因采用权益法核算而确认的其他综合收益，在终止采用权益法核算时采用与被投 资单位直接处置相关资产或负债相同的基础处理并按比例结转，因被投资方除净损益、其他 综合收益和利润分配以外的其他所有者权益变动而确认的所有者权益，应当按比例转入当期 投资收益。</w:t>
      </w:r>
    </w:p>
    <w:p>
      <w:pPr>
        <w:pStyle w:val="Style18"/>
        <w:keepNext w:val="0"/>
        <w:keepLines w:val="0"/>
        <w:widowControl w:val="0"/>
        <w:shd w:val="clear" w:color="auto" w:fill="auto"/>
        <w:bidi w:val="0"/>
        <w:spacing w:before="0" w:line="434" w:lineRule="exact"/>
        <w:ind w:left="0" w:right="0" w:firstLine="480"/>
        <w:jc w:val="both"/>
      </w:pPr>
      <w:r>
        <w:rPr>
          <w:color w:val="000000"/>
          <w:spacing w:val="0"/>
          <w:w w:val="100"/>
          <w:position w:val="0"/>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股权不能对被投资单位实施共同控制或施加重大影响的，适用《企业会计准则第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w:t>
      </w:r>
      <w:r>
        <w:rPr>
          <w:color w:val="000000"/>
          <w:spacing w:val="0"/>
          <w:w w:val="100"/>
          <w:position w:val="0"/>
        </w:rPr>
        <w:t>一一</w:t>
      </w:r>
      <w:r>
        <w:rPr>
          <w:color w:val="000000"/>
          <w:spacing w:val="0"/>
          <w:w w:val="100"/>
          <w:position w:val="0"/>
        </w:rPr>
        <w:t>金 融工具确认和计量（财会</w:t>
      </w:r>
      <w:r>
        <w:rPr>
          <w:rFonts w:ascii="Times New Roman" w:eastAsia="Times New Roman" w:hAnsi="Times New Roman" w:cs="Times New Roman"/>
          <w:color w:val="000000"/>
          <w:spacing w:val="0"/>
          <w:w w:val="100"/>
          <w:position w:val="0"/>
          <w:sz w:val="24"/>
          <w:szCs w:val="24"/>
        </w:rPr>
        <w:t>[2017]7</w:t>
      </w:r>
      <w:r>
        <w:rPr>
          <w:color w:val="000000"/>
          <w:spacing w:val="0"/>
          <w:w w:val="100"/>
          <w:position w:val="0"/>
        </w:rPr>
        <w:t xml:space="preserve">号）》进行会计处理，处置股权账面价值和处置对价的差额 </w:t>
      </w:r>
      <w:r>
        <w:rPr>
          <w:color w:val="000000"/>
          <w:spacing w:val="0"/>
          <w:w w:val="100"/>
          <w:position w:val="0"/>
        </w:rPr>
        <w:t>计入投资收益，剩余股权在丧失控制之日的公允价值与账面价值间的差额计入当期损益。</w:t>
      </w:r>
    </w:p>
    <w:p>
      <w:pPr>
        <w:pStyle w:val="Style18"/>
        <w:keepNext w:val="0"/>
        <w:keepLines w:val="0"/>
        <w:widowControl w:val="0"/>
        <w:shd w:val="clear" w:color="auto" w:fill="auto"/>
        <w:bidi w:val="0"/>
        <w:spacing w:before="0" w:after="340" w:line="442" w:lineRule="exact"/>
        <w:ind w:left="0" w:right="0" w:firstLine="500"/>
        <w:jc w:val="both"/>
      </w:pPr>
      <w:r>
        <w:rPr>
          <w:color w:val="000000"/>
          <w:spacing w:val="0"/>
          <w:w w:val="100"/>
          <w:position w:val="0"/>
        </w:rPr>
        <w:t>本公司对于分步处置股权至丧失控股权的各项交易不属于一揽子交易的，对每一项交易 分别进行会计处理。属于“一揽子交易”的，将各项交易作为一项处置子公司并丧失控制权 的交易进行会计处理，但是，在丧失控制权之前每一次交易处置价款与所处置的股权对应的 长期股权投资账面价值之间的差额，确认为其他综合收益，到丧失控制权时再一并转入丧失 控制权的当期损益。</w:t>
      </w:r>
    </w:p>
    <w:p>
      <w:pPr>
        <w:pStyle w:val="Style32"/>
        <w:keepNext/>
        <w:keepLines/>
        <w:widowControl w:val="0"/>
        <w:shd w:val="clear" w:color="auto" w:fill="auto"/>
        <w:bidi w:val="0"/>
        <w:spacing w:before="0" w:after="120"/>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sz w:val="24"/>
          <w:szCs w:val="24"/>
        </w:rPr>
        <w:t>2</w:t>
      </w:r>
      <w:bookmarkEnd w:id="795"/>
      <w:r>
        <w:rPr>
          <w:rFonts w:ascii="Times New Roman" w:eastAsia="Times New Roman" w:hAnsi="Times New Roman" w:cs="Times New Roman"/>
          <w:color w:val="000000"/>
          <w:spacing w:val="0"/>
          <w:w w:val="100"/>
          <w:position w:val="0"/>
          <w:sz w:val="24"/>
          <w:szCs w:val="24"/>
        </w:rPr>
        <w:t>3</w:t>
      </w:r>
      <w:r>
        <w:rPr>
          <w:color w:val="000000"/>
          <w:spacing w:val="0"/>
          <w:w w:val="100"/>
          <w:position w:val="0"/>
        </w:rPr>
        <w:t>、投资性房地产</w:t>
      </w:r>
      <w:bookmarkEnd w:id="793"/>
      <w:bookmarkEnd w:id="794"/>
      <w:bookmarkEnd w:id="796"/>
    </w:p>
    <w:p>
      <w:pPr>
        <w:pStyle w:val="Style18"/>
        <w:keepNext w:val="0"/>
        <w:keepLines w:val="0"/>
        <w:widowControl w:val="0"/>
        <w:shd w:val="clear" w:color="auto" w:fill="auto"/>
        <w:bidi w:val="0"/>
        <w:spacing w:before="0" w:after="0" w:line="439" w:lineRule="exact"/>
        <w:ind w:left="0" w:right="0" w:firstLine="50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line="439" w:lineRule="exact"/>
        <w:ind w:left="0" w:right="0" w:firstLine="500"/>
        <w:jc w:val="left"/>
      </w:pPr>
      <w:r>
        <w:rPr>
          <w:color w:val="000000"/>
          <w:spacing w:val="0"/>
          <w:w w:val="100"/>
          <w:position w:val="0"/>
        </w:rPr>
        <w:t>成本法计量</w:t>
      </w:r>
    </w:p>
    <w:p>
      <w:pPr>
        <w:pStyle w:val="Style18"/>
        <w:keepNext w:val="0"/>
        <w:keepLines w:val="0"/>
        <w:widowControl w:val="0"/>
        <w:shd w:val="clear" w:color="auto" w:fill="auto"/>
        <w:bidi w:val="0"/>
        <w:spacing w:before="0" w:line="439" w:lineRule="exact"/>
        <w:ind w:left="0" w:right="0" w:firstLine="500"/>
        <w:jc w:val="left"/>
      </w:pPr>
      <w:r>
        <w:rPr>
          <w:color w:val="000000"/>
          <w:spacing w:val="0"/>
          <w:w w:val="100"/>
          <w:position w:val="0"/>
        </w:rPr>
        <w:t>折旧或摊销方法</w:t>
      </w:r>
    </w:p>
    <w:p>
      <w:pPr>
        <w:pStyle w:val="Style18"/>
        <w:keepNext w:val="0"/>
        <w:keepLines w:val="0"/>
        <w:widowControl w:val="0"/>
        <w:shd w:val="clear" w:color="auto" w:fill="auto"/>
        <w:bidi w:val="0"/>
        <w:spacing w:before="0" w:line="437" w:lineRule="exact"/>
        <w:ind w:left="0" w:right="0" w:firstLine="50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土地使用权、持有并准备增值后转让的土地使用权、已出租的建筑物等。此外，对于本公司 持有以备经营出租的空置建筑物，若董事会（或类似机构）作出书面决议，明确表示将其用 于经营出租且持有意图短期内不再发生变化的，也作为投资性房地产列报。</w:t>
      </w:r>
    </w:p>
    <w:p>
      <w:pPr>
        <w:pStyle w:val="Style18"/>
        <w:keepNext w:val="0"/>
        <w:keepLines w:val="0"/>
        <w:widowControl w:val="0"/>
        <w:shd w:val="clear" w:color="auto" w:fill="auto"/>
        <w:bidi w:val="0"/>
        <w:spacing w:before="0" w:line="439" w:lineRule="exact"/>
        <w:ind w:left="0" w:right="0" w:firstLine="500"/>
        <w:jc w:val="both"/>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本公司采用成本模式对投资性房地产进行后续计量，并按照与房屋建筑物或土地使用权 一致的政策进行折旧或摊销。</w:t>
      </w:r>
    </w:p>
    <w:p>
      <w:pPr>
        <w:pStyle w:val="Style18"/>
        <w:keepNext w:val="0"/>
        <w:keepLines w:val="0"/>
        <w:widowControl w:val="0"/>
        <w:shd w:val="clear" w:color="auto" w:fill="auto"/>
        <w:bidi w:val="0"/>
        <w:spacing w:before="0" w:line="439" w:lineRule="exact"/>
        <w:ind w:left="0" w:right="0" w:firstLine="500"/>
        <w:jc w:val="both"/>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“长期资产减值”。</w:t>
      </w:r>
    </w:p>
    <w:p>
      <w:pPr>
        <w:pStyle w:val="Style18"/>
        <w:keepNext w:val="0"/>
        <w:keepLines w:val="0"/>
        <w:widowControl w:val="0"/>
        <w:shd w:val="clear" w:color="auto" w:fill="auto"/>
        <w:bidi w:val="0"/>
        <w:spacing w:before="0" w:line="446" w:lineRule="exact"/>
        <w:ind w:left="0" w:right="0" w:firstLine="500"/>
        <w:jc w:val="both"/>
      </w:pPr>
      <w:r>
        <w:rPr>
          <w:color w:val="000000"/>
          <w:spacing w:val="0"/>
          <w:w w:val="100"/>
          <w:position w:val="0"/>
        </w:rPr>
        <w:t>自用房地产或存货转换为投资性房地产或投资性房地产转换为自用房地产时，按转换前 的账面价值作为转换后的入账价值。</w:t>
      </w:r>
    </w:p>
    <w:p>
      <w:pPr>
        <w:pStyle w:val="Style18"/>
        <w:keepNext w:val="0"/>
        <w:keepLines w:val="0"/>
        <w:widowControl w:val="0"/>
        <w:shd w:val="clear" w:color="auto" w:fill="auto"/>
        <w:bidi w:val="0"/>
        <w:spacing w:before="0" w:line="438" w:lineRule="exact"/>
        <w:ind w:left="0" w:right="0" w:firstLine="500"/>
        <w:jc w:val="both"/>
      </w:pPr>
      <w:r>
        <w:rPr>
          <w:color w:val="000000"/>
          <w:spacing w:val="0"/>
          <w:w w:val="100"/>
          <w:position w:val="0"/>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18"/>
        <w:keepNext w:val="0"/>
        <w:keepLines w:val="0"/>
        <w:widowControl w:val="0"/>
        <w:shd w:val="clear" w:color="auto" w:fill="auto"/>
        <w:bidi w:val="0"/>
        <w:spacing w:before="0" w:after="340" w:line="437" w:lineRule="exact"/>
        <w:ind w:left="0" w:right="0" w:firstLine="500"/>
        <w:jc w:val="both"/>
      </w:pPr>
      <w:r>
        <w:rPr>
          <w:color w:val="000000"/>
          <w:spacing w:val="0"/>
          <w:w w:val="100"/>
          <w:position w:val="0"/>
        </w:rPr>
        <w:t xml:space="preserve">当投资性房地产被处置、或者永久退出使用且预计不能从其处置中取得经济利益时，终 止确认该项投资性房地产。投资性房地产出售、转让、报废或毁损的处置收入扣除其账面价 </w:t>
      </w:r>
      <w:r>
        <w:rPr>
          <w:color w:val="000000"/>
          <w:spacing w:val="0"/>
          <w:w w:val="100"/>
          <w:position w:val="0"/>
        </w:rPr>
        <w:t>值和相关税费后计入当期损益。</w:t>
      </w:r>
    </w:p>
    <w:p>
      <w:pPr>
        <w:pStyle w:val="Style32"/>
        <w:keepNext/>
        <w:keepLines/>
        <w:widowControl w:val="0"/>
        <w:shd w:val="clear" w:color="auto" w:fill="auto"/>
        <w:bidi w:val="0"/>
        <w:spacing w:before="0" w:after="0" w:line="384"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sz w:val="24"/>
          <w:szCs w:val="24"/>
        </w:rPr>
        <w:t>2</w:t>
      </w:r>
      <w:bookmarkEnd w:id="799"/>
      <w:r>
        <w:rPr>
          <w:rFonts w:ascii="Times New Roman" w:eastAsia="Times New Roman" w:hAnsi="Times New Roman" w:cs="Times New Roman"/>
          <w:color w:val="000000"/>
          <w:spacing w:val="0"/>
          <w:w w:val="100"/>
          <w:position w:val="0"/>
          <w:sz w:val="24"/>
          <w:szCs w:val="24"/>
        </w:rPr>
        <w:t>4</w:t>
      </w:r>
      <w:r>
        <w:rPr>
          <w:color w:val="000000"/>
          <w:spacing w:val="0"/>
          <w:w w:val="100"/>
          <w:position w:val="0"/>
        </w:rPr>
        <w:t>、固定资产</w:t>
      </w:r>
      <w:bookmarkEnd w:id="797"/>
      <w:bookmarkEnd w:id="798"/>
      <w:bookmarkEnd w:id="800"/>
    </w:p>
    <w:p>
      <w:pPr>
        <w:pStyle w:val="Style46"/>
        <w:keepNext/>
        <w:keepLines/>
        <w:widowControl w:val="0"/>
        <w:shd w:val="clear" w:color="auto" w:fill="auto"/>
        <w:bidi w:val="0"/>
        <w:spacing w:before="0" w:after="260" w:line="442" w:lineRule="exact"/>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）确认条件</w:t>
      </w:r>
      <w:bookmarkEnd w:id="801"/>
      <w:bookmarkEnd w:id="802"/>
      <w:bookmarkEnd w:id="804"/>
    </w:p>
    <w:p>
      <w:pPr>
        <w:pStyle w:val="Style18"/>
        <w:keepNext w:val="0"/>
        <w:keepLines w:val="0"/>
        <w:widowControl w:val="0"/>
        <w:shd w:val="clear" w:color="auto" w:fill="auto"/>
        <w:bidi w:val="0"/>
        <w:spacing w:before="0" w:after="340" w:line="442" w:lineRule="exact"/>
        <w:ind w:left="0" w:right="0" w:firstLine="500"/>
        <w:jc w:val="both"/>
      </w:pPr>
      <w:bookmarkStart w:id="805" w:name="bookmark805"/>
      <w:r>
        <w:rPr>
          <w:color w:val="000000"/>
          <w:spacing w:val="0"/>
          <w:w w:val="100"/>
          <w:position w:val="0"/>
        </w:rPr>
        <w:t>固</w:t>
      </w:r>
      <w:bookmarkEnd w:id="805"/>
      <w:r>
        <w:rPr>
          <w:color w:val="000000"/>
          <w:spacing w:val="0"/>
          <w:w w:val="100"/>
          <w:position w:val="0"/>
        </w:rPr>
        <w:t>定资产是指为生产商品、提供劳务、出租或经营管理而持有的，使用寿命超过一个会 计年度的有形资产。固定资产仅在与其有关的经济利益很可能流入本公司，且其成本能够可 靠地计量时才予以确认。固定资产按成本并考虑预计弃置费用因素的影响进行初始计量。</w:t>
      </w:r>
    </w:p>
    <w:p>
      <w:pPr>
        <w:pStyle w:val="Style25"/>
        <w:keepNext w:val="0"/>
        <w:keepLines w:val="0"/>
        <w:widowControl w:val="0"/>
        <w:shd w:val="clear" w:color="auto" w:fill="auto"/>
        <w:bidi w:val="0"/>
        <w:spacing w:before="0" w:after="0" w:line="240" w:lineRule="auto"/>
        <w:ind w:left="19" w:right="0" w:firstLine="0"/>
        <w:jc w:val="left"/>
        <w:rPr>
          <w:sz w:val="22"/>
          <w:szCs w:val="22"/>
        </w:rPr>
      </w:pPr>
      <w:bookmarkStart w:id="806" w:name="bookmark806"/>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）折旧方法</w:t>
      </w:r>
      <w:bookmarkEnd w:id="806"/>
    </w:p>
    <w:tbl>
      <w:tblPr>
        <w:tblOverlap w:val="never"/>
        <w:jc w:val="center"/>
        <w:tblLayout w:type="fixed"/>
      </w:tblPr>
      <w:tblGrid>
        <w:gridCol w:w="1934"/>
        <w:gridCol w:w="1915"/>
        <w:gridCol w:w="1915"/>
        <w:gridCol w:w="1910"/>
        <w:gridCol w:w="192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11.88-19.00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9.50-23.75</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19.00-33.33</w:t>
            </w:r>
          </w:p>
        </w:tc>
      </w:tr>
    </w:tbl>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无其他说明</w:t>
      </w:r>
    </w:p>
    <w:p>
      <w:pPr>
        <w:widowControl w:val="0"/>
        <w:spacing w:after="179" w:line="1" w:lineRule="exact"/>
      </w:pPr>
    </w:p>
    <w:p>
      <w:pPr>
        <w:pStyle w:val="Style46"/>
        <w:keepNext/>
        <w:keepLines/>
        <w:widowControl w:val="0"/>
        <w:shd w:val="clear" w:color="auto" w:fill="auto"/>
        <w:bidi w:val="0"/>
        <w:spacing w:before="0" w:after="260" w:line="442"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sz w:val="24"/>
          <w:szCs w:val="24"/>
        </w:rPr>
        <w:t>3</w:t>
      </w:r>
      <w:r>
        <w:rPr>
          <w:color w:val="000000"/>
          <w:spacing w:val="0"/>
          <w:w w:val="100"/>
          <w:position w:val="0"/>
        </w:rPr>
        <w:t>）融资租入固定资产的认定依据、计价和折旧方法</w:t>
      </w:r>
      <w:bookmarkEnd w:id="807"/>
      <w:bookmarkEnd w:id="808"/>
      <w:bookmarkEnd w:id="810"/>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 内计提折旧；无法合理确定租赁期届满能够取得租赁资产所有权的，在租赁期与租赁资产使 用寿命两者中较短的期间内计提折旧。</w:t>
      </w:r>
    </w:p>
    <w:p>
      <w:pPr>
        <w:pStyle w:val="Style32"/>
        <w:keepNext/>
        <w:keepLines/>
        <w:widowControl w:val="0"/>
        <w:shd w:val="clear" w:color="auto" w:fill="auto"/>
        <w:tabs>
          <w:tab w:pos="522" w:val="left"/>
        </w:tabs>
        <w:bidi w:val="0"/>
        <w:spacing w:before="0" w:line="442" w:lineRule="exact"/>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sz w:val="24"/>
          <w:szCs w:val="24"/>
        </w:rPr>
        <w:t>2</w:t>
      </w:r>
      <w:bookmarkEnd w:id="813"/>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在建工程</w:t>
      </w:r>
      <w:bookmarkEnd w:id="811"/>
      <w:bookmarkEnd w:id="812"/>
      <w:bookmarkEnd w:id="814"/>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在建工程在达到预定可使用状态之日起，根据工程预算、造价或工程实际成本等，按估 计的价值结转固定资产，次月起开始计提折旧，待办理了竣工决算手续后再对固定资产原值 差异进行调整。</w:t>
      </w:r>
    </w:p>
    <w:p>
      <w:pPr>
        <w:pStyle w:val="Style32"/>
        <w:keepNext/>
        <w:keepLines/>
        <w:widowControl w:val="0"/>
        <w:shd w:val="clear" w:color="auto" w:fill="auto"/>
        <w:tabs>
          <w:tab w:pos="522" w:val="left"/>
        </w:tabs>
        <w:bidi w:val="0"/>
        <w:spacing w:before="0" w:line="442"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sz w:val="24"/>
          <w:szCs w:val="24"/>
        </w:rPr>
        <w:t>2</w:t>
      </w:r>
      <w:bookmarkEnd w:id="817"/>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借款费用</w:t>
      </w:r>
      <w:bookmarkEnd w:id="815"/>
      <w:bookmarkEnd w:id="816"/>
      <w:bookmarkEnd w:id="818"/>
    </w:p>
    <w:p>
      <w:pPr>
        <w:pStyle w:val="Style18"/>
        <w:keepNext w:val="0"/>
        <w:keepLines w:val="0"/>
        <w:widowControl w:val="0"/>
        <w:shd w:val="clear" w:color="auto" w:fill="auto"/>
        <w:bidi w:val="0"/>
        <w:spacing w:before="0" w:after="360" w:line="442" w:lineRule="exact"/>
        <w:ind w:left="0" w:right="0" w:firstLine="50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年以上的购建或者生产活动才能达到预定可使用或者可 销售状态的固定资产、投资性房地产和存货等的借款费用，在资产支出已经发生、借款费用 </w:t>
      </w:r>
      <w:r>
        <w:rPr>
          <w:color w:val="000000"/>
          <w:spacing w:val="0"/>
          <w:w w:val="100"/>
          <w:position w:val="0"/>
        </w:rPr>
        <w:t>已经发生、为使资产达到预定可使用或可销售状态所必要的购建或生产活动已经开始时，开 始资本化；当购建或生产符合资本化条件的资产达到预定可使用或可销售状态时，停止资本 化，其后发生的借款费用计入当期损益。如果符合资本化条件的资产在购建或者生产过程中 发生非正常中断、且中断时间连续超过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个月，暂停借款费用的资本化，直至资产的购建或 生产活动重新开始。</w:t>
      </w:r>
    </w:p>
    <w:p>
      <w:pPr>
        <w:pStyle w:val="Style32"/>
        <w:keepNext/>
        <w:keepLines/>
        <w:widowControl w:val="0"/>
        <w:shd w:val="clear" w:color="auto" w:fill="auto"/>
        <w:bidi w:val="0"/>
        <w:spacing w:before="0" w:after="120"/>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sz w:val="24"/>
          <w:szCs w:val="24"/>
        </w:rPr>
        <w:t>2</w:t>
      </w:r>
      <w:bookmarkEnd w:id="821"/>
      <w:r>
        <w:rPr>
          <w:rFonts w:ascii="Times New Roman" w:eastAsia="Times New Roman" w:hAnsi="Times New Roman" w:cs="Times New Roman"/>
          <w:color w:val="000000"/>
          <w:spacing w:val="0"/>
          <w:w w:val="100"/>
          <w:position w:val="0"/>
          <w:sz w:val="24"/>
          <w:szCs w:val="24"/>
        </w:rPr>
        <w:t>7</w:t>
      </w:r>
      <w:r>
        <w:rPr>
          <w:color w:val="000000"/>
          <w:spacing w:val="0"/>
          <w:w w:val="100"/>
          <w:position w:val="0"/>
        </w:rPr>
        <w:t>、使用权资产</w:t>
      </w:r>
      <w:bookmarkEnd w:id="819"/>
      <w:bookmarkEnd w:id="820"/>
      <w:bookmarkEnd w:id="822"/>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使用权资产，是指本公司作为承租人可在租赁期内使用租赁资产的权利。</w:t>
      </w:r>
    </w:p>
    <w:p>
      <w:pPr>
        <w:pStyle w:val="Style18"/>
        <w:keepNext w:val="0"/>
        <w:keepLines w:val="0"/>
        <w:widowControl w:val="0"/>
        <w:shd w:val="clear" w:color="auto" w:fill="auto"/>
        <w:tabs>
          <w:tab w:pos="1026" w:val="left"/>
        </w:tabs>
        <w:bidi w:val="0"/>
        <w:spacing w:before="0" w:after="0" w:line="439" w:lineRule="exact"/>
        <w:ind w:left="0" w:right="0" w:firstLine="50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初始计量</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在租赁期开始日，本公司按照成本对使用权资产进行初始计量。该成本包括下列四项： ①租赁负债的初始计量金额；②在租赁期开始日或之前支付的租赁付款额，存在租赁激励的， 扣除已享受的租赁激励相关金额；③发生的初始直接费用，即为达成租赁所发生的增量成本； ④为拆卸及移除租赁资产、复原租赁资产所在场地或将租赁资产恢复至租赁条款约定状态预 计将发生的成本，属于为生产存货而发生的除外。</w:t>
      </w:r>
    </w:p>
    <w:p>
      <w:pPr>
        <w:pStyle w:val="Style18"/>
        <w:keepNext w:val="0"/>
        <w:keepLines w:val="0"/>
        <w:widowControl w:val="0"/>
        <w:shd w:val="clear" w:color="auto" w:fill="auto"/>
        <w:tabs>
          <w:tab w:pos="1026" w:val="left"/>
        </w:tabs>
        <w:bidi w:val="0"/>
        <w:spacing w:before="0" w:after="0" w:line="439" w:lineRule="exact"/>
        <w:ind w:left="0" w:right="0" w:firstLine="50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后续计量</w:t>
      </w:r>
    </w:p>
    <w:p>
      <w:pPr>
        <w:pStyle w:val="Style18"/>
        <w:keepNext w:val="0"/>
        <w:keepLines w:val="0"/>
        <w:widowControl w:val="0"/>
        <w:shd w:val="clear" w:color="auto" w:fill="auto"/>
        <w:bidi w:val="0"/>
        <w:spacing w:before="0" w:after="0" w:line="437" w:lineRule="exact"/>
        <w:ind w:left="0" w:right="0" w:firstLine="500"/>
        <w:jc w:val="both"/>
      </w:pPr>
      <w:r>
        <w:rPr>
          <w:color w:val="000000"/>
          <w:spacing w:val="0"/>
          <w:w w:val="100"/>
          <w:position w:val="0"/>
        </w:rPr>
        <w:t>在租赁期开始日后，本公司采用成本模式对使用权资产进行后续计量，即以成本减累计 折旧及累计减值损失计量使用权资产，本公司按照租赁准则有关规定重新计量租赁负债的， 相应调整使用权资产的账面价值。</w:t>
      </w:r>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使用权资产的折旧</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自租赁期开始日起，本公司对使用权资产计提折旧。使用权资产通常自租赁期开始的当 月计提折旧。计提的折旧金额根据使用权资产的用途，计入相关资产的成本或者当期损益。</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本公司在确定使用权资产的折旧方法时，根据与使用权资产有关的经济利益的预期消耗 方式做出决定，以直线法对使用权资产计提折旧。</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本公司在确定使用权资产的折旧年限时，遵循以下原则：能够合理确定租赁期届满时取 得租赁资产所有权的，在租赁资产剩余使用寿命内计提折旧；无法合理确定租赁期届满时能 够取得租赁资产所有权的，在租赁期与租赁资产剩余使用寿命两者孰短的期间内计提折旧。</w:t>
      </w:r>
    </w:p>
    <w:p>
      <w:pPr>
        <w:pStyle w:val="Style18"/>
        <w:keepNext w:val="0"/>
        <w:keepLines w:val="0"/>
        <w:widowControl w:val="0"/>
        <w:shd w:val="clear" w:color="auto" w:fill="auto"/>
        <w:bidi w:val="0"/>
        <w:spacing w:before="0" w:after="0" w:line="444" w:lineRule="exact"/>
        <w:ind w:left="0" w:right="0" w:firstLine="500"/>
        <w:jc w:val="both"/>
      </w:pPr>
      <w:r>
        <w:rPr>
          <w:color w:val="000000"/>
          <w:spacing w:val="0"/>
          <w:w w:val="100"/>
          <w:position w:val="0"/>
        </w:rPr>
        <w:t>使用权资产的减值</w:t>
      </w:r>
    </w:p>
    <w:p>
      <w:pPr>
        <w:pStyle w:val="Style18"/>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如果使用权资产发生减值，本公司按照扣除减值损失之后的使用权资产的账面价值，进 行后续折旧。</w:t>
      </w:r>
    </w:p>
    <w:p>
      <w:pPr>
        <w:pStyle w:val="Style32"/>
        <w:keepNext/>
        <w:keepLines/>
        <w:widowControl w:val="0"/>
        <w:shd w:val="clear" w:color="auto" w:fill="auto"/>
        <w:bidi w:val="0"/>
        <w:spacing w:before="0" w:after="1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sz w:val="24"/>
          <w:szCs w:val="24"/>
        </w:rPr>
        <w:t>2</w:t>
      </w:r>
      <w:bookmarkEnd w:id="827"/>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、无形资产</w:t>
      </w:r>
      <w:bookmarkEnd w:id="825"/>
      <w:bookmarkEnd w:id="826"/>
      <w:bookmarkEnd w:id="828"/>
    </w:p>
    <w:p>
      <w:pPr>
        <w:pStyle w:val="Style46"/>
        <w:keepNext/>
        <w:keepLines/>
        <w:widowControl w:val="0"/>
        <w:shd w:val="clear" w:color="auto" w:fill="auto"/>
        <w:tabs>
          <w:tab w:pos="536" w:val="left"/>
        </w:tabs>
        <w:bidi w:val="0"/>
        <w:spacing w:before="0" w:after="260" w:line="440" w:lineRule="exact"/>
        <w:ind w:left="0" w:right="0" w:firstLine="0"/>
        <w:jc w:val="both"/>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计价方法、使用寿命、减值测试</w:t>
      </w:r>
      <w:bookmarkEnd w:id="829"/>
      <w:bookmarkEnd w:id="830"/>
      <w:bookmarkEnd w:id="832"/>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本公司无形资产包括土地使用权、专利权、软件等，按取得时的实际成本计量，其中， 购入的无形资产，按实际支付的价款和相关的其他支出作为实际成本；投资者投入的无形资 产，按投资合同或协议约定的价值确定实际成本，但合同或协议约定价值不公允的，按公允 价值确定实际成本。对非同一控制下合并中取得被购买方拥有的但在其财务报表中未确认的 无形资产，在对被购买方资产进行初始确认时，按公允价值确认为无形资产。</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土地使用权从出让起始日起，按其出让年限平均摊销；无形资产按预计使用年限、合同 规定的受益年限和法律规定的有效年限三者中最短者分期平均摊销。摊销金额按其受益对象 计入相关资产成本和当期损益。对使用寿命有限的无形资产的预计使用寿命及摊销方法于每 年年度终了进行复核，如发生改变，则作为会计估计变更处理。</w:t>
      </w:r>
    </w:p>
    <w:p>
      <w:pPr>
        <w:pStyle w:val="Style18"/>
        <w:keepNext w:val="0"/>
        <w:keepLines w:val="0"/>
        <w:widowControl w:val="0"/>
        <w:shd w:val="clear" w:color="auto" w:fill="auto"/>
        <w:bidi w:val="0"/>
        <w:spacing w:before="0" w:line="444" w:lineRule="exact"/>
        <w:ind w:left="0" w:right="0" w:firstLine="480"/>
        <w:jc w:val="both"/>
      </w:pPr>
      <w:r>
        <w:rPr>
          <w:color w:val="000000"/>
          <w:spacing w:val="0"/>
          <w:w w:val="100"/>
          <w:position w:val="0"/>
        </w:rPr>
        <w:t>此外，还对使用寿命不确定的无形资产的使用寿命进行复核，如果有证据表明该无形资 产为企业带来经济利益的期限是可预见的，则估计其使用寿命并按照使用寿命有限的无形资 产的摊销政策进行摊销。</w:t>
      </w:r>
    </w:p>
    <w:p>
      <w:pPr>
        <w:pStyle w:val="Style18"/>
        <w:keepNext w:val="0"/>
        <w:keepLines w:val="0"/>
        <w:widowControl w:val="0"/>
        <w:shd w:val="clear" w:color="auto" w:fill="auto"/>
        <w:bidi w:val="0"/>
        <w:spacing w:before="0" w:after="180" w:line="440" w:lineRule="exact"/>
        <w:ind w:left="0" w:right="0" w:firstLine="480"/>
        <w:jc w:val="both"/>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rPr>
        <w:t>“长期资产减值”。</w:t>
      </w:r>
    </w:p>
    <w:p>
      <w:pPr>
        <w:pStyle w:val="Style46"/>
        <w:keepNext/>
        <w:keepLines/>
        <w:widowControl w:val="0"/>
        <w:shd w:val="clear" w:color="auto" w:fill="auto"/>
        <w:tabs>
          <w:tab w:pos="536" w:val="left"/>
        </w:tabs>
        <w:bidi w:val="0"/>
        <w:spacing w:before="0" w:after="260" w:line="440" w:lineRule="exact"/>
        <w:ind w:left="0" w:right="0" w:firstLine="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内部研究开发支出会计政策</w:t>
      </w:r>
      <w:bookmarkEnd w:id="833"/>
      <w:bookmarkEnd w:id="834"/>
      <w:bookmarkEnd w:id="836"/>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本公司内部研究开发项目的支出分为研究阶段支出与开发阶段支出。</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开发阶段的支出同时满足下列条件的，确认为无形资产，不能满足下述条件的开发阶段 的支出计入当期损益：</w:t>
      </w:r>
    </w:p>
    <w:p>
      <w:pPr>
        <w:pStyle w:val="Style18"/>
        <w:keepNext w:val="0"/>
        <w:keepLines w:val="0"/>
        <w:widowControl w:val="0"/>
        <w:numPr>
          <w:ilvl w:val="0"/>
          <w:numId w:val="11"/>
        </w:numPr>
        <w:shd w:val="clear" w:color="auto" w:fill="auto"/>
        <w:tabs>
          <w:tab w:pos="901" w:val="left"/>
        </w:tabs>
        <w:bidi w:val="0"/>
        <w:spacing w:before="0" w:line="440" w:lineRule="exact"/>
        <w:ind w:left="0" w:right="0" w:firstLine="480"/>
        <w:jc w:val="both"/>
      </w:pPr>
      <w:bookmarkStart w:id="837" w:name="bookmark837"/>
      <w:bookmarkEnd w:id="837"/>
      <w:r>
        <w:rPr>
          <w:color w:val="000000"/>
          <w:spacing w:val="0"/>
          <w:w w:val="100"/>
          <w:position w:val="0"/>
        </w:rPr>
        <w:t>完成该无形资产以使其能够使用或出售在技术上具有可行性；</w:t>
      </w:r>
    </w:p>
    <w:p>
      <w:pPr>
        <w:pStyle w:val="Style18"/>
        <w:keepNext w:val="0"/>
        <w:keepLines w:val="0"/>
        <w:widowControl w:val="0"/>
        <w:numPr>
          <w:ilvl w:val="0"/>
          <w:numId w:val="11"/>
        </w:numPr>
        <w:shd w:val="clear" w:color="auto" w:fill="auto"/>
        <w:tabs>
          <w:tab w:pos="901" w:val="left"/>
        </w:tabs>
        <w:bidi w:val="0"/>
        <w:spacing w:before="0" w:line="440" w:lineRule="exact"/>
        <w:ind w:left="0" w:right="0" w:firstLine="480"/>
        <w:jc w:val="both"/>
      </w:pPr>
      <w:bookmarkStart w:id="838" w:name="bookmark838"/>
      <w:bookmarkEnd w:id="838"/>
      <w:r>
        <w:rPr>
          <w:color w:val="000000"/>
          <w:spacing w:val="0"/>
          <w:w w:val="100"/>
          <w:position w:val="0"/>
        </w:rPr>
        <w:t>具有完成该无形资产并使用或出售的意图；</w:t>
      </w:r>
    </w:p>
    <w:p>
      <w:pPr>
        <w:pStyle w:val="Style18"/>
        <w:keepNext w:val="0"/>
        <w:keepLines w:val="0"/>
        <w:widowControl w:val="0"/>
        <w:numPr>
          <w:ilvl w:val="0"/>
          <w:numId w:val="11"/>
        </w:numPr>
        <w:shd w:val="clear" w:color="auto" w:fill="auto"/>
        <w:tabs>
          <w:tab w:pos="901" w:val="left"/>
        </w:tabs>
        <w:bidi w:val="0"/>
        <w:spacing w:before="0" w:line="451" w:lineRule="exact"/>
        <w:ind w:left="0" w:right="0" w:firstLine="480"/>
        <w:jc w:val="both"/>
      </w:pPr>
      <w:bookmarkStart w:id="839" w:name="bookmark839"/>
      <w:bookmarkEnd w:id="839"/>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18"/>
        <w:keepNext w:val="0"/>
        <w:keepLines w:val="0"/>
        <w:widowControl w:val="0"/>
        <w:numPr>
          <w:ilvl w:val="0"/>
          <w:numId w:val="11"/>
        </w:numPr>
        <w:shd w:val="clear" w:color="auto" w:fill="auto"/>
        <w:tabs>
          <w:tab w:pos="896" w:val="left"/>
        </w:tabs>
        <w:bidi w:val="0"/>
        <w:spacing w:before="0" w:line="418" w:lineRule="exact"/>
        <w:ind w:left="0" w:right="0" w:firstLine="480"/>
        <w:jc w:val="both"/>
      </w:pPr>
      <w:bookmarkStart w:id="840" w:name="bookmark840"/>
      <w:bookmarkEnd w:id="840"/>
      <w:r>
        <w:rPr>
          <w:color w:val="000000"/>
          <w:spacing w:val="0"/>
          <w:w w:val="100"/>
          <w:position w:val="0"/>
        </w:rPr>
        <w:t>有足够的技术、财务资源和其他资源支持，以完成该无形资产的开发，并有能力使用 或出售该无形资产；</w:t>
      </w:r>
    </w:p>
    <w:p>
      <w:pPr>
        <w:pStyle w:val="Style18"/>
        <w:keepNext w:val="0"/>
        <w:keepLines w:val="0"/>
        <w:widowControl w:val="0"/>
        <w:numPr>
          <w:ilvl w:val="0"/>
          <w:numId w:val="11"/>
        </w:numPr>
        <w:shd w:val="clear" w:color="auto" w:fill="auto"/>
        <w:tabs>
          <w:tab w:pos="901" w:val="left"/>
        </w:tabs>
        <w:bidi w:val="0"/>
        <w:spacing w:before="0" w:line="440" w:lineRule="exact"/>
        <w:ind w:left="0" w:right="0" w:firstLine="480"/>
        <w:jc w:val="both"/>
      </w:pPr>
      <w:bookmarkStart w:id="841" w:name="bookmark841"/>
      <w:bookmarkEnd w:id="841"/>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sz w:val="24"/>
          <w:szCs w:val="24"/>
        </w:rPr>
        <w:t>2</w:t>
      </w:r>
      <w:bookmarkEnd w:id="844"/>
      <w:r>
        <w:rPr>
          <w:rFonts w:ascii="Times New Roman" w:eastAsia="Times New Roman" w:hAnsi="Times New Roman" w:cs="Times New Roman"/>
          <w:color w:val="000000"/>
          <w:spacing w:val="0"/>
          <w:w w:val="100"/>
          <w:position w:val="0"/>
          <w:sz w:val="24"/>
          <w:szCs w:val="24"/>
        </w:rPr>
        <w:t>9</w:t>
      </w:r>
      <w:r>
        <w:rPr>
          <w:color w:val="000000"/>
          <w:spacing w:val="0"/>
          <w:w w:val="100"/>
          <w:position w:val="0"/>
        </w:rPr>
        <w:t>、长期资产减值</w:t>
      </w:r>
      <w:bookmarkEnd w:id="842"/>
      <w:bookmarkEnd w:id="843"/>
      <w:bookmarkEnd w:id="845"/>
    </w:p>
    <w:p>
      <w:pPr>
        <w:pStyle w:val="Style18"/>
        <w:keepNext w:val="0"/>
        <w:keepLines w:val="0"/>
        <w:widowControl w:val="0"/>
        <w:shd w:val="clear" w:color="auto" w:fill="auto"/>
        <w:bidi w:val="0"/>
        <w:spacing w:before="0" w:line="443" w:lineRule="exact"/>
        <w:ind w:left="0" w:right="0" w:firstLine="500"/>
        <w:jc w:val="both"/>
      </w:pPr>
      <w:r>
        <w:rPr>
          <w:color w:val="000000"/>
          <w:spacing w:val="0"/>
          <w:w w:val="100"/>
          <w:position w:val="0"/>
        </w:rPr>
        <w:t>本公司于每一资产负债表日对长期股权投资、采用成本模式计量的投资性房地产、固定 资产、在建工程、使用权资产、使用寿命有限的无形资产等项目进行检查，当存在减值迹象 时，本公司进行减值测试。对商誉和使用寿命不确定的无形资产，无论是否存在减值迹象， 每年末均进行减值测试。</w:t>
      </w:r>
    </w:p>
    <w:p>
      <w:pPr>
        <w:pStyle w:val="Style18"/>
        <w:keepNext w:val="0"/>
        <w:keepLines w:val="0"/>
        <w:widowControl w:val="0"/>
        <w:shd w:val="clear" w:color="auto" w:fill="auto"/>
        <w:bidi w:val="0"/>
        <w:spacing w:before="0" w:line="439"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18"/>
        <w:keepNext w:val="0"/>
        <w:keepLines w:val="0"/>
        <w:widowControl w:val="0"/>
        <w:shd w:val="clear" w:color="auto" w:fill="auto"/>
        <w:bidi w:val="0"/>
        <w:spacing w:before="0" w:after="360" w:line="439" w:lineRule="exact"/>
        <w:ind w:left="0" w:right="0" w:firstLine="500"/>
        <w:jc w:val="left"/>
      </w:pPr>
      <w:r>
        <w:rPr>
          <w:color w:val="000000"/>
          <w:spacing w:val="0"/>
          <w:w w:val="100"/>
          <w:position w:val="0"/>
        </w:rPr>
        <w:t>上述资产减值损失一经确认，以后期间不予转回价值得以恢复的部分。</w:t>
      </w:r>
    </w:p>
    <w:p>
      <w:pPr>
        <w:pStyle w:val="Style32"/>
        <w:keepNext/>
        <w:keepLines/>
        <w:widowControl w:val="0"/>
        <w:shd w:val="clear" w:color="auto" w:fill="auto"/>
        <w:tabs>
          <w:tab w:pos="485" w:val="left"/>
        </w:tabs>
        <w:bidi w:val="0"/>
        <w:spacing w:before="0" w:after="100"/>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sz w:val="24"/>
          <w:szCs w:val="24"/>
        </w:rPr>
        <w:t>3</w:t>
      </w:r>
      <w:bookmarkEnd w:id="848"/>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长期待摊费用</w:t>
      </w:r>
      <w:bookmarkEnd w:id="846"/>
      <w:bookmarkEnd w:id="847"/>
      <w:bookmarkEnd w:id="849"/>
    </w:p>
    <w:p>
      <w:pPr>
        <w:pStyle w:val="Style18"/>
        <w:keepNext w:val="0"/>
        <w:keepLines w:val="0"/>
        <w:widowControl w:val="0"/>
        <w:shd w:val="clear" w:color="auto" w:fill="auto"/>
        <w:bidi w:val="0"/>
        <w:spacing w:before="0" w:after="360" w:line="442" w:lineRule="exact"/>
        <w:ind w:left="0" w:right="0" w:firstLine="500"/>
        <w:jc w:val="both"/>
      </w:pPr>
      <w:r>
        <w:rPr>
          <w:color w:val="000000"/>
          <w:spacing w:val="0"/>
          <w:w w:val="100"/>
          <w:position w:val="0"/>
        </w:rPr>
        <w:t>长期待摊费用为已经发生但应由报告期和以后各期负担的分摊期限在一年以上的各项费 用。长期待摊费用在预计受益期间按直线法摊销。</w:t>
      </w:r>
    </w:p>
    <w:p>
      <w:pPr>
        <w:pStyle w:val="Style32"/>
        <w:keepNext/>
        <w:keepLines/>
        <w:widowControl w:val="0"/>
        <w:shd w:val="clear" w:color="auto" w:fill="auto"/>
        <w:tabs>
          <w:tab w:pos="485" w:val="left"/>
        </w:tabs>
        <w:bidi w:val="0"/>
        <w:spacing w:before="0" w:after="100"/>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sz w:val="24"/>
          <w:szCs w:val="24"/>
        </w:rPr>
        <w:t>3</w:t>
      </w:r>
      <w:bookmarkEnd w:id="85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合同负债</w:t>
      </w:r>
      <w:bookmarkEnd w:id="850"/>
      <w:bookmarkEnd w:id="851"/>
      <w:bookmarkEnd w:id="853"/>
    </w:p>
    <w:p>
      <w:pPr>
        <w:pStyle w:val="Style18"/>
        <w:keepNext w:val="0"/>
        <w:keepLines w:val="0"/>
        <w:widowControl w:val="0"/>
        <w:shd w:val="clear" w:color="auto" w:fill="auto"/>
        <w:bidi w:val="0"/>
        <w:spacing w:before="0" w:after="100" w:line="437" w:lineRule="exact"/>
        <w:ind w:left="0" w:right="0" w:firstLine="500"/>
        <w:jc w:val="both"/>
      </w:pPr>
      <w:r>
        <w:rPr>
          <w:color w:val="000000"/>
          <w:spacing w:val="0"/>
          <w:w w:val="100"/>
          <w:position w:val="0"/>
        </w:rPr>
        <w:t>合同负债反映本公司已收或应收客户对价而应向客户转让商品的义务。本公司在向客户 转让商品之前，客户已经支付了合同对价或本公司已经取得了无条件收取合同对价权利的， 在客户实际支付款项与到期应支付款项孰早时点，按照已收或应收的金额确认合同负债。</w:t>
      </w:r>
    </w:p>
    <w:p>
      <w:pPr>
        <w:pStyle w:val="Style32"/>
        <w:keepNext/>
        <w:keepLines/>
        <w:widowControl w:val="0"/>
        <w:shd w:val="clear" w:color="auto" w:fill="auto"/>
        <w:bidi w:val="0"/>
        <w:spacing w:before="0" w:after="1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sz w:val="24"/>
          <w:szCs w:val="24"/>
        </w:rPr>
        <w:t>3</w:t>
      </w:r>
      <w:bookmarkEnd w:id="8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、职工薪酬</w:t>
      </w:r>
      <w:bookmarkEnd w:id="854"/>
      <w:bookmarkEnd w:id="855"/>
      <w:bookmarkEnd w:id="857"/>
    </w:p>
    <w:p>
      <w:pPr>
        <w:pStyle w:val="Style46"/>
        <w:keepNext/>
        <w:keepLines/>
        <w:widowControl w:val="0"/>
        <w:shd w:val="clear" w:color="auto" w:fill="auto"/>
        <w:tabs>
          <w:tab w:pos="536" w:val="left"/>
        </w:tabs>
        <w:bidi w:val="0"/>
        <w:spacing w:before="0" w:after="240" w:line="442"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短期薪酬的会计处理方法</w:t>
      </w:r>
      <w:bookmarkEnd w:id="858"/>
      <w:bookmarkEnd w:id="859"/>
      <w:bookmarkEnd w:id="861"/>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本公司职工薪酬主要包括短期职工薪酬、离职后福利、辞退福利。其中：</w:t>
      </w:r>
    </w:p>
    <w:p>
      <w:pPr>
        <w:pStyle w:val="Style18"/>
        <w:keepNext w:val="0"/>
        <w:keepLines w:val="0"/>
        <w:widowControl w:val="0"/>
        <w:shd w:val="clear" w:color="auto" w:fill="auto"/>
        <w:bidi w:val="0"/>
        <w:spacing w:before="0" w:after="180" w:line="442" w:lineRule="exact"/>
        <w:ind w:left="0" w:right="0" w:firstLine="500"/>
        <w:jc w:val="both"/>
      </w:pPr>
      <w:r>
        <w:rPr>
          <w:color w:val="000000"/>
          <w:spacing w:val="0"/>
          <w:w w:val="100"/>
          <w:position w:val="0"/>
        </w:rPr>
        <w:t>短期薪酬主要包括工资、奖金、津贴和补贴、职工福利费、医疗保险费、生育保险费、 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Style46"/>
        <w:keepNext/>
        <w:keepLines/>
        <w:widowControl w:val="0"/>
        <w:shd w:val="clear" w:color="auto" w:fill="auto"/>
        <w:tabs>
          <w:tab w:pos="536" w:val="left"/>
        </w:tabs>
        <w:bidi w:val="0"/>
        <w:spacing w:before="0" w:after="240" w:line="442"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离职后福利的会计处理方法</w:t>
      </w:r>
      <w:bookmarkEnd w:id="862"/>
      <w:bookmarkEnd w:id="863"/>
      <w:bookmarkEnd w:id="865"/>
    </w:p>
    <w:p>
      <w:pPr>
        <w:pStyle w:val="Style18"/>
        <w:keepNext w:val="0"/>
        <w:keepLines w:val="0"/>
        <w:widowControl w:val="0"/>
        <w:shd w:val="clear" w:color="auto" w:fill="auto"/>
        <w:bidi w:val="0"/>
        <w:spacing w:before="0" w:after="180" w:line="456" w:lineRule="exact"/>
        <w:ind w:left="0" w:right="0" w:firstLine="500"/>
        <w:jc w:val="both"/>
      </w:pPr>
      <w:r>
        <w:rPr>
          <w:color w:val="000000"/>
          <w:spacing w:val="0"/>
          <w:w w:val="100"/>
          <w:position w:val="0"/>
        </w:rPr>
        <w:t>离职后福利主要包括基本养老保险、失业保险等。离职后福利计划包括设定提存计划。 采用设定提存计划的，相应的应缴存金额于发生时计入相关资产成本或当期损益。</w:t>
      </w:r>
    </w:p>
    <w:p>
      <w:pPr>
        <w:pStyle w:val="Style46"/>
        <w:keepNext/>
        <w:keepLines/>
        <w:widowControl w:val="0"/>
        <w:shd w:val="clear" w:color="auto" w:fill="auto"/>
        <w:tabs>
          <w:tab w:pos="536" w:val="left"/>
        </w:tabs>
        <w:bidi w:val="0"/>
        <w:spacing w:before="0" w:after="300" w:line="442"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辞退福利的会计处理方法</w:t>
      </w:r>
      <w:bookmarkEnd w:id="866"/>
      <w:bookmarkEnd w:id="867"/>
      <w:bookmarkEnd w:id="869"/>
    </w:p>
    <w:p>
      <w:pPr>
        <w:pStyle w:val="Style18"/>
        <w:keepNext w:val="0"/>
        <w:keepLines w:val="0"/>
        <w:widowControl w:val="0"/>
        <w:shd w:val="clear" w:color="auto" w:fill="auto"/>
        <w:bidi w:val="0"/>
        <w:spacing w:before="0" w:after="0" w:line="439" w:lineRule="exact"/>
        <w:ind w:left="0" w:right="0" w:firstLine="500"/>
        <w:jc w:val="both"/>
      </w:pPr>
      <w:r>
        <w:rPr>
          <w:color w:val="000000"/>
          <w:spacing w:val="0"/>
          <w:w w:val="100"/>
          <w:position w:val="0"/>
        </w:rPr>
        <w:t>在职工劳动合同到期之前解除与职工的劳动关系，或为鼓励职工自愿接受裁减而提出给 予补偿的建议，在本公司不能单方面撤回因解除劳动关系计划或裁减建议所提供的辞退福利 时，和本公司确认与涉及支付辞退福利的重组相关的成本两者孰早日，确认辞退福利产生的 职工薪酬负债，并计入当期损益。但辞退福利预期在年度报告期结束后十二个月不能完全支 付的，按照其他长期职工薪酬处理。</w:t>
      </w:r>
    </w:p>
    <w:p>
      <w:pPr>
        <w:pStyle w:val="Style18"/>
        <w:keepNext w:val="0"/>
        <w:keepLines w:val="0"/>
        <w:widowControl w:val="0"/>
        <w:shd w:val="clear" w:color="auto" w:fill="auto"/>
        <w:bidi w:val="0"/>
        <w:spacing w:before="0" w:after="180" w:line="446" w:lineRule="exact"/>
        <w:ind w:left="0" w:right="0" w:firstLine="50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条件时，计入当期损益（辞退福利）。</w:t>
      </w:r>
    </w:p>
    <w:p>
      <w:pPr>
        <w:pStyle w:val="Style46"/>
        <w:keepNext/>
        <w:keepLines/>
        <w:widowControl w:val="0"/>
        <w:shd w:val="clear" w:color="auto" w:fill="auto"/>
        <w:tabs>
          <w:tab w:pos="536" w:val="left"/>
        </w:tabs>
        <w:bidi w:val="0"/>
        <w:spacing w:before="0" w:after="240" w:line="442"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其他长期职工福利的会计处理方法</w:t>
      </w:r>
      <w:bookmarkEnd w:id="870"/>
      <w:bookmarkEnd w:id="871"/>
      <w:bookmarkEnd w:id="873"/>
    </w:p>
    <w:p>
      <w:pPr>
        <w:pStyle w:val="Style18"/>
        <w:keepNext w:val="0"/>
        <w:keepLines w:val="0"/>
        <w:widowControl w:val="0"/>
        <w:shd w:val="clear" w:color="auto" w:fill="auto"/>
        <w:bidi w:val="0"/>
        <w:spacing w:before="0" w:after="540" w:line="442" w:lineRule="exact"/>
        <w:ind w:left="0" w:right="0" w:firstLine="500"/>
        <w:jc w:val="both"/>
      </w:pPr>
      <w:r>
        <w:rPr>
          <w:color w:val="000000"/>
          <w:spacing w:val="0"/>
          <w:w w:val="100"/>
          <w:position w:val="0"/>
        </w:rPr>
        <w:t>本公司向职工提供的其他长期职工福利，符合设定提存计划的，按照设定提存计划进行 会计处理，除此之外按照设定受益计划进行会计处理。</w:t>
      </w:r>
    </w:p>
    <w:p>
      <w:pPr>
        <w:pStyle w:val="Style32"/>
        <w:keepNext/>
        <w:keepLines/>
        <w:widowControl w:val="0"/>
        <w:shd w:val="clear" w:color="auto" w:fill="auto"/>
        <w:bidi w:val="0"/>
        <w:spacing w:before="0" w:after="300" w:line="442" w:lineRule="exact"/>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sz w:val="24"/>
          <w:szCs w:val="24"/>
        </w:rPr>
        <w:t>3</w:t>
      </w:r>
      <w:bookmarkEnd w:id="876"/>
      <w:r>
        <w:rPr>
          <w:rFonts w:ascii="Times New Roman" w:eastAsia="Times New Roman" w:hAnsi="Times New Roman" w:cs="Times New Roman"/>
          <w:color w:val="000000"/>
          <w:spacing w:val="0"/>
          <w:w w:val="100"/>
          <w:position w:val="0"/>
          <w:sz w:val="24"/>
          <w:szCs w:val="24"/>
        </w:rPr>
        <w:t>3</w:t>
      </w:r>
      <w:r>
        <w:rPr>
          <w:color w:val="000000"/>
          <w:spacing w:val="0"/>
          <w:w w:val="100"/>
          <w:position w:val="0"/>
        </w:rPr>
        <w:t>、租赁负债</w:t>
      </w:r>
      <w:bookmarkEnd w:id="874"/>
      <w:bookmarkEnd w:id="875"/>
      <w:bookmarkEnd w:id="877"/>
    </w:p>
    <w:p>
      <w:pPr>
        <w:pStyle w:val="Style18"/>
        <w:keepNext w:val="0"/>
        <w:keepLines w:val="0"/>
        <w:widowControl w:val="0"/>
        <w:shd w:val="clear" w:color="auto" w:fill="auto"/>
        <w:bidi w:val="0"/>
        <w:spacing w:before="0" w:after="0" w:line="442" w:lineRule="exact"/>
        <w:ind w:left="0" w:right="0" w:firstLine="50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）初始计量</w:t>
      </w:r>
    </w:p>
    <w:p>
      <w:pPr>
        <w:pStyle w:val="Style18"/>
        <w:keepNext w:val="0"/>
        <w:keepLines w:val="0"/>
        <w:widowControl w:val="0"/>
        <w:shd w:val="clear" w:color="auto" w:fill="auto"/>
        <w:bidi w:val="0"/>
        <w:spacing w:before="0" w:after="220" w:line="442" w:lineRule="exact"/>
        <w:ind w:left="0" w:right="0" w:firstLine="500"/>
        <w:jc w:val="both"/>
      </w:pPr>
      <w:r>
        <w:rPr>
          <w:color w:val="000000"/>
          <w:spacing w:val="0"/>
          <w:w w:val="100"/>
          <w:position w:val="0"/>
        </w:rPr>
        <w:t>本公司按照租赁期开始日尚未支付的租赁付款额的现值对租赁负债进行初始计量。</w:t>
      </w:r>
    </w:p>
    <w:p>
      <w:pPr>
        <w:pStyle w:val="Style18"/>
        <w:keepNext w:val="0"/>
        <w:keepLines w:val="0"/>
        <w:widowControl w:val="0"/>
        <w:shd w:val="clear" w:color="auto" w:fill="auto"/>
        <w:tabs>
          <w:tab w:pos="896" w:val="left"/>
        </w:tabs>
        <w:bidi w:val="0"/>
        <w:spacing w:before="0" w:line="438" w:lineRule="exact"/>
        <w:ind w:left="0" w:right="0" w:firstLine="480"/>
        <w:jc w:val="left"/>
      </w:pPr>
      <w:bookmarkStart w:id="879" w:name="bookmark879"/>
      <w:r>
        <w:rPr>
          <w:rFonts w:ascii="Times New Roman" w:eastAsia="Times New Roman" w:hAnsi="Times New Roman" w:cs="Times New Roman"/>
          <w:color w:val="000000"/>
          <w:spacing w:val="0"/>
          <w:w w:val="100"/>
          <w:position w:val="0"/>
          <w:sz w:val="24"/>
          <w:szCs w:val="24"/>
        </w:rPr>
        <w:t>1</w:t>
      </w:r>
      <w:bookmarkEnd w:id="879"/>
      <w:r>
        <w:rPr>
          <w:color w:val="000000"/>
          <w:spacing w:val="0"/>
          <w:w w:val="100"/>
          <w:position w:val="0"/>
        </w:rPr>
        <w:t>）</w:t>
        <w:tab/>
        <w:t>租赁付款额</w:t>
      </w:r>
    </w:p>
    <w:p>
      <w:pPr>
        <w:pStyle w:val="Style18"/>
        <w:keepNext w:val="0"/>
        <w:keepLines w:val="0"/>
        <w:widowControl w:val="0"/>
        <w:shd w:val="clear" w:color="auto" w:fill="auto"/>
        <w:bidi w:val="0"/>
        <w:spacing w:before="0" w:line="438" w:lineRule="exact"/>
        <w:ind w:left="0" w:right="0" w:firstLine="480"/>
        <w:jc w:val="left"/>
      </w:pPr>
      <w:r>
        <w:rPr>
          <w:color w:val="000000"/>
          <w:spacing w:val="0"/>
          <w:w w:val="100"/>
          <w:position w:val="0"/>
        </w:rPr>
        <w:t>租赁付款额，是指本公司向出租人支付的与在租赁期内使用租赁资产的权利相关的款项， 包括：①固定付款额及实质固定付款额，存在租赁激励的，扣除租赁激励相关金额；②取决 于指数或比率的可变租赁付款额，该款额在初始计量时根据租赁期开始日的指数或比率确定; ③本公司合理确定将行使购买选择权时，购买选择权的行权价格；④租赁期反映出本公司将 行使终止租赁选择权时，行使终止租赁选择权需支付的款项；⑤根据本公司提供的担保余值 预计应支付的款项。</w:t>
      </w:r>
    </w:p>
    <w:p>
      <w:pPr>
        <w:pStyle w:val="Style18"/>
        <w:keepNext w:val="0"/>
        <w:keepLines w:val="0"/>
        <w:widowControl w:val="0"/>
        <w:shd w:val="clear" w:color="auto" w:fill="auto"/>
        <w:tabs>
          <w:tab w:pos="896" w:val="left"/>
        </w:tabs>
        <w:bidi w:val="0"/>
        <w:spacing w:before="0" w:line="438" w:lineRule="exact"/>
        <w:ind w:left="0" w:right="0" w:firstLine="480"/>
        <w:jc w:val="both"/>
      </w:pPr>
      <w:bookmarkStart w:id="880" w:name="bookmark880"/>
      <w:r>
        <w:rPr>
          <w:rFonts w:ascii="Times New Roman" w:eastAsia="Times New Roman" w:hAnsi="Times New Roman" w:cs="Times New Roman"/>
          <w:color w:val="000000"/>
          <w:spacing w:val="0"/>
          <w:w w:val="100"/>
          <w:position w:val="0"/>
          <w:sz w:val="24"/>
          <w:szCs w:val="24"/>
        </w:rPr>
        <w:t>2</w:t>
      </w:r>
      <w:bookmarkEnd w:id="880"/>
      <w:r>
        <w:rPr>
          <w:color w:val="000000"/>
          <w:spacing w:val="0"/>
          <w:w w:val="100"/>
          <w:position w:val="0"/>
        </w:rPr>
        <w:t>）</w:t>
        <w:tab/>
        <w:t>折现率</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在计算租赁付款额的现值时，本公司因无法确定租赁内含利率的，采用增量借款利率作 为折现率。该增量借款利率，是指本公司在类似经济环境下为获得与使用权资产价值接近的 资产，在类似期间以类似抵押条件借入资金须支付的利率。该利率与下列事项相关：①本公 司自身情况，即公司的偿债能力和信用状况；②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的期限，即租赁期；③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借入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资金的 金额，即租赁负债的金额；④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抵押条件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，即标的资产的性质和质量；⑤经济环境，包括承 租人所处的司法管辖区、计价货币、合同签订时间等。本公司以银行贷款利率为基础，考虑 上述因素进行调整而得出该增量借款利率。</w:t>
      </w:r>
    </w:p>
    <w:p>
      <w:pPr>
        <w:pStyle w:val="Style18"/>
        <w:keepNext w:val="0"/>
        <w:keepLines w:val="0"/>
        <w:widowControl w:val="0"/>
        <w:shd w:val="clear" w:color="auto" w:fill="auto"/>
        <w:tabs>
          <w:tab w:pos="946" w:val="left"/>
        </w:tabs>
        <w:bidi w:val="0"/>
        <w:spacing w:before="0" w:line="438" w:lineRule="exact"/>
        <w:ind w:left="0" w:right="0" w:firstLine="48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后续计量</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在租赁期开始日后，本公司按以下原则对租赁负债进行后续计量：①确认租赁负债的利 息时，增加租赁负债的账面金额；②支付租赁付款额时，减少租赁负债的账面金额；③因重 估或租赁变更等原因导致租赁付款额发生变动时，重新计量租赁负债的账面价值。</w:t>
      </w:r>
    </w:p>
    <w:p>
      <w:pPr>
        <w:pStyle w:val="Style18"/>
        <w:keepNext w:val="0"/>
        <w:keepLines w:val="0"/>
        <w:widowControl w:val="0"/>
        <w:shd w:val="clear" w:color="auto" w:fill="auto"/>
        <w:bidi w:val="0"/>
        <w:spacing w:before="0" w:line="424" w:lineRule="exact"/>
        <w:ind w:left="0" w:right="0" w:firstLine="480"/>
        <w:jc w:val="both"/>
      </w:pPr>
      <w:r>
        <w:rPr>
          <w:color w:val="000000"/>
          <w:spacing w:val="0"/>
          <w:w w:val="100"/>
          <w:position w:val="0"/>
        </w:rPr>
        <w:t>本公司按照固定的周期性利率计算租赁负债在租赁期内各期间的利息费用，并计入当期 损益，但应当资本化的除外。周期性利率是指本公司对租赁负债进行初始计量时所采用的折 现率，或者因租赁付款额发生变动或因租赁变更而需按照修订后的折现率对租赁负债进行重 新计量时，本公司所采用的修订后的折现率。</w:t>
      </w:r>
    </w:p>
    <w:p>
      <w:pPr>
        <w:pStyle w:val="Style18"/>
        <w:keepNext w:val="0"/>
        <w:keepLines w:val="0"/>
        <w:widowControl w:val="0"/>
        <w:shd w:val="clear" w:color="auto" w:fill="auto"/>
        <w:tabs>
          <w:tab w:pos="946" w:val="left"/>
        </w:tabs>
        <w:bidi w:val="0"/>
        <w:spacing w:before="0" w:line="438" w:lineRule="exact"/>
        <w:ind w:left="0" w:right="0" w:firstLine="48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重新计量</w:t>
      </w:r>
    </w:p>
    <w:p>
      <w:pPr>
        <w:pStyle w:val="Style18"/>
        <w:keepNext w:val="0"/>
        <w:keepLines w:val="0"/>
        <w:widowControl w:val="0"/>
        <w:shd w:val="clear" w:color="auto" w:fill="auto"/>
        <w:bidi w:val="0"/>
        <w:spacing w:before="0" w:after="360" w:line="440" w:lineRule="exact"/>
        <w:ind w:left="0" w:right="0" w:firstLine="480"/>
        <w:jc w:val="both"/>
      </w:pPr>
      <w:r>
        <w:rPr>
          <w:color w:val="000000"/>
          <w:spacing w:val="0"/>
          <w:w w:val="100"/>
          <w:position w:val="0"/>
        </w:rPr>
        <w:t xml:space="preserve">在租赁期开始日后，发生下列情形时，本公司按照变动后租赁付款额的现值重新计量租 赁负债，并相应调整使用权资产的账面价值。使用权资产的账面价值已调减至零，但租赁负 债仍需进一步调减的，本公司将剩余金额计入当期损益。①实质固定付款额发生变动（该情 形下，采用原折现率折现）；②保余值预计的应付金额发生变动（该情形下，采用原折现率 折现）；③用于确定租赁付款额的指数或比率发生变动（该情形下，采用修订后的折现率折 现）；④购买选择权的评估结果发生变化（该情形下，采用修订后的折现率折现）；⑤续租 </w:t>
      </w:r>
      <w:r>
        <w:rPr>
          <w:color w:val="000000"/>
          <w:spacing w:val="0"/>
          <w:w w:val="100"/>
          <w:position w:val="0"/>
        </w:rPr>
        <w:t>选择权或终止租赁选择权的评估结果或实际行使情况发生变化（该情形下，采用修订后的折 现率折现）。</w:t>
      </w:r>
    </w:p>
    <w:p>
      <w:pPr>
        <w:pStyle w:val="Style32"/>
        <w:keepNext/>
        <w:keepLines/>
        <w:widowControl w:val="0"/>
        <w:shd w:val="clear" w:color="auto" w:fill="auto"/>
        <w:tabs>
          <w:tab w:pos="522" w:val="left"/>
        </w:tabs>
        <w:bidi w:val="0"/>
        <w:spacing w:before="0" w:after="100" w:line="379"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24"/>
          <w:szCs w:val="24"/>
        </w:rPr>
        <w:t>3</w:t>
      </w:r>
      <w:bookmarkEnd w:id="88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预计负债</w:t>
      </w:r>
      <w:bookmarkEnd w:id="883"/>
      <w:bookmarkEnd w:id="884"/>
      <w:bookmarkEnd w:id="886"/>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）该义务是本公司承 担的现时义务；（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）该义务的金额能够可靠地 计量。</w:t>
      </w:r>
    </w:p>
    <w:p>
      <w:pPr>
        <w:pStyle w:val="Style18"/>
        <w:keepNext w:val="0"/>
        <w:keepLines w:val="0"/>
        <w:widowControl w:val="0"/>
        <w:shd w:val="clear" w:color="auto" w:fill="auto"/>
        <w:bidi w:val="0"/>
        <w:spacing w:before="0" w:line="432" w:lineRule="exact"/>
        <w:ind w:left="0" w:right="0" w:firstLine="500"/>
        <w:jc w:val="both"/>
      </w:pPr>
      <w:r>
        <w:rPr>
          <w:color w:val="000000"/>
          <w:spacing w:val="0"/>
          <w:w w:val="100"/>
          <w:position w:val="0"/>
        </w:rPr>
        <w:t>在资产负债表日，考虑与或有事项有关的风险、不确定性和货币时间价值等因素，按照 履行相关现时义务所需支出的最佳估计数对预计负债进行计量。</w:t>
      </w:r>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如果清偿预计负债所需支出全部或部分预期由第三方补偿的，补偿金额在基本确定能够 收到时，作为资产单独确认，且确认的补偿金额不超过预计负债的账面价值。</w:t>
      </w:r>
    </w:p>
    <w:p>
      <w:pPr>
        <w:pStyle w:val="Style18"/>
        <w:keepNext w:val="0"/>
        <w:keepLines w:val="0"/>
        <w:widowControl w:val="0"/>
        <w:shd w:val="clear" w:color="auto" w:fill="auto"/>
        <w:tabs>
          <w:tab w:pos="1026" w:val="left"/>
        </w:tabs>
        <w:bidi w:val="0"/>
        <w:spacing w:before="0" w:line="437" w:lineRule="exact"/>
        <w:ind w:left="0" w:right="0" w:firstLine="50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亏损合同</w:t>
      </w:r>
    </w:p>
    <w:p>
      <w:pPr>
        <w:pStyle w:val="Style18"/>
        <w:keepNext w:val="0"/>
        <w:keepLines w:val="0"/>
        <w:widowControl w:val="0"/>
        <w:shd w:val="clear" w:color="auto" w:fill="auto"/>
        <w:bidi w:val="0"/>
        <w:spacing w:before="0" w:line="437" w:lineRule="exact"/>
        <w:ind w:left="0" w:right="0" w:firstLine="500"/>
        <w:jc w:val="both"/>
      </w:pPr>
      <w:r>
        <w:rPr>
          <w:color w:val="000000"/>
          <w:spacing w:val="0"/>
          <w:w w:val="100"/>
          <w:position w:val="0"/>
        </w:rPr>
        <w:t>亏损合同是履行合同义务不可避免会发生的成本超过预期经济利益的合同。待执行合同 变成亏损合同，且该亏损合同产生的义务满足上述预计负债的确认条件的，将合同预计损失 超过合同标的资产已确认的减值损失（如有）的部分，确认为预计负债。</w:t>
      </w:r>
    </w:p>
    <w:p>
      <w:pPr>
        <w:pStyle w:val="Style18"/>
        <w:keepNext w:val="0"/>
        <w:keepLines w:val="0"/>
        <w:widowControl w:val="0"/>
        <w:shd w:val="clear" w:color="auto" w:fill="auto"/>
        <w:tabs>
          <w:tab w:pos="1026" w:val="left"/>
        </w:tabs>
        <w:bidi w:val="0"/>
        <w:spacing w:before="0" w:line="437" w:lineRule="exact"/>
        <w:ind w:left="0" w:right="0" w:firstLine="50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重组义务</w:t>
      </w:r>
    </w:p>
    <w:p>
      <w:pPr>
        <w:pStyle w:val="Style18"/>
        <w:keepNext w:val="0"/>
        <w:keepLines w:val="0"/>
        <w:widowControl w:val="0"/>
        <w:shd w:val="clear" w:color="auto" w:fill="auto"/>
        <w:bidi w:val="0"/>
        <w:spacing w:before="0" w:after="360" w:line="418" w:lineRule="exact"/>
        <w:ind w:left="0" w:right="0" w:firstLine="500"/>
        <w:jc w:val="both"/>
      </w:pPr>
      <w:r>
        <w:rPr>
          <w:color w:val="000000"/>
          <w:spacing w:val="0"/>
          <w:w w:val="100"/>
          <w:position w:val="0"/>
        </w:rPr>
        <w:t>对于有详细、正式并且已经对外公告的重组计划，在满足前述预计负债的确认条件的情 况下，按照与重组有关的直接支出确定预计负债金额。对于出售部分业务的重组义务，只有 在本公司承诺出售部分业务（即签订了约束性出售协议时），才确认与重组相关的义务。</w:t>
      </w:r>
    </w:p>
    <w:p>
      <w:pPr>
        <w:pStyle w:val="Style32"/>
        <w:keepNext/>
        <w:keepLines/>
        <w:widowControl w:val="0"/>
        <w:shd w:val="clear" w:color="auto" w:fill="auto"/>
        <w:tabs>
          <w:tab w:pos="522" w:val="left"/>
        </w:tabs>
        <w:bidi w:val="0"/>
        <w:spacing w:before="0" w:after="100" w:line="379"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sz w:val="24"/>
          <w:szCs w:val="24"/>
        </w:rPr>
        <w:t>3</w:t>
      </w:r>
      <w:bookmarkEnd w:id="891"/>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股份支付</w:t>
      </w:r>
      <w:bookmarkEnd w:id="889"/>
      <w:bookmarkEnd w:id="890"/>
      <w:bookmarkEnd w:id="892"/>
    </w:p>
    <w:p>
      <w:pPr>
        <w:pStyle w:val="Style18"/>
        <w:keepNext w:val="0"/>
        <w:keepLines w:val="0"/>
        <w:widowControl w:val="0"/>
        <w:shd w:val="clear" w:color="auto" w:fill="auto"/>
        <w:bidi w:val="0"/>
        <w:spacing w:before="0" w:line="437" w:lineRule="exact"/>
        <w:ind w:left="0" w:right="0" w:firstLine="50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）股份支付的会计处理方法</w:t>
      </w:r>
    </w:p>
    <w:p>
      <w:pPr>
        <w:pStyle w:val="Style18"/>
        <w:keepNext w:val="0"/>
        <w:keepLines w:val="0"/>
        <w:widowControl w:val="0"/>
        <w:shd w:val="clear" w:color="auto" w:fill="auto"/>
        <w:bidi w:val="0"/>
        <w:spacing w:before="0" w:line="437" w:lineRule="exact"/>
        <w:ind w:left="0" w:right="0" w:firstLine="500"/>
        <w:jc w:val="both"/>
      </w:pPr>
      <w:r>
        <w:rPr>
          <w:color w:val="000000"/>
          <w:spacing w:val="0"/>
          <w:w w:val="100"/>
          <w:position w:val="0"/>
        </w:rPr>
        <w:t>股份支付是为了获取职工或其他方提供服务而授予权益工具或者承担以权益工具为基础 确定的负债的交易。股份支付分为以权益结算的股份支付和以现金结算的股份支付。</w:t>
      </w:r>
    </w:p>
    <w:p>
      <w:pPr>
        <w:pStyle w:val="Style18"/>
        <w:keepNext w:val="0"/>
        <w:keepLines w:val="0"/>
        <w:widowControl w:val="0"/>
        <w:numPr>
          <w:ilvl w:val="0"/>
          <w:numId w:val="13"/>
        </w:numPr>
        <w:shd w:val="clear" w:color="auto" w:fill="auto"/>
        <w:bidi w:val="0"/>
        <w:spacing w:before="0" w:line="437" w:lineRule="exact"/>
        <w:ind w:left="0" w:right="0" w:firstLine="500"/>
        <w:jc w:val="both"/>
      </w:pPr>
      <w:bookmarkStart w:id="894" w:name="bookmark894"/>
      <w:bookmarkEnd w:id="894"/>
      <w:r>
        <w:rPr>
          <w:color w:val="000000"/>
          <w:spacing w:val="0"/>
          <w:w w:val="100"/>
          <w:position w:val="0"/>
        </w:rPr>
        <w:t>以权益结算的股份支付</w:t>
      </w:r>
    </w:p>
    <w:p>
      <w:pPr>
        <w:pStyle w:val="Style18"/>
        <w:keepNext w:val="0"/>
        <w:keepLines w:val="0"/>
        <w:widowControl w:val="0"/>
        <w:shd w:val="clear" w:color="auto" w:fill="auto"/>
        <w:bidi w:val="0"/>
        <w:spacing w:before="0" w:line="440" w:lineRule="exact"/>
        <w:ind w:left="0" w:right="0" w:firstLine="500"/>
        <w:jc w:val="left"/>
      </w:pPr>
      <w:r>
        <w:rPr>
          <w:color w:val="000000"/>
          <w:spacing w:val="0"/>
          <w:w w:val="100"/>
          <w:position w:val="0"/>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相应增加资本公积。</w:t>
      </w:r>
    </w:p>
    <w:p>
      <w:pPr>
        <w:pStyle w:val="Style18"/>
        <w:keepNext w:val="0"/>
        <w:keepLines w:val="0"/>
        <w:widowControl w:val="0"/>
        <w:shd w:val="clear" w:color="auto" w:fill="auto"/>
        <w:bidi w:val="0"/>
        <w:spacing w:before="0" w:line="437" w:lineRule="exact"/>
        <w:ind w:left="0" w:right="0" w:firstLine="500"/>
        <w:jc w:val="left"/>
      </w:pPr>
      <w:r>
        <w:rPr>
          <w:color w:val="000000"/>
          <w:spacing w:val="0"/>
          <w:w w:val="100"/>
          <w:position w:val="0"/>
        </w:rPr>
        <w:t xml:space="preserve">在等待期内每个资产负债表日，本公司根据最新取得的可行权职工人数变动等后续信息 </w:t>
      </w:r>
      <w:r>
        <w:rPr>
          <w:color w:val="000000"/>
          <w:spacing w:val="0"/>
          <w:w w:val="100"/>
          <w:position w:val="0"/>
        </w:rPr>
        <w:t>做出最佳估计，修正预计可行权的权益工具数量。上述估计的影响计入当期相关成本或费用， 并相应调整资本公积。</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18"/>
        <w:keepNext w:val="0"/>
        <w:keepLines w:val="0"/>
        <w:widowControl w:val="0"/>
        <w:numPr>
          <w:ilvl w:val="0"/>
          <w:numId w:val="13"/>
        </w:numPr>
        <w:shd w:val="clear" w:color="auto" w:fill="auto"/>
        <w:bidi w:val="0"/>
        <w:spacing w:before="0" w:line="440" w:lineRule="exact"/>
        <w:ind w:left="0" w:right="0" w:firstLine="480"/>
        <w:jc w:val="both"/>
      </w:pPr>
      <w:bookmarkStart w:id="895" w:name="bookmark895"/>
      <w:bookmarkEnd w:id="895"/>
      <w:r>
        <w:rPr>
          <w:color w:val="000000"/>
          <w:spacing w:val="0"/>
          <w:w w:val="100"/>
          <w:position w:val="0"/>
        </w:rPr>
        <w:t>以现金结算的股份支付</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以现金结算的股份支付，按照本公司承担的以股份或其他权益工具为基础确定的负债的 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18"/>
        <w:keepNext w:val="0"/>
        <w:keepLines w:val="0"/>
        <w:widowControl w:val="0"/>
        <w:shd w:val="clear" w:color="auto" w:fill="auto"/>
        <w:bidi w:val="0"/>
        <w:spacing w:before="0" w:line="432" w:lineRule="exact"/>
        <w:ind w:left="0" w:right="0" w:firstLine="480"/>
        <w:jc w:val="both"/>
      </w:pPr>
      <w:r>
        <w:rPr>
          <w:color w:val="000000"/>
          <w:spacing w:val="0"/>
          <w:w w:val="100"/>
          <w:position w:val="0"/>
        </w:rPr>
        <w:t>在相关负债结算前的每个资产负债表日以及结算日，对负债的公允价值重新计量，其变 动计入当期损益。</w:t>
      </w:r>
    </w:p>
    <w:p>
      <w:pPr>
        <w:pStyle w:val="Style18"/>
        <w:keepNext w:val="0"/>
        <w:keepLines w:val="0"/>
        <w:widowControl w:val="0"/>
        <w:shd w:val="clear" w:color="auto" w:fill="auto"/>
        <w:tabs>
          <w:tab w:pos="980" w:val="left"/>
        </w:tabs>
        <w:bidi w:val="0"/>
        <w:spacing w:before="0" w:line="440" w:lineRule="exact"/>
        <w:ind w:left="0" w:right="0" w:firstLine="48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修改、终止股份支付计划的相关会计处理</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本公司对股份支付计划进行修改时，若修改增加了所授予权益工具的公允价值，按照权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Style18"/>
        <w:keepNext w:val="0"/>
        <w:keepLines w:val="0"/>
        <w:widowControl w:val="0"/>
        <w:shd w:val="clear" w:color="auto" w:fill="auto"/>
        <w:tabs>
          <w:tab w:pos="980" w:val="left"/>
        </w:tabs>
        <w:bidi w:val="0"/>
        <w:spacing w:before="0" w:line="440" w:lineRule="exact"/>
        <w:ind w:left="0" w:right="0" w:firstLine="48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涉及本公司与本公司股东或实际控制人的股份支付交易的会计处理</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涉及本公司与本公司股东或实际控制人的股份支付交易，结算企业与接受服务企业中其 一在本公司内，另一在本公司外的，在本公司合并财务报表中按照以下规定进行会计处理：</w:t>
      </w:r>
    </w:p>
    <w:p>
      <w:pPr>
        <w:pStyle w:val="Style18"/>
        <w:keepNext w:val="0"/>
        <w:keepLines w:val="0"/>
        <w:widowControl w:val="0"/>
        <w:numPr>
          <w:ilvl w:val="0"/>
          <w:numId w:val="15"/>
        </w:numPr>
        <w:shd w:val="clear" w:color="auto" w:fill="auto"/>
        <w:bidi w:val="0"/>
        <w:spacing w:before="0" w:line="446" w:lineRule="exact"/>
        <w:ind w:left="0" w:right="0" w:firstLine="480"/>
        <w:jc w:val="both"/>
      </w:pPr>
      <w:bookmarkStart w:id="898" w:name="bookmark898"/>
      <w:bookmarkEnd w:id="898"/>
      <w:r>
        <w:rPr>
          <w:color w:val="000000"/>
          <w:spacing w:val="0"/>
          <w:w w:val="100"/>
          <w:position w:val="0"/>
        </w:rPr>
        <w:t>结算企业以其本身权益工具结算的，将该股份支付交易作为权益结算的股份支付处理; 除此之外，作为现金结算的股份支付处理。</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 xml:space="preserve">结算企业是接受服务企业的投资者的，按照授予日权益工具的公允价值或应承担负债的 </w:t>
      </w:r>
      <w:r>
        <w:rPr>
          <w:color w:val="000000"/>
          <w:spacing w:val="0"/>
          <w:w w:val="100"/>
          <w:position w:val="0"/>
        </w:rPr>
        <w:t>公允价值确认为对接受服务企业的长期股权投资，同时确认资本公积（其他资本公积）或负 债。</w:t>
      </w:r>
    </w:p>
    <w:p>
      <w:pPr>
        <w:pStyle w:val="Style18"/>
        <w:keepNext w:val="0"/>
        <w:keepLines w:val="0"/>
        <w:widowControl w:val="0"/>
        <w:numPr>
          <w:ilvl w:val="0"/>
          <w:numId w:val="15"/>
        </w:numPr>
        <w:shd w:val="clear" w:color="auto" w:fill="auto"/>
        <w:bidi w:val="0"/>
        <w:spacing w:before="0" w:line="442" w:lineRule="exact"/>
        <w:ind w:left="0" w:right="0" w:firstLine="500"/>
        <w:jc w:val="both"/>
      </w:pPr>
      <w:bookmarkStart w:id="899" w:name="bookmark899"/>
      <w:bookmarkEnd w:id="899"/>
      <w:r>
        <w:rPr>
          <w:color w:val="000000"/>
          <w:spacing w:val="0"/>
          <w:w w:val="100"/>
          <w:position w:val="0"/>
        </w:rPr>
        <w:t>接受服务企业没有结算义务或授予本企业职工的是其本身权益工具的，将该股份支付 交易作为权益结算的股份支付处理；接受服务企业具有结算义务且授予本企业职工的并非其 本身权益工具的，将该股份支付交易作为现金结算的股份支付处理。</w:t>
      </w:r>
    </w:p>
    <w:p>
      <w:pPr>
        <w:pStyle w:val="Style18"/>
        <w:keepNext w:val="0"/>
        <w:keepLines w:val="0"/>
        <w:widowControl w:val="0"/>
        <w:shd w:val="clear" w:color="auto" w:fill="auto"/>
        <w:bidi w:val="0"/>
        <w:spacing w:before="0" w:after="360" w:line="439" w:lineRule="exact"/>
        <w:ind w:left="0" w:right="0" w:firstLine="500"/>
        <w:jc w:val="both"/>
      </w:pPr>
      <w:r>
        <w:rPr>
          <w:color w:val="000000"/>
          <w:spacing w:val="0"/>
          <w:w w:val="100"/>
          <w:position w:val="0"/>
        </w:rPr>
        <w:t>本公司内各企业之间发生的股份支付交易，接受服务企业和结算企业不是同一企业的， 在接受服务企业和结算企业各自的个别财务报表中对该股份支付交易的确认和计量，比照上 述原则处理。</w:t>
      </w:r>
    </w:p>
    <w:p>
      <w:pPr>
        <w:pStyle w:val="Style32"/>
        <w:keepNext/>
        <w:keepLines/>
        <w:widowControl w:val="0"/>
        <w:shd w:val="clear" w:color="auto" w:fill="auto"/>
        <w:bidi w:val="0"/>
        <w:spacing w:before="0" w:after="120" w:line="384" w:lineRule="auto"/>
        <w:ind w:left="0" w:right="0" w:firstLine="0"/>
        <w:jc w:val="left"/>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sz w:val="24"/>
          <w:szCs w:val="24"/>
        </w:rPr>
        <w:t>36</w:t>
      </w:r>
      <w:r>
        <w:rPr>
          <w:color w:val="000000"/>
          <w:spacing w:val="0"/>
          <w:w w:val="100"/>
          <w:position w:val="0"/>
        </w:rPr>
        <w:t>、收入</w:t>
      </w:r>
      <w:bookmarkEnd w:id="900"/>
      <w:bookmarkEnd w:id="901"/>
      <w:bookmarkEnd w:id="902"/>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line="440" w:lineRule="exact"/>
        <w:ind w:left="0" w:right="0" w:firstLine="50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）一般原则</w:t>
      </w:r>
    </w:p>
    <w:p>
      <w:pPr>
        <w:pStyle w:val="Style18"/>
        <w:keepNext w:val="0"/>
        <w:keepLines w:val="0"/>
        <w:widowControl w:val="0"/>
        <w:shd w:val="clear" w:color="auto" w:fill="auto"/>
        <w:bidi w:val="0"/>
        <w:spacing w:before="0" w:line="437" w:lineRule="exact"/>
        <w:ind w:left="0" w:right="0" w:firstLine="500"/>
        <w:jc w:val="both"/>
      </w:pPr>
      <w:r>
        <w:rPr>
          <w:color w:val="000000"/>
          <w:spacing w:val="0"/>
          <w:w w:val="100"/>
          <w:position w:val="0"/>
        </w:rPr>
        <w:t>收入是本公司在日常活动中形成的、会导致股东权益增加且与股东投入资本无关的经济 利益的总流入。</w:t>
      </w:r>
    </w:p>
    <w:p>
      <w:pPr>
        <w:pStyle w:val="Style18"/>
        <w:keepNext w:val="0"/>
        <w:keepLines w:val="0"/>
        <w:widowControl w:val="0"/>
        <w:shd w:val="clear" w:color="auto" w:fill="auto"/>
        <w:bidi w:val="0"/>
        <w:spacing w:before="0" w:line="437" w:lineRule="exact"/>
        <w:ind w:left="0" w:right="0" w:firstLine="500"/>
        <w:jc w:val="both"/>
      </w:pPr>
      <w:r>
        <w:rPr>
          <w:color w:val="000000"/>
          <w:spacing w:val="0"/>
          <w:w w:val="100"/>
          <w:position w:val="0"/>
        </w:rPr>
        <w:t>本公司在履行了合同中的履约义务，即在客户取得相关商品控制权时确认收入。取得相 关商品控制权，是指能够主导该商品的使用并从中获得几乎全部的经济利益。</w:t>
      </w:r>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合同中包含两项或多项履约义务的，本公司在合同开始日，按照各单项履约义务所承诺 商品或服务的单独售价的相对比例，将交易价格分摊至各单项履约义务，按照分摊至各单项 履约义务的交易价格计量收入。</w:t>
      </w:r>
    </w:p>
    <w:p>
      <w:pPr>
        <w:pStyle w:val="Style18"/>
        <w:keepNext w:val="0"/>
        <w:keepLines w:val="0"/>
        <w:widowControl w:val="0"/>
        <w:shd w:val="clear" w:color="auto" w:fill="auto"/>
        <w:bidi w:val="0"/>
        <w:spacing w:before="0" w:line="440" w:lineRule="exact"/>
        <w:ind w:left="0" w:right="0" w:firstLine="500"/>
        <w:jc w:val="both"/>
      </w:pPr>
      <w:r>
        <w:rPr>
          <w:color w:val="000000"/>
          <w:spacing w:val="0"/>
          <w:w w:val="100"/>
          <w:position w:val="0"/>
        </w:rPr>
        <w:t>交易价格是本公司因向客户转让商品或服务而预期有权收取的对价金额，不包括代第三 方收取的款项。在确定合同交易价格时，如果存在可变对价，本公司按照期望值或最可能发 生金额确定可变对价的最佳估计数，并以不超过在相关不确定性消除时累计已确认收入极可 能不会发生重大转回的金额计入交易价格。合同中如果存在重大融资成分，本公司将根据客 户在取得商品控制权时即以现金支付的应付金额确定交易价格，该交易价格与合同对价之间 的差额，在合同期间内采用实际利率法摊销，对于控制权转移与客户支付价款间隔未超过一 年的，本公司不考虑其中的融资成分。</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满足下列条件之一的，属于在某一时段内履行履约义务；否则，属于在某一时点履行履 约义务：</w:t>
      </w:r>
    </w:p>
    <w:p>
      <w:pPr>
        <w:pStyle w:val="Style18"/>
        <w:keepNext w:val="0"/>
        <w:keepLines w:val="0"/>
        <w:widowControl w:val="0"/>
        <w:numPr>
          <w:ilvl w:val="0"/>
          <w:numId w:val="17"/>
        </w:numPr>
        <w:shd w:val="clear" w:color="auto" w:fill="auto"/>
        <w:tabs>
          <w:tab w:pos="917" w:val="left"/>
        </w:tabs>
        <w:bidi w:val="0"/>
        <w:spacing w:before="0" w:line="442" w:lineRule="exact"/>
        <w:ind w:left="0" w:right="0" w:firstLine="500"/>
        <w:jc w:val="both"/>
      </w:pPr>
      <w:bookmarkStart w:id="904" w:name="bookmark904"/>
      <w:bookmarkEnd w:id="904"/>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17"/>
        </w:numPr>
        <w:shd w:val="clear" w:color="auto" w:fill="auto"/>
        <w:tabs>
          <w:tab w:pos="917" w:val="left"/>
        </w:tabs>
        <w:bidi w:val="0"/>
        <w:spacing w:before="0" w:line="440" w:lineRule="exact"/>
        <w:ind w:left="0" w:right="0" w:firstLine="500"/>
        <w:jc w:val="both"/>
      </w:pPr>
      <w:bookmarkStart w:id="905" w:name="bookmark905"/>
      <w:bookmarkEnd w:id="905"/>
      <w:r>
        <w:rPr>
          <w:color w:val="000000"/>
          <w:spacing w:val="0"/>
          <w:w w:val="100"/>
          <w:position w:val="0"/>
        </w:rPr>
        <w:t>客户能够控制本公司履约过程中在建的商品；</w:t>
      </w:r>
    </w:p>
    <w:p>
      <w:pPr>
        <w:pStyle w:val="Style18"/>
        <w:keepNext w:val="0"/>
        <w:keepLines w:val="0"/>
        <w:widowControl w:val="0"/>
        <w:numPr>
          <w:ilvl w:val="0"/>
          <w:numId w:val="17"/>
        </w:numPr>
        <w:shd w:val="clear" w:color="auto" w:fill="auto"/>
        <w:bidi w:val="0"/>
        <w:spacing w:before="0" w:line="427" w:lineRule="exact"/>
        <w:ind w:left="0" w:right="0" w:firstLine="480"/>
        <w:jc w:val="both"/>
      </w:pPr>
      <w:bookmarkStart w:id="906" w:name="bookmark906"/>
      <w:bookmarkEnd w:id="906"/>
      <w:r>
        <w:rPr>
          <w:color w:val="000000"/>
          <w:spacing w:val="0"/>
          <w:w w:val="100"/>
          <w:position w:val="0"/>
        </w:rPr>
        <w:t>本公司履约过程中所产出的商品具有不可替代用途，且本公司在整个合同期间内有权 就累计至今已完成的履约部分收取款项。</w:t>
      </w:r>
    </w:p>
    <w:p>
      <w:pPr>
        <w:pStyle w:val="Style18"/>
        <w:keepNext w:val="0"/>
        <w:keepLines w:val="0"/>
        <w:widowControl w:val="0"/>
        <w:shd w:val="clear" w:color="auto" w:fill="auto"/>
        <w:bidi w:val="0"/>
        <w:spacing w:before="0" w:line="440" w:lineRule="exact"/>
        <w:ind w:left="0" w:right="0" w:firstLine="480"/>
        <w:jc w:val="both"/>
      </w:pPr>
      <w:r>
        <w:rPr>
          <w:color w:val="000000"/>
          <w:spacing w:val="0"/>
          <w:w w:val="100"/>
          <w:position w:val="0"/>
        </w:rPr>
        <w:t>对于在某一时段内履行的履约义务，本公司在该段时间内按照履约进度确认收入，但是， 履约进度不能合理确定的除外。本公司按照投入法（或产出法）确定提供服务的履约进度。 当履约进度不能合理确定时，本公司已经发生的成本预计能够得到补偿的，按照已经发生的 成本金额确认收入，直到履约进度能够合理确定为止。</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对于在某一时点履行的履约义务，本公司在客户取得相关商品控制权时点确认收入。在 判断客户是否已取得商品或服务控制权时，本公司会考虑下列迹象：</w:t>
      </w:r>
    </w:p>
    <w:p>
      <w:pPr>
        <w:pStyle w:val="Style18"/>
        <w:keepNext w:val="0"/>
        <w:keepLines w:val="0"/>
        <w:widowControl w:val="0"/>
        <w:numPr>
          <w:ilvl w:val="0"/>
          <w:numId w:val="19"/>
        </w:numPr>
        <w:shd w:val="clear" w:color="auto" w:fill="auto"/>
        <w:tabs>
          <w:tab w:pos="901" w:val="left"/>
        </w:tabs>
        <w:bidi w:val="0"/>
        <w:spacing w:before="0" w:line="439" w:lineRule="exact"/>
        <w:ind w:left="0" w:right="0" w:firstLine="480"/>
        <w:jc w:val="both"/>
      </w:pPr>
      <w:bookmarkStart w:id="907" w:name="bookmark907"/>
      <w:bookmarkEnd w:id="907"/>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19"/>
        </w:numPr>
        <w:shd w:val="clear" w:color="auto" w:fill="auto"/>
        <w:tabs>
          <w:tab w:pos="901" w:val="left"/>
        </w:tabs>
        <w:bidi w:val="0"/>
        <w:spacing w:before="0" w:line="439" w:lineRule="exact"/>
        <w:ind w:left="0" w:right="0" w:firstLine="480"/>
        <w:jc w:val="both"/>
      </w:pPr>
      <w:bookmarkStart w:id="908" w:name="bookmark908"/>
      <w:bookmarkEnd w:id="908"/>
      <w:r>
        <w:rPr>
          <w:color w:val="000000"/>
          <w:spacing w:val="0"/>
          <w:w w:val="100"/>
          <w:position w:val="0"/>
        </w:rPr>
        <w:t>本公司已将该商品的法定所有权转移给客户，即客户已拥有了该商品的法定所有权；</w:t>
      </w:r>
    </w:p>
    <w:p>
      <w:pPr>
        <w:pStyle w:val="Style18"/>
        <w:keepNext w:val="0"/>
        <w:keepLines w:val="0"/>
        <w:widowControl w:val="0"/>
        <w:numPr>
          <w:ilvl w:val="0"/>
          <w:numId w:val="19"/>
        </w:numPr>
        <w:shd w:val="clear" w:color="auto" w:fill="auto"/>
        <w:tabs>
          <w:tab w:pos="901" w:val="left"/>
        </w:tabs>
        <w:bidi w:val="0"/>
        <w:spacing w:before="0" w:line="439" w:lineRule="exact"/>
        <w:ind w:left="0" w:right="0" w:firstLine="480"/>
        <w:jc w:val="both"/>
      </w:pPr>
      <w:bookmarkStart w:id="909" w:name="bookmark909"/>
      <w:bookmarkEnd w:id="909"/>
      <w:r>
        <w:rPr>
          <w:color w:val="000000"/>
          <w:spacing w:val="0"/>
          <w:w w:val="100"/>
          <w:position w:val="0"/>
        </w:rPr>
        <w:t>本公司已将该商品的实物转移给客户，即客户已实物占有该商品；</w:t>
      </w:r>
    </w:p>
    <w:p>
      <w:pPr>
        <w:pStyle w:val="Style18"/>
        <w:keepNext w:val="0"/>
        <w:keepLines w:val="0"/>
        <w:widowControl w:val="0"/>
        <w:numPr>
          <w:ilvl w:val="0"/>
          <w:numId w:val="19"/>
        </w:numPr>
        <w:shd w:val="clear" w:color="auto" w:fill="auto"/>
        <w:tabs>
          <w:tab w:pos="901" w:val="left"/>
        </w:tabs>
        <w:bidi w:val="0"/>
        <w:spacing w:before="0" w:line="446" w:lineRule="exact"/>
        <w:ind w:left="0" w:right="0" w:firstLine="480"/>
        <w:jc w:val="both"/>
      </w:pPr>
      <w:bookmarkStart w:id="910" w:name="bookmark910"/>
      <w:bookmarkEnd w:id="910"/>
      <w:r>
        <w:rPr>
          <w:color w:val="000000"/>
          <w:spacing w:val="0"/>
          <w:w w:val="100"/>
          <w:position w:val="0"/>
        </w:rPr>
        <w:t>本公司已将该商品所有权上的主要风险和报酬转移给客户，即客户已取得该商品所有 权上的主要风险和报酬；</w:t>
      </w:r>
    </w:p>
    <w:p>
      <w:pPr>
        <w:pStyle w:val="Style18"/>
        <w:keepNext w:val="0"/>
        <w:keepLines w:val="0"/>
        <w:widowControl w:val="0"/>
        <w:numPr>
          <w:ilvl w:val="0"/>
          <w:numId w:val="19"/>
        </w:numPr>
        <w:shd w:val="clear" w:color="auto" w:fill="auto"/>
        <w:tabs>
          <w:tab w:pos="901" w:val="left"/>
        </w:tabs>
        <w:bidi w:val="0"/>
        <w:spacing w:before="0" w:line="439" w:lineRule="exact"/>
        <w:ind w:left="0" w:right="0" w:firstLine="480"/>
        <w:jc w:val="both"/>
      </w:pPr>
      <w:bookmarkStart w:id="911" w:name="bookmark911"/>
      <w:bookmarkEnd w:id="911"/>
      <w:r>
        <w:rPr>
          <w:color w:val="000000"/>
          <w:spacing w:val="0"/>
          <w:w w:val="100"/>
          <w:position w:val="0"/>
        </w:rPr>
        <w:t>客户已接受该商品。</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本公司已向客户转让商品或服务而有权收取对价的权利作为合同资产列示，合同资产以 预期信用损失为基础计提减值。本公司拥有的无条件向客户收取对价的权利作为应收款项列 示。本公司已收或应收客户对价而应向客户转让商品或服务的义务作为合同负债列示。</w:t>
      </w:r>
    </w:p>
    <w:p>
      <w:pPr>
        <w:pStyle w:val="Style18"/>
        <w:keepNext w:val="0"/>
        <w:keepLines w:val="0"/>
        <w:widowControl w:val="0"/>
        <w:shd w:val="clear" w:color="auto" w:fill="auto"/>
        <w:bidi w:val="0"/>
        <w:spacing w:before="0" w:line="439" w:lineRule="exact"/>
        <w:ind w:left="0" w:right="0" w:firstLine="48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）具体方法</w:t>
      </w:r>
    </w:p>
    <w:p>
      <w:pPr>
        <w:pStyle w:val="Style18"/>
        <w:keepNext w:val="0"/>
        <w:keepLines w:val="0"/>
        <w:widowControl w:val="0"/>
        <w:numPr>
          <w:ilvl w:val="0"/>
          <w:numId w:val="21"/>
        </w:numPr>
        <w:shd w:val="clear" w:color="auto" w:fill="auto"/>
        <w:tabs>
          <w:tab w:pos="901" w:val="left"/>
        </w:tabs>
        <w:bidi w:val="0"/>
        <w:spacing w:before="0" w:line="439" w:lineRule="exact"/>
        <w:ind w:left="0" w:right="0" w:firstLine="480"/>
        <w:jc w:val="both"/>
      </w:pPr>
      <w:bookmarkStart w:id="913" w:name="bookmark913"/>
      <w:bookmarkEnd w:id="913"/>
      <w:r>
        <w:rPr>
          <w:color w:val="000000"/>
          <w:spacing w:val="0"/>
          <w:w w:val="100"/>
          <w:position w:val="0"/>
        </w:rPr>
        <w:t>销售商品收入确认和计量的具体原则：</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公司根据与客户签订的合同（订单）发货，不需要安装的，客户验收后确认收入；需要 安装的，安装完成并调试经客户验收后确认收入。</w:t>
      </w:r>
    </w:p>
    <w:p>
      <w:pPr>
        <w:pStyle w:val="Style18"/>
        <w:keepNext w:val="0"/>
        <w:keepLines w:val="0"/>
        <w:widowControl w:val="0"/>
        <w:numPr>
          <w:ilvl w:val="0"/>
          <w:numId w:val="21"/>
        </w:numPr>
        <w:shd w:val="clear" w:color="auto" w:fill="auto"/>
        <w:tabs>
          <w:tab w:pos="901" w:val="left"/>
        </w:tabs>
        <w:bidi w:val="0"/>
        <w:spacing w:before="0" w:line="439" w:lineRule="exact"/>
        <w:ind w:left="0" w:right="0" w:firstLine="480"/>
        <w:jc w:val="both"/>
      </w:pPr>
      <w:bookmarkStart w:id="914" w:name="bookmark914"/>
      <w:bookmarkEnd w:id="914"/>
      <w:r>
        <w:rPr>
          <w:color w:val="000000"/>
          <w:spacing w:val="0"/>
          <w:w w:val="100"/>
          <w:position w:val="0"/>
        </w:rPr>
        <w:t>提供技术开发及服务收入确认和计量的具体原则：</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公司提供技术开发合同收入按照合同约定满足在某一时段内履行履约义务条件的按照履 约进度确认收入，否则在客户取得商品控制权时点时确认收入；对于运维管理等项目，以项 目完成并取得客户确认后确认收入。</w:t>
      </w:r>
    </w:p>
    <w:p>
      <w:pPr>
        <w:pStyle w:val="Style18"/>
        <w:keepNext w:val="0"/>
        <w:keepLines w:val="0"/>
        <w:widowControl w:val="0"/>
        <w:numPr>
          <w:ilvl w:val="0"/>
          <w:numId w:val="21"/>
        </w:numPr>
        <w:shd w:val="clear" w:color="auto" w:fill="auto"/>
        <w:tabs>
          <w:tab w:pos="901" w:val="left"/>
        </w:tabs>
        <w:bidi w:val="0"/>
        <w:spacing w:before="0" w:line="439" w:lineRule="exact"/>
        <w:ind w:left="0" w:right="0" w:firstLine="480"/>
        <w:jc w:val="both"/>
      </w:pPr>
      <w:bookmarkStart w:id="915" w:name="bookmark915"/>
      <w:bookmarkEnd w:id="915"/>
      <w:r>
        <w:rPr>
          <w:color w:val="000000"/>
          <w:spacing w:val="0"/>
          <w:w w:val="100"/>
          <w:position w:val="0"/>
        </w:rPr>
        <w:t>利息收入</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按照他人使用本公司货币资金的时间和实际利率计算确定。</w:t>
      </w:r>
    </w:p>
    <w:p>
      <w:pPr>
        <w:pStyle w:val="Style18"/>
        <w:keepNext w:val="0"/>
        <w:keepLines w:val="0"/>
        <w:widowControl w:val="0"/>
        <w:numPr>
          <w:ilvl w:val="0"/>
          <w:numId w:val="21"/>
        </w:numPr>
        <w:shd w:val="clear" w:color="auto" w:fill="auto"/>
        <w:tabs>
          <w:tab w:pos="901" w:val="left"/>
        </w:tabs>
        <w:bidi w:val="0"/>
        <w:spacing w:before="0" w:line="439" w:lineRule="exact"/>
        <w:ind w:left="0" w:right="0" w:firstLine="480"/>
        <w:jc w:val="both"/>
      </w:pPr>
      <w:bookmarkStart w:id="916" w:name="bookmark916"/>
      <w:bookmarkEnd w:id="916"/>
      <w:r>
        <w:rPr>
          <w:color w:val="000000"/>
          <w:spacing w:val="0"/>
          <w:w w:val="100"/>
          <w:position w:val="0"/>
        </w:rPr>
        <w:t>房屋出租收入</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按照合同约定确认收入。</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700" w:line="442" w:lineRule="exact"/>
        <w:ind w:left="0" w:right="0" w:firstLine="500"/>
        <w:jc w:val="left"/>
      </w:pPr>
      <w:r>
        <w:rPr>
          <w:color w:val="000000"/>
          <w:spacing w:val="0"/>
          <w:w w:val="100"/>
          <w:position w:val="0"/>
        </w:rPr>
        <w:t>同类业务不存在采用不同经营模式导致收入确认会计政策存在差异的情况。</w:t>
      </w:r>
    </w:p>
    <w:p>
      <w:pPr>
        <w:pStyle w:val="Style32"/>
        <w:keepNext/>
        <w:keepLines/>
        <w:widowControl w:val="0"/>
        <w:shd w:val="clear" w:color="auto" w:fill="auto"/>
        <w:tabs>
          <w:tab w:pos="522" w:val="left"/>
        </w:tabs>
        <w:bidi w:val="0"/>
        <w:spacing w:before="0" w:after="100" w:line="384"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sz w:val="24"/>
          <w:szCs w:val="24"/>
        </w:rPr>
        <w:t>3</w:t>
      </w:r>
      <w:bookmarkEnd w:id="919"/>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政府补助</w:t>
      </w:r>
      <w:bookmarkEnd w:id="917"/>
      <w:bookmarkEnd w:id="918"/>
      <w:bookmarkEnd w:id="920"/>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政府补助是指本公司从政府无偿取得货币性资产和非货币性资产，不包括政府以投资者 身份并享有相应所有者权益而投入的资本。政府补助分为与资产相关的政府补助和与收益相 关的政府补助。政府补助为货币性资产的，按照收到或应收的金额计量。政府补助为非货币 性资产的，按照公允价值计量；公允价值不能够可靠取得的，按照名义金额计量。按照名义 金额计量的政府补助，直接计入当期损益。</w:t>
      </w:r>
    </w:p>
    <w:p>
      <w:pPr>
        <w:pStyle w:val="Style18"/>
        <w:keepNext w:val="0"/>
        <w:keepLines w:val="0"/>
        <w:widowControl w:val="0"/>
        <w:shd w:val="clear" w:color="auto" w:fill="auto"/>
        <w:bidi w:val="0"/>
        <w:spacing w:before="0" w:after="0" w:line="438" w:lineRule="exact"/>
        <w:ind w:left="0" w:right="0" w:firstLine="500"/>
        <w:jc w:val="both"/>
      </w:pPr>
      <w:r>
        <w:rPr>
          <w:color w:val="000000"/>
          <w:spacing w:val="0"/>
          <w:w w:val="100"/>
          <w:position w:val="0"/>
        </w:rPr>
        <w:t>与资产相关的政府补助，确认为递延收益，并在相关资产的使用寿命内按照合理、系统 的方法分期计入当期损益。与收益相关的政府补助，用于补偿以后期间的相关成本费用或损 失的，确认为递延收益，并在确认相关成本费用或损失的期间计入当期损益；用于补偿已经 发生的相关成本费用或损失的，直接计入当期损益。</w:t>
      </w:r>
    </w:p>
    <w:p>
      <w:pPr>
        <w:pStyle w:val="Style18"/>
        <w:keepNext w:val="0"/>
        <w:keepLines w:val="0"/>
        <w:widowControl w:val="0"/>
        <w:shd w:val="clear" w:color="auto" w:fill="auto"/>
        <w:bidi w:val="0"/>
        <w:spacing w:before="0" w:after="0" w:line="432" w:lineRule="exact"/>
        <w:ind w:left="0" w:right="0" w:firstLine="500"/>
        <w:jc w:val="both"/>
      </w:pPr>
      <w:r>
        <w:rPr>
          <w:color w:val="000000"/>
          <w:spacing w:val="0"/>
          <w:w w:val="100"/>
          <w:position w:val="0"/>
        </w:rPr>
        <w:t>同时包含与资产相关部分和与收益相关部分的政府补助，区分不同部分分别进行会计处 理；难以区分的，将其整体归类为与收益相关的政府补助。</w:t>
      </w:r>
    </w:p>
    <w:p>
      <w:pPr>
        <w:pStyle w:val="Style18"/>
        <w:keepNext w:val="0"/>
        <w:keepLines w:val="0"/>
        <w:widowControl w:val="0"/>
        <w:shd w:val="clear" w:color="auto" w:fill="auto"/>
        <w:bidi w:val="0"/>
        <w:spacing w:before="0" w:after="0" w:line="451" w:lineRule="exact"/>
        <w:ind w:left="0" w:right="0" w:firstLine="500"/>
        <w:jc w:val="both"/>
      </w:pPr>
      <w:r>
        <w:rPr>
          <w:color w:val="000000"/>
          <w:spacing w:val="0"/>
          <w:w w:val="100"/>
          <w:position w:val="0"/>
        </w:rPr>
        <w:t>与本公司日常活动相关的政府补助，按照经济业务的实质，计入其他收益或冲减相关成 本费用；与日常活动无关的政府补助，计入营业外收支。</w:t>
      </w:r>
    </w:p>
    <w:p>
      <w:pPr>
        <w:pStyle w:val="Style18"/>
        <w:keepNext w:val="0"/>
        <w:keepLines w:val="0"/>
        <w:widowControl w:val="0"/>
        <w:shd w:val="clear" w:color="auto" w:fill="auto"/>
        <w:bidi w:val="0"/>
        <w:spacing w:before="0" w:after="360" w:line="446" w:lineRule="exact"/>
        <w:ind w:left="0" w:right="0" w:firstLine="500"/>
        <w:jc w:val="both"/>
      </w:pPr>
      <w:r>
        <w:rPr>
          <w:color w:val="000000"/>
          <w:spacing w:val="0"/>
          <w:w w:val="100"/>
          <w:position w:val="0"/>
        </w:rPr>
        <w:t>已确认的政府补助需要退回时，存在相关递延收益余额的，冲减相关递延收益账面余额， 超出部分计入当期损益；属于其他情况的，直接计入当期损益。</w:t>
      </w:r>
    </w:p>
    <w:p>
      <w:pPr>
        <w:pStyle w:val="Style32"/>
        <w:keepNext/>
        <w:keepLines/>
        <w:widowControl w:val="0"/>
        <w:shd w:val="clear" w:color="auto" w:fill="auto"/>
        <w:tabs>
          <w:tab w:pos="522" w:val="left"/>
        </w:tabs>
        <w:bidi w:val="0"/>
        <w:spacing w:before="0" w:after="100" w:line="384"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sz w:val="24"/>
          <w:szCs w:val="24"/>
        </w:rPr>
        <w:t>3</w:t>
      </w:r>
      <w:bookmarkEnd w:id="923"/>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921"/>
      <w:bookmarkEnd w:id="922"/>
      <w:bookmarkEnd w:id="924"/>
    </w:p>
    <w:p>
      <w:pPr>
        <w:pStyle w:val="Style18"/>
        <w:keepNext w:val="0"/>
        <w:keepLines w:val="0"/>
        <w:widowControl w:val="0"/>
        <w:shd w:val="clear" w:color="auto" w:fill="auto"/>
        <w:tabs>
          <w:tab w:pos="1026" w:val="left"/>
        </w:tabs>
        <w:bidi w:val="0"/>
        <w:spacing w:before="0" w:after="0" w:line="442" w:lineRule="exact"/>
        <w:ind w:left="0" w:right="0" w:firstLine="500"/>
        <w:jc w:val="left"/>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当期所得税</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资产负债表日，对于当期和以前期间形成的当期所得税负债（或资产），以按照税法规 定计算的预期应交纳（或返还）的所得税金额计量。计算当期所得税费用所依据的应纳税所 得额系根据有关税法规定对本年度税前会计利润作相应调整后计算得出。</w:t>
      </w:r>
    </w:p>
    <w:p>
      <w:pPr>
        <w:pStyle w:val="Style18"/>
        <w:keepNext w:val="0"/>
        <w:keepLines w:val="0"/>
        <w:widowControl w:val="0"/>
        <w:shd w:val="clear" w:color="auto" w:fill="auto"/>
        <w:tabs>
          <w:tab w:pos="1026" w:val="left"/>
        </w:tabs>
        <w:bidi w:val="0"/>
        <w:spacing w:before="0" w:after="0" w:line="442" w:lineRule="exact"/>
        <w:ind w:left="0" w:right="0" w:firstLine="50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递延所得税资产及递延所得税负债</w:t>
      </w:r>
    </w:p>
    <w:p>
      <w:pPr>
        <w:pStyle w:val="Style18"/>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18"/>
        <w:keepNext w:val="0"/>
        <w:keepLines w:val="0"/>
        <w:widowControl w:val="0"/>
        <w:shd w:val="clear" w:color="auto" w:fill="auto"/>
        <w:bidi w:val="0"/>
        <w:spacing w:before="0" w:line="442" w:lineRule="exact"/>
        <w:ind w:left="0" w:right="0" w:firstLine="500"/>
        <w:jc w:val="both"/>
      </w:pPr>
      <w:r>
        <w:rPr>
          <w:color w:val="000000"/>
          <w:spacing w:val="0"/>
          <w:w w:val="100"/>
          <w:position w:val="0"/>
        </w:rPr>
        <w:t xml:space="preserve">与商誉的初始确认有关，以及与既不是企业合并、发生时也不影响会计利润和应纳税所 得额（或可抵扣亏损）的交易中产生的资产或负债的初始确认有关的应纳税暂时性差异，不 </w:t>
      </w:r>
      <w:r>
        <w:rPr>
          <w:color w:val="000000"/>
          <w:spacing w:val="0"/>
          <w:w w:val="100"/>
          <w:position w:val="0"/>
        </w:rPr>
        <w:t>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与既不是企业合并、发生时也不影响会计利润和应纳税所得额（或可抵扣亏损）的交易 中产生的资产或负债的初始确认有关的可抵扣暂时性差异，不予确认有关的递延所得税资产。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Style18"/>
        <w:keepNext w:val="0"/>
        <w:keepLines w:val="0"/>
        <w:widowControl w:val="0"/>
        <w:shd w:val="clear" w:color="auto" w:fill="auto"/>
        <w:bidi w:val="0"/>
        <w:spacing w:before="0" w:line="437" w:lineRule="exact"/>
        <w:ind w:left="0" w:right="0" w:firstLine="480"/>
        <w:jc w:val="both"/>
      </w:pPr>
      <w:r>
        <w:rPr>
          <w:color w:val="000000"/>
          <w:spacing w:val="0"/>
          <w:w w:val="100"/>
          <w:position w:val="0"/>
        </w:rPr>
        <w:t>对于能够结转以后年度的可抵扣亏损和税款抵减，以很可能获得用来抵扣可抵扣亏损和 税款抵减的未来应纳税所得额为限，确认相应的递延所得税资产。</w:t>
      </w:r>
    </w:p>
    <w:p>
      <w:pPr>
        <w:pStyle w:val="Style18"/>
        <w:keepNext w:val="0"/>
        <w:keepLines w:val="0"/>
        <w:widowControl w:val="0"/>
        <w:shd w:val="clear" w:color="auto" w:fill="auto"/>
        <w:bidi w:val="0"/>
        <w:spacing w:before="0" w:line="446" w:lineRule="exact"/>
        <w:ind w:left="0" w:right="0" w:firstLine="480"/>
        <w:jc w:val="both"/>
      </w:pPr>
      <w:r>
        <w:rPr>
          <w:color w:val="000000"/>
          <w:spacing w:val="0"/>
          <w:w w:val="100"/>
          <w:position w:val="0"/>
        </w:rPr>
        <w:t>资产负债表日，对于递延所得税资产和递延所得税负债，根据税法规定，按照预期收回 相关资产或清偿相关负债期间的适用税率计量。</w:t>
      </w:r>
    </w:p>
    <w:p>
      <w:pPr>
        <w:pStyle w:val="Style18"/>
        <w:keepNext w:val="0"/>
        <w:keepLines w:val="0"/>
        <w:widowControl w:val="0"/>
        <w:shd w:val="clear" w:color="auto" w:fill="auto"/>
        <w:bidi w:val="0"/>
        <w:spacing w:before="0" w:line="434" w:lineRule="exact"/>
        <w:ind w:left="0" w:right="0" w:firstLine="480"/>
        <w:jc w:val="both"/>
      </w:pPr>
      <w:r>
        <w:rPr>
          <w:color w:val="000000"/>
          <w:spacing w:val="0"/>
          <w:w w:val="100"/>
          <w:position w:val="0"/>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Style18"/>
        <w:keepNext w:val="0"/>
        <w:keepLines w:val="0"/>
        <w:widowControl w:val="0"/>
        <w:shd w:val="clear" w:color="auto" w:fill="auto"/>
        <w:tabs>
          <w:tab w:pos="968" w:val="left"/>
        </w:tabs>
        <w:bidi w:val="0"/>
        <w:spacing w:before="0" w:line="438" w:lineRule="exact"/>
        <w:ind w:left="0" w:right="0" w:firstLine="48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所得税费用</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line="442" w:lineRule="exact"/>
        <w:ind w:left="0" w:right="0" w:firstLine="480"/>
        <w:jc w:val="both"/>
      </w:pPr>
      <w:r>
        <w:rPr>
          <w:color w:val="000000"/>
          <w:spacing w:val="0"/>
          <w:w w:val="100"/>
          <w:position w:val="0"/>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Style18"/>
        <w:keepNext w:val="0"/>
        <w:keepLines w:val="0"/>
        <w:widowControl w:val="0"/>
        <w:shd w:val="clear" w:color="auto" w:fill="auto"/>
        <w:tabs>
          <w:tab w:pos="968" w:val="left"/>
        </w:tabs>
        <w:bidi w:val="0"/>
        <w:spacing w:before="0" w:line="442" w:lineRule="exact"/>
        <w:ind w:left="0" w:right="0" w:firstLine="48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所得税的抵销</w:t>
      </w:r>
    </w:p>
    <w:p>
      <w:pPr>
        <w:pStyle w:val="Style18"/>
        <w:keepNext w:val="0"/>
        <w:keepLines w:val="0"/>
        <w:widowControl w:val="0"/>
        <w:shd w:val="clear" w:color="auto" w:fill="auto"/>
        <w:bidi w:val="0"/>
        <w:spacing w:before="0" w:line="427" w:lineRule="exact"/>
        <w:ind w:left="0" w:right="0" w:firstLine="480"/>
        <w:jc w:val="both"/>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18"/>
        <w:keepNext w:val="0"/>
        <w:keepLines w:val="0"/>
        <w:widowControl w:val="0"/>
        <w:shd w:val="clear" w:color="auto" w:fill="auto"/>
        <w:bidi w:val="0"/>
        <w:spacing w:before="0" w:after="700" w:line="438" w:lineRule="exact"/>
        <w:ind w:left="0" w:right="0" w:firstLine="480"/>
        <w:jc w:val="both"/>
      </w:pPr>
      <w:r>
        <w:rPr>
          <w:color w:val="000000"/>
          <w:spacing w:val="0"/>
          <w:w w:val="100"/>
          <w:position w:val="0"/>
        </w:rPr>
        <w:t xml:space="preserve">当拥有以净额结算当期所得税资产及当期所得税负债的法定权利，且递延所得税资产及 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w:t>
      </w:r>
      <w:r>
        <w:rPr>
          <w:color w:val="000000"/>
          <w:spacing w:val="0"/>
          <w:w w:val="100"/>
          <w:position w:val="0"/>
        </w:rPr>
        <w:t>得税资产及递延所得税负债以抵销后的净额列报。</w:t>
      </w:r>
    </w:p>
    <w:p>
      <w:pPr>
        <w:pStyle w:val="Style32"/>
        <w:keepNext/>
        <w:keepLines/>
        <w:widowControl w:val="0"/>
        <w:shd w:val="clear" w:color="auto" w:fill="auto"/>
        <w:bidi w:val="0"/>
        <w:spacing w:before="0" w:after="0"/>
        <w:ind w:left="0" w:right="0" w:firstLine="0"/>
        <w:jc w:val="left"/>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24"/>
          <w:szCs w:val="24"/>
        </w:rPr>
        <w:t>39</w:t>
      </w:r>
      <w:r>
        <w:rPr>
          <w:color w:val="000000"/>
          <w:spacing w:val="0"/>
          <w:w w:val="100"/>
          <w:position w:val="0"/>
        </w:rPr>
        <w:t>、租赁</w:t>
      </w:r>
      <w:bookmarkEnd w:id="929"/>
      <w:bookmarkEnd w:id="930"/>
      <w:bookmarkEnd w:id="931"/>
    </w:p>
    <w:p>
      <w:pPr>
        <w:pStyle w:val="Style46"/>
        <w:keepNext/>
        <w:keepLines/>
        <w:widowControl w:val="0"/>
        <w:shd w:val="clear" w:color="auto" w:fill="auto"/>
        <w:bidi w:val="0"/>
        <w:spacing w:before="0" w:after="460" w:line="440" w:lineRule="exact"/>
        <w:ind w:left="0" w:right="0" w:firstLine="0"/>
        <w:jc w:val="left"/>
      </w:pPr>
      <w:bookmarkStart w:id="932" w:name="bookmark932"/>
      <w:bookmarkStart w:id="933" w:name="bookmark933"/>
      <w:bookmarkStart w:id="934" w:name="bookmark93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）经营租赁的会计处理方法</w:t>
      </w:r>
      <w:bookmarkEnd w:id="932"/>
      <w:bookmarkEnd w:id="933"/>
      <w:bookmarkEnd w:id="934"/>
    </w:p>
    <w:p>
      <w:pPr>
        <w:pStyle w:val="Style18"/>
        <w:keepNext w:val="0"/>
        <w:keepLines w:val="0"/>
        <w:widowControl w:val="0"/>
        <w:shd w:val="clear" w:color="auto" w:fill="auto"/>
        <w:tabs>
          <w:tab w:pos="897" w:val="left"/>
        </w:tabs>
        <w:bidi w:val="0"/>
        <w:spacing w:before="0" w:after="0" w:line="382" w:lineRule="auto"/>
        <w:ind w:left="0" w:right="0" w:firstLine="500"/>
        <w:jc w:val="both"/>
      </w:pPr>
      <w:bookmarkStart w:id="935" w:name="bookmark935"/>
      <w:r>
        <w:rPr>
          <w:rFonts w:ascii="Times New Roman" w:eastAsia="Times New Roman" w:hAnsi="Times New Roman" w:cs="Times New Roman"/>
          <w:color w:val="000000"/>
          <w:spacing w:val="0"/>
          <w:w w:val="100"/>
          <w:position w:val="0"/>
          <w:sz w:val="24"/>
          <w:szCs w:val="24"/>
        </w:rPr>
        <w:t>1</w:t>
      </w:r>
      <w:bookmarkEnd w:id="935"/>
      <w:r>
        <w:rPr>
          <w:color w:val="000000"/>
          <w:spacing w:val="0"/>
          <w:w w:val="100"/>
          <w:position w:val="0"/>
        </w:rPr>
        <w:t>）</w:t>
        <w:tab/>
        <w:t>租赁的识别</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租赁，是指在一定期间内，出租人将资产的使用权让与承租人以获取对价的合同。在合 同开始日，本公司评估合同是否为租赁或者包含租赁。如果合同一方让渡了在一定期间内控 制一项或多项已识别资产使用的权利以换取对价，则该合同为租赁或者包含租赁。为确定合 同是否让渡了在一定期间内控制已识别资产使用的权利，本公司评估合同中的客户是否有权 获得在使用期间内因使用已识别资产所产生的几乎全部经济利益，并有权在该使用期间主导 已识别资产的使用。</w:t>
      </w:r>
    </w:p>
    <w:p>
      <w:pPr>
        <w:pStyle w:val="Style18"/>
        <w:keepNext w:val="0"/>
        <w:keepLines w:val="0"/>
        <w:widowControl w:val="0"/>
        <w:shd w:val="clear" w:color="auto" w:fill="auto"/>
        <w:bidi w:val="0"/>
        <w:spacing w:before="0" w:after="200" w:line="437" w:lineRule="exact"/>
        <w:ind w:left="0" w:right="0" w:firstLine="500"/>
        <w:jc w:val="both"/>
      </w:pPr>
      <w:r>
        <w:rPr>
          <w:color w:val="000000"/>
          <w:spacing w:val="0"/>
          <w:w w:val="100"/>
          <w:position w:val="0"/>
        </w:rPr>
        <w:t>合同中同时包含多项单独租赁的，本公司将合同予以分拆，并分别各项单独租赁进行会 计处理。合同中同时包含租赁和非租赁部分的，本公司将租赁和非租赁部分分拆后进行会计 处理。</w:t>
      </w:r>
    </w:p>
    <w:p>
      <w:pPr>
        <w:pStyle w:val="Style18"/>
        <w:keepNext w:val="0"/>
        <w:keepLines w:val="0"/>
        <w:widowControl w:val="0"/>
        <w:shd w:val="clear" w:color="auto" w:fill="auto"/>
        <w:tabs>
          <w:tab w:pos="921" w:val="left"/>
        </w:tabs>
        <w:bidi w:val="0"/>
        <w:spacing w:before="0" w:after="0" w:line="379" w:lineRule="auto"/>
        <w:ind w:left="0" w:right="0" w:firstLine="500"/>
        <w:jc w:val="left"/>
      </w:pPr>
      <w:bookmarkStart w:id="936" w:name="bookmark936"/>
      <w:r>
        <w:rPr>
          <w:rFonts w:ascii="Times New Roman" w:eastAsia="Times New Roman" w:hAnsi="Times New Roman" w:cs="Times New Roman"/>
          <w:color w:val="000000"/>
          <w:spacing w:val="0"/>
          <w:w w:val="100"/>
          <w:position w:val="0"/>
          <w:sz w:val="24"/>
          <w:szCs w:val="24"/>
        </w:rPr>
        <w:t>2</w:t>
      </w:r>
      <w:bookmarkEnd w:id="936"/>
      <w:r>
        <w:rPr>
          <w:color w:val="000000"/>
          <w:spacing w:val="0"/>
          <w:w w:val="100"/>
          <w:position w:val="0"/>
        </w:rPr>
        <w:t>）</w:t>
        <w:tab/>
        <w:t>本公司作为承租人</w:t>
      </w:r>
    </w:p>
    <w:p>
      <w:pPr>
        <w:pStyle w:val="Style18"/>
        <w:keepNext w:val="0"/>
        <w:keepLines w:val="0"/>
        <w:widowControl w:val="0"/>
        <w:shd w:val="clear" w:color="auto" w:fill="auto"/>
        <w:bidi w:val="0"/>
        <w:spacing w:before="0" w:after="0" w:line="382" w:lineRule="auto"/>
        <w:ind w:left="0" w:right="0" w:firstLine="500"/>
        <w:jc w:val="both"/>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租赁确认</w:t>
      </w:r>
    </w:p>
    <w:p>
      <w:pPr>
        <w:pStyle w:val="Style18"/>
        <w:keepNext w:val="0"/>
        <w:keepLines w:val="0"/>
        <w:widowControl w:val="0"/>
        <w:shd w:val="clear" w:color="auto" w:fill="auto"/>
        <w:bidi w:val="0"/>
        <w:spacing w:before="0" w:after="200" w:line="408" w:lineRule="exact"/>
        <w:ind w:left="0" w:right="0" w:firstLine="500"/>
        <w:jc w:val="both"/>
      </w:pPr>
      <w:r>
        <w:rPr>
          <w:color w:val="000000"/>
          <w:spacing w:val="0"/>
          <w:w w:val="100"/>
          <w:position w:val="0"/>
        </w:rPr>
        <w:t>在租赁期开始日，本公司对租赁确认使用权资产和租赁负债。使用权资产和租赁负债的 确认和计量参见附注五</w:t>
      </w:r>
      <w:r>
        <w:rPr>
          <w:rFonts w:ascii="Times New Roman" w:eastAsia="Times New Roman" w:hAnsi="Times New Roman" w:cs="Times New Roman"/>
          <w:color w:val="000000"/>
          <w:spacing w:val="0"/>
          <w:w w:val="100"/>
          <w:position w:val="0"/>
          <w:sz w:val="24"/>
          <w:szCs w:val="24"/>
        </w:rPr>
        <w:t>“27 .</w:t>
      </w:r>
      <w:r>
        <w:rPr>
          <w:color w:val="000000"/>
          <w:spacing w:val="0"/>
          <w:w w:val="100"/>
          <w:position w:val="0"/>
        </w:rPr>
        <w:t>使用权资产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租赁负债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8"/>
        <w:keepNext w:val="0"/>
        <w:keepLines w:val="0"/>
        <w:widowControl w:val="0"/>
        <w:shd w:val="clear" w:color="auto" w:fill="auto"/>
        <w:bidi w:val="0"/>
        <w:spacing w:before="0" w:after="0" w:line="382" w:lineRule="auto"/>
        <w:ind w:left="0" w:right="0" w:firstLine="500"/>
        <w:jc w:val="both"/>
      </w:pPr>
      <w:r>
        <w:rPr>
          <w:rFonts w:ascii="Times New Roman" w:eastAsia="Times New Roman" w:hAnsi="Times New Roman" w:cs="Times New Roman"/>
          <w:color w:val="000000"/>
          <w:spacing w:val="0"/>
          <w:w w:val="100"/>
          <w:position w:val="0"/>
          <w:sz w:val="24"/>
          <w:szCs w:val="24"/>
        </w:rPr>
        <w:t>b</w:t>
      </w:r>
      <w:r>
        <w:rPr>
          <w:color w:val="000000"/>
          <w:spacing w:val="0"/>
          <w:w w:val="100"/>
          <w:position w:val="0"/>
        </w:rPr>
        <w:t>租赁变更</w:t>
      </w:r>
    </w:p>
    <w:p>
      <w:pPr>
        <w:pStyle w:val="Style18"/>
        <w:keepNext w:val="0"/>
        <w:keepLines w:val="0"/>
        <w:widowControl w:val="0"/>
        <w:shd w:val="clear" w:color="auto" w:fill="auto"/>
        <w:bidi w:val="0"/>
        <w:spacing w:before="0" w:after="0" w:line="434" w:lineRule="exact"/>
        <w:ind w:left="0" w:right="0" w:firstLine="500"/>
        <w:jc w:val="both"/>
      </w:pPr>
      <w:r>
        <w:rPr>
          <w:color w:val="000000"/>
          <w:spacing w:val="0"/>
          <w:w w:val="100"/>
          <w:position w:val="0"/>
        </w:rPr>
        <w:t>租赁变更，是指原合同条款之外的租赁范围、租赁对价、租赁期限的变更，包括增加或 终止一项或多项租赁资产的使用权，延长或缩短合同规定的租赁期等。租赁变更生效日，是 指双方就租赁变更达成一致的日期。</w:t>
      </w:r>
    </w:p>
    <w:p>
      <w:pPr>
        <w:pStyle w:val="Style18"/>
        <w:keepNext w:val="0"/>
        <w:keepLines w:val="0"/>
        <w:widowControl w:val="0"/>
        <w:shd w:val="clear" w:color="auto" w:fill="auto"/>
        <w:bidi w:val="0"/>
        <w:spacing w:before="0" w:after="0" w:line="440" w:lineRule="exact"/>
        <w:ind w:left="0" w:right="0" w:firstLine="500"/>
        <w:jc w:val="both"/>
      </w:pPr>
      <w:r>
        <w:rPr>
          <w:color w:val="000000"/>
          <w:spacing w:val="0"/>
          <w:w w:val="100"/>
          <w:position w:val="0"/>
        </w:rPr>
        <w:t>租赁发生变更且同时符合下列条件的，本公司将该租赁变更作为一项单独租赁进行会计 处理：①该租赁变更通过增加一项或多项租赁资产的使用权而扩大了租赁范围或延长了租赁 期限；②增加的对价与租赁范围扩大部分或租赁期限延长部分的单独价格按该合同情况调整 后的金额相当。</w:t>
      </w:r>
    </w:p>
    <w:p>
      <w:pPr>
        <w:pStyle w:val="Style18"/>
        <w:keepNext w:val="0"/>
        <w:keepLines w:val="0"/>
        <w:widowControl w:val="0"/>
        <w:shd w:val="clear" w:color="auto" w:fill="auto"/>
        <w:bidi w:val="0"/>
        <w:spacing w:before="0" w:after="200" w:line="442" w:lineRule="exact"/>
        <w:ind w:left="0" w:right="0" w:firstLine="500"/>
        <w:jc w:val="both"/>
      </w:pPr>
      <w:r>
        <w:rPr>
          <w:color w:val="000000"/>
          <w:spacing w:val="0"/>
          <w:w w:val="100"/>
          <w:position w:val="0"/>
        </w:rPr>
        <w:t xml:space="preserve">租赁变更未作为一项单独租赁进行会计处理的，在租赁变更生效日，本公司按照租赁准 则有关规定对变更后合同的对价进行分摊，重新确定变更后的租赁期；并采用修订后的折现 率对变更后的租赁付款额进行折现，以重新计量租赁负债。在计算变更后租赁付款额的现值 </w:t>
      </w:r>
      <w:r>
        <w:rPr>
          <w:color w:val="000000"/>
          <w:spacing w:val="0"/>
          <w:w w:val="100"/>
          <w:position w:val="0"/>
        </w:rPr>
        <w:t>时，本公司采用剩余租赁期间的租赁内含利率作为折现率；无法确定剩余租赁期间的租赁内 含利率的，本公司采用租赁变更生效日的承租人增量借款利率作为折现率。就上述租赁负债 调整的影响，本公司区分以下情形进行会计处理：①租赁变更导致租赁范围缩小或租赁期缩 短的，承租人应当调减使用权资产的账面价值，并将部分终止或完全终止租赁的相关利得或 损失计入当期损益。②其他租赁变更导致租赁负债重新计量的，承租人相应调整使用权资产 的账面价值。</w:t>
      </w:r>
    </w:p>
    <w:p>
      <w:pPr>
        <w:pStyle w:val="Style18"/>
        <w:keepNext w:val="0"/>
        <w:keepLines w:val="0"/>
        <w:widowControl w:val="0"/>
        <w:shd w:val="clear" w:color="auto" w:fill="auto"/>
        <w:bidi w:val="0"/>
        <w:spacing w:before="0" w:after="0" w:line="384" w:lineRule="auto"/>
        <w:ind w:left="0" w:right="0" w:firstLine="480"/>
        <w:jc w:val="both"/>
      </w:pPr>
      <w:r>
        <w:rPr>
          <w:rFonts w:ascii="Times New Roman" w:eastAsia="Times New Roman" w:hAnsi="Times New Roman" w:cs="Times New Roman"/>
          <w:color w:val="000000"/>
          <w:spacing w:val="0"/>
          <w:w w:val="100"/>
          <w:position w:val="0"/>
          <w:sz w:val="24"/>
          <w:szCs w:val="24"/>
        </w:rPr>
        <w:t>C</w:t>
      </w:r>
      <w:r>
        <w:rPr>
          <w:color w:val="000000"/>
          <w:spacing w:val="0"/>
          <w:w w:val="100"/>
          <w:position w:val="0"/>
        </w:rPr>
        <w:t>短期租赁和低价值资产租赁</w:t>
      </w:r>
    </w:p>
    <w:p>
      <w:pPr>
        <w:pStyle w:val="Style18"/>
        <w:keepNext w:val="0"/>
        <w:keepLines w:val="0"/>
        <w:widowControl w:val="0"/>
        <w:shd w:val="clear" w:color="auto" w:fill="auto"/>
        <w:bidi w:val="0"/>
        <w:spacing w:before="0" w:after="200" w:line="443" w:lineRule="exact"/>
        <w:ind w:left="0" w:right="0" w:firstLine="480"/>
        <w:jc w:val="left"/>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个月的短期租赁和单项租赁资产为全新资产时价值较低的低价值 资产租赁，本公司选择不确认使用权资产和租赁负债。本公司将短期租赁和低价值资产租赁 的租赁付款额，在租赁期内各个期间按照直线法或其他系统合理的方法计入相关资产成本或 当期损益。</w:t>
      </w:r>
    </w:p>
    <w:p>
      <w:pPr>
        <w:pStyle w:val="Style18"/>
        <w:keepNext w:val="0"/>
        <w:keepLines w:val="0"/>
        <w:widowControl w:val="0"/>
        <w:shd w:val="clear" w:color="auto" w:fill="auto"/>
        <w:bidi w:val="0"/>
        <w:spacing w:before="0" w:after="0" w:line="386" w:lineRule="auto"/>
        <w:ind w:left="0" w:right="0" w:firstLine="480"/>
        <w:jc w:val="both"/>
      </w:pPr>
      <w:bookmarkStart w:id="937" w:name="bookmark937"/>
      <w:r>
        <w:rPr>
          <w:rFonts w:ascii="Times New Roman" w:eastAsia="Times New Roman" w:hAnsi="Times New Roman" w:cs="Times New Roman"/>
          <w:color w:val="000000"/>
          <w:spacing w:val="0"/>
          <w:w w:val="100"/>
          <w:position w:val="0"/>
          <w:sz w:val="24"/>
          <w:szCs w:val="24"/>
        </w:rPr>
        <w:t>3</w:t>
      </w:r>
      <w:bookmarkEnd w:id="937"/>
      <w:r>
        <w:rPr>
          <w:color w:val="000000"/>
          <w:spacing w:val="0"/>
          <w:w w:val="100"/>
          <w:position w:val="0"/>
        </w:rPr>
        <w:t>）本公司为出租人</w:t>
      </w:r>
    </w:p>
    <w:p>
      <w:pPr>
        <w:pStyle w:val="Style18"/>
        <w:keepNext w:val="0"/>
        <w:keepLines w:val="0"/>
        <w:widowControl w:val="0"/>
        <w:shd w:val="clear" w:color="auto" w:fill="auto"/>
        <w:bidi w:val="0"/>
        <w:spacing w:before="0" w:after="0" w:line="449"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）评估的该合同为租赁或包含租赁的基础上，本公司作为出租人，在租赁开始日， 将租赁分为融资租赁和经营租赁。</w:t>
      </w:r>
    </w:p>
    <w:p>
      <w:pPr>
        <w:pStyle w:val="Style18"/>
        <w:keepNext w:val="0"/>
        <w:keepLines w:val="0"/>
        <w:widowControl w:val="0"/>
        <w:shd w:val="clear" w:color="auto" w:fill="auto"/>
        <w:bidi w:val="0"/>
        <w:spacing w:before="0" w:after="0" w:line="449" w:lineRule="exact"/>
        <w:ind w:left="0" w:right="0" w:firstLine="480"/>
        <w:jc w:val="both"/>
      </w:pPr>
      <w:r>
        <w:rPr>
          <w:color w:val="000000"/>
          <w:spacing w:val="0"/>
          <w:w w:val="100"/>
          <w:position w:val="0"/>
        </w:rPr>
        <w:t>如果一项租赁实质上转移了与租赁资产所有权有关的几乎全部风险和报酬，出租人将该 项租赁分类为融资租赁，除融资租赁以外的其他租赁分类为经营租赁。</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经营租赁的会计处理</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租金的处理</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在租赁期内各个期间，本公司采用直线法将经营租赁的租赁收款额确认为租金收入。</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提供的激励措施</w:t>
      </w:r>
    </w:p>
    <w:p>
      <w:pPr>
        <w:pStyle w:val="Style18"/>
        <w:keepNext w:val="0"/>
        <w:keepLines w:val="0"/>
        <w:widowControl w:val="0"/>
        <w:shd w:val="clear" w:color="auto" w:fill="auto"/>
        <w:bidi w:val="0"/>
        <w:spacing w:before="0" w:after="0" w:line="439" w:lineRule="exact"/>
        <w:ind w:left="0" w:right="0" w:firstLine="480"/>
        <w:jc w:val="both"/>
      </w:pPr>
      <w:r>
        <w:rPr>
          <w:color w:val="000000"/>
          <w:spacing w:val="0"/>
          <w:w w:val="100"/>
          <w:position w:val="0"/>
        </w:rPr>
        <w:t>提供免租期的，本公司将租金总额在不扣除免租期的整个租赁期内，按直线法进行分配， 免租期内应当确认租金收入。本公司承担了承租人某些费用的，将该费用自租金收入总额中 扣除，按扣除后的租金收入余额在租赁期内进行分配。</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初始直接费用</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本公司发生的与经营租赁有关的初始直接费用应当资本化至租赁标的资产的成本，在租 赁期内按照与租金收入相同的确认基础分期计入当期损益。</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折旧</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对于经营租赁资产中的固定资产，本公司采用类似资产的折旧政策计提折旧；对于其他 经营租赁资产，采用系统合理的方法进行摊销。</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可变租赁付款额</w:t>
      </w:r>
    </w:p>
    <w:p>
      <w:pPr>
        <w:pStyle w:val="Style18"/>
        <w:keepNext w:val="0"/>
        <w:keepLines w:val="0"/>
        <w:widowControl w:val="0"/>
        <w:shd w:val="clear" w:color="auto" w:fill="auto"/>
        <w:bidi w:val="0"/>
        <w:spacing w:before="0" w:line="442" w:lineRule="exact"/>
        <w:ind w:left="0" w:right="0" w:firstLine="480"/>
        <w:jc w:val="left"/>
      </w:pPr>
      <w:r>
        <w:rPr>
          <w:color w:val="000000"/>
          <w:spacing w:val="0"/>
          <w:w w:val="100"/>
          <w:position w:val="0"/>
        </w:rPr>
        <w:t>本公司取得的与经营租赁有关的未计入租赁收款额的可变租赁付款额</w:t>
      </w:r>
      <w:r>
        <w:rPr>
          <w:color w:val="000000"/>
          <w:spacing w:val="0"/>
          <w:w w:val="100"/>
          <w:position w:val="0"/>
          <w:sz w:val="24"/>
          <w:szCs w:val="24"/>
        </w:rPr>
        <w:t>，</w:t>
      </w:r>
      <w:r>
        <w:rPr>
          <w:color w:val="000000"/>
          <w:spacing w:val="0"/>
          <w:w w:val="100"/>
          <w:position w:val="0"/>
        </w:rPr>
        <w:t>在实际发生时计 入当期损益。</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经营租赁的变更</w:t>
      </w:r>
    </w:p>
    <w:p>
      <w:pPr>
        <w:pStyle w:val="Style18"/>
        <w:keepNext w:val="0"/>
        <w:keepLines w:val="0"/>
        <w:widowControl w:val="0"/>
        <w:shd w:val="clear" w:color="auto" w:fill="auto"/>
        <w:bidi w:val="0"/>
        <w:spacing w:before="0" w:after="160" w:line="446" w:lineRule="exact"/>
        <w:ind w:left="0" w:right="0" w:firstLine="480"/>
        <w:jc w:val="both"/>
      </w:pPr>
      <w:r>
        <w:rPr>
          <w:color w:val="000000"/>
          <w:spacing w:val="0"/>
          <w:w w:val="100"/>
          <w:position w:val="0"/>
        </w:rPr>
        <w:t>经营租赁发生变更的，本公司自变更生效日开始，将其作为一项新的租赁进行会计处理， 与变更前租赁有关的预收或应收租赁收款额视为新租赁的收款额。</w:t>
      </w:r>
    </w:p>
    <w:p>
      <w:pPr>
        <w:pStyle w:val="Style46"/>
        <w:keepNext/>
        <w:keepLines/>
        <w:widowControl w:val="0"/>
        <w:shd w:val="clear" w:color="auto" w:fill="auto"/>
        <w:bidi w:val="0"/>
        <w:spacing w:before="0" w:after="300" w:line="439" w:lineRule="exact"/>
        <w:ind w:left="0" w:right="0" w:firstLine="0"/>
        <w:jc w:val="left"/>
      </w:pPr>
      <w:bookmarkStart w:id="938" w:name="bookmark938"/>
      <w:bookmarkStart w:id="939" w:name="bookmark939"/>
      <w:bookmarkStart w:id="940" w:name="bookmark940"/>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）融资租赁的会计处理方法</w:t>
      </w:r>
      <w:bookmarkEnd w:id="938"/>
      <w:bookmarkEnd w:id="939"/>
      <w:bookmarkEnd w:id="940"/>
    </w:p>
    <w:p>
      <w:pPr>
        <w:pStyle w:val="Style18"/>
        <w:keepNext w:val="0"/>
        <w:keepLines w:val="0"/>
        <w:widowControl w:val="0"/>
        <w:shd w:val="clear" w:color="auto" w:fill="auto"/>
        <w:bidi w:val="0"/>
        <w:spacing w:before="0" w:after="220" w:line="439" w:lineRule="exact"/>
        <w:ind w:left="0" w:right="0" w:firstLine="480"/>
        <w:jc w:val="both"/>
      </w:pPr>
      <w:r>
        <w:rPr>
          <w:color w:val="000000"/>
          <w:spacing w:val="0"/>
          <w:w w:val="100"/>
          <w:position w:val="0"/>
        </w:rPr>
        <w:t>一项租赁存在下列一种或多种情形的，本公司通常将其分类为融资租赁：①在租赁期届 满时，租赁资产的所有权转移给承租人；②承租人有购买租赁资产的选择权，所订立的购买 价款与预计行使选择权时租赁资产的公允价值相比足够低，因而在租赁开始日就可以合理确 定承租人将行使该选择权；③资产的所有权虽然不转移，但租赁期占租赁资产使用寿命的大 部分（不低于租赁资产使用寿命的</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）:④在租赁开始日，租赁收款额的现值几乎相当于 租赁资产的公允价值（不低于租赁资产公允价值的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）；⑤租赁资产性质特殊，如果不作 较大改造，只有承租人才能使用。一项租赁存在下列一项或多项迹象的，本公司也可能将其 分类为融资租赁：①若承租人撤销租赁，撤销租赁对出租人造成的损失由承租人承担；②资 产余值的公允价值波动所产生的利得或损失归属于承租人；③承租人有能力以远低于市场水 平的租金继续租赁至下一期间。</w:t>
      </w:r>
    </w:p>
    <w:p>
      <w:pPr>
        <w:pStyle w:val="Style18"/>
        <w:keepNext w:val="0"/>
        <w:keepLines w:val="0"/>
        <w:widowControl w:val="0"/>
        <w:shd w:val="clear" w:color="auto" w:fill="auto"/>
        <w:bidi w:val="0"/>
        <w:spacing w:before="0" w:after="0" w:line="382" w:lineRule="auto"/>
        <w:ind w:left="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）融资租赁会计处理</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初始计量</w:t>
      </w:r>
    </w:p>
    <w:p>
      <w:pPr>
        <w:pStyle w:val="Style18"/>
        <w:keepNext w:val="0"/>
        <w:keepLines w:val="0"/>
        <w:widowControl w:val="0"/>
        <w:shd w:val="clear" w:color="auto" w:fill="auto"/>
        <w:bidi w:val="0"/>
        <w:spacing w:before="0" w:line="427" w:lineRule="exact"/>
        <w:ind w:left="0" w:right="0" w:firstLine="480"/>
        <w:jc w:val="both"/>
      </w:pPr>
      <w:r>
        <w:rPr>
          <w:color w:val="000000"/>
          <w:spacing w:val="0"/>
          <w:w w:val="100"/>
          <w:position w:val="0"/>
        </w:rPr>
        <w:t>在租赁期开始日，本公司对融资租赁确认应收融资租赁款，并终止确认融资租赁资产。 本公司对应收融资租赁款进行初始计量时，以租赁投资净额作为应收融资租赁款的入账价值。</w:t>
      </w:r>
    </w:p>
    <w:p>
      <w:pPr>
        <w:pStyle w:val="Style18"/>
        <w:keepNext w:val="0"/>
        <w:keepLines w:val="0"/>
        <w:widowControl w:val="0"/>
        <w:shd w:val="clear" w:color="auto" w:fill="auto"/>
        <w:bidi w:val="0"/>
        <w:spacing w:before="0" w:line="438" w:lineRule="exact"/>
        <w:ind w:left="0" w:right="0" w:firstLine="480"/>
        <w:jc w:val="both"/>
      </w:pPr>
      <w:r>
        <w:rPr>
          <w:color w:val="000000"/>
          <w:spacing w:val="0"/>
          <w:w w:val="100"/>
          <w:position w:val="0"/>
        </w:rPr>
        <w:t>租赁投资净额为未担保余值和租赁期开始日尚未收到的租赁收款额按照租赁内含利率折 现的现值之和。租赁收款额，是指出租人因让渡在租赁期内使用租赁资产的权利而应向承租 人收取的款项，包括：①承租人需支付的固定付款额及实质固定付款额；存在租赁激励的， 扣除租赁激励相关金额；②取决于指数或比率的可变租赁付款额，该款项在初始计量时根据 租赁期开始日的指数或比率确定；③购买选择权的行权价格，前提是合理确定承租人将行使 该选择权；④承租人行使终止租赁选择权需支付的款项，前提是租赁期反映出承租人将行使 终止租赁选择权；⑤由承租人、与承租人有关的一方以及有经济能力履行担保义务的独立第 三方向出租人提供的担保余值。</w:t>
      </w:r>
    </w:p>
    <w:p>
      <w:pPr>
        <w:pStyle w:val="Style18"/>
        <w:keepNext w:val="0"/>
        <w:keepLines w:val="0"/>
        <w:widowControl w:val="0"/>
        <w:shd w:val="clear" w:color="auto" w:fill="auto"/>
        <w:bidi w:val="0"/>
        <w:spacing w:before="0" w:line="439" w:lineRule="exact"/>
        <w:ind w:left="0" w:right="0" w:firstLine="480"/>
        <w:jc w:val="both"/>
      </w:pPr>
      <w:r>
        <w:rPr>
          <w:color w:val="000000"/>
          <w:spacing w:val="0"/>
          <w:w w:val="100"/>
          <w:position w:val="0"/>
        </w:rPr>
        <w:t>后续计量</w:t>
      </w:r>
    </w:p>
    <w:p>
      <w:pPr>
        <w:pStyle w:val="Style18"/>
        <w:keepNext w:val="0"/>
        <w:keepLines w:val="0"/>
        <w:widowControl w:val="0"/>
        <w:shd w:val="clear" w:color="auto" w:fill="auto"/>
        <w:bidi w:val="0"/>
        <w:spacing w:before="0" w:after="0" w:line="440" w:lineRule="exact"/>
        <w:ind w:left="0" w:right="0" w:firstLine="520"/>
        <w:jc w:val="left"/>
      </w:pPr>
      <w:r>
        <w:rPr>
          <w:color w:val="000000"/>
          <w:spacing w:val="0"/>
          <w:w w:val="100"/>
          <w:position w:val="0"/>
        </w:rPr>
        <w:t>本公司按照固定的周期性利率计算并确认租赁期内各个期间的利息收入。该周期性利率， 是指确定租赁投资净额采用内含折现率（转租情况下，若转租的租赁内含利率无法确定，采 用原租赁的折现率（根据与转租有关的初始直接费用进行调整）），或者融资租赁的变更未 作为一项单独租赁进行会计处理，且满足假如变更在租赁开始日生效，该租赁会被分类为融 资租赁条件时按相关规定确定的修订后的折现率。</w:t>
      </w:r>
    </w:p>
    <w:p>
      <w:pPr>
        <w:pStyle w:val="Style18"/>
        <w:keepNext w:val="0"/>
        <w:keepLines w:val="0"/>
        <w:widowControl w:val="0"/>
        <w:shd w:val="clear" w:color="auto" w:fill="auto"/>
        <w:bidi w:val="0"/>
        <w:spacing w:before="0" w:after="0" w:line="441" w:lineRule="exact"/>
        <w:ind w:left="0" w:right="0" w:firstLine="520"/>
        <w:jc w:val="both"/>
      </w:pPr>
      <w:r>
        <w:rPr>
          <w:color w:val="000000"/>
          <w:spacing w:val="0"/>
          <w:w w:val="100"/>
          <w:position w:val="0"/>
        </w:rPr>
        <w:t>租赁变更的会计处理</w:t>
      </w:r>
    </w:p>
    <w:p>
      <w:pPr>
        <w:pStyle w:val="Style18"/>
        <w:keepNext w:val="0"/>
        <w:keepLines w:val="0"/>
        <w:widowControl w:val="0"/>
        <w:shd w:val="clear" w:color="auto" w:fill="auto"/>
        <w:bidi w:val="0"/>
        <w:spacing w:before="0" w:after="0" w:line="442" w:lineRule="exact"/>
        <w:ind w:left="0" w:right="0" w:firstLine="520"/>
        <w:jc w:val="both"/>
      </w:pPr>
      <w:r>
        <w:rPr>
          <w:color w:val="000000"/>
          <w:spacing w:val="0"/>
          <w:w w:val="100"/>
          <w:position w:val="0"/>
        </w:rPr>
        <w:t>融资租赁发生变更且同时符合下列条件的，本公司将该变更作为一项单独租赁进行会计 处理：①该变更通过增加一项或多项租赁资产的使用权而扩大了租赁范围；②增加的对价与 租赁范围扩大部分的单独价格按该合同情况调整后的金额相当。</w:t>
      </w:r>
    </w:p>
    <w:p>
      <w:pPr>
        <w:pStyle w:val="Style18"/>
        <w:keepNext w:val="0"/>
        <w:keepLines w:val="0"/>
        <w:widowControl w:val="0"/>
        <w:shd w:val="clear" w:color="auto" w:fill="auto"/>
        <w:bidi w:val="0"/>
        <w:spacing w:before="0" w:after="360" w:line="442" w:lineRule="exact"/>
        <w:ind w:left="0" w:right="0" w:firstLine="520"/>
        <w:jc w:val="both"/>
      </w:pPr>
      <w:r>
        <w:rPr>
          <w:color w:val="000000"/>
          <w:spacing w:val="0"/>
          <w:w w:val="100"/>
          <w:position w:val="0"/>
        </w:rPr>
        <w:t>如果融资租赁的变更未作为一项单独租赁进行会计处理，且满足假如变更在租赁开始日 生效，该租赁会被分类为经营租赁条件的，本公司自租赁变更生效日开始将其作为一项新租 赁进行会计处理，并以租赁变更生效日前的租赁投资净额作为租赁资产的账面价值。</w:t>
      </w:r>
    </w:p>
    <w:p>
      <w:pPr>
        <w:pStyle w:val="Style32"/>
        <w:keepNext/>
        <w:keepLines/>
        <w:widowControl w:val="0"/>
        <w:shd w:val="clear" w:color="auto" w:fill="auto"/>
        <w:tabs>
          <w:tab w:pos="517" w:val="left"/>
        </w:tabs>
        <w:bidi w:val="0"/>
        <w:spacing w:before="0" w:after="100" w:line="384"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sz w:val="24"/>
          <w:szCs w:val="24"/>
        </w:rPr>
        <w:t>4</w:t>
      </w:r>
      <w:bookmarkEnd w:id="943"/>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其他重要的会计政策和会计估计</w:t>
      </w:r>
      <w:bookmarkEnd w:id="941"/>
      <w:bookmarkEnd w:id="942"/>
      <w:bookmarkEnd w:id="944"/>
    </w:p>
    <w:p>
      <w:pPr>
        <w:pStyle w:val="Style18"/>
        <w:keepNext w:val="0"/>
        <w:keepLines w:val="0"/>
        <w:widowControl w:val="0"/>
        <w:shd w:val="clear" w:color="auto" w:fill="auto"/>
        <w:bidi w:val="0"/>
        <w:spacing w:before="0" w:after="0" w:line="441" w:lineRule="exact"/>
        <w:ind w:left="0" w:right="0" w:firstLine="520"/>
        <w:jc w:val="both"/>
      </w:pPr>
      <w:r>
        <w:rPr>
          <w:color w:val="000000"/>
          <w:spacing w:val="0"/>
          <w:w w:val="100"/>
          <w:position w:val="0"/>
        </w:rPr>
        <w:t>回购股份</w:t>
      </w:r>
    </w:p>
    <w:p>
      <w:pPr>
        <w:pStyle w:val="Style18"/>
        <w:keepNext w:val="0"/>
        <w:keepLines w:val="0"/>
        <w:widowControl w:val="0"/>
        <w:shd w:val="clear" w:color="auto" w:fill="auto"/>
        <w:bidi w:val="0"/>
        <w:spacing w:before="0" w:after="0" w:line="442" w:lineRule="exact"/>
        <w:ind w:left="0" w:right="0" w:firstLine="520"/>
        <w:jc w:val="both"/>
      </w:pPr>
      <w:r>
        <w:rPr>
          <w:color w:val="000000"/>
          <w:spacing w:val="0"/>
          <w:w w:val="100"/>
          <w:position w:val="0"/>
        </w:rPr>
        <w:t>股份回购中支付的对价和交易费用减少股东权益，回购、转上或注销本公司股份时，不 确认利得或损失。</w:t>
      </w:r>
    </w:p>
    <w:p>
      <w:pPr>
        <w:pStyle w:val="Style18"/>
        <w:keepNext w:val="0"/>
        <w:keepLines w:val="0"/>
        <w:widowControl w:val="0"/>
        <w:shd w:val="clear" w:color="auto" w:fill="auto"/>
        <w:bidi w:val="0"/>
        <w:spacing w:before="0" w:after="360" w:line="438" w:lineRule="exact"/>
        <w:ind w:left="0" w:right="0" w:firstLine="520"/>
        <w:jc w:val="both"/>
      </w:pPr>
      <w:r>
        <w:rPr>
          <w:color w:val="000000"/>
          <w:spacing w:val="0"/>
          <w:w w:val="100"/>
          <w:position w:val="0"/>
        </w:rPr>
        <w:t>转让库存股，按实际收到的金额与库存股账面金额的差额，计入资本公积，资本公积不 足冲减的，冲减盈余公积和未分配利润。注销库存股，按股票面值和注销股数减少股本，按 注销库存股的账面余额与面值的差额，冲减资本公积，资本公积不足冲减的，冲减盈余公积 和未分配利润。</w:t>
      </w:r>
    </w:p>
    <w:p>
      <w:pPr>
        <w:pStyle w:val="Style32"/>
        <w:keepNext/>
        <w:keepLines/>
        <w:widowControl w:val="0"/>
        <w:shd w:val="clear" w:color="auto" w:fill="auto"/>
        <w:tabs>
          <w:tab w:pos="517" w:val="left"/>
        </w:tabs>
        <w:bidi w:val="0"/>
        <w:spacing w:before="0" w:after="0" w:line="384"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24"/>
          <w:szCs w:val="24"/>
        </w:rPr>
        <w:t>4</w:t>
      </w:r>
      <w:bookmarkEnd w:id="94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重要会计政策和会计估计变更</w:t>
      </w:r>
      <w:bookmarkEnd w:id="945"/>
      <w:bookmarkEnd w:id="946"/>
      <w:bookmarkEnd w:id="948"/>
    </w:p>
    <w:p>
      <w:pPr>
        <w:pStyle w:val="Style46"/>
        <w:keepNext/>
        <w:keepLines/>
        <w:widowControl w:val="0"/>
        <w:shd w:val="clear" w:color="auto" w:fill="auto"/>
        <w:bidi w:val="0"/>
        <w:spacing w:before="0" w:after="420" w:line="441" w:lineRule="exact"/>
        <w:ind w:left="0" w:right="0" w:firstLine="0"/>
        <w:jc w:val="left"/>
      </w:pPr>
      <w:bookmarkStart w:id="949" w:name="bookmark949"/>
      <w:bookmarkStart w:id="950" w:name="bookmark950"/>
      <w:bookmarkStart w:id="951" w:name="bookmark95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）重要会计政策变更</w:t>
      </w:r>
      <w:bookmarkEnd w:id="949"/>
      <w:bookmarkEnd w:id="950"/>
      <w:bookmarkEnd w:id="951"/>
    </w:p>
    <w:p>
      <w:pPr>
        <w:pStyle w:val="Style25"/>
        <w:keepNext w:val="0"/>
        <w:keepLines w:val="0"/>
        <w:widowControl w:val="0"/>
        <w:shd w:val="clear" w:color="auto" w:fill="auto"/>
        <w:bidi w:val="0"/>
        <w:spacing w:before="0" w:after="0" w:line="240" w:lineRule="auto"/>
        <w:ind w:left="509"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tbl>
      <w:tblPr>
        <w:tblOverlap w:val="never"/>
        <w:jc w:val="center"/>
        <w:tblLayout w:type="fixed"/>
      </w:tblPr>
      <w:tblGrid>
        <w:gridCol w:w="6427"/>
        <w:gridCol w:w="1848"/>
        <w:gridCol w:w="1445"/>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租赁》（财会〔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号），要求在境内外同时上市的企业以及在境 外上市并采用国际财务报告准则或企业会计准则编制财务报表的企 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日起施行；其他执行企业会计准则的企业自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日起实施新租赁 准则，根据首次执行新租赁准则的累积影响数，调整首次执行日财务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公司第五届董事会 第四次（临时）会议、 第五届监事会第三 次（临时）会议，审 议通过。</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报表相关项目金额，不调整可比期间信息。</w:t>
      </w:r>
    </w:p>
    <w:p>
      <w:pPr>
        <w:pStyle w:val="Style18"/>
        <w:keepNext w:val="0"/>
        <w:keepLines w:val="0"/>
        <w:widowControl w:val="0"/>
        <w:shd w:val="clear" w:color="auto" w:fill="auto"/>
        <w:bidi w:val="0"/>
        <w:spacing w:before="0" w:after="2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2880"/>
        <w:gridCol w:w="2539"/>
        <w:gridCol w:w="2126"/>
      </w:tblGrid>
      <w:tr>
        <w:trPr>
          <w:trHeight w:val="341" w:hRule="exact"/>
        </w:trPr>
        <w:tc>
          <w:tcPr>
            <w:tcBorders>
              <w:top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5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729,289.88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-729,289.88</w:t>
            </w:r>
          </w:p>
        </w:tc>
      </w:tr>
      <w:tr>
        <w:trPr>
          <w:trHeight w:val="34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7,678,958.56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7,678,958.56</w:t>
            </w:r>
          </w:p>
        </w:tc>
      </w:tr>
      <w:tr>
        <w:trPr>
          <w:trHeight w:val="65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一年内到期的租赁负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2,474,452.61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2,474,452.61</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4,475,216.07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4,475,216.07</w:t>
            </w:r>
          </w:p>
        </w:tc>
      </w:tr>
    </w:tbl>
    <w:p>
      <w:pPr>
        <w:widowControl w:val="0"/>
        <w:spacing w:after="619" w:line="1" w:lineRule="exact"/>
      </w:pPr>
    </w:p>
    <w:p>
      <w:pPr>
        <w:pStyle w:val="Style46"/>
        <w:keepNext/>
        <w:keepLines/>
        <w:widowControl w:val="0"/>
        <w:shd w:val="clear" w:color="auto" w:fill="auto"/>
        <w:tabs>
          <w:tab w:pos="536" w:val="left"/>
        </w:tabs>
        <w:bidi w:val="0"/>
        <w:spacing w:before="0" w:after="44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重要会计估计变更</w:t>
      </w:r>
      <w:bookmarkEnd w:id="952"/>
      <w:bookmarkEnd w:id="953"/>
      <w:bookmarkEnd w:id="955"/>
    </w:p>
    <w:p>
      <w:pPr>
        <w:pStyle w:val="Style18"/>
        <w:keepNext w:val="0"/>
        <w:keepLines w:val="0"/>
        <w:widowControl w:val="0"/>
        <w:shd w:val="clear" w:color="auto" w:fill="auto"/>
        <w:bidi w:val="0"/>
        <w:spacing w:before="0" w:after="340" w:line="240" w:lineRule="auto"/>
        <w:ind w:left="0" w:right="0" w:firstLine="46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6"/>
        <w:keepNext/>
        <w:keepLines/>
        <w:widowControl w:val="0"/>
        <w:shd w:val="clear" w:color="auto" w:fill="auto"/>
        <w:tabs>
          <w:tab w:pos="536" w:val="left"/>
        </w:tabs>
        <w:bidi w:val="0"/>
        <w:spacing w:before="0" w:after="44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年起首次执行新租赁准则调整执行当年年初财务报表相关项目情况</w:t>
      </w:r>
      <w:bookmarkEnd w:id="956"/>
      <w:bookmarkEnd w:id="957"/>
      <w:bookmarkEnd w:id="959"/>
    </w:p>
    <w:p>
      <w:pPr>
        <w:pStyle w:val="Style18"/>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53"/>
        <w:gridCol w:w="2453"/>
        <w:gridCol w:w="2462"/>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551,547,412.25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551,547,412.25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2,787,158.91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212,066,333.16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12,045,884.34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6,061,526.74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5,332,236.86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-729,289.88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应收分保合同准备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47,315,569.43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47,315,569.43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132,483,423.01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132,483,423.01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1,212,983.86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1,212,983.86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一年内到期的非流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3,072,747.70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3,072,747.70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968,593,039.40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967,863,749.52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-729,289.88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1,557,982.08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1,557,982.08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113,762,053.91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50,202,949.69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55,048,320.74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7,678,958.56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7,678,958.56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28,316,619.67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28,316,619.67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18,270,266.02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18,270,266.02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3,294,326.06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3,294,326.06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12,919,978.54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12,919,978.54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70,650,387.40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70,650,387.40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354,022,884.11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361,701,842.67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7,678,958.56</w:t>
            </w: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1,322,615,923.51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1,329,565,592.19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6,949,668.68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7,050,000.00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74,482,228.16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74,482,228.16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30,792,348.27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30,792,348.27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卖出回购金融资产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吸收存款及同业存 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26,835,400.98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26,835,400.98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9,081,271.87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9,081,271.87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22,062,859.54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22,062,859.54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一年内到期的非流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2,474,452.61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2,474,452.61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1,255,479.67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1,255,479.67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171,608,617.06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174,083,069.67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2,474,452.61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4,475,216.07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4,475,216.07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7,357,416.13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4,475,216.07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172,016,364.51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178,966,033.19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6,949,668.68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归属于母公司所有者权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1,090,478,148.27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1,090,478,148.27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60,121,410.73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60,121,410.73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1,150,599,559.00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1,150,599,559.00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1,322,615,923.51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1,329,565,592.19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6,949,668.68</w:t>
            </w:r>
          </w:p>
        </w:tc>
      </w:tr>
    </w:tbl>
    <w:p>
      <w:pPr>
        <w:widowControl w:val="0"/>
        <w:spacing w:after="17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调整情况说明</w:t>
      </w:r>
    </w:p>
    <w:p>
      <w:pPr>
        <w:pStyle w:val="Style1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227"/>
        <w:gridCol w:w="2453"/>
        <w:gridCol w:w="2453"/>
        <w:gridCol w:w="2462"/>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332,175,754.17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332,175,754.17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2,636,865.87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2,636,865.87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93,615,956.80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93,615,956.80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5,060,480.00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5,060,480.00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998,447.28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17,009,403.70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17,009,403.70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75,193,685.50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75,193,685.50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一年内到期的非流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1,549,709.04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1,549,709.04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528,240,302.36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528,240,302.36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15,633,333.35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15,633,333.35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555,872,879.70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555,872,879.70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40,694,427.12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40,694,427.12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25,952,235.63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25,952,235.63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21,645,160.79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21,645,160.79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189,817.81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3,094,183.89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3,094,183.89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663,082,038.29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663,082,038.29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8"/>
        <w:gridCol w:w="2453"/>
        <w:gridCol w:w="246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82,061,041.67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82,061,041.67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12,046,588.30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12,046,588.30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13,145,328.65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13,145,328.65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4,124,968.16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4,124,968.16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2,560,667.37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2,560,667.37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color w:val="000000"/>
                <w:spacing w:val="0"/>
                <w:w w:val="100"/>
                <w:position w:val="0"/>
              </w:rPr>
              <w:t>一年内到期的非流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363,043.64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363,043.64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114,301,637.79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sectPr>
          <w:footnotePr>
            <w:pos w:val="pageBottom"/>
            <w:numFmt w:val="decimal"/>
            <w:numRestart w:val="continuous"/>
          </w:footnotePr>
          <w:pgSz w:w="11900" w:h="16840"/>
          <w:pgMar w:top="1393" w:right="1025" w:bottom="1479" w:left="1050" w:header="0" w:footer="3" w:gutter="0"/>
          <w:cols w:space="720"/>
          <w:noEndnote/>
          <w:rtlGutter w:val="0"/>
          <w:docGrid w:linePitch="360"/>
        </w:sectPr>
      </w:pPr>
    </w:p>
    <w:tbl>
      <w:tblPr>
        <w:tblOverlap w:val="never"/>
        <w:jc w:val="center"/>
        <w:tblLayout w:type="fixed"/>
      </w:tblPr>
      <w:tblGrid>
        <w:gridCol w:w="2227"/>
        <w:gridCol w:w="2453"/>
        <w:gridCol w:w="2453"/>
        <w:gridCol w:w="248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480,831,536.00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605,920,741.11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605,920,741.11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40,653,059.31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-50,384,633.56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-50,384,633.56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1,077,020,702.86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1,077,020,702.86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1,191,322,340.65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调整情况说明</w:t>
      </w:r>
    </w:p>
    <w:p>
      <w:pPr>
        <w:pStyle w:val="Style46"/>
        <w:keepNext/>
        <w:keepLines/>
        <w:widowControl w:val="0"/>
        <w:shd w:val="clear" w:color="auto" w:fill="auto"/>
        <w:tabs>
          <w:tab w:pos="536" w:val="left"/>
        </w:tabs>
        <w:bidi w:val="0"/>
        <w:spacing w:before="0" w:after="44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shd w:val="clear" w:color="auto" w:fill="FFFFFF"/>
        </w:rPr>
        <w:t>（</w:t>
      </w:r>
      <w:bookmarkEnd w:id="962"/>
      <w:r>
        <w:rPr>
          <w:rFonts w:ascii="Times New Roman" w:eastAsia="Times New Roman" w:hAnsi="Times New Roman" w:cs="Times New Roman"/>
          <w:color w:val="000000"/>
          <w:spacing w:val="0"/>
          <w:w w:val="100"/>
          <w:position w:val="0"/>
          <w:sz w:val="24"/>
          <w:szCs w:val="24"/>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年起首次执行新租赁准则追溯调整前期比较数据说明</w:t>
      </w:r>
      <w:bookmarkEnd w:id="960"/>
      <w:bookmarkEnd w:id="961"/>
      <w:bookmarkEnd w:id="963"/>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六</w:t>
      </w:r>
      <w:bookmarkEnd w:id="966"/>
      <w:r>
        <w:rPr>
          <w:color w:val="000000"/>
          <w:spacing w:val="0"/>
          <w:w w:val="100"/>
          <w:position w:val="0"/>
        </w:rPr>
        <w:t>、税项</w:t>
      </w:r>
      <w:bookmarkEnd w:id="964"/>
      <w:bookmarkEnd w:id="965"/>
      <w:bookmarkEnd w:id="967"/>
    </w:p>
    <w:p>
      <w:pPr>
        <w:pStyle w:val="Style32"/>
        <w:keepNext/>
        <w:keepLines/>
        <w:widowControl w:val="0"/>
        <w:shd w:val="clear" w:color="auto" w:fill="auto"/>
        <w:bidi w:val="0"/>
        <w:spacing w:before="0" w:after="280" w:line="240" w:lineRule="auto"/>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、主要税种及税率</w:t>
      </w:r>
      <w:bookmarkEnd w:id="968"/>
      <w:bookmarkEnd w:id="969"/>
      <w:bookmarkEnd w:id="970"/>
    </w:p>
    <w:tbl>
      <w:tblPr>
        <w:tblOverlap w:val="never"/>
        <w:jc w:val="center"/>
        <w:tblLayout w:type="fixed"/>
      </w:tblPr>
      <w:tblGrid>
        <w:gridCol w:w="3250"/>
        <w:gridCol w:w="3235"/>
        <w:gridCol w:w="3235"/>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的税率 计算销项税，并按扣除当期允许抵 扣的进项税额后的差额计缴增值 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计 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计缴教育费附加及地方教育费 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1.5%</w:t>
            </w:r>
          </w:p>
        </w:tc>
      </w:tr>
    </w:tbl>
    <w:p>
      <w:pPr>
        <w:widowControl w:val="0"/>
        <w:spacing w:after="179" w:line="1" w:lineRule="exact"/>
      </w:pPr>
    </w:p>
    <w:p>
      <w:pPr>
        <w:pStyle w:val="Style18"/>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存在不同企业所得税税率纳税主体的，披露情况说明</w:t>
      </w:r>
    </w:p>
    <w:tbl>
      <w:tblPr>
        <w:tblOverlap w:val="never"/>
        <w:jc w:val="center"/>
        <w:tblLayout w:type="fixed"/>
      </w:tblPr>
      <w:tblGrid>
        <w:gridCol w:w="3989"/>
        <w:gridCol w:w="577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20" w:right="0" w:firstLine="0"/>
              <w:jc w:val="left"/>
            </w:pPr>
            <w:r>
              <w:rPr>
                <w:color w:val="000000"/>
                <w:spacing w:val="0"/>
                <w:w w:val="100"/>
                <w:position w:val="0"/>
              </w:rPr>
              <w:t>纳税主体名称</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武汉中元华电软件有限公司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576"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bl>
    <w:p>
      <w:pPr>
        <w:sectPr>
          <w:footnotePr>
            <w:pos w:val="pageBottom"/>
            <w:numFmt w:val="decimal"/>
            <w:numRestart w:val="continuous"/>
          </w:footnotePr>
          <w:pgSz w:w="11900" w:h="16840"/>
          <w:pgMar w:top="1441" w:right="1071" w:bottom="1009" w:left="1071" w:header="0" w:footer="3" w:gutter="0"/>
          <w:cols w:space="720"/>
          <w:noEndnote/>
          <w:rtlGutter w:val="0"/>
          <w:docGrid w:linePitch="360"/>
        </w:sectPr>
      </w:pPr>
    </w:p>
    <w:tbl>
      <w:tblPr>
        <w:tblOverlap w:val="never"/>
        <w:jc w:val="center"/>
        <w:tblLayout w:type="fixed"/>
      </w:tblPr>
      <w:tblGrid>
        <w:gridCol w:w="4056"/>
        <w:gridCol w:w="5722"/>
      </w:tblGrid>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武汉中元华电电力设备有限公司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广州穗华能源科技有限公司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中元汇（武汉）产业投资有限公司</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中元健康科技有限公司</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rPr>
              <w:t>25%</w:t>
            </w:r>
            <w:r>
              <w:rPr>
                <w:color w:val="000000"/>
                <w:spacing w:val="0"/>
                <w:w w:val="100"/>
                <w:position w:val="0"/>
              </w:rPr>
              <w:t>计缴</w:t>
            </w:r>
          </w:p>
        </w:tc>
      </w:tr>
    </w:tbl>
    <w:p>
      <w:pPr>
        <w:widowControl w:val="0"/>
        <w:spacing w:after="139" w:line="1" w:lineRule="exact"/>
      </w:pPr>
    </w:p>
    <w:p>
      <w:pPr>
        <w:pStyle w:val="Style32"/>
        <w:keepNext/>
        <w:keepLines/>
        <w:widowControl w:val="0"/>
        <w:shd w:val="clear" w:color="auto" w:fill="auto"/>
        <w:bidi w:val="0"/>
        <w:spacing w:before="0" w:line="437" w:lineRule="exact"/>
        <w:ind w:left="0" w:right="0" w:firstLine="0"/>
        <w:jc w:val="both"/>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sz w:val="24"/>
          <w:szCs w:val="24"/>
        </w:rPr>
        <w:t>2</w:t>
      </w:r>
      <w:r>
        <w:rPr>
          <w:color w:val="000000"/>
          <w:spacing w:val="0"/>
          <w:w w:val="100"/>
          <w:position w:val="0"/>
        </w:rPr>
        <w:t>、税收优惠</w:t>
      </w:r>
      <w:bookmarkEnd w:id="971"/>
      <w:bookmarkEnd w:id="972"/>
      <w:bookmarkEnd w:id="973"/>
    </w:p>
    <w:p>
      <w:pPr>
        <w:pStyle w:val="Style18"/>
        <w:keepNext w:val="0"/>
        <w:keepLines w:val="0"/>
        <w:widowControl w:val="0"/>
        <w:shd w:val="clear" w:color="auto" w:fill="auto"/>
        <w:bidi w:val="0"/>
        <w:spacing w:before="0" w:after="0" w:line="437" w:lineRule="exact"/>
        <w:ind w:left="0" w:right="0" w:firstLine="540"/>
        <w:jc w:val="both"/>
      </w:pPr>
      <w:r>
        <w:rPr>
          <w:color w:val="000000"/>
          <w:spacing w:val="0"/>
          <w:w w:val="100"/>
          <w:position w:val="0"/>
        </w:rPr>
        <w:t>本公司之子公司武汉中元华电软件有限公司为武汉东湖新技术开发区软件企业，依据财 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 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的部分实行即征即退政策。</w:t>
      </w:r>
    </w:p>
    <w:p>
      <w:pPr>
        <w:pStyle w:val="Style18"/>
        <w:keepNext w:val="0"/>
        <w:keepLines w:val="0"/>
        <w:widowControl w:val="0"/>
        <w:shd w:val="clear" w:color="auto" w:fill="auto"/>
        <w:bidi w:val="0"/>
        <w:spacing w:before="0" w:after="0" w:line="439" w:lineRule="exact"/>
        <w:ind w:left="0" w:right="0" w:firstLine="540"/>
        <w:jc w:val="both"/>
      </w:pPr>
      <w:r>
        <w:rPr>
          <w:color w:val="000000"/>
          <w:spacing w:val="0"/>
          <w:w w:val="100"/>
          <w:position w:val="0"/>
        </w:rPr>
        <w:t>本公司之子公司江苏世轩科技股份有限公司依据财税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 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 即征即退政策。</w:t>
      </w:r>
    </w:p>
    <w:p>
      <w:pPr>
        <w:pStyle w:val="Style18"/>
        <w:keepNext w:val="0"/>
        <w:keepLines w:val="0"/>
        <w:widowControl w:val="0"/>
        <w:shd w:val="clear" w:color="auto" w:fill="auto"/>
        <w:bidi w:val="0"/>
        <w:spacing w:before="0" w:after="0" w:line="439" w:lineRule="exact"/>
        <w:ind w:left="0" w:right="0" w:firstLine="540"/>
        <w:jc w:val="both"/>
      </w:pPr>
      <w:r>
        <w:rPr>
          <w:color w:val="000000"/>
          <w:spacing w:val="0"/>
          <w:w w:val="100"/>
          <w:position w:val="0"/>
        </w:rPr>
        <w:t>本公司之子公司广州穗华能源科技有限公司依据财税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 政策的通知》规定，按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的税率征收增值税后，对其增值税实际税负超过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的部分实行 即征即退政策。</w:t>
      </w:r>
    </w:p>
    <w:p>
      <w:pPr>
        <w:pStyle w:val="Style18"/>
        <w:keepNext w:val="0"/>
        <w:keepLines w:val="0"/>
        <w:widowControl w:val="0"/>
        <w:shd w:val="clear" w:color="auto" w:fill="auto"/>
        <w:bidi w:val="0"/>
        <w:spacing w:before="0" w:after="0" w:line="446" w:lineRule="exact"/>
        <w:ind w:left="0" w:right="0" w:firstLine="5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GR202042003104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 度本公司按照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37" w:lineRule="exact"/>
        <w:ind w:left="0" w:right="0" w:firstLine="540"/>
        <w:jc w:val="both"/>
      </w:pPr>
      <w:r>
        <w:rPr>
          <w:color w:val="000000"/>
          <w:spacing w:val="0"/>
          <w:w w:val="100"/>
          <w:position w:val="0"/>
        </w:rPr>
        <w:t>本公司的子公司武汉中元华电软件有限公司于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GR2020420 </w:t>
      </w:r>
      <w:r>
        <w:rPr>
          <w:rFonts w:ascii="Times New Roman" w:eastAsia="Times New Roman" w:hAnsi="Times New Roman" w:cs="Times New Roman"/>
          <w:color w:val="000000"/>
          <w:spacing w:val="0"/>
          <w:w w:val="100"/>
          <w:position w:val="0"/>
          <w:sz w:val="24"/>
          <w:szCs w:val="24"/>
        </w:rPr>
        <w:t>00681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32" w:lineRule="exact"/>
        <w:ind w:left="0" w:right="0" w:firstLine="540"/>
        <w:jc w:val="both"/>
      </w:pPr>
      <w:r>
        <w:rPr>
          <w:color w:val="000000"/>
          <w:spacing w:val="0"/>
          <w:w w:val="100"/>
          <w:position w:val="0"/>
        </w:rPr>
        <w:t>本公司的子公司武汉中元华电电力设备有限公司于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 </w:t>
      </w:r>
      <w:r>
        <w:rPr>
          <w:rFonts w:ascii="Times New Roman" w:eastAsia="Times New Roman" w:hAnsi="Times New Roman" w:cs="Times New Roman"/>
          <w:color w:val="000000"/>
          <w:spacing w:val="0"/>
          <w:w w:val="100"/>
          <w:position w:val="0"/>
          <w:sz w:val="24"/>
          <w:szCs w:val="24"/>
        </w:rPr>
        <w:t>2142003051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37" w:lineRule="exact"/>
        <w:ind w:left="0" w:right="0" w:firstLine="540"/>
        <w:jc w:val="both"/>
      </w:pPr>
      <w:r>
        <w:rPr>
          <w:color w:val="000000"/>
          <w:spacing w:val="0"/>
          <w:w w:val="100"/>
          <w:position w:val="0"/>
        </w:rPr>
        <w:t>本公司之子公司成都智达电力自动控制有限公司于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GR202 </w:t>
      </w:r>
      <w:r>
        <w:rPr>
          <w:rFonts w:ascii="Times New Roman" w:eastAsia="Times New Roman" w:hAnsi="Times New Roman" w:cs="Times New Roman"/>
          <w:color w:val="000000"/>
          <w:spacing w:val="0"/>
          <w:w w:val="100"/>
          <w:position w:val="0"/>
          <w:sz w:val="24"/>
          <w:szCs w:val="24"/>
        </w:rPr>
        <w:t>051003035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37" w:lineRule="exact"/>
        <w:ind w:left="0" w:right="0" w:firstLine="540"/>
        <w:jc w:val="both"/>
      </w:pPr>
      <w:r>
        <w:rPr>
          <w:color w:val="000000"/>
          <w:spacing w:val="0"/>
          <w:w w:val="100"/>
          <w:position w:val="0"/>
        </w:rPr>
        <w:t>本公司之子公司安徽大千生物工程有限公司于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GR20193400 </w:t>
      </w:r>
      <w:r>
        <w:rPr>
          <w:rFonts w:ascii="Times New Roman" w:eastAsia="Times New Roman" w:hAnsi="Times New Roman" w:cs="Times New Roman"/>
          <w:color w:val="000000"/>
          <w:spacing w:val="0"/>
          <w:w w:val="100"/>
          <w:position w:val="0"/>
          <w:sz w:val="24"/>
          <w:szCs w:val="24"/>
        </w:rPr>
        <w:t>0991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32" w:lineRule="exact"/>
        <w:ind w:left="0" w:right="0" w:firstLine="540"/>
        <w:jc w:val="both"/>
      </w:pPr>
      <w:r>
        <w:rPr>
          <w:color w:val="000000"/>
          <w:spacing w:val="0"/>
          <w:w w:val="100"/>
          <w:position w:val="0"/>
        </w:rPr>
        <w:t>本公司之子公司广州穗华能源科技有限公司于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24"/>
          <w:szCs w:val="24"/>
        </w:rPr>
        <w:t xml:space="preserve">GR2019440 </w:t>
      </w:r>
      <w:r>
        <w:rPr>
          <w:rFonts w:ascii="Times New Roman" w:eastAsia="Times New Roman" w:hAnsi="Times New Roman" w:cs="Times New Roman"/>
          <w:color w:val="000000"/>
          <w:spacing w:val="0"/>
          <w:w w:val="100"/>
          <w:position w:val="0"/>
          <w:sz w:val="24"/>
          <w:szCs w:val="24"/>
        </w:rPr>
        <w:t>04776</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160" w:line="437" w:lineRule="exact"/>
        <w:ind w:left="0" w:right="0" w:firstLine="54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24"/>
          <w:szCs w:val="24"/>
        </w:rPr>
        <w:t>[2013]106</w:t>
      </w:r>
      <w:r>
        <w:rPr>
          <w:color w:val="000000"/>
          <w:spacing w:val="0"/>
          <w:w w:val="100"/>
          <w:position w:val="0"/>
        </w:rPr>
        <w:t xml:space="preserve">号《关于将铁路运输和邮政业纳入营业税改征 </w:t>
      </w:r>
      <w:r>
        <w:rPr>
          <w:color w:val="000000"/>
          <w:spacing w:val="0"/>
          <w:w w:val="100"/>
          <w:position w:val="0"/>
        </w:rPr>
        <w:t>增值税试点的通知》附件</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：营业税改征增值税试点过渡政策的规定，试点纳税人提供技术 转让、技术开发和与之相关的技术咨询、技术服务免征增值税。</w:t>
      </w:r>
    </w:p>
    <w:p>
      <w:pPr>
        <w:pStyle w:val="Style29"/>
        <w:keepNext/>
        <w:keepLines/>
        <w:widowControl w:val="0"/>
        <w:shd w:val="clear" w:color="auto" w:fill="auto"/>
        <w:bidi w:val="0"/>
        <w:spacing w:before="0" w:after="360" w:line="446"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七</w:t>
      </w:r>
      <w:bookmarkEnd w:id="976"/>
      <w:r>
        <w:rPr>
          <w:color w:val="000000"/>
          <w:spacing w:val="0"/>
          <w:w w:val="100"/>
          <w:position w:val="0"/>
        </w:rPr>
        <w:t>、合并财务报表项目注释</w:t>
      </w:r>
      <w:bookmarkEnd w:id="974"/>
      <w:bookmarkEnd w:id="975"/>
      <w:bookmarkEnd w:id="977"/>
    </w:p>
    <w:p>
      <w:pPr>
        <w:pStyle w:val="Style32"/>
        <w:keepNext/>
        <w:keepLines/>
        <w:widowControl w:val="0"/>
        <w:shd w:val="clear" w:color="auto" w:fill="auto"/>
        <w:bidi w:val="0"/>
        <w:spacing w:before="0" w:after="160" w:line="389"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bookmarkEnd w:id="978"/>
      <w:bookmarkEnd w:id="979"/>
      <w:bookmarkEnd w:id="9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259,512.67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142,841.80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245,621,578.21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546,197,497.90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4,788,157.55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5,207,072.55</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250,669,248.43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551,547,412.25</w:t>
            </w:r>
          </w:p>
        </w:tc>
      </w:tr>
    </w:tbl>
    <w:p>
      <w:pPr>
        <w:widowControl w:val="0"/>
        <w:spacing w:after="159" w:line="1" w:lineRule="exact"/>
      </w:pPr>
    </w:p>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18"/>
        <w:keepNext w:val="0"/>
        <w:keepLines w:val="0"/>
        <w:widowControl w:val="0"/>
        <w:shd w:val="clear" w:color="auto" w:fill="auto"/>
        <w:bidi w:val="0"/>
        <w:spacing w:before="0" w:after="360" w:line="451" w:lineRule="exact"/>
        <w:ind w:left="0" w:right="0" w:firstLine="520"/>
        <w:jc w:val="left"/>
      </w:pPr>
      <w:r>
        <w:rPr>
          <w:color w:val="000000"/>
          <w:spacing w:val="0"/>
          <w:w w:val="100"/>
          <w:position w:val="0"/>
        </w:rPr>
        <w:t>注：年末其他货币资金</w:t>
      </w:r>
      <w:r>
        <w:rPr>
          <w:rFonts w:ascii="Times New Roman" w:eastAsia="Times New Roman" w:hAnsi="Times New Roman" w:cs="Times New Roman"/>
          <w:color w:val="000000"/>
          <w:spacing w:val="0"/>
          <w:w w:val="100"/>
          <w:position w:val="0"/>
          <w:sz w:val="24"/>
          <w:szCs w:val="24"/>
        </w:rPr>
        <w:t>4,788,157.55</w:t>
      </w:r>
      <w:r>
        <w:rPr>
          <w:color w:val="000000"/>
          <w:spacing w:val="0"/>
          <w:w w:val="100"/>
          <w:position w:val="0"/>
        </w:rPr>
        <w:t>元为银行承兑汇票保证金、保函保证金、履约保证 金及借款保证金，使用受限，详见附注七、</w:t>
      </w:r>
      <w:r>
        <w:rPr>
          <w:rFonts w:ascii="Times New Roman" w:eastAsia="Times New Roman" w:hAnsi="Times New Roman" w:cs="Times New Roman"/>
          <w:color w:val="000000"/>
          <w:spacing w:val="0"/>
          <w:w w:val="100"/>
          <w:position w:val="0"/>
          <w:sz w:val="24"/>
          <w:szCs w:val="24"/>
        </w:rPr>
        <w:t>57</w:t>
      </w:r>
      <w:r>
        <w:rPr>
          <w:color w:val="000000"/>
          <w:spacing w:val="0"/>
          <w:w w:val="100"/>
          <w:position w:val="0"/>
        </w:rPr>
        <w:t>。</w:t>
      </w:r>
    </w:p>
    <w:p>
      <w:pPr>
        <w:pStyle w:val="Style32"/>
        <w:keepNext/>
        <w:keepLines/>
        <w:widowControl w:val="0"/>
        <w:shd w:val="clear" w:color="auto" w:fill="auto"/>
        <w:bidi w:val="0"/>
        <w:spacing w:before="0" w:after="160" w:line="394" w:lineRule="auto"/>
        <w:ind w:left="0" w:right="0" w:firstLine="0"/>
        <w:jc w:val="left"/>
      </w:pPr>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、交易性金融资产</w:t>
      </w:r>
      <w:bookmarkEnd w:id="981"/>
      <w:bookmarkEnd w:id="982"/>
      <w:bookmarkEnd w:id="9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3240"/>
        <w:gridCol w:w="3235"/>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268,000,000.00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268,000,000.00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520"/>
        <w:jc w:val="left"/>
        <w:sectPr>
          <w:footnotePr>
            <w:pos w:val="pageBottom"/>
            <w:numFmt w:val="decimal"/>
            <w:numRestart w:val="continuous"/>
          </w:footnotePr>
          <w:pgSz w:w="11900" w:h="16840"/>
          <w:pgMar w:top="1412" w:right="1071" w:bottom="1633" w:left="1052" w:header="0" w:footer="3" w:gutter="0"/>
          <w:cols w:space="720"/>
          <w:noEndnote/>
          <w:rtlGutter w:val="0"/>
          <w:docGrid w:linePitch="360"/>
        </w:sectPr>
      </w:pPr>
      <w:r>
        <w:rPr>
          <w:color w:val="000000"/>
          <w:spacing w:val="0"/>
          <w:w w:val="100"/>
          <w:position w:val="0"/>
        </w:rPr>
        <w:t>注：年末银行理财产品中有</w:t>
      </w:r>
      <w:r>
        <w:rPr>
          <w:rFonts w:ascii="Times New Roman" w:eastAsia="Times New Roman" w:hAnsi="Times New Roman" w:cs="Times New Roman"/>
          <w:color w:val="000000"/>
          <w:spacing w:val="0"/>
          <w:w w:val="100"/>
          <w:position w:val="0"/>
          <w:sz w:val="24"/>
          <w:szCs w:val="24"/>
        </w:rPr>
        <w:t>50,000,000.00</w:t>
      </w:r>
      <w:r>
        <w:rPr>
          <w:color w:val="000000"/>
          <w:spacing w:val="0"/>
          <w:w w:val="100"/>
          <w:position w:val="0"/>
        </w:rPr>
        <w:t>元因诉讼被冻结。</w:t>
      </w:r>
    </w:p>
    <w:p>
      <w:pPr>
        <w:pStyle w:val="Style32"/>
        <w:keepNext/>
        <w:keepLines/>
        <w:widowControl w:val="0"/>
        <w:shd w:val="clear" w:color="auto" w:fill="auto"/>
        <w:bidi w:val="0"/>
        <w:spacing w:before="260" w:after="34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sz w:val="24"/>
          <w:szCs w:val="24"/>
        </w:rPr>
        <w:t>3</w:t>
      </w:r>
      <w:bookmarkEnd w:id="986"/>
      <w:r>
        <w:rPr>
          <w:color w:val="000000"/>
          <w:spacing w:val="0"/>
          <w:w w:val="100"/>
          <w:position w:val="0"/>
        </w:rPr>
        <w:t>、应收票据</w:t>
      </w:r>
      <w:bookmarkEnd w:id="984"/>
      <w:bookmarkEnd w:id="985"/>
      <w:bookmarkEnd w:id="987"/>
    </w:p>
    <w:p>
      <w:pPr>
        <w:pStyle w:val="Style46"/>
        <w:keepNext/>
        <w:keepLines/>
        <w:widowControl w:val="0"/>
        <w:shd w:val="clear" w:color="auto" w:fill="auto"/>
        <w:bidi w:val="0"/>
        <w:spacing w:before="0" w:after="340" w:line="240" w:lineRule="auto"/>
        <w:ind w:left="0" w:right="0" w:firstLine="0"/>
        <w:jc w:val="left"/>
      </w:pPr>
      <w:bookmarkStart w:id="988" w:name="bookmark988"/>
      <w:bookmarkStart w:id="989" w:name="bookmark989"/>
      <w:bookmarkStart w:id="990" w:name="bookmark99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)应收票据分类列示</w:t>
      </w:r>
      <w:bookmarkEnd w:id="988"/>
      <w:bookmarkEnd w:id="989"/>
      <w:bookmarkEnd w:id="990"/>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4690"/>
        <w:gridCol w:w="4675"/>
        <w:gridCol w:w="4675"/>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4,824,793.50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2,787,158.91</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4,824,793.50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2,787,158.91</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400"/>
        <w:gridCol w:w="1166"/>
        <w:gridCol w:w="1104"/>
        <w:gridCol w:w="1104"/>
        <w:gridCol w:w="1109"/>
        <w:gridCol w:w="1162"/>
        <w:gridCol w:w="1157"/>
        <w:gridCol w:w="1162"/>
        <w:gridCol w:w="1354"/>
        <w:gridCol w:w="1162"/>
        <w:gridCol w:w="1162"/>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按组合计提坏账准备的应 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5,078,730.00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4,824,793.50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其中：以账龄特征为基础 的预期信用损失组合的应 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5,078,730.00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4,824,793.50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5,078,730.00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253,936.50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4,824,793.50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2,933,851.48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146,692.57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2,787,158.91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08"/>
        <w:gridCol w:w="2803"/>
        <w:gridCol w:w="2803"/>
        <w:gridCol w:w="2803"/>
        <w:gridCol w:w="2808"/>
      </w:tblGrid>
      <w:tr>
        <w:trPr>
          <w:trHeight w:val="41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p>
      <w:pPr>
        <w:pStyle w:val="Style43"/>
        <w:keepNext w:val="0"/>
        <w:keepLines w:val="0"/>
        <w:widowControl w:val="0"/>
        <w:shd w:val="clear" w:color="auto" w:fill="auto"/>
        <w:bidi w:val="0"/>
        <w:spacing w:before="0" w:after="100" w:line="240" w:lineRule="auto"/>
        <w:ind w:left="0" w:right="0" w:firstLine="520"/>
        <w:jc w:val="left"/>
      </w:pPr>
      <w:r>
        <w:rPr>
          <w:rFonts w:ascii="SimSun" w:eastAsia="SimSun" w:hAnsi="SimSun" w:cs="SimSun"/>
          <w:color w:val="000000"/>
          <w:spacing w:val="0"/>
          <w:w w:val="100"/>
          <w:position w:val="0"/>
          <w:sz w:val="22"/>
          <w:szCs w:val="22"/>
        </w:rPr>
        <w:t>按组合计提坏账准备：</w:t>
      </w:r>
      <w:r>
        <w:rPr>
          <w:color w:val="000000"/>
          <w:spacing w:val="0"/>
          <w:w w:val="100"/>
          <w:position w:val="0"/>
          <w:sz w:val="24"/>
          <w:szCs w:val="24"/>
        </w:rPr>
        <w:t>253,936.50</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3523"/>
        <w:gridCol w:w="3504"/>
        <w:gridCol w:w="3504"/>
        <w:gridCol w:w="3509"/>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5,078,730.00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253,936.50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5,078,730.00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253,936.50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09"/>
        <w:gridCol w:w="3504"/>
        <w:gridCol w:w="3504"/>
        <w:gridCol w:w="3509"/>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4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46"/>
        <w:keepNext/>
        <w:keepLines/>
        <w:widowControl w:val="0"/>
        <w:shd w:val="clear" w:color="auto" w:fill="auto"/>
        <w:bidi w:val="0"/>
        <w:spacing w:before="0" w:after="460" w:line="240" w:lineRule="auto"/>
        <w:ind w:left="0" w:right="0" w:firstLine="0"/>
        <w:jc w:val="left"/>
      </w:pPr>
      <w:bookmarkStart w:id="991" w:name="bookmark991"/>
      <w:bookmarkStart w:id="992" w:name="bookmark992"/>
      <w:bookmarkStart w:id="993" w:name="bookmark99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991"/>
      <w:bookmarkEnd w:id="992"/>
      <w:bookmarkEnd w:id="993"/>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026"/>
        <w:gridCol w:w="2002"/>
        <w:gridCol w:w="1997"/>
        <w:gridCol w:w="2002"/>
        <w:gridCol w:w="2002"/>
        <w:gridCol w:w="2006"/>
        <w:gridCol w:w="2006"/>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146,692.57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107,243.93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253,936.50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146,692.57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107,243.93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253,936.50</w:t>
            </w:r>
          </w:p>
        </w:tc>
      </w:tr>
    </w:tbl>
    <w:p>
      <w:pPr>
        <w:pStyle w:val="Style18"/>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4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sz w:val="24"/>
          <w:szCs w:val="24"/>
        </w:rPr>
        <w:t>4</w:t>
      </w:r>
      <w:bookmarkEnd w:id="996"/>
      <w:r>
        <w:rPr>
          <w:color w:val="000000"/>
          <w:spacing w:val="0"/>
          <w:w w:val="100"/>
          <w:position w:val="0"/>
        </w:rPr>
        <w:t>、应收账款</w:t>
      </w:r>
      <w:bookmarkEnd w:id="994"/>
      <w:bookmarkEnd w:id="995"/>
      <w:bookmarkEnd w:id="997"/>
    </w:p>
    <w:p>
      <w:pPr>
        <w:pStyle w:val="Style46"/>
        <w:keepNext/>
        <w:keepLines/>
        <w:widowControl w:val="0"/>
        <w:shd w:val="clear" w:color="auto" w:fill="auto"/>
        <w:bidi w:val="0"/>
        <w:spacing w:before="0" w:after="340" w:line="240" w:lineRule="auto"/>
        <w:ind w:left="0" w:right="0" w:firstLine="0"/>
        <w:jc w:val="left"/>
      </w:pPr>
      <w:bookmarkStart w:id="1000" w:name="bookmark1000"/>
      <w:bookmarkStart w:id="998" w:name="bookmark998"/>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1000"/>
      <w:bookmarkEnd w:id="998"/>
      <w:bookmarkEnd w:id="999"/>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222"/>
        <w:gridCol w:w="1373"/>
        <w:gridCol w:w="926"/>
        <w:gridCol w:w="1262"/>
        <w:gridCol w:w="931"/>
        <w:gridCol w:w="1368"/>
        <w:gridCol w:w="1368"/>
        <w:gridCol w:w="984"/>
        <w:gridCol w:w="1262"/>
        <w:gridCol w:w="970"/>
        <w:gridCol w:w="1373"/>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254,732,477.92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62,098,805.31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192,633,672.61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270,591,609.28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其中：以账龄特征为基 础的预期信用损失组合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254,732,477.92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62,098,805.31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192,633,672.61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270,591,609.28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254,732,477.92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62,098,805.31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192,633,672.61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270,591,609.28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58,525,276.12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212,066,333.16</w:t>
            </w:r>
          </w:p>
        </w:tc>
      </w:tr>
    </w:tbl>
    <w:p>
      <w:pPr>
        <w:widowControl w:val="0"/>
        <w:spacing w:after="179" w:line="1" w:lineRule="exact"/>
      </w:pPr>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10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03"/>
        <w:gridCol w:w="2808"/>
        <w:gridCol w:w="2803"/>
        <w:gridCol w:w="2803"/>
        <w:gridCol w:w="2808"/>
      </w:tblGrid>
      <w:tr>
        <w:trPr>
          <w:trHeight w:val="41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179" w:line="1" w:lineRule="exact"/>
      </w:pPr>
    </w:p>
    <w:p>
      <w:pPr>
        <w:pStyle w:val="Style43"/>
        <w:keepNext w:val="0"/>
        <w:keepLines w:val="0"/>
        <w:widowControl w:val="0"/>
        <w:shd w:val="clear" w:color="auto" w:fill="auto"/>
        <w:bidi w:val="0"/>
        <w:spacing w:before="0" w:after="100" w:line="240" w:lineRule="auto"/>
        <w:ind w:left="0" w:right="0" w:firstLine="520"/>
        <w:jc w:val="left"/>
        <w:rPr>
          <w:sz w:val="22"/>
          <w:szCs w:val="22"/>
        </w:rPr>
      </w:pPr>
      <w:r>
        <w:rPr>
          <w:rFonts w:ascii="SimSun" w:eastAsia="SimSun" w:hAnsi="SimSun" w:cs="SimSun"/>
          <w:color w:val="000000"/>
          <w:spacing w:val="0"/>
          <w:w w:val="100"/>
          <w:position w:val="0"/>
          <w:sz w:val="22"/>
          <w:szCs w:val="22"/>
        </w:rPr>
        <w:t>按组合计提坏账准备：</w:t>
      </w:r>
      <w:r>
        <w:rPr>
          <w:color w:val="000000"/>
          <w:spacing w:val="0"/>
          <w:w w:val="100"/>
          <w:position w:val="0"/>
          <w:sz w:val="24"/>
          <w:szCs w:val="24"/>
        </w:rPr>
        <w:t>62,098,805.31</w:t>
      </w:r>
      <w:r>
        <w:rPr>
          <w:rFonts w:ascii="SimSun" w:eastAsia="SimSun" w:hAnsi="SimSun" w:cs="SimSun"/>
          <w:color w:val="000000"/>
          <w:spacing w:val="0"/>
          <w:w w:val="100"/>
          <w:position w:val="0"/>
          <w:sz w:val="22"/>
          <w:szCs w:val="22"/>
        </w:rPr>
        <w:t>元</w:t>
      </w:r>
    </w:p>
    <w:p>
      <w:pPr>
        <w:pStyle w:val="Style18"/>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509"/>
        <w:gridCol w:w="3504"/>
        <w:gridCol w:w="3504"/>
        <w:gridCol w:w="3509"/>
      </w:tblGrid>
      <w:tr>
        <w:trPr>
          <w:trHeight w:val="442"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154,548,266.62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7,727,413.34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31,596,838.73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3,159,683.87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12,137,518.76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3,641,255.63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10,849,905.95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5,424,952.98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17,272,241.83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13,817,793.46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28,327,706.03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28,327,706.03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254,732,477.92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62,098,805.31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确定该组合依据的说明:</w:t>
      </w:r>
    </w:p>
    <w:tbl>
      <w:tblPr>
        <w:tblOverlap w:val="never"/>
        <w:jc w:val="center"/>
        <w:tblLayout w:type="fixed"/>
      </w:tblPr>
      <w:tblGrid>
        <w:gridCol w:w="3538"/>
        <w:gridCol w:w="3504"/>
        <w:gridCol w:w="3504"/>
        <w:gridCol w:w="3538"/>
      </w:tblGrid>
      <w:tr>
        <w:trPr>
          <w:trHeight w:val="70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按组合计提坏账准备:</w:t>
            </w:r>
          </w:p>
        </w:tc>
        <w:tc>
          <w:tcPr>
            <w:gridSpan w:val="3"/>
            <w:tcBorders/>
            <w:shd w:val="clear" w:color="auto" w:fill="FFFFFF"/>
            <w:vAlign w:val="bottom"/>
          </w:tcPr>
          <w:p>
            <w:pPr>
              <w:pStyle w:val="Style21"/>
              <w:keepNext w:val="0"/>
              <w:keepLines w:val="0"/>
              <w:widowControl w:val="0"/>
              <w:shd w:val="clear" w:color="auto" w:fill="auto"/>
              <w:bidi w:val="0"/>
              <w:spacing w:before="0" w:after="0" w:line="240" w:lineRule="auto"/>
              <w:ind w:left="9640" w:right="0" w:firstLine="0"/>
              <w:jc w:val="left"/>
            </w:pPr>
            <w:r>
              <w:rPr>
                <w:color w:val="000000"/>
                <w:spacing w:val="0"/>
                <w:w w:val="100"/>
                <w:position w:val="0"/>
              </w:rPr>
              <w:t>单位：元</w:t>
            </w:r>
          </w:p>
        </w:tc>
      </w:tr>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200" w:line="240" w:lineRule="auto"/>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6926"/>
        <w:gridCol w:w="714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154,548,266.62</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31,596,838.73</w:t>
            </w:r>
          </w:p>
        </w:tc>
      </w:tr>
    </w:tbl>
    <w:p>
      <w:pPr>
        <w:spacing w:lineRule="exact" w:line="1"/>
        <w:rPr>
          <w:sz w:val="2"/>
          <w:szCs w:val="2"/>
        </w:rPr>
      </w:pPr>
      <w:r>
        <w:br w:type="page"/>
      </w:r>
    </w:p>
    <w:tbl>
      <w:tblPr>
        <w:tblOverlap w:val="never"/>
        <w:jc w:val="center"/>
        <w:tblLayout w:type="fixed"/>
      </w:tblPr>
      <w:tblGrid>
        <w:gridCol w:w="6864"/>
        <w:gridCol w:w="7190"/>
      </w:tblGrid>
      <w:tr>
        <w:trPr>
          <w:trHeight w:val="43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12,137,518.76</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56,449,853.81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10,849,905.95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17,272,241.83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20" w:right="0" w:firstLine="0"/>
              <w:jc w:val="left"/>
            </w:pPr>
            <w:r>
              <w:rPr>
                <w:rFonts w:ascii="Times New Roman" w:eastAsia="Times New Roman" w:hAnsi="Times New Roman" w:cs="Times New Roman"/>
                <w:color w:val="000000"/>
                <w:spacing w:val="0"/>
                <w:w w:val="100"/>
                <w:position w:val="0"/>
              </w:rPr>
              <w:t>28,327,706.03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254,732,477.92</w:t>
            </w:r>
          </w:p>
        </w:tc>
      </w:tr>
    </w:tbl>
    <w:p>
      <w:pPr>
        <w:sectPr>
          <w:footnotePr>
            <w:pos w:val="pageBottom"/>
            <w:numFmt w:val="decimal"/>
            <w:numRestart w:val="continuous"/>
          </w:footnotePr>
          <w:pgSz w:w="16840" w:h="11900" w:orient="landscape"/>
          <w:pgMar w:top="1137" w:right="1380" w:bottom="1279" w:left="1377" w:header="0" w:footer="3" w:gutter="0"/>
          <w:cols w:space="720"/>
          <w:noEndnote/>
          <w:rtlGutter w:val="0"/>
          <w:docGrid w:linePitch="360"/>
        </w:sectPr>
      </w:pPr>
    </w:p>
    <w:p>
      <w:pPr>
        <w:pStyle w:val="Style46"/>
        <w:keepNext/>
        <w:keepLines/>
        <w:widowControl w:val="0"/>
        <w:shd w:val="clear" w:color="auto" w:fill="auto"/>
        <w:bidi w:val="0"/>
        <w:spacing w:before="0" w:after="460" w:line="240" w:lineRule="auto"/>
        <w:ind w:left="0" w:right="0" w:firstLine="0"/>
        <w:jc w:val="left"/>
      </w:pPr>
      <w:bookmarkStart w:id="1001" w:name="bookmark1001"/>
      <w:bookmarkStart w:id="1002" w:name="bookmark1002"/>
      <w:bookmarkStart w:id="1003" w:name="bookmark100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1001"/>
      <w:bookmarkEnd w:id="1002"/>
      <w:bookmarkEnd w:id="1003"/>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3"/>
        <w:gridCol w:w="1373"/>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58,525,276.12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4,171,719.95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185,605.39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703,298.85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62,098,805.31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58,525,276.12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4,171,719.95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185,605.39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703,298.85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62,098,805.31</w:t>
            </w: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3250"/>
        <w:gridCol w:w="3235"/>
        <w:gridCol w:w="3235"/>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湖南长沙南控电力自动化设备有限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法律诉讼</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）本期实际核销的应收账款情况</w:t>
      </w:r>
      <w:bookmarkEnd w:id="1004"/>
      <w:bookmarkEnd w:id="1005"/>
      <w:bookmarkEnd w:id="10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14"/>
        <w:gridCol w:w="4939"/>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185,605.39</w:t>
            </w: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642"/>
        <w:gridCol w:w="1613"/>
        <w:gridCol w:w="1618"/>
        <w:gridCol w:w="1613"/>
        <w:gridCol w:w="1622"/>
        <w:gridCol w:w="1613"/>
      </w:tblGrid>
      <w:tr>
        <w:trPr>
          <w:trHeight w:val="72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款项是否由关联</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泸州金南方电器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185,605.39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公司审批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185,605.39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）按欠款方归集的期末余额前五名的应收账款情况</w:t>
      </w:r>
      <w:bookmarkEnd w:id="1008"/>
      <w:bookmarkEnd w:id="1009"/>
      <w:bookmarkEnd w:id="10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2568"/>
        <w:gridCol w:w="2549"/>
        <w:gridCol w:w="2573"/>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 数的比例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坏账准备期末余额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大理学院附属医院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8,622,000.00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8,622,000.00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国网四川省电力公司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成都供电公司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8,542,272.21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427,113.61</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长园深瑞继保自动化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6,822,226.15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341,111.31</w:t>
            </w:r>
          </w:p>
        </w:tc>
      </w:tr>
    </w:tbl>
    <w:p>
      <w:pPr>
        <w:spacing w:lineRule="exact" w:line="1"/>
        <w:rPr>
          <w:sz w:val="2"/>
          <w:szCs w:val="2"/>
        </w:rPr>
      </w:pPr>
      <w:r>
        <w:br w:type="page"/>
      </w:r>
    </w:p>
    <w:tbl>
      <w:tblPr>
        <w:tblOverlap w:val="never"/>
        <w:jc w:val="center"/>
        <w:tblLayout w:type="fixed"/>
      </w:tblPr>
      <w:tblGrid>
        <w:gridCol w:w="2030"/>
        <w:gridCol w:w="2563"/>
        <w:gridCol w:w="2558"/>
        <w:gridCol w:w="2568"/>
      </w:tblGrid>
      <w:tr>
        <w:trPr>
          <w:trHeight w:val="36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思南县卫生和计划生 育局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6,516,179.66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4,473,542.01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汉滨区第三人民医院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6,575,146.82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665,988.69</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37,077,824.84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sz w:val="24"/>
          <w:szCs w:val="24"/>
        </w:rPr>
        <w:t>5</w:t>
      </w:r>
      <w:bookmarkEnd w:id="1014"/>
      <w:r>
        <w:rPr>
          <w:color w:val="000000"/>
          <w:spacing w:val="0"/>
          <w:w w:val="100"/>
          <w:position w:val="0"/>
        </w:rPr>
        <w:t>、应收款项融资</w:t>
      </w:r>
      <w:bookmarkEnd w:id="1012"/>
      <w:bookmarkEnd w:id="1013"/>
      <w:bookmarkEnd w:id="10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8,229,320.00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12,045,884.34</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8,229,320.00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12,045,884.34</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8"/>
        <w:keepNext w:val="0"/>
        <w:keepLines w:val="0"/>
        <w:widowControl w:val="0"/>
        <w:shd w:val="clear" w:color="auto" w:fill="auto"/>
        <w:bidi w:val="0"/>
        <w:spacing w:before="0" w:after="0" w:line="437" w:lineRule="exact"/>
        <w:ind w:left="0" w:right="0" w:firstLine="520"/>
        <w:jc w:val="left"/>
      </w:pPr>
      <w:r>
        <w:rPr>
          <w:color w:val="000000"/>
          <w:spacing w:val="0"/>
          <w:w w:val="100"/>
          <w:position w:val="0"/>
        </w:rPr>
        <w:t>应收款项融资系公司持有的银行承兑汇票，由于票据剩余期限较短，账面余额与公允价 值相近，公司按账面价值作为公允价值的合理估计。</w:t>
      </w:r>
    </w:p>
    <w:p>
      <w:pPr>
        <w:pStyle w:val="Style18"/>
        <w:keepNext w:val="0"/>
        <w:keepLines w:val="0"/>
        <w:widowControl w:val="0"/>
        <w:shd w:val="clear" w:color="auto" w:fill="auto"/>
        <w:bidi w:val="0"/>
        <w:spacing w:before="0" w:after="200" w:line="442" w:lineRule="exact"/>
        <w:ind w:left="0" w:right="0" w:firstLine="520"/>
        <w:jc w:val="left"/>
      </w:pPr>
      <w:r>
        <w:rPr>
          <w:color w:val="000000"/>
          <w:spacing w:val="0"/>
          <w:w w:val="100"/>
          <w:position w:val="0"/>
        </w:rPr>
        <w:t>如是按照预期信用损失一般模型计提应收款项融资减值准备，请参照其他应收款的披露 方式披露减值准备的相关信息：</w:t>
      </w:r>
    </w:p>
    <w:p>
      <w:pPr>
        <w:pStyle w:val="Style18"/>
        <w:keepNext w:val="0"/>
        <w:keepLines w:val="0"/>
        <w:widowControl w:val="0"/>
        <w:shd w:val="clear" w:color="auto" w:fill="auto"/>
        <w:bidi w:val="0"/>
        <w:spacing w:before="0" w:after="200" w:line="382"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0"/>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sz w:val="24"/>
          <w:szCs w:val="24"/>
        </w:rPr>
        <w:t>6</w:t>
      </w:r>
      <w:bookmarkEnd w:id="1018"/>
      <w:r>
        <w:rPr>
          <w:color w:val="000000"/>
          <w:spacing w:val="0"/>
          <w:w w:val="100"/>
          <w:position w:val="0"/>
        </w:rPr>
        <w:t>、预付款项</w:t>
      </w:r>
      <w:bookmarkEnd w:id="1016"/>
      <w:bookmarkEnd w:id="1017"/>
      <w:bookmarkEnd w:id="1019"/>
    </w:p>
    <w:p>
      <w:pPr>
        <w:pStyle w:val="Style46"/>
        <w:keepNext/>
        <w:keepLines/>
        <w:widowControl w:val="0"/>
        <w:shd w:val="clear" w:color="auto" w:fill="auto"/>
        <w:bidi w:val="0"/>
        <w:spacing w:before="0" w:after="320" w:line="439" w:lineRule="exact"/>
        <w:ind w:left="0" w:right="0" w:firstLine="0"/>
        <w:jc w:val="left"/>
      </w:pPr>
      <w:bookmarkStart w:id="1020" w:name="bookmark1020"/>
      <w:bookmarkStart w:id="1021" w:name="bookmark1021"/>
      <w:bookmarkStart w:id="1022" w:name="bookmark102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1020"/>
      <w:bookmarkEnd w:id="1021"/>
      <w:bookmarkEnd w:id="10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0"/>
        <w:gridCol w:w="1915"/>
        <w:gridCol w:w="1920"/>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5,732,526.78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3,861,861.03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586,119.85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480,195.52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168,312.36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313,248.55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459,482.60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676,931.76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6,946,441.59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5,332,236.86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6"/>
        <w:keepNext/>
        <w:keepLines/>
        <w:widowControl w:val="0"/>
        <w:shd w:val="clear" w:color="auto" w:fill="auto"/>
        <w:bidi w:val="0"/>
        <w:spacing w:before="0" w:after="460" w:line="240" w:lineRule="auto"/>
        <w:ind w:left="0" w:right="0" w:firstLine="0"/>
        <w:jc w:val="left"/>
      </w:pPr>
      <w:bookmarkStart w:id="1023" w:name="bookmark1023"/>
      <w:bookmarkStart w:id="1024" w:name="bookmark1024"/>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）按预付对象归集的期末余额前五名的预付款情况</w:t>
      </w:r>
      <w:bookmarkEnd w:id="1023"/>
      <w:bookmarkEnd w:id="1024"/>
      <w:bookmarkEnd w:id="1025"/>
    </w:p>
    <w:p>
      <w:pPr>
        <w:pStyle w:val="Style18"/>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rPr>
        <w:t>2,956,896.10</w:t>
      </w:r>
      <w:r>
        <w:rPr>
          <w:color w:val="000000"/>
          <w:spacing w:val="0"/>
          <w:w w:val="100"/>
          <w:position w:val="0"/>
        </w:rPr>
        <w:t>元，占预付款项年</w:t>
        <w:br w:type="page"/>
      </w:r>
      <w:r>
        <w:rPr>
          <w:color w:val="000000"/>
          <w:spacing w:val="0"/>
          <w:w w:val="100"/>
          <w:position w:val="0"/>
        </w:rPr>
        <w:t>末余额合计数的比例</w:t>
      </w:r>
      <w:r>
        <w:rPr>
          <w:rFonts w:ascii="Times New Roman" w:eastAsia="Times New Roman" w:hAnsi="Times New Roman" w:cs="Times New Roman"/>
          <w:color w:val="000000"/>
          <w:spacing w:val="0"/>
          <w:w w:val="100"/>
          <w:position w:val="0"/>
        </w:rPr>
        <w:t>42.57%</w:t>
      </w:r>
      <w:r>
        <w:rPr>
          <w:color w:val="000000"/>
          <w:spacing w:val="0"/>
          <w:w w:val="100"/>
          <w:position w:val="0"/>
        </w:rPr>
        <w:t>。</w:t>
      </w:r>
    </w:p>
    <w:p>
      <w:pPr>
        <w:pStyle w:val="Style32"/>
        <w:keepNext/>
        <w:keepLines/>
        <w:widowControl w:val="0"/>
        <w:shd w:val="clear" w:color="auto" w:fill="auto"/>
        <w:bidi w:val="0"/>
        <w:spacing w:before="0" w:after="32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sz w:val="24"/>
          <w:szCs w:val="24"/>
        </w:rPr>
        <w:t>7</w:t>
      </w:r>
      <w:bookmarkEnd w:id="1028"/>
      <w:r>
        <w:rPr>
          <w:color w:val="000000"/>
          <w:spacing w:val="0"/>
          <w:w w:val="100"/>
          <w:position w:val="0"/>
        </w:rPr>
        <w:t>、其他应收款</w:t>
      </w:r>
      <w:bookmarkEnd w:id="1026"/>
      <w:bookmarkEnd w:id="1027"/>
      <w:bookmarkEnd w:id="10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41,048,855.28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47,315,569.43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43,349,521.95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47,315,569.43</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30" w:name="bookmark1030"/>
      <w:bookmarkStart w:id="1031" w:name="bookmark1031"/>
      <w:bookmarkStart w:id="1032" w:name="bookmark103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）应收利息</w:t>
      </w:r>
      <w:bookmarkEnd w:id="1030"/>
      <w:bookmarkEnd w:id="1031"/>
      <w:bookmarkEnd w:id="1032"/>
    </w:p>
    <w:p>
      <w:pPr>
        <w:pStyle w:val="Style77"/>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）应收利息分类</w:t>
      </w:r>
      <w:bookmarkEnd w:id="1033"/>
      <w:bookmarkEnd w:id="1034"/>
      <w:bookmarkEnd w:id="10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2,300,666.67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36" w:name="bookmark1036"/>
      <w:bookmarkStart w:id="1037" w:name="bookmark1037"/>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1036"/>
      <w:bookmarkEnd w:id="1037"/>
      <w:bookmarkEnd w:id="1038"/>
    </w:p>
    <w:p>
      <w:pPr>
        <w:pStyle w:val="Style77"/>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）其他应收款按款项性质分类情况</w:t>
      </w:r>
      <w:bookmarkEnd w:id="1039"/>
      <w:bookmarkEnd w:id="1040"/>
      <w:bookmarkEnd w:id="10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2,254,211.82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3,644,740.91</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29,055,133.28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27,456,223.41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13,525,253.00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13,525,253.00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4,756,145.41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6,601,209.42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-8,541,888.23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-3,911,857.31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41,048,855.28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47,315,569.43</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）坏账准备计提情况</w:t>
      </w:r>
      <w:bookmarkEnd w:id="1042"/>
      <w:bookmarkEnd w:id="1043"/>
      <w:bookmarkEnd w:id="10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642"/>
        <w:gridCol w:w="2098"/>
        <w:gridCol w:w="2093"/>
        <w:gridCol w:w="1819"/>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3,911,857.31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3,911,857.31</w:t>
            </w:r>
          </w:p>
        </w:tc>
      </w:tr>
    </w:tbl>
    <w:p>
      <w:pPr>
        <w:spacing w:lineRule="exact" w:line="1"/>
        <w:rPr>
          <w:sz w:val="2"/>
          <w:szCs w:val="2"/>
        </w:rPr>
      </w:pPr>
      <w:r>
        <w:br w:type="page"/>
      </w:r>
    </w:p>
    <w:tbl>
      <w:tblPr>
        <w:tblOverlap w:val="never"/>
        <w:jc w:val="center"/>
        <w:tblLayout w:type="fixed"/>
      </w:tblPr>
      <w:tblGrid>
        <w:gridCol w:w="1925"/>
        <w:gridCol w:w="1661"/>
        <w:gridCol w:w="2098"/>
        <w:gridCol w:w="2102"/>
        <w:gridCol w:w="1810"/>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4,655,594.49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4,655,594.49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-25,563.57</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8,541,888.23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8,541,888.23</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8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4"/>
        <w:gridCol w:w="4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7,910,374.12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4,543,606.58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13,599,041.70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23,537,721.11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22,860,405.27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160,147.91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517,167.93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pPr>
            <w:r>
              <w:rPr>
                <w:rFonts w:ascii="Times New Roman" w:eastAsia="Times New Roman" w:hAnsi="Times New Roman" w:cs="Times New Roman"/>
                <w:color w:val="000000"/>
                <w:spacing w:val="0"/>
                <w:w w:val="100"/>
                <w:position w:val="0"/>
              </w:rPr>
              <w:t>49,590,743.51</w:t>
            </w:r>
          </w:p>
        </w:tc>
      </w:tr>
    </w:tbl>
    <w:p>
      <w:pPr>
        <w:widowControl w:val="0"/>
        <w:spacing w:after="319" w:line="1" w:lineRule="exact"/>
      </w:pPr>
    </w:p>
    <w:p>
      <w:pPr>
        <w:pStyle w:val="Style77"/>
        <w:keepNext/>
        <w:keepLines/>
        <w:widowControl w:val="0"/>
        <w:shd w:val="clear" w:color="auto" w:fill="auto"/>
        <w:bidi w:val="0"/>
        <w:spacing w:before="0" w:after="42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sz w:val="24"/>
          <w:szCs w:val="24"/>
        </w:rPr>
        <w:t>3</w:t>
      </w:r>
      <w:bookmarkEnd w:id="1047"/>
      <w:r>
        <w:rPr>
          <w:color w:val="000000"/>
          <w:spacing w:val="0"/>
          <w:w w:val="100"/>
          <w:position w:val="0"/>
        </w:rPr>
        <w:t>）本期计提、收回或转回的坏账准备情况</w:t>
      </w:r>
      <w:bookmarkEnd w:id="1045"/>
      <w:bookmarkEnd w:id="1046"/>
      <w:bookmarkEnd w:id="1048"/>
    </w:p>
    <w:p>
      <w:pPr>
        <w:pStyle w:val="Style1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84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450"/>
        <w:gridCol w:w="1152"/>
        <w:gridCol w:w="1349"/>
        <w:gridCol w:w="1344"/>
        <w:gridCol w:w="1339"/>
        <w:gridCol w:w="1339"/>
        <w:gridCol w:w="1747"/>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 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3,911,857.31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4,655,594.49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8,541,888.23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3,911,857.31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4,655,594.49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8,541,888.23</w:t>
            </w:r>
          </w:p>
        </w:tc>
      </w:tr>
    </w:tbl>
    <w:p>
      <w:pPr>
        <w:widowControl w:val="0"/>
        <w:spacing w:after="179" w:line="1" w:lineRule="exact"/>
      </w:pPr>
    </w:p>
    <w:p>
      <w:pPr>
        <w:pStyle w:val="Style1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180" w:line="240" w:lineRule="auto"/>
        <w:ind w:left="8840" w:right="0" w:firstLine="0"/>
        <w:jc w:val="left"/>
        <w:rPr>
          <w:sz w:val="20"/>
          <w:szCs w:val="20"/>
        </w:rPr>
      </w:pPr>
      <w:r>
        <w:rPr>
          <w:color w:val="000000"/>
          <w:spacing w:val="0"/>
          <w:w w:val="100"/>
          <w:position w:val="0"/>
          <w:sz w:val="20"/>
          <w:szCs w:val="20"/>
        </w:rPr>
        <w:t>单位：元</w:t>
      </w:r>
    </w:p>
    <w:p>
      <w:pPr>
        <w:pStyle w:val="Style18"/>
        <w:keepNext w:val="0"/>
        <w:keepLines w:val="0"/>
        <w:widowControl w:val="0"/>
        <w:shd w:val="clear" w:color="auto" w:fill="auto"/>
        <w:tabs>
          <w:tab w:pos="2861" w:val="left"/>
          <w:tab w:pos="6374" w:val="left"/>
        </w:tabs>
        <w:bidi w:val="0"/>
        <w:spacing w:before="0" w:after="420" w:line="240" w:lineRule="auto"/>
        <w:ind w:left="0" w:right="0" w:firstLine="0"/>
        <w:jc w:val="center"/>
        <w:rPr>
          <w:sz w:val="20"/>
          <w:szCs w:val="20"/>
        </w:rPr>
      </w:pPr>
      <w:r>
        <w:rPr>
          <w:color w:val="000000"/>
          <w:spacing w:val="0"/>
          <w:w w:val="100"/>
          <w:position w:val="0"/>
          <w:sz w:val="20"/>
          <w:szCs w:val="20"/>
        </w:rPr>
        <w:t>单位名称</w:t>
        <w:tab/>
        <w:t>转回或收回金额</w:t>
        <w:tab/>
        <w:t>收回方式</w:t>
      </w:r>
    </w:p>
    <w:p>
      <w:pPr>
        <w:pStyle w:val="Style77"/>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sz w:val="24"/>
          <w:szCs w:val="24"/>
        </w:rPr>
        <w:t>4</w:t>
      </w:r>
      <w:bookmarkEnd w:id="1051"/>
      <w:r>
        <w:rPr>
          <w:color w:val="000000"/>
          <w:spacing w:val="0"/>
          <w:w w:val="100"/>
          <w:position w:val="0"/>
        </w:rPr>
        <w:t>）按欠款方归集的期末余额前五名的其他应收款情况</w:t>
      </w:r>
      <w:bookmarkEnd w:id="1049"/>
      <w:bookmarkEnd w:id="1050"/>
      <w:bookmarkEnd w:id="1052"/>
    </w:p>
    <w:p>
      <w:pPr>
        <w:pStyle w:val="Style18"/>
        <w:keepNext w:val="0"/>
        <w:keepLines w:val="0"/>
        <w:widowControl w:val="0"/>
        <w:shd w:val="clear" w:color="auto" w:fill="auto"/>
        <w:bidi w:val="0"/>
        <w:spacing w:before="0" w:after="180" w:line="240" w:lineRule="auto"/>
        <w:ind w:left="8840" w:right="0" w:firstLine="0"/>
        <w:jc w:val="left"/>
        <w:rPr>
          <w:sz w:val="20"/>
          <w:szCs w:val="20"/>
        </w:rPr>
      </w:pPr>
      <w:r>
        <w:rPr>
          <w:color w:val="000000"/>
          <w:spacing w:val="0"/>
          <w:w w:val="100"/>
          <w:position w:val="0"/>
          <w:sz w:val="20"/>
          <w:szCs w:val="20"/>
        </w:rPr>
        <w:t>单位：元</w:t>
      </w:r>
      <w:r>
        <w:br w:type="page"/>
      </w:r>
    </w:p>
    <w:tbl>
      <w:tblPr>
        <w:tblOverlap w:val="never"/>
        <w:jc w:val="center"/>
        <w:tblLayout w:type="fixed"/>
      </w:tblPr>
      <w:tblGrid>
        <w:gridCol w:w="1637"/>
        <w:gridCol w:w="1613"/>
        <w:gridCol w:w="1618"/>
        <w:gridCol w:w="1618"/>
        <w:gridCol w:w="1613"/>
        <w:gridCol w:w="1622"/>
      </w:tblGrid>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禄丰县人民医院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6,000,000.00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上海津拓投资管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7,889,730.92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15.91%</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常州高新区社会 事业投资有限公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5,635,522.08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11.36%</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安徽三锦天润科 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3,235,670.00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316,128.65</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南方电网物资有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941,288.38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47,064.42</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37,702,211.38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6,363,193.07</w:t>
            </w:r>
          </w:p>
        </w:tc>
      </w:tr>
    </w:tbl>
    <w:p>
      <w:pPr>
        <w:widowControl w:val="0"/>
        <w:spacing w:after="319" w:line="1" w:lineRule="exact"/>
      </w:pPr>
    </w:p>
    <w:p>
      <w:pPr>
        <w:pStyle w:val="Style32"/>
        <w:keepNext/>
        <w:keepLines/>
        <w:widowControl w:val="0"/>
        <w:shd w:val="clear" w:color="auto" w:fill="auto"/>
        <w:bidi w:val="0"/>
        <w:spacing w:before="0" w:after="44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sz w:val="24"/>
          <w:szCs w:val="24"/>
        </w:rPr>
        <w:t>8</w:t>
      </w:r>
      <w:bookmarkEnd w:id="1055"/>
      <w:r>
        <w:rPr>
          <w:color w:val="000000"/>
          <w:spacing w:val="0"/>
          <w:w w:val="100"/>
          <w:position w:val="0"/>
        </w:rPr>
        <w:t>、存货</w:t>
      </w:r>
      <w:bookmarkEnd w:id="1053"/>
      <w:bookmarkEnd w:id="1054"/>
      <w:bookmarkEnd w:id="1056"/>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否</w:t>
      </w:r>
    </w:p>
    <w:p>
      <w:pPr>
        <w:pStyle w:val="Style46"/>
        <w:keepNext/>
        <w:keepLines/>
        <w:widowControl w:val="0"/>
        <w:shd w:val="clear" w:color="auto" w:fill="auto"/>
        <w:bidi w:val="0"/>
        <w:spacing w:before="0" w:after="320" w:line="240" w:lineRule="auto"/>
        <w:ind w:left="0" w:right="0" w:firstLine="0"/>
        <w:jc w:val="left"/>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）存货分类</w:t>
      </w:r>
      <w:bookmarkEnd w:id="1057"/>
      <w:bookmarkEnd w:id="1058"/>
      <w:bookmarkEnd w:id="10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87"/>
        <w:gridCol w:w="1387"/>
        <w:gridCol w:w="1382"/>
        <w:gridCol w:w="1382"/>
        <w:gridCol w:w="1387"/>
        <w:gridCol w:w="1387"/>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存货跌价准备</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或合同履约成</w:t>
            </w:r>
          </w:p>
          <w:p>
            <w:pPr>
              <w:pStyle w:val="Style21"/>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存货跌价准备</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或合同履约成</w:t>
            </w:r>
          </w:p>
          <w:p>
            <w:pPr>
              <w:pStyle w:val="Style21"/>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36,791,416.49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2,264,741.44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34,526,675.05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37,155,450.09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4,107,443.83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33,048,006.26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11,395,521.58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43,968.41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11,351,553.17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16,193,177.50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1,501,245.36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14,691,932.14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26,335,423.74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748,137.34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25,587,286.40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25,960,908.10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1,149,488.60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24,811,419.50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20,401,355.61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20,401,355.61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15,702,882.81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15,702,882.81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43,016,770.01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43,016,770.01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43,730,930.91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356,284.94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43,374,645.97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3,193,897.44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81,499.78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3,112,397.66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855,092.17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854,536.33</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141,134,384.87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3,138,346.97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137,996,037.90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139,598,441.58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7,115,018.57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132,483,423.01</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60" w:name="bookmark1060"/>
      <w:bookmarkStart w:id="1061" w:name="bookmark1061"/>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）存货跌价准备和合同履约成本减值准备</w:t>
      </w:r>
      <w:bookmarkEnd w:id="1060"/>
      <w:bookmarkEnd w:id="1061"/>
      <w:bookmarkEnd w:id="1062"/>
    </w:p>
    <w:p>
      <w:pPr>
        <w:pStyle w:val="Style18"/>
        <w:keepNext w:val="0"/>
        <w:keepLines w:val="0"/>
        <w:widowControl w:val="0"/>
        <w:shd w:val="clear" w:color="auto" w:fill="auto"/>
        <w:bidi w:val="0"/>
        <w:spacing w:before="0" w:after="32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387"/>
        <w:gridCol w:w="1368"/>
        <w:gridCol w:w="1368"/>
        <w:gridCol w:w="1368"/>
        <w:gridCol w:w="1368"/>
        <w:gridCol w:w="1363"/>
        <w:gridCol w:w="1373"/>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4,107,443.83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261,252.23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2,103,954.62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2,264,741.44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1,501,245.36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1,463,058.09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43,968.41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1,149,488.60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65,394.10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748,137.34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356,284.94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356,284.94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80,943.94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81,499.78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7,115,018.57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413,371.41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4,033,758.07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356,284.94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3,138,346.97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sz w:val="24"/>
          <w:szCs w:val="24"/>
        </w:rPr>
        <w:t>9</w:t>
      </w:r>
      <w:bookmarkEnd w:id="1065"/>
      <w:r>
        <w:rPr>
          <w:color w:val="000000"/>
          <w:spacing w:val="0"/>
          <w:w w:val="100"/>
          <w:position w:val="0"/>
        </w:rPr>
        <w:t>、合同资产</w:t>
      </w:r>
      <w:bookmarkEnd w:id="1063"/>
      <w:bookmarkEnd w:id="1064"/>
      <w:bookmarkEnd w:id="10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0"/>
        <w:gridCol w:w="1200"/>
        <w:gridCol w:w="1325"/>
        <w:gridCol w:w="1195"/>
        <w:gridCol w:w="1200"/>
        <w:gridCol w:w="1195"/>
        <w:gridCol w:w="1330"/>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1,347,759.84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134,775.98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1,212,983.86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1,347,759.84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134,775.98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1,212,983.86</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460"/>
        <w:jc w:val="both"/>
      </w:pPr>
      <w:r>
        <w:rPr>
          <w:color w:val="000000"/>
          <w:spacing w:val="0"/>
          <w:w w:val="100"/>
          <w:position w:val="0"/>
        </w:rPr>
        <w:t xml:space="preserve">如是按照预期信用损失一般模型计提合同资产坏账准备，请参照其他应收款的披露方式 </w:t>
      </w:r>
      <w:r>
        <w:rPr>
          <w:color w:val="000000"/>
          <w:spacing w:val="0"/>
          <w:w w:val="100"/>
          <w:position w:val="0"/>
        </w:rPr>
        <w:t>披露坏账准备的相关信息：</w:t>
      </w:r>
    </w:p>
    <w:p>
      <w:pPr>
        <w:pStyle w:val="Style18"/>
        <w:keepNext w:val="0"/>
        <w:keepLines w:val="0"/>
        <w:widowControl w:val="0"/>
        <w:shd w:val="clear" w:color="auto" w:fill="auto"/>
        <w:bidi w:val="0"/>
        <w:spacing w:before="0" w:after="180" w:line="240" w:lineRule="auto"/>
        <w:ind w:left="0" w:right="0" w:firstLine="46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-134,775.98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-134,775.98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sz w:val="24"/>
          <w:szCs w:val="24"/>
        </w:rPr>
        <w:t>1</w:t>
      </w:r>
      <w:bookmarkEnd w:id="1069"/>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、其他流动资产</w:t>
      </w:r>
      <w:bookmarkEnd w:id="1067"/>
      <w:bookmarkEnd w:id="1068"/>
      <w:bookmarkEnd w:id="10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待抵及预缴税金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1,708,764.47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3,072,747.70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1,708,764.47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3,072,747.70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sz w:val="24"/>
          <w:szCs w:val="24"/>
        </w:rPr>
        <w:t>1</w:t>
      </w:r>
      <w:bookmarkEnd w:id="10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、债权投资</w:t>
      </w:r>
      <w:bookmarkEnd w:id="1071"/>
      <w:bookmarkEnd w:id="1072"/>
      <w:bookmarkEnd w:id="1074"/>
    </w:p>
    <w:p>
      <w:pPr>
        <w:pStyle w:val="Style18"/>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w:t>
      </w:r>
    </w:p>
    <w:p>
      <w:pPr>
        <w:pStyle w:val="Style18"/>
        <w:keepNext w:val="0"/>
        <w:keepLines w:val="0"/>
        <w:widowControl w:val="0"/>
        <w:shd w:val="clear" w:color="auto" w:fill="auto"/>
        <w:tabs>
          <w:tab w:pos="3018" w:val="left"/>
          <w:tab w:pos="7170" w:val="left"/>
        </w:tabs>
        <w:bidi w:val="0"/>
        <w:spacing w:before="0" w:after="260" w:line="240" w:lineRule="auto"/>
        <w:ind w:left="0" w:right="0" w:firstLine="460"/>
        <w:jc w:val="left"/>
        <w:rPr>
          <w:sz w:val="20"/>
          <w:szCs w:val="20"/>
        </w:rPr>
      </w:pPr>
      <w:r>
        <w:rPr>
          <w:color w:val="000000"/>
          <w:spacing w:val="0"/>
          <w:w w:val="100"/>
          <w:position w:val="0"/>
          <w:sz w:val="20"/>
          <w:szCs w:val="20"/>
        </w:rPr>
        <w:t>项目</w:t>
        <w:tab/>
        <w:t>期末余额</w:t>
        <w:tab/>
        <w:t>期初余额</w:t>
      </w:r>
      <w:r>
        <w:br w:type="page"/>
      </w:r>
    </w:p>
    <w:tbl>
      <w:tblPr>
        <w:tblOverlap w:val="never"/>
        <w:jc w:val="center"/>
        <w:tblLayout w:type="fixed"/>
      </w:tblPr>
      <w:tblGrid>
        <w:gridCol w:w="1406"/>
        <w:gridCol w:w="1387"/>
        <w:gridCol w:w="1387"/>
        <w:gridCol w:w="1382"/>
        <w:gridCol w:w="1382"/>
        <w:gridCol w:w="1387"/>
        <w:gridCol w:w="138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重要的债权投资</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925"/>
        <w:gridCol w:w="1262"/>
        <w:gridCol w:w="936"/>
        <w:gridCol w:w="931"/>
        <w:gridCol w:w="1090"/>
        <w:gridCol w:w="773"/>
        <w:gridCol w:w="931"/>
        <w:gridCol w:w="931"/>
        <w:gridCol w:w="941"/>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58,000,000.00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159" w:line="1" w:lineRule="exact"/>
      </w:pPr>
    </w:p>
    <w:p>
      <w:pPr>
        <w:pStyle w:val="Style18"/>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减值准备计提情况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958"/>
        <w:gridCol w:w="1675"/>
        <w:gridCol w:w="2126"/>
        <w:gridCol w:w="2117"/>
        <w:gridCol w:w="1843"/>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520"/>
        <w:jc w:val="left"/>
        <w:sectPr>
          <w:footnotePr>
            <w:pos w:val="pageBottom"/>
            <w:numFmt w:val="decimal"/>
            <w:numRestart w:val="continuous"/>
          </w:footnotePr>
          <w:pgSz w:w="11900" w:h="16840"/>
          <w:pgMar w:top="1436" w:right="1097" w:bottom="1484"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sz w:val="24"/>
          <w:szCs w:val="24"/>
        </w:rPr>
        <w:t>1</w:t>
      </w:r>
      <w:bookmarkEnd w:id="10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、长期股权投资</w:t>
      </w:r>
      <w:bookmarkEnd w:id="1075"/>
      <w:bookmarkEnd w:id="1076"/>
      <w:bookmarkEnd w:id="1078"/>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186"/>
        <w:gridCol w:w="1162"/>
        <w:gridCol w:w="1166"/>
        <w:gridCol w:w="1171"/>
        <w:gridCol w:w="1166"/>
        <w:gridCol w:w="1171"/>
        <w:gridCol w:w="1166"/>
        <w:gridCol w:w="1171"/>
        <w:gridCol w:w="1171"/>
        <w:gridCol w:w="1166"/>
        <w:gridCol w:w="1171"/>
        <w:gridCol w:w="1171"/>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8"/>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减值准备期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末余额</w:t>
            </w:r>
          </w:p>
        </w:tc>
      </w:tr>
      <w:tr>
        <w:trPr>
          <w:trHeight w:val="1027"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权益法下确</w:t>
            </w:r>
          </w:p>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认的投资损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宣告发放现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gridSpan w:val="1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武汉中元九 派产业投资 管理有限公</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1,382,555.80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203,705.44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1,586,261.24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1,382,555.80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203,705.44</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1,586,261.24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gridSpan w:val="1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武汉中元惠</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合科技有限</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-636,372.75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合肥正雅生</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物科技有限</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491,295.19</w:t>
            </w: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合肥沃兴生</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物科技有限</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175,426.28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194,861.15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175,426.28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-615,642.69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686,156.34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1,557,982.08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-411,937.25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2,272,417.58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1,763,627.25</w:t>
            </w:r>
          </w:p>
        </w:tc>
      </w:tr>
    </w:tbl>
    <w:p>
      <w:pPr>
        <w:sectPr>
          <w:footnotePr>
            <w:pos w:val="pageBottom"/>
            <w:numFmt w:val="decimal"/>
            <w:numRestart w:val="continuous"/>
          </w:footnotePr>
          <w:pgSz w:w="16840" w:h="11900" w:orient="landscape"/>
          <w:pgMar w:top="1143" w:right="1407" w:bottom="1157" w:left="1393" w:header="0" w:footer="3" w:gutter="0"/>
          <w:cols w:space="720"/>
          <w:noEndnote/>
          <w:rtlGutter w:val="0"/>
          <w:docGrid w:linePitch="360"/>
        </w:sectPr>
      </w:pPr>
    </w:p>
    <w:p>
      <w:pPr>
        <w:pStyle w:val="Style32"/>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sz w:val="24"/>
          <w:szCs w:val="24"/>
        </w:rPr>
        <w:t>1</w:t>
      </w:r>
      <w:bookmarkEnd w:id="10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、其他非流动金融资产</w:t>
      </w:r>
      <w:bookmarkEnd w:id="1079"/>
      <w:bookmarkEnd w:id="1080"/>
      <w:bookmarkEnd w:id="10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以公允价值计量且其变动计入当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188,334,265.97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113,762,053.91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188,334,265.97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113,762,053.91</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sz w:val="24"/>
          <w:szCs w:val="24"/>
        </w:rPr>
        <w:t>1</w:t>
      </w:r>
      <w:bookmarkEnd w:id="1085"/>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、投资性房地产</w:t>
      </w:r>
      <w:bookmarkEnd w:id="1083"/>
      <w:bookmarkEnd w:id="1084"/>
      <w:bookmarkEnd w:id="1086"/>
    </w:p>
    <w:p>
      <w:pPr>
        <w:pStyle w:val="Style46"/>
        <w:keepNext/>
        <w:keepLines/>
        <w:widowControl w:val="0"/>
        <w:shd w:val="clear" w:color="auto" w:fill="auto"/>
        <w:bidi w:val="0"/>
        <w:spacing w:before="0" w:after="420" w:line="240" w:lineRule="auto"/>
        <w:ind w:left="0" w:right="0" w:firstLine="0"/>
        <w:jc w:val="left"/>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）采用成本计量模式的投资性房地产</w:t>
      </w:r>
      <w:bookmarkEnd w:id="1087"/>
      <w:bookmarkEnd w:id="1088"/>
      <w:bookmarkEnd w:id="1089"/>
    </w:p>
    <w:p>
      <w:pPr>
        <w:pStyle w:val="Style18"/>
        <w:keepNext w:val="0"/>
        <w:keepLines w:val="0"/>
        <w:widowControl w:val="0"/>
        <w:shd w:val="clear" w:color="auto" w:fill="auto"/>
        <w:bidi w:val="0"/>
        <w:spacing w:before="0" w:after="100" w:line="240" w:lineRule="auto"/>
        <w:ind w:left="0" w:right="0" w:firstLine="48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60,270,338.81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60,270,338.81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 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60,270,338.81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60,270,338.81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10,067,389.12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10,067,389.12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1,809,185.81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1,809,185.81</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1,809,185.81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1,809,185.81</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0"/>
        <w:gridCol w:w="1920"/>
        <w:gridCol w:w="1915"/>
        <w:gridCol w:w="1910"/>
        <w:gridCol w:w="1949"/>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11,876,574.93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11,876,574.93</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48,393,763.88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48,393,763.88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50,202,949.69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50,202,949.69</w:t>
            </w:r>
          </w:p>
        </w:tc>
      </w:tr>
    </w:tbl>
    <w:p>
      <w:pPr>
        <w:widowControl w:val="0"/>
        <w:spacing w:after="319" w:line="1" w:lineRule="exact"/>
      </w:pPr>
    </w:p>
    <w:p>
      <w:pPr>
        <w:pStyle w:val="Style46"/>
        <w:keepNext/>
        <w:keepLines/>
        <w:widowControl w:val="0"/>
        <w:shd w:val="clear" w:color="auto" w:fill="auto"/>
        <w:bidi w:val="0"/>
        <w:spacing w:before="0" w:after="44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）采用公允价值计量模式的投资性房地产</w:t>
      </w:r>
      <w:bookmarkEnd w:id="1090"/>
      <w:bookmarkEnd w:id="1091"/>
      <w:bookmarkEnd w:id="1092"/>
    </w:p>
    <w:p>
      <w:pPr>
        <w:pStyle w:val="Style18"/>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24"/>
          <w:szCs w:val="24"/>
        </w:rPr>
        <w:t>1</w:t>
      </w:r>
      <w:bookmarkEnd w:id="1095"/>
      <w:r>
        <w:rPr>
          <w:rFonts w:ascii="Times New Roman" w:eastAsia="Times New Roman" w:hAnsi="Times New Roman" w:cs="Times New Roman"/>
          <w:color w:val="000000"/>
          <w:spacing w:val="0"/>
          <w:w w:val="100"/>
          <w:position w:val="0"/>
          <w:sz w:val="24"/>
          <w:szCs w:val="24"/>
        </w:rPr>
        <w:t>5</w:t>
      </w:r>
      <w:r>
        <w:rPr>
          <w:color w:val="000000"/>
          <w:spacing w:val="0"/>
          <w:w w:val="100"/>
          <w:position w:val="0"/>
        </w:rPr>
        <w:t>、固定资产</w:t>
      </w:r>
      <w:bookmarkEnd w:id="1093"/>
      <w:bookmarkEnd w:id="1094"/>
      <w:bookmarkEnd w:id="10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57,759,144.56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55,048,320.74</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57,759,144.56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55,048,320.74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097" w:name="bookmark1097"/>
      <w:bookmarkStart w:id="1098" w:name="bookmark1098"/>
      <w:bookmarkStart w:id="1099" w:name="bookmark109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1097"/>
      <w:bookmarkEnd w:id="1098"/>
      <w:bookmarkEnd w:id="10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94"/>
        <w:gridCol w:w="1598"/>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办公及电子设备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50,686,811.03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22,296,375.59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7,541,407.37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27,775,633.19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108,300,227.18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5,083,663.10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4,208,381.37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1,919,163.80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3,673,479.66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14,884,687.93</w:t>
            </w:r>
          </w:p>
        </w:tc>
      </w:tr>
    </w:tbl>
    <w:p>
      <w:pPr>
        <w:spacing w:lineRule="exact" w:line="1"/>
        <w:rPr>
          <w:sz w:val="2"/>
          <w:szCs w:val="2"/>
        </w:rPr>
      </w:pPr>
      <w:r>
        <w:br w:type="page"/>
      </w:r>
    </w:p>
    <w:tbl>
      <w:tblPr>
        <w:tblOverlap w:val="never"/>
        <w:jc w:val="center"/>
        <w:tblLayout w:type="fixed"/>
      </w:tblPr>
      <w:tblGrid>
        <w:gridCol w:w="1603"/>
        <w:gridCol w:w="1603"/>
        <w:gridCol w:w="1598"/>
        <w:gridCol w:w="1594"/>
        <w:gridCol w:w="1594"/>
        <w:gridCol w:w="1622"/>
      </w:tblGrid>
      <w:tr>
        <w:trPr>
          <w:trHeight w:val="36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5,083,663.10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4,208,381.37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1,919,163.80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3,673,479.66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14,884,687.93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1,777,017.24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779,618.56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4,640,409.73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7,197,045.53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83,259.82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666,053.52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2,407,515.71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3,156,829.05</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）企业转让减 少（原值）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1,693,757.42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113,565.04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2,232,894.02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4,040,216.48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55,770,474.13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24,727,739.72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8,680,952.61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26,808,703.12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115,987,869.58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19,085,086.39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10,588,826.43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4,267,058.33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19,310,935.29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53,251,906.44</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2,607,333.14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2,922,176.17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856,700.09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3,321,177.44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9,707,386.84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2,607,333.14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2,922,176.17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856,700.09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3,321,177.44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9,707,386.84</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212,770.70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612,315.48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3,905,482.08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4,730,568.26</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79,096.82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556,366.11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2,243,790.19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2,879,253.12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）企业转让减 少（折旧）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1,661,691.89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1,851,315.14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21,692,419.53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13,298,231.90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4,511,442.94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18,726,630.65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58,228,725.02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24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4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603"/>
        <w:gridCol w:w="1598"/>
        <w:gridCol w:w="1594"/>
        <w:gridCol w:w="1594"/>
        <w:gridCol w:w="1622"/>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34,078,054.60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11,429,507.82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4,169,509.67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8,082,072.47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57,759,144.56</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31,601,724.64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11,707,549.16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3,274,349.04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8,464,697.90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55,048,320.74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sz w:val="24"/>
          <w:szCs w:val="24"/>
        </w:rPr>
        <w:t>1</w:t>
      </w:r>
      <w:bookmarkEnd w:id="1102"/>
      <w:r>
        <w:rPr>
          <w:rFonts w:ascii="Times New Roman" w:eastAsia="Times New Roman" w:hAnsi="Times New Roman" w:cs="Times New Roman"/>
          <w:color w:val="000000"/>
          <w:spacing w:val="0"/>
          <w:w w:val="100"/>
          <w:position w:val="0"/>
          <w:sz w:val="24"/>
          <w:szCs w:val="24"/>
        </w:rPr>
        <w:t>6</w:t>
      </w:r>
      <w:r>
        <w:rPr>
          <w:color w:val="000000"/>
          <w:spacing w:val="0"/>
          <w:w w:val="100"/>
          <w:position w:val="0"/>
        </w:rPr>
        <w:t>、使用权资产</w:t>
      </w:r>
      <w:bookmarkEnd w:id="1100"/>
      <w:bookmarkEnd w:id="1101"/>
      <w:bookmarkEnd w:id="11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7,678,958.56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7,678,958.56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395,325.58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395,325.58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7,283,632.98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7,283,632.98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2,321,577.69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2,321,577.69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2,321,577.69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2,321,577.69</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81,390.60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81,390.60</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2,240,187.09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2,240,187.09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11"/>
        <w:gridCol w:w="3187"/>
        <w:gridCol w:w="3226"/>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5,043,445.89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5,043,445.89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7,678,958.56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7,678,958.56</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sz w:val="24"/>
          <w:szCs w:val="24"/>
        </w:rPr>
        <w:t>1</w:t>
      </w:r>
      <w:bookmarkEnd w:id="1106"/>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、无形资产</w:t>
      </w:r>
      <w:bookmarkEnd w:id="1104"/>
      <w:bookmarkEnd w:id="1105"/>
      <w:bookmarkEnd w:id="1107"/>
    </w:p>
    <w:p>
      <w:pPr>
        <w:pStyle w:val="Style46"/>
        <w:keepNext/>
        <w:keepLines/>
        <w:widowControl w:val="0"/>
        <w:shd w:val="clear" w:color="auto" w:fill="auto"/>
        <w:bidi w:val="0"/>
        <w:spacing w:before="0" w:after="320" w:line="240" w:lineRule="auto"/>
        <w:ind w:left="0" w:right="0" w:firstLine="0"/>
        <w:jc w:val="left"/>
      </w:pPr>
      <w:bookmarkStart w:id="1108" w:name="bookmark1108"/>
      <w:bookmarkStart w:id="1109" w:name="bookmark1109"/>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）无形资产情况</w:t>
      </w:r>
      <w:bookmarkEnd w:id="1108"/>
      <w:bookmarkEnd w:id="1109"/>
      <w:bookmarkEnd w:id="11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3"/>
        <w:gridCol w:w="1598"/>
        <w:gridCol w:w="1594"/>
        <w:gridCol w:w="1594"/>
        <w:gridCol w:w="1598"/>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26,302,916.00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44,723,766.09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4,410,599.80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75,437,281.89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387,323.20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621,053.20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233,730.00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387,323.20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621,053.20</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326,639.71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326,639.71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233,309.34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233,309.34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企业转让减少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93,330.37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26,302,916.00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44,957,496.09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4,471,283.29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75,731,695.38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5,310,223.69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38,358,316.73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3,452,121.80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47,120,662.22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528,339.00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1,961,102.52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550,684.31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3,040,125.83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528,339.00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1,961,102.52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550,684.31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3,040,125.83</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294,391.91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294,391.91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233,309.34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233,309.34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企业转让减少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61,082.57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61,082.57</w:t>
            </w:r>
          </w:p>
        </w:tc>
      </w:tr>
    </w:tbl>
    <w:p>
      <w:pPr>
        <w:spacing w:lineRule="exact" w:line="1"/>
        <w:rPr>
          <w:sz w:val="2"/>
          <w:szCs w:val="2"/>
        </w:rPr>
      </w:pPr>
      <w:r>
        <w:br w:type="page"/>
      </w:r>
    </w:p>
    <w:tbl>
      <w:tblPr>
        <w:tblOverlap w:val="never"/>
        <w:jc w:val="center"/>
        <w:tblLayout w:type="fixed"/>
      </w:tblPr>
      <w:tblGrid>
        <w:gridCol w:w="1603"/>
        <w:gridCol w:w="1603"/>
        <w:gridCol w:w="1598"/>
        <w:gridCol w:w="1594"/>
        <w:gridCol w:w="1594"/>
        <w:gridCol w:w="162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5,838,562.69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40,319,419.25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3,708,414.20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49,866,396.14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20,464,353.31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4,638,076.84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762,869.09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25,865,299.24</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20,992,692.31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6,365,449.36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958,478.00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28,316,619.67</w:t>
            </w:r>
          </w:p>
        </w:tc>
      </w:tr>
    </w:tbl>
    <w:p>
      <w:pPr>
        <w:widowControl w:val="0"/>
        <w:spacing w:after="159" w:line="1" w:lineRule="exact"/>
      </w:pPr>
    </w:p>
    <w:p>
      <w:pPr>
        <w:pStyle w:val="Style18"/>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本期末通过公司内部研发形成的无形资产占无形资产余额的比例为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r>
    </w:p>
    <w:p>
      <w:pPr>
        <w:pStyle w:val="Style32"/>
        <w:keepNext/>
        <w:keepLines/>
        <w:widowControl w:val="0"/>
        <w:shd w:val="clear" w:color="auto" w:fill="auto"/>
        <w:bidi w:val="0"/>
        <w:spacing w:before="0" w:after="32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sz w:val="24"/>
          <w:szCs w:val="24"/>
        </w:rPr>
        <w:t>1</w:t>
      </w:r>
      <w:bookmarkEnd w:id="1113"/>
      <w:r>
        <w:rPr>
          <w:rFonts w:ascii="Times New Roman" w:eastAsia="Times New Roman" w:hAnsi="Times New Roman" w:cs="Times New Roman"/>
          <w:color w:val="000000"/>
          <w:spacing w:val="0"/>
          <w:w w:val="100"/>
          <w:position w:val="0"/>
          <w:sz w:val="24"/>
          <w:szCs w:val="24"/>
        </w:rPr>
        <w:t>8</w:t>
      </w:r>
      <w:r>
        <w:rPr>
          <w:color w:val="000000"/>
          <w:spacing w:val="0"/>
          <w:w w:val="100"/>
          <w:position w:val="0"/>
        </w:rPr>
        <w:t>、开发支出</w:t>
      </w:r>
      <w:bookmarkEnd w:id="1111"/>
      <w:bookmarkEnd w:id="1112"/>
      <w:bookmarkEnd w:id="11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46"/>
        <w:gridCol w:w="1022"/>
        <w:gridCol w:w="1267"/>
        <w:gridCol w:w="1022"/>
        <w:gridCol w:w="1027"/>
        <w:gridCol w:w="1022"/>
        <w:gridCol w:w="1267"/>
        <w:gridCol w:w="1022"/>
        <w:gridCol w:w="1022"/>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79,862,236.24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79,862,236.24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79,862,236.24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79,862,236.24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、商誉</w:t>
      </w:r>
      <w:bookmarkEnd w:id="1115"/>
      <w:bookmarkEnd w:id="1116"/>
      <w:bookmarkEnd w:id="1117"/>
    </w:p>
    <w:p>
      <w:pPr>
        <w:pStyle w:val="Style46"/>
        <w:keepNext/>
        <w:keepLines/>
        <w:widowControl w:val="0"/>
        <w:shd w:val="clear" w:color="auto" w:fill="auto"/>
        <w:bidi w:val="0"/>
        <w:spacing w:before="0" w:after="320" w:line="240" w:lineRule="auto"/>
        <w:ind w:left="0" w:right="0" w:firstLine="0"/>
        <w:jc w:val="left"/>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）商誉账面原值</w:t>
      </w:r>
      <w:bookmarkEnd w:id="1118"/>
      <w:bookmarkEnd w:id="1119"/>
      <w:bookmarkEnd w:id="11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5"/>
        <w:gridCol w:w="1387"/>
        <w:gridCol w:w="1382"/>
        <w:gridCol w:w="1387"/>
        <w:gridCol w:w="1382"/>
        <w:gridCol w:w="1387"/>
        <w:gridCol w:w="1387"/>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被投资单位名</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称或形成商誉</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686"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成都智达电力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自动控制有限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6,216,392.25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6,216,392.25</w:t>
            </w:r>
          </w:p>
        </w:tc>
      </w:tr>
    </w:tbl>
    <w:p>
      <w:pPr>
        <w:spacing w:lineRule="exact" w:line="1"/>
        <w:rPr>
          <w:sz w:val="2"/>
          <w:szCs w:val="2"/>
        </w:rPr>
      </w:pPr>
      <w:r>
        <w:br w:type="page"/>
      </w:r>
    </w:p>
    <w:tbl>
      <w:tblPr>
        <w:tblOverlap w:val="never"/>
        <w:jc w:val="center"/>
        <w:tblLayout w:type="fixed"/>
      </w:tblPr>
      <w:tblGrid>
        <w:gridCol w:w="1406"/>
        <w:gridCol w:w="1387"/>
        <w:gridCol w:w="1382"/>
        <w:gridCol w:w="1387"/>
        <w:gridCol w:w="1382"/>
        <w:gridCol w:w="1387"/>
        <w:gridCol w:w="1416"/>
      </w:tblGrid>
      <w:tr>
        <w:trPr>
          <w:trHeight w:val="36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安徽大千生物</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4,445,738.70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4,445,738.70</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广州埃克森生</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江苏世轩科技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464,577,070.46</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广州穗华能源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5,389,208.04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5,389,208.04</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武汉中元惠合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2,218,927.03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2,218,927.03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493,909,695.32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13,281,285.87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480,628,409.45</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）商誉减值准备</w:t>
      </w:r>
      <w:bookmarkEnd w:id="1121"/>
      <w:bookmarkEnd w:id="1122"/>
      <w:bookmarkEnd w:id="11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387"/>
        <w:gridCol w:w="1382"/>
        <w:gridCol w:w="1387"/>
        <w:gridCol w:w="1382"/>
        <w:gridCol w:w="1387"/>
        <w:gridCol w:w="1387"/>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被投资单位名</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称或形成商誉</w:t>
            </w:r>
          </w:p>
          <w:p>
            <w:pPr>
              <w:pStyle w:val="Style21"/>
              <w:keepNext w:val="0"/>
              <w:keepLines w:val="0"/>
              <w:widowControl w:val="0"/>
              <w:shd w:val="clear" w:color="auto" w:fill="auto"/>
              <w:bidi w:val="0"/>
              <w:spacing w:before="0" w:after="80" w:line="240" w:lineRule="auto"/>
              <w:ind w:left="0" w:right="0" w:firstLine="38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广州埃克森生</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江苏世轩科技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464,577,070.46</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475,639,429.30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11,062,358.84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464,577,070.46</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120" w:line="463" w:lineRule="exact"/>
        <w:ind w:left="0" w:right="0" w:firstLine="520"/>
        <w:jc w:val="both"/>
      </w:pPr>
      <w:r>
        <w:rPr>
          <w:color w:val="000000"/>
          <w:spacing w:val="0"/>
          <w:w w:val="100"/>
          <w:position w:val="0"/>
        </w:rPr>
        <w:t>本公司年末首先将商誉及归属于少数股东权益的商誉包括在内，调整各资产组的账面价 值，然后将调整后的各资产组账面价值与可收回金额进行比较，以确定各资产组（包括商誉） 是否发生了减值测试。</w:t>
      </w:r>
    </w:p>
    <w:p>
      <w:pPr>
        <w:pStyle w:val="Style18"/>
        <w:keepNext w:val="0"/>
        <w:keepLines w:val="0"/>
        <w:widowControl w:val="0"/>
        <w:shd w:val="clear" w:color="auto" w:fill="auto"/>
        <w:bidi w:val="0"/>
        <w:spacing w:before="0" w:after="120" w:line="440" w:lineRule="exact"/>
        <w:ind w:left="0" w:right="0" w:firstLine="520"/>
        <w:jc w:val="both"/>
      </w:pPr>
      <w:r>
        <w:rPr>
          <w:color w:val="000000"/>
          <w:spacing w:val="0"/>
          <w:w w:val="100"/>
          <w:position w:val="0"/>
        </w:rPr>
        <w:t>成都智达电力自动控制有限公司、安徽大千生物工程有限公司、广州穗华能源科技有限 公司以收购的公司整体资产及业务为资产组，其资产组与购买日所确定的资产组一致。江苏 世轩科技股份有限公司的资产组为形成商誉的相关长期资产（固定资产、无形资产、长期待 摊费用及商誉），该资产组与以前年度商誉减值测试所确定的资产组组合一致。</w:t>
      </w:r>
    </w:p>
    <w:p>
      <w:pPr>
        <w:pStyle w:val="Style18"/>
        <w:keepNext w:val="0"/>
        <w:keepLines w:val="0"/>
        <w:widowControl w:val="0"/>
        <w:shd w:val="clear" w:color="auto" w:fill="auto"/>
        <w:bidi w:val="0"/>
        <w:spacing w:before="0" w:after="220" w:line="389" w:lineRule="exact"/>
        <w:ind w:left="0" w:right="0" w:firstLine="520"/>
        <w:jc w:val="both"/>
      </w:pPr>
      <w:r>
        <w:rPr>
          <w:color w:val="000000"/>
          <w:spacing w:val="0"/>
          <w:w w:val="100"/>
          <w:position w:val="0"/>
        </w:rPr>
        <w:t>说明商誉减值测试过程、关键参数（如预计未来现金流量现值时的预测期增长率、稳定 期增长率、利润率、折现率、预测期等）及商誉减值损失的确认方法：</w:t>
      </w:r>
      <w:r>
        <w:br w:type="page"/>
      </w:r>
    </w:p>
    <w:p>
      <w:pPr>
        <w:pStyle w:val="Style18"/>
        <w:keepNext w:val="0"/>
        <w:keepLines w:val="0"/>
        <w:widowControl w:val="0"/>
        <w:shd w:val="clear" w:color="auto" w:fill="auto"/>
        <w:bidi w:val="0"/>
        <w:spacing w:before="0" w:after="200" w:line="240" w:lineRule="auto"/>
        <w:ind w:left="0" w:right="0" w:firstLine="50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）重要假设：</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假设被评估单位持续经营；</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假设被评估单位所处国家和地区的政治、经济和社会环境无重大变化；</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假设国家宏观经济政策、产业政策和区域发展政策无重大变化；</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假设利率、汇率、赋税基准及税率、政策性征收费用等不发生重大变化;</w:t>
      </w:r>
    </w:p>
    <w:p>
      <w:pPr>
        <w:pStyle w:val="Style18"/>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假设被评估单位的管理层是负责的、稳定的，且有能力担当其职务；</w:t>
      </w:r>
    </w:p>
    <w:p>
      <w:pPr>
        <w:pStyle w:val="Style18"/>
        <w:keepNext w:val="0"/>
        <w:keepLines w:val="0"/>
        <w:widowControl w:val="0"/>
        <w:shd w:val="clear" w:color="auto" w:fill="auto"/>
        <w:bidi w:val="0"/>
        <w:spacing w:before="0" w:after="60" w:line="240" w:lineRule="auto"/>
        <w:ind w:left="0" w:right="0" w:firstLine="50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）本期未计提商誉减值的关键参数</w:t>
      </w:r>
    </w:p>
    <w:tbl>
      <w:tblPr>
        <w:tblOverlap w:val="never"/>
        <w:jc w:val="center"/>
        <w:tblLayout w:type="fixed"/>
      </w:tblPr>
      <w:tblGrid>
        <w:gridCol w:w="1589"/>
        <w:gridCol w:w="1651"/>
        <w:gridCol w:w="1934"/>
        <w:gridCol w:w="1978"/>
        <w:gridCol w:w="2530"/>
      </w:tblGrid>
      <w:tr>
        <w:trPr>
          <w:trHeight w:val="658" w:hRule="exact"/>
        </w:trPr>
        <w:tc>
          <w:tcPr>
            <w:tcBorders>
              <w:top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被投资单位名称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商誉账面价值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可收回金额的确定方 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重要假设及其合理理 由</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关键参数及其理由</w:t>
            </w:r>
          </w:p>
        </w:tc>
      </w:tr>
      <w:tr>
        <w:trPr>
          <w:trHeight w:val="22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成都智达电力自 动控制有限公司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6,216,392.25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管理层基于五年发展 规划及财务预算的现 金流预测确定，超过 五年的现金流量采用 第五年的现金流量确 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管理层根据长期业务发展 规划运用的预测期增长率 为</w:t>
            </w:r>
            <w:r>
              <w:rPr>
                <w:rFonts w:ascii="Times New Roman" w:eastAsia="Times New Roman" w:hAnsi="Times New Roman" w:cs="Times New Roman"/>
                <w:color w:val="000000"/>
                <w:spacing w:val="0"/>
                <w:w w:val="100"/>
                <w:position w:val="0"/>
              </w:rPr>
              <w:t>15-20%</w:t>
            </w:r>
            <w:r>
              <w:rPr>
                <w:color w:val="000000"/>
                <w:spacing w:val="0"/>
                <w:w w:val="100"/>
                <w:position w:val="0"/>
              </w:rPr>
              <w:t xml:space="preserve">，稳定期增长率为 </w:t>
            </w:r>
            <w:r>
              <w:rPr>
                <w:rFonts w:ascii="Times New Roman" w:eastAsia="Times New Roman" w:hAnsi="Times New Roman" w:cs="Times New Roman"/>
                <w:color w:val="000000"/>
                <w:spacing w:val="0"/>
                <w:w w:val="100"/>
                <w:position w:val="0"/>
              </w:rPr>
              <w:t>0.00%</w:t>
            </w:r>
            <w:r>
              <w:rPr>
                <w:color w:val="000000"/>
                <w:spacing w:val="0"/>
                <w:w w:val="100"/>
                <w:position w:val="0"/>
              </w:rPr>
              <w:t xml:space="preserve">，折现率采用能够反 映相关资产组和资产组组 合特定风险的税前利率 </w:t>
            </w:r>
            <w:r>
              <w:rPr>
                <w:rFonts w:ascii="Times New Roman" w:eastAsia="Times New Roman" w:hAnsi="Times New Roman" w:cs="Times New Roman"/>
                <w:color w:val="000000"/>
                <w:spacing w:val="0"/>
                <w:w w:val="100"/>
                <w:position w:val="0"/>
              </w:rPr>
              <w:t>12.74%</w:t>
            </w:r>
          </w:p>
        </w:tc>
      </w:tr>
      <w:tr>
        <w:trPr>
          <w:trHeight w:val="2213"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安徽大千生物工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4,445,738.70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管理层基于五年发展 规划及财务预算的现 金流预测确定，超过 五年的现金流量采用 第五年的现金流量确 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管理层根据长期业务发展 规划运用的预测期增长率 为</w:t>
            </w:r>
            <w:r>
              <w:rPr>
                <w:rFonts w:ascii="Times New Roman" w:eastAsia="Times New Roman" w:hAnsi="Times New Roman" w:cs="Times New Roman"/>
                <w:color w:val="000000"/>
                <w:spacing w:val="0"/>
                <w:w w:val="100"/>
                <w:position w:val="0"/>
              </w:rPr>
              <w:t>15-20%</w:t>
            </w:r>
            <w:r>
              <w:rPr>
                <w:color w:val="000000"/>
                <w:spacing w:val="0"/>
                <w:w w:val="100"/>
                <w:position w:val="0"/>
              </w:rPr>
              <w:t xml:space="preserve">，稳定期增长率为 </w:t>
            </w:r>
            <w:r>
              <w:rPr>
                <w:rFonts w:ascii="Times New Roman" w:eastAsia="Times New Roman" w:hAnsi="Times New Roman" w:cs="Times New Roman"/>
                <w:color w:val="000000"/>
                <w:spacing w:val="0"/>
                <w:w w:val="100"/>
                <w:position w:val="0"/>
              </w:rPr>
              <w:t>0.00%</w:t>
            </w:r>
            <w:r>
              <w:rPr>
                <w:color w:val="000000"/>
                <w:spacing w:val="0"/>
                <w:w w:val="100"/>
                <w:position w:val="0"/>
              </w:rPr>
              <w:t xml:space="preserve">，折现率采用能够反 映相关资产组和资产组组 合特定风险的税前利率 </w:t>
            </w:r>
            <w:r>
              <w:rPr>
                <w:rFonts w:ascii="Times New Roman" w:eastAsia="Times New Roman" w:hAnsi="Times New Roman" w:cs="Times New Roman"/>
                <w:color w:val="000000"/>
                <w:spacing w:val="0"/>
                <w:w w:val="100"/>
                <w:position w:val="0"/>
              </w:rPr>
              <w:t>13.29%</w:t>
            </w:r>
          </w:p>
        </w:tc>
      </w:tr>
      <w:tr>
        <w:trPr>
          <w:trHeight w:val="2218"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广州穗华能源科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5,389,208.04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管理层基于五年发展 规划及财务预算的现 金流预测确定，超过 五年的现金流量采用 第五年的现金流量确 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管理层根据资产组或 资产组组合历史经营 状况及对未来市场发 展的预期确定相关重 要假设，包括产品收 入、相关成本费用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管理层根据长期业务发展 规划运用的预测期增长率 为</w:t>
            </w:r>
            <w:r>
              <w:rPr>
                <w:rFonts w:ascii="Times New Roman" w:eastAsia="Times New Roman" w:hAnsi="Times New Roman" w:cs="Times New Roman"/>
                <w:color w:val="000000"/>
                <w:spacing w:val="0"/>
                <w:w w:val="100"/>
                <w:position w:val="0"/>
              </w:rPr>
              <w:t>13-25%</w:t>
            </w:r>
            <w:r>
              <w:rPr>
                <w:color w:val="000000"/>
                <w:spacing w:val="0"/>
                <w:w w:val="100"/>
                <w:position w:val="0"/>
              </w:rPr>
              <w:t xml:space="preserve">，稳定期增长率为 </w:t>
            </w:r>
            <w:r>
              <w:rPr>
                <w:rFonts w:ascii="Times New Roman" w:eastAsia="Times New Roman" w:hAnsi="Times New Roman" w:cs="Times New Roman"/>
                <w:color w:val="000000"/>
                <w:spacing w:val="0"/>
                <w:w w:val="100"/>
                <w:position w:val="0"/>
              </w:rPr>
              <w:t>0.00%</w:t>
            </w:r>
            <w:r>
              <w:rPr>
                <w:color w:val="000000"/>
                <w:spacing w:val="0"/>
                <w:w w:val="100"/>
                <w:position w:val="0"/>
              </w:rPr>
              <w:t xml:space="preserve">，折现率采用能够反 映相关资产组和资产组组 合特定风险的税前利率 </w:t>
            </w:r>
            <w:r>
              <w:rPr>
                <w:rFonts w:ascii="Times New Roman" w:eastAsia="Times New Roman" w:hAnsi="Times New Roman" w:cs="Times New Roman"/>
                <w:color w:val="000000"/>
                <w:spacing w:val="0"/>
                <w:w w:val="100"/>
                <w:position w:val="0"/>
              </w:rPr>
              <w:t>12.74%</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16,051,338.99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sz w:val="24"/>
          <w:szCs w:val="24"/>
        </w:rPr>
        <w:t>2</w:t>
      </w:r>
      <w:bookmarkEnd w:id="1126"/>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、长期待摊费用</w:t>
      </w:r>
      <w:bookmarkEnd w:id="1124"/>
      <w:bookmarkEnd w:id="1125"/>
      <w:bookmarkEnd w:id="11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4"/>
        <w:gridCol w:w="1594"/>
        <w:gridCol w:w="1594"/>
        <w:gridCol w:w="1598"/>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其他减少金额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3,195,997.62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2,415,760.42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1,258,671.40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790,528.84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3,562,557.80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98,328.44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39,331.40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3,294,326.06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2,415,760.42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1,317,668.44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790,528.84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3,601,889.20</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sz w:val="24"/>
          <w:szCs w:val="24"/>
        </w:rPr>
        <w:t>2</w:t>
      </w:r>
      <w:bookmarkEnd w:id="1130"/>
      <w:r>
        <w:rPr>
          <w:rFonts w:ascii="Times New Roman" w:eastAsia="Times New Roman" w:hAnsi="Times New Roman" w:cs="Times New Roman"/>
          <w:color w:val="000000"/>
          <w:spacing w:val="0"/>
          <w:w w:val="100"/>
          <w:position w:val="0"/>
          <w:sz w:val="24"/>
          <w:szCs w:val="24"/>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1128"/>
      <w:bookmarkEnd w:id="1129"/>
      <w:bookmarkEnd w:id="1131"/>
    </w:p>
    <w:p>
      <w:pPr>
        <w:pStyle w:val="Style46"/>
        <w:keepNext/>
        <w:keepLines/>
        <w:widowControl w:val="0"/>
        <w:shd w:val="clear" w:color="auto" w:fill="auto"/>
        <w:bidi w:val="0"/>
        <w:spacing w:before="0" w:after="320" w:line="240" w:lineRule="auto"/>
        <w:ind w:left="0" w:right="0" w:firstLine="0"/>
        <w:jc w:val="left"/>
      </w:pPr>
      <w:bookmarkStart w:id="1132" w:name="bookmark1132"/>
      <w:bookmarkStart w:id="1133" w:name="bookmark1133"/>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）未经抵销的递延所得税资产</w:t>
      </w:r>
      <w:bookmarkEnd w:id="1132"/>
      <w:bookmarkEnd w:id="1133"/>
      <w:bookmarkEnd w:id="11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73,592,622.75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11,057,318.16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69,177,378.86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10,424,302.14</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17,235,955.40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2,585,393.31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16,574,961.90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2,495,676.40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90,828,578.15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13,642,711.47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85,752,340.76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12,919,978.54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135" w:name="bookmark1135"/>
      <w:bookmarkStart w:id="1136" w:name="bookmark1136"/>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）以抵销后净额列示的递延所得税资产或负债</w:t>
      </w:r>
      <w:bookmarkEnd w:id="1135"/>
      <w:bookmarkEnd w:id="1136"/>
      <w:bookmarkEnd w:id="11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06"/>
        <w:gridCol w:w="1920"/>
        <w:gridCol w:w="1915"/>
        <w:gridCol w:w="1915"/>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 资产或负债期末余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递延所得税资产和 负债期初互抵金额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 资产或负债期初余 额</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13,642,711.47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12,919,978.54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）未确认递延所得税资产明细</w:t>
      </w:r>
      <w:bookmarkEnd w:id="1138"/>
      <w:bookmarkEnd w:id="1139"/>
      <w:bookmarkEnd w:id="11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656,241.62</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117,163,620.48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117,265,253.32</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117,163,688.13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117,921,494.94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）未确认递延所得税资产的可抵扣亏损将于以下年度到期</w:t>
      </w:r>
      <w:bookmarkEnd w:id="1142"/>
      <w:bookmarkEnd w:id="1143"/>
      <w:bookmarkEnd w:id="11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5,084,213.70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4,978,094.15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23,639,227.01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41,492,175.47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9,532,676.11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18,792,970.63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17,612,767.66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46,917,799.37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66,018,135.85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2395"/>
        <w:gridCol w:w="2390"/>
        <w:gridCol w:w="2400"/>
      </w:tblGrid>
      <w:tr>
        <w:trPr>
          <w:trHeight w:val="41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117,163,620.48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117,265,253.32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sz w:val="24"/>
          <w:szCs w:val="24"/>
        </w:rPr>
        <w:t>2</w:t>
      </w:r>
      <w:bookmarkEnd w:id="114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、其他非流动资产</w:t>
      </w:r>
      <w:bookmarkEnd w:id="1146"/>
      <w:bookmarkEnd w:id="1147"/>
      <w:bookmarkEnd w:id="11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00"/>
        <w:gridCol w:w="1267"/>
        <w:gridCol w:w="830"/>
        <w:gridCol w:w="1262"/>
        <w:gridCol w:w="1262"/>
        <w:gridCol w:w="830"/>
        <w:gridCol w:w="1267"/>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对合伙企业投资款项（权益法核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86,029,933.08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86,029,933.08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1,568,273.42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87,598,206.50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87,598,206.50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70,650,387.40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sz w:val="24"/>
          <w:szCs w:val="24"/>
        </w:rPr>
        <w:t>2</w:t>
      </w:r>
      <w:bookmarkEnd w:id="1152"/>
      <w:r>
        <w:rPr>
          <w:rFonts w:ascii="Times New Roman" w:eastAsia="Times New Roman" w:hAnsi="Times New Roman" w:cs="Times New Roman"/>
          <w:color w:val="000000"/>
          <w:spacing w:val="0"/>
          <w:w w:val="100"/>
          <w:position w:val="0"/>
          <w:sz w:val="24"/>
          <w:szCs w:val="24"/>
        </w:rPr>
        <w:t>3</w:t>
      </w:r>
      <w:r>
        <w:rPr>
          <w:color w:val="000000"/>
          <w:spacing w:val="0"/>
          <w:w w:val="100"/>
          <w:position w:val="0"/>
        </w:rPr>
        <w:t>、短期借款</w:t>
      </w:r>
      <w:bookmarkEnd w:id="1150"/>
      <w:bookmarkEnd w:id="1151"/>
      <w:bookmarkEnd w:id="1153"/>
    </w:p>
    <w:p>
      <w:pPr>
        <w:pStyle w:val="Style46"/>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）短期借款分类</w:t>
      </w:r>
      <w:bookmarkEnd w:id="1154"/>
      <w:bookmarkEnd w:id="1155"/>
      <w:bookmarkEnd w:id="11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2,050,000.00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7,050,000.00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sz w:val="24"/>
          <w:szCs w:val="24"/>
        </w:rPr>
        <w:t>2</w:t>
      </w:r>
      <w:bookmarkEnd w:id="1159"/>
      <w:r>
        <w:rPr>
          <w:rFonts w:ascii="Times New Roman" w:eastAsia="Times New Roman" w:hAnsi="Times New Roman" w:cs="Times New Roman"/>
          <w:color w:val="000000"/>
          <w:spacing w:val="0"/>
          <w:w w:val="100"/>
          <w:position w:val="0"/>
          <w:sz w:val="24"/>
          <w:szCs w:val="24"/>
        </w:rPr>
        <w:t>4</w:t>
      </w:r>
      <w:r>
        <w:rPr>
          <w:color w:val="000000"/>
          <w:spacing w:val="0"/>
          <w:w w:val="100"/>
          <w:position w:val="0"/>
        </w:rPr>
        <w:t>、应付票据</w:t>
      </w:r>
      <w:bookmarkEnd w:id="1157"/>
      <w:bookmarkEnd w:id="1158"/>
      <w:bookmarkEnd w:id="11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741,211.64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741,211.64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32"/>
        <w:keepNext/>
        <w:keepLines/>
        <w:widowControl w:val="0"/>
        <w:shd w:val="clear" w:color="auto" w:fill="auto"/>
        <w:bidi w:val="0"/>
        <w:spacing w:before="0" w:after="34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sz w:val="24"/>
          <w:szCs w:val="24"/>
        </w:rPr>
        <w:t>2</w:t>
      </w:r>
      <w:bookmarkEnd w:id="1163"/>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、应付账款</w:t>
      </w:r>
      <w:bookmarkEnd w:id="1161"/>
      <w:bookmarkEnd w:id="1162"/>
      <w:bookmarkEnd w:id="1164"/>
    </w:p>
    <w:p>
      <w:pPr>
        <w:pStyle w:val="Style46"/>
        <w:keepNext/>
        <w:keepLines/>
        <w:widowControl w:val="0"/>
        <w:shd w:val="clear" w:color="auto" w:fill="auto"/>
        <w:bidi w:val="0"/>
        <w:spacing w:before="0" w:after="34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）应付账款列示</w:t>
      </w:r>
      <w:bookmarkEnd w:id="1165"/>
      <w:bookmarkEnd w:id="1166"/>
      <w:bookmarkEnd w:id="11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应付购货款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58,543,054.25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74,404,841.16</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77,387.00</w:t>
            </w:r>
          </w:p>
        </w:tc>
      </w:tr>
    </w:tbl>
    <w:p>
      <w:pPr>
        <w:spacing w:lineRule="exact" w:line="1"/>
        <w:rPr>
          <w:sz w:val="2"/>
          <w:szCs w:val="2"/>
        </w:rPr>
      </w:pPr>
      <w:r>
        <w:br w:type="page"/>
      </w:r>
    </w:p>
    <w:p>
      <w:pPr>
        <w:pStyle w:val="Style21"/>
        <w:keepNext w:val="0"/>
        <w:keepLines w:val="0"/>
        <w:widowControl w:val="0"/>
        <w:shd w:val="clear" w:color="auto" w:fill="auto"/>
        <w:tabs>
          <w:tab w:pos="5112" w:val="left"/>
          <w:tab w:pos="8299" w:val="left"/>
        </w:tabs>
        <w:bidi w:val="0"/>
        <w:spacing w:before="0" w:after="400" w:line="240" w:lineRule="auto"/>
        <w:ind w:left="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58,569,841.25</w:t>
        <w:tab/>
        <w:t>74,482,228.16</w:t>
      </w:r>
    </w:p>
    <w:p>
      <w:pPr>
        <w:pStyle w:val="Style32"/>
        <w:keepNext/>
        <w:keepLines/>
        <w:widowControl w:val="0"/>
        <w:shd w:val="clear" w:color="auto" w:fill="auto"/>
        <w:bidi w:val="0"/>
        <w:spacing w:before="0" w:after="34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sz w:val="24"/>
          <w:szCs w:val="24"/>
        </w:rPr>
        <w:t>2</w:t>
      </w:r>
      <w:bookmarkEnd w:id="1170"/>
      <w:r>
        <w:rPr>
          <w:rFonts w:ascii="Times New Roman" w:eastAsia="Times New Roman" w:hAnsi="Times New Roman" w:cs="Times New Roman"/>
          <w:color w:val="000000"/>
          <w:spacing w:val="0"/>
          <w:w w:val="100"/>
          <w:position w:val="0"/>
          <w:sz w:val="24"/>
          <w:szCs w:val="24"/>
        </w:rPr>
        <w:t>6</w:t>
      </w:r>
      <w:r>
        <w:rPr>
          <w:color w:val="000000"/>
          <w:spacing w:val="0"/>
          <w:w w:val="100"/>
          <w:position w:val="0"/>
        </w:rPr>
        <w:t>、预收款项</w:t>
      </w:r>
      <w:bookmarkEnd w:id="1168"/>
      <w:bookmarkEnd w:id="1169"/>
      <w:bookmarkEnd w:id="1171"/>
    </w:p>
    <w:p>
      <w:pPr>
        <w:pStyle w:val="Style46"/>
        <w:keepNext/>
        <w:keepLines/>
        <w:widowControl w:val="0"/>
        <w:shd w:val="clear" w:color="auto" w:fill="auto"/>
        <w:bidi w:val="0"/>
        <w:spacing w:before="0" w:after="34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）预收款项列示</w:t>
      </w:r>
      <w:bookmarkEnd w:id="1172"/>
      <w:bookmarkEnd w:id="1173"/>
      <w:bookmarkEnd w:id="11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49,028.57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49,028.57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49,028.57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4"/>
          <w:szCs w:val="24"/>
        </w:rPr>
        <w:t>2</w:t>
      </w:r>
      <w:bookmarkEnd w:id="1177"/>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、合同负债</w:t>
      </w:r>
      <w:bookmarkEnd w:id="1175"/>
      <w:bookmarkEnd w:id="1176"/>
      <w:bookmarkEnd w:id="11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42,996,416.57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30,792,348.27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42,996,416.57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30,792,348.27</w:t>
            </w:r>
          </w:p>
        </w:tc>
      </w:tr>
    </w:tbl>
    <w:p>
      <w:pPr>
        <w:widowControl w:val="0"/>
        <w:spacing w:after="179" w:line="1" w:lineRule="exact"/>
      </w:pPr>
    </w:p>
    <w:p>
      <w:pPr>
        <w:pStyle w:val="Style18"/>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报告期内账面价值发生重大变动的金额和原因</w:t>
      </w:r>
    </w:p>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pStyle w:val="Style18"/>
        <w:keepNext w:val="0"/>
        <w:keepLines w:val="0"/>
        <w:widowControl w:val="0"/>
        <w:pBdr>
          <w:top w:val="single" w:sz="4" w:space="0" w:color="auto"/>
          <w:bottom w:val="single" w:sz="4" w:space="0" w:color="auto"/>
        </w:pBdr>
        <w:shd w:val="clear" w:color="auto" w:fill="auto"/>
        <w:tabs>
          <w:tab w:pos="2186" w:val="left"/>
          <w:tab w:pos="2959" w:val="left"/>
          <w:tab w:pos="4596" w:val="left"/>
          <w:tab w:pos="6674" w:val="left"/>
        </w:tabs>
        <w:bidi w:val="0"/>
        <w:spacing w:before="0" w:after="340" w:line="240" w:lineRule="auto"/>
        <w:ind w:left="0" w:right="0" w:firstLine="900"/>
        <w:jc w:val="left"/>
        <w:rPr>
          <w:sz w:val="20"/>
          <w:szCs w:val="20"/>
        </w:rPr>
      </w:pPr>
      <w:r>
        <w:rPr>
          <w:color w:val="000000"/>
          <w:spacing w:val="0"/>
          <w:w w:val="100"/>
          <w:position w:val="0"/>
          <w:sz w:val="20"/>
          <w:szCs w:val="20"/>
        </w:rPr>
        <w:t>项目</w:t>
        <w:tab/>
      </w:r>
      <w:r>
        <w:rPr>
          <w:rFonts w:ascii="Arial" w:eastAsia="Arial" w:hAnsi="Arial" w:cs="Arial"/>
          <w:color w:val="000000"/>
          <w:spacing w:val="0"/>
          <w:w w:val="100"/>
          <w:position w:val="0"/>
          <w:sz w:val="38"/>
          <w:szCs w:val="38"/>
        </w:rPr>
        <w:t>I</w:t>
        <w:tab/>
      </w:r>
      <w:r>
        <w:rPr>
          <w:color w:val="000000"/>
          <w:spacing w:val="0"/>
          <w:w w:val="100"/>
          <w:position w:val="0"/>
          <w:sz w:val="20"/>
          <w:szCs w:val="20"/>
        </w:rPr>
        <w:t>变动金额</w:t>
        <w:tab/>
      </w:r>
      <w:r>
        <w:rPr>
          <w:rFonts w:ascii="Arial" w:eastAsia="Arial" w:hAnsi="Arial" w:cs="Arial"/>
          <w:color w:val="000000"/>
          <w:spacing w:val="0"/>
          <w:w w:val="100"/>
          <w:position w:val="0"/>
          <w:sz w:val="38"/>
          <w:szCs w:val="38"/>
        </w:rPr>
        <w:t>I</w:t>
        <w:tab/>
      </w:r>
      <w:r>
        <w:rPr>
          <w:color w:val="000000"/>
          <w:spacing w:val="0"/>
          <w:w w:val="100"/>
          <w:position w:val="0"/>
          <w:sz w:val="20"/>
          <w:szCs w:val="20"/>
        </w:rPr>
        <w:t>变动原因</w:t>
      </w:r>
    </w:p>
    <w:p>
      <w:pPr>
        <w:pStyle w:val="Style32"/>
        <w:keepNext/>
        <w:keepLines/>
        <w:widowControl w:val="0"/>
        <w:shd w:val="clear" w:color="auto" w:fill="auto"/>
        <w:bidi w:val="0"/>
        <w:spacing w:before="0" w:after="34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24"/>
          <w:szCs w:val="24"/>
        </w:rPr>
        <w:t>2</w:t>
      </w:r>
      <w:bookmarkEnd w:id="1181"/>
      <w:r>
        <w:rPr>
          <w:rFonts w:ascii="Times New Roman" w:eastAsia="Times New Roman" w:hAnsi="Times New Roman" w:cs="Times New Roman"/>
          <w:color w:val="000000"/>
          <w:spacing w:val="0"/>
          <w:w w:val="100"/>
          <w:position w:val="0"/>
          <w:sz w:val="24"/>
          <w:szCs w:val="24"/>
        </w:rPr>
        <w:t>8</w:t>
      </w:r>
      <w:r>
        <w:rPr>
          <w:color w:val="000000"/>
          <w:spacing w:val="0"/>
          <w:w w:val="100"/>
          <w:position w:val="0"/>
        </w:rPr>
        <w:t>、应付职工薪酬</w:t>
      </w:r>
      <w:bookmarkEnd w:id="1179"/>
      <w:bookmarkEnd w:id="1180"/>
      <w:bookmarkEnd w:id="1182"/>
    </w:p>
    <w:p>
      <w:pPr>
        <w:pStyle w:val="Style46"/>
        <w:keepNext/>
        <w:keepLines/>
        <w:widowControl w:val="0"/>
        <w:shd w:val="clear" w:color="auto" w:fill="auto"/>
        <w:bidi w:val="0"/>
        <w:spacing w:before="0" w:after="34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）应付职工薪酬列示</w:t>
      </w:r>
      <w:bookmarkEnd w:id="1183"/>
      <w:bookmarkEnd w:id="1184"/>
      <w:bookmarkEnd w:id="11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5"/>
        <w:gridCol w:w="1910"/>
        <w:gridCol w:w="1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26,825,627.78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147,731,963.07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147,118,409.04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27,439,181.81</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7,743,527.82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7,709,569.09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43,731.93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26,835,400.98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155,720,290.89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155,072,778.13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27,482,913.74</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）短期薪酬列示</w:t>
      </w:r>
      <w:bookmarkEnd w:id="1186"/>
      <w:bookmarkEnd w:id="1187"/>
      <w:bookmarkEnd w:id="11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949"/>
        <w:gridCol w:w="1910"/>
        <w:gridCol w:w="1661"/>
        <w:gridCol w:w="192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 贴和补贴</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24,432,894.82</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134,232,729.73</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133,566,326.14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25,099,298.41</w:t>
            </w:r>
          </w:p>
        </w:tc>
      </w:tr>
    </w:tbl>
    <w:p>
      <w:pPr>
        <w:spacing w:lineRule="exact" w:line="1"/>
        <w:rPr>
          <w:sz w:val="2"/>
          <w:szCs w:val="2"/>
        </w:rPr>
      </w:pPr>
      <w:r>
        <w:br w:type="page"/>
      </w:r>
    </w:p>
    <w:tbl>
      <w:tblPr>
        <w:tblOverlap w:val="never"/>
        <w:jc w:val="center"/>
        <w:tblLayout w:type="fixed"/>
      </w:tblPr>
      <w:tblGrid>
        <w:gridCol w:w="1920"/>
        <w:gridCol w:w="1930"/>
        <w:gridCol w:w="1915"/>
        <w:gridCol w:w="1910"/>
        <w:gridCol w:w="1949"/>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4,850,009.77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4,865,020.22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-15,010.45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25,395.81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4,315,479.35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4,325,935.25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14,939.91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20,138.53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3,816,730.77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3,823,665.21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13,204.09</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工伤保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188,799.95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190,128.84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580.62</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生育保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309,948.63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312,141.20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1,155.20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15,094.67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3,998,821.54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4,003,231.21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10,685.00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 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2,352,242.48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357,896.22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2,329,268.94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26,825,627.78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147,731,963.07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147,118,409.04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27,439,181.81</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sz w:val="24"/>
          <w:szCs w:val="24"/>
        </w:rPr>
        <w:t>3</w:t>
      </w:r>
      <w:r>
        <w:rPr>
          <w:color w:val="000000"/>
          <w:spacing w:val="0"/>
          <w:w w:val="100"/>
          <w:position w:val="0"/>
        </w:rPr>
        <w:t>）设定提存计划列示</w:t>
      </w:r>
      <w:bookmarkEnd w:id="1189"/>
      <w:bookmarkEnd w:id="1190"/>
      <w:bookmarkEnd w:id="11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9,739.52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7,454,629.91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7,421,374.59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42,994.84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288,194.50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737.09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9,773.20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7,743,527.82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7,709,569.09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43,731.93</w:t>
            </w:r>
          </w:p>
        </w:tc>
      </w:tr>
    </w:tbl>
    <w:p>
      <w:pPr>
        <w:widowControl w:val="0"/>
        <w:spacing w:after="779" w:line="1" w:lineRule="exact"/>
      </w:pPr>
    </w:p>
    <w:p>
      <w:pPr>
        <w:pStyle w:val="Style32"/>
        <w:keepNext/>
        <w:keepLines/>
        <w:widowControl w:val="0"/>
        <w:shd w:val="clear" w:color="auto" w:fill="auto"/>
        <w:bidi w:val="0"/>
        <w:spacing w:before="0" w:after="32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sz w:val="24"/>
          <w:szCs w:val="24"/>
        </w:rPr>
        <w:t>2</w:t>
      </w:r>
      <w:bookmarkEnd w:id="1195"/>
      <w:r>
        <w:rPr>
          <w:rFonts w:ascii="Times New Roman" w:eastAsia="Times New Roman" w:hAnsi="Times New Roman" w:cs="Times New Roman"/>
          <w:color w:val="000000"/>
          <w:spacing w:val="0"/>
          <w:w w:val="100"/>
          <w:position w:val="0"/>
          <w:sz w:val="24"/>
          <w:szCs w:val="24"/>
        </w:rPr>
        <w:t>9</w:t>
      </w:r>
      <w:r>
        <w:rPr>
          <w:color w:val="000000"/>
          <w:spacing w:val="0"/>
          <w:w w:val="100"/>
          <w:position w:val="0"/>
        </w:rPr>
        <w:t>、应交税费</w:t>
      </w:r>
      <w:bookmarkEnd w:id="1193"/>
      <w:bookmarkEnd w:id="1194"/>
      <w:bookmarkEnd w:id="11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6,994,259.86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5,324,906.39</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2,473,409.48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1,617,028.20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950,783.79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1,184,655.35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500,022.39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367,858.15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220,557.21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159,470.26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147,038.14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85,378.71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137,262.54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259,195.87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43,902.85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35,665.35</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3,210.74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11,508,750.26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9,081,271.87</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sz w:val="24"/>
          <w:szCs w:val="24"/>
        </w:rPr>
        <w:t>3</w:t>
      </w:r>
      <w:bookmarkEnd w:id="1199"/>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、其他应付款</w:t>
      </w:r>
      <w:bookmarkEnd w:id="1197"/>
      <w:bookmarkEnd w:id="1198"/>
      <w:bookmarkEnd w:id="12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24,731,364.96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22,062,859.54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24,731,364.96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22,062,859.54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）其他应付款</w:t>
      </w:r>
      <w:bookmarkEnd w:id="1201"/>
      <w:bookmarkEnd w:id="1202"/>
      <w:bookmarkEnd w:id="1203"/>
    </w:p>
    <w:p>
      <w:pPr>
        <w:pStyle w:val="Style77"/>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）按款项性质列示其他应付款</w:t>
      </w:r>
      <w:bookmarkEnd w:id="1204"/>
      <w:bookmarkEnd w:id="1205"/>
      <w:bookmarkEnd w:id="12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7,591,797.79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7,668,085.44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17,139,567.17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14,394,774.10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24,731,364.96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22,062,859.54</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sz w:val="24"/>
          <w:szCs w:val="24"/>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年的重要其他应付款</w:t>
      </w:r>
      <w:bookmarkEnd w:id="1207"/>
      <w:bookmarkEnd w:id="1208"/>
      <w:bookmarkEnd w:id="12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54"/>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127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1210" w:name="bookmark1210"/>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2"/>
                <w:szCs w:val="22"/>
              </w:rPr>
              <w:t>、一年内到期的非流动负债</w:t>
            </w:r>
            <w:bookmarkEnd w:id="121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1,692,738.42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2,474,452.61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2,192,738.42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2,474,452.61</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sz w:val="24"/>
          <w:szCs w:val="24"/>
        </w:rPr>
        <w:t>3</w:t>
      </w:r>
      <w:bookmarkEnd w:id="12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、其他流动负债</w:t>
      </w:r>
      <w:bookmarkEnd w:id="1211"/>
      <w:bookmarkEnd w:id="1212"/>
      <w:bookmarkEnd w:id="12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825,359.38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1,255,479.67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825,359.38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1,255,479.67</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sz w:val="24"/>
          <w:szCs w:val="24"/>
        </w:rPr>
        <w:t>3</w:t>
      </w:r>
      <w:bookmarkEnd w:id="1217"/>
      <w:r>
        <w:rPr>
          <w:rFonts w:ascii="Times New Roman" w:eastAsia="Times New Roman" w:hAnsi="Times New Roman" w:cs="Times New Roman"/>
          <w:color w:val="000000"/>
          <w:spacing w:val="0"/>
          <w:w w:val="100"/>
          <w:position w:val="0"/>
          <w:sz w:val="24"/>
          <w:szCs w:val="24"/>
        </w:rPr>
        <w:t>3</w:t>
      </w:r>
      <w:r>
        <w:rPr>
          <w:color w:val="000000"/>
          <w:spacing w:val="0"/>
          <w:w w:val="100"/>
          <w:position w:val="0"/>
        </w:rPr>
        <w:t>、长期借款</w:t>
      </w:r>
      <w:bookmarkEnd w:id="1215"/>
      <w:bookmarkEnd w:id="1216"/>
      <w:bookmarkEnd w:id="1218"/>
    </w:p>
    <w:p>
      <w:pPr>
        <w:pStyle w:val="Style46"/>
        <w:keepNext/>
        <w:keepLines/>
        <w:widowControl w:val="0"/>
        <w:shd w:val="clear" w:color="auto" w:fill="auto"/>
        <w:bidi w:val="0"/>
        <w:spacing w:before="0" w:after="32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）长期借款分类</w:t>
      </w:r>
      <w:bookmarkEnd w:id="1219"/>
      <w:bookmarkEnd w:id="1220"/>
      <w:bookmarkEnd w:id="1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sz w:val="24"/>
          <w:szCs w:val="24"/>
        </w:rPr>
        <w:t>3</w:t>
      </w:r>
      <w:bookmarkEnd w:id="1224"/>
      <w:r>
        <w:rPr>
          <w:rFonts w:ascii="Times New Roman" w:eastAsia="Times New Roman" w:hAnsi="Times New Roman" w:cs="Times New Roman"/>
          <w:color w:val="000000"/>
          <w:spacing w:val="0"/>
          <w:w w:val="100"/>
          <w:position w:val="0"/>
          <w:sz w:val="24"/>
          <w:szCs w:val="24"/>
        </w:rPr>
        <w:t>4</w:t>
      </w:r>
      <w:r>
        <w:rPr>
          <w:color w:val="000000"/>
          <w:spacing w:val="0"/>
          <w:w w:val="100"/>
          <w:position w:val="0"/>
        </w:rPr>
        <w:t>、租赁负债</w:t>
      </w:r>
      <w:bookmarkEnd w:id="1222"/>
      <w:bookmarkEnd w:id="1223"/>
      <w:bookmarkEnd w:id="12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2,782,477.65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4,475,216.07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2,782,477.65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4,475,216.07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sz w:val="24"/>
          <w:szCs w:val="24"/>
        </w:rPr>
        <w:t>3</w:t>
      </w:r>
      <w:bookmarkEnd w:id="1228"/>
      <w:r>
        <w:rPr>
          <w:rFonts w:ascii="Times New Roman" w:eastAsia="Times New Roman" w:hAnsi="Times New Roman" w:cs="Times New Roman"/>
          <w:color w:val="000000"/>
          <w:spacing w:val="0"/>
          <w:w w:val="100"/>
          <w:position w:val="0"/>
          <w:sz w:val="24"/>
          <w:szCs w:val="24"/>
        </w:rPr>
        <w:t>5</w:t>
      </w:r>
      <w:r>
        <w:rPr>
          <w:color w:val="000000"/>
          <w:spacing w:val="0"/>
          <w:w w:val="100"/>
          <w:position w:val="0"/>
        </w:rPr>
        <w:t>、递延收益</w:t>
      </w:r>
      <w:bookmarkEnd w:id="1226"/>
      <w:bookmarkEnd w:id="1227"/>
      <w:bookmarkEnd w:id="12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4"/>
        <w:gridCol w:w="1594"/>
        <w:gridCol w:w="1594"/>
        <w:gridCol w:w="1598"/>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407,747.45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与收益相关的政 府补助</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407,747.45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2174"/>
        <w:gridCol w:w="1138"/>
        <w:gridCol w:w="994"/>
        <w:gridCol w:w="979"/>
        <w:gridCol w:w="998"/>
        <w:gridCol w:w="1282"/>
        <w:gridCol w:w="566"/>
        <w:gridCol w:w="566"/>
        <w:gridCol w:w="1051"/>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本期新增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本期计入</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营业外收</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本期计入</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其他收益</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1"/>
              <w:keepNext w:val="0"/>
              <w:keepLines w:val="0"/>
              <w:widowControl w:val="0"/>
              <w:shd w:val="clear" w:color="auto" w:fill="auto"/>
              <w:bidi w:val="0"/>
              <w:spacing w:before="0" w:after="80" w:line="240" w:lineRule="auto"/>
              <w:ind w:left="0" w:right="0" w:firstLine="280"/>
              <w:jc w:val="both"/>
            </w:pPr>
            <w:r>
              <w:rPr>
                <w:color w:val="000000"/>
                <w:spacing w:val="0"/>
                <w:w w:val="100"/>
                <w:position w:val="0"/>
              </w:rPr>
              <w:t>相关</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工业企业结构调整专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项奖补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363,747.45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363,747.45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科技项目专项资金（研 发准备金制度）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sz w:val="24"/>
          <w:szCs w:val="24"/>
        </w:rPr>
        <w:t>36</w:t>
      </w:r>
      <w:r>
        <w:rPr>
          <w:color w:val="000000"/>
          <w:spacing w:val="0"/>
          <w:w w:val="100"/>
          <w:position w:val="0"/>
        </w:rPr>
        <w:t>、股本</w:t>
      </w:r>
      <w:bookmarkEnd w:id="1230"/>
      <w:bookmarkEnd w:id="1231"/>
      <w:bookmarkEnd w:id="12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6"/>
        <w:gridCol w:w="1373"/>
        <w:gridCol w:w="1157"/>
        <w:gridCol w:w="1162"/>
        <w:gridCol w:w="1157"/>
        <w:gridCol w:w="1162"/>
        <w:gridCol w:w="1162"/>
        <w:gridCol w:w="1373"/>
      </w:tblGrid>
      <w:tr>
        <w:trPr>
          <w:trHeight w:val="408"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480,831,536.00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480,831,536.00</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sz w:val="24"/>
          <w:szCs w:val="24"/>
        </w:rPr>
        <w:t>37</w:t>
      </w:r>
      <w:r>
        <w:rPr>
          <w:color w:val="000000"/>
          <w:spacing w:val="0"/>
          <w:w w:val="100"/>
          <w:position w:val="0"/>
        </w:rPr>
        <w:t>、资本公积</w:t>
      </w:r>
      <w:bookmarkEnd w:id="1233"/>
      <w:bookmarkEnd w:id="1234"/>
      <w:bookmarkEnd w:id="12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595,026,076.78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595,026,076.78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595,026,076.78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595,026,076.78</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24"/>
          <w:szCs w:val="24"/>
        </w:rPr>
        <w:t>38</w:t>
      </w:r>
      <w:r>
        <w:rPr>
          <w:color w:val="000000"/>
          <w:spacing w:val="0"/>
          <w:w w:val="100"/>
          <w:position w:val="0"/>
        </w:rPr>
        <w:t>、盈余公积</w:t>
      </w:r>
      <w:bookmarkEnd w:id="1236"/>
      <w:bookmarkEnd w:id="1237"/>
      <w:bookmarkEnd w:id="12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41,653,059.31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41,653,059.31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41,653,059.31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41,653,059.31</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24"/>
          <w:szCs w:val="24"/>
        </w:rPr>
        <w:t>3</w:t>
      </w:r>
      <w:bookmarkEnd w:id="1241"/>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、未分配利润</w:t>
      </w:r>
      <w:bookmarkEnd w:id="1239"/>
      <w:bookmarkEnd w:id="1240"/>
      <w:bookmarkEnd w:id="12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2928"/>
        <w:gridCol w:w="2928"/>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-70,312,437.32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-2,514,522.83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-27,032,523.82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-72,826,960.15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89,609,673.05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45,794,436.33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62,577,149.23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-27,032,523.82</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调整期初未分配利润明细：</w:t>
      </w:r>
    </w:p>
    <w:p>
      <w:pPr>
        <w:pStyle w:val="Style18"/>
        <w:keepNext w:val="0"/>
        <w:keepLines w:val="0"/>
        <w:widowControl w:val="0"/>
        <w:shd w:val="clear" w:color="auto" w:fill="auto"/>
        <w:tabs>
          <w:tab w:pos="1006" w:val="left"/>
        </w:tabs>
        <w:bidi w:val="0"/>
        <w:spacing w:before="0" w:after="220" w:line="240" w:lineRule="auto"/>
        <w:ind w:left="0" w:right="0" w:firstLine="480"/>
        <w:jc w:val="left"/>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由于《企业会计准则》及其相关新规定进行追溯调整，影响期初未分配利润元。</w:t>
      </w:r>
    </w:p>
    <w:p>
      <w:pPr>
        <w:pStyle w:val="Style18"/>
        <w:keepNext w:val="0"/>
        <w:keepLines w:val="0"/>
        <w:widowControl w:val="0"/>
        <w:shd w:val="clear" w:color="auto" w:fill="auto"/>
        <w:tabs>
          <w:tab w:pos="1006" w:val="left"/>
        </w:tabs>
        <w:bidi w:val="0"/>
        <w:spacing w:before="0" w:after="220" w:line="240" w:lineRule="auto"/>
        <w:ind w:left="0" w:right="0" w:firstLine="480"/>
        <w:jc w:val="left"/>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18"/>
        <w:keepNext w:val="0"/>
        <w:keepLines w:val="0"/>
        <w:widowControl w:val="0"/>
        <w:shd w:val="clear" w:color="auto" w:fill="auto"/>
        <w:tabs>
          <w:tab w:pos="1006" w:val="left"/>
        </w:tabs>
        <w:bidi w:val="0"/>
        <w:spacing w:before="0" w:after="220" w:line="240" w:lineRule="auto"/>
        <w:ind w:left="0" w:right="0" w:firstLine="480"/>
        <w:jc w:val="left"/>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由于重大会计差错更正，影响期初未分配利润元。</w:t>
      </w:r>
    </w:p>
    <w:p>
      <w:pPr>
        <w:pStyle w:val="Style18"/>
        <w:keepNext w:val="0"/>
        <w:keepLines w:val="0"/>
        <w:widowControl w:val="0"/>
        <w:shd w:val="clear" w:color="auto" w:fill="auto"/>
        <w:tabs>
          <w:tab w:pos="1006" w:val="left"/>
        </w:tabs>
        <w:bidi w:val="0"/>
        <w:spacing w:before="0" w:after="220" w:line="240" w:lineRule="auto"/>
        <w:ind w:left="0" w:right="0" w:firstLine="480"/>
        <w:jc w:val="left"/>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由于同一控制导致的合并范围变更，影响期初未分配利润元。</w:t>
      </w:r>
    </w:p>
    <w:p>
      <w:pPr>
        <w:pStyle w:val="Style18"/>
        <w:keepNext w:val="0"/>
        <w:keepLines w:val="0"/>
        <w:widowControl w:val="0"/>
        <w:shd w:val="clear" w:color="auto" w:fill="auto"/>
        <w:tabs>
          <w:tab w:pos="1006" w:val="left"/>
        </w:tabs>
        <w:bidi w:val="0"/>
        <w:spacing w:before="0" w:after="340" w:line="240" w:lineRule="auto"/>
        <w:ind w:left="0" w:right="0" w:firstLine="480"/>
        <w:jc w:val="left"/>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其他调整合计影响期初未分配利润元。</w:t>
      </w:r>
    </w:p>
    <w:p>
      <w:pPr>
        <w:pStyle w:val="Style32"/>
        <w:keepNext/>
        <w:keepLines/>
        <w:widowControl w:val="0"/>
        <w:shd w:val="clear" w:color="auto" w:fill="auto"/>
        <w:bidi w:val="0"/>
        <w:spacing w:before="0" w:after="34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sz w:val="24"/>
          <w:szCs w:val="24"/>
        </w:rPr>
        <w:t>4</w:t>
      </w:r>
      <w:bookmarkEnd w:id="1250"/>
      <w:r>
        <w:rPr>
          <w:rFonts w:ascii="Times New Roman" w:eastAsia="Times New Roman" w:hAnsi="Times New Roman" w:cs="Times New Roman"/>
          <w:color w:val="000000"/>
          <w:spacing w:val="0"/>
          <w:w w:val="100"/>
          <w:position w:val="0"/>
          <w:sz w:val="24"/>
          <w:szCs w:val="24"/>
        </w:rPr>
        <w:t>0</w:t>
      </w:r>
      <w:r>
        <w:rPr>
          <w:color w:val="000000"/>
          <w:spacing w:val="0"/>
          <w:w w:val="100"/>
          <w:position w:val="0"/>
        </w:rPr>
        <w:t>、营业收入和营业成本</w:t>
      </w:r>
      <w:bookmarkEnd w:id="1248"/>
      <w:bookmarkEnd w:id="1249"/>
      <w:bookmarkEnd w:id="12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1934"/>
        <w:gridCol w:w="1915"/>
        <w:gridCol w:w="1915"/>
        <w:gridCol w:w="1910"/>
        <w:gridCol w:w="1949"/>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413,453,024.49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214,212,091.76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401,310,657.79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193,123,884.57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7,056,062.64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4,690,900.29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5,081,073.98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3,054,469.68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420,509,087.13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218,902,992.05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406,391,731.77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196,178,354.25</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20"/>
        <w:gridCol w:w="1910"/>
        <w:gridCol w:w="1920"/>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输配电、控制设备制 造</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医疗健康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120,225,033.14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120,225,033.14</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41,789,292.33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41,789,292.33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变电站综合自动化 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60"/>
              <w:jc w:val="both"/>
            </w:pPr>
            <w:r>
              <w:rPr>
                <w:rFonts w:ascii="Times New Roman" w:eastAsia="Times New Roman" w:hAnsi="Times New Roman" w:cs="Times New Roman"/>
                <w:color w:val="000000"/>
                <w:spacing w:val="0"/>
                <w:w w:val="100"/>
                <w:position w:val="0"/>
              </w:rPr>
              <w:t>20,866,889.55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660"/>
              <w:jc w:val="both"/>
            </w:pPr>
            <w:r>
              <w:rPr>
                <w:rFonts w:ascii="Times New Roman" w:eastAsia="Times New Roman" w:hAnsi="Times New Roman" w:cs="Times New Roman"/>
                <w:color w:val="000000"/>
                <w:spacing w:val="0"/>
                <w:w w:val="100"/>
                <w:position w:val="0"/>
              </w:rPr>
              <w:t>20,866,889.55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43,177,328.78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43,177,328.78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综合能源服务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29,534,476.58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29,534,476.58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25,629,075.01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25,629,075.01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28,206,044.39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28,206,044.39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体外诊断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50,117,653.65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50,117,653.65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60,839,983.01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60,963,293.70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4,209,091.08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5,369,869.96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9,578,961.04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53,625,645.61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2,976,758.00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56,602,403.61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75,513,459.45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38,502,538.01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114,015,997.46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70,005,924.44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2,159,683.48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72,165,607.92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45,007,702.65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8,496,629.41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53,504,332.06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8,898,192.56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9,515,876.99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18,414,069.55</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84,802,062.61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7,651,959.06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92,454,021.67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3,773,693.82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3,773,693.82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915"/>
        <w:gridCol w:w="1915"/>
        <w:gridCol w:w="1910"/>
        <w:gridCol w:w="192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342,062,078.40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78,447,008.73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420,509,087.13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342,062,078.40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78,447,008.73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420,509,087.13</w:t>
            </w:r>
          </w:p>
        </w:tc>
      </w:tr>
    </w:tbl>
    <w:p>
      <w:pPr>
        <w:widowControl w:val="0"/>
        <w:spacing w:after="179" w:line="1" w:lineRule="exact"/>
      </w:pP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48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40" w:line="434" w:lineRule="exact"/>
        <w:ind w:left="0" w:right="0" w:firstLine="480"/>
        <w:jc w:val="both"/>
      </w:pPr>
      <w:r>
        <w:rPr>
          <w:color w:val="000000"/>
          <w:spacing w:val="0"/>
          <w:w w:val="100"/>
          <w:position w:val="0"/>
        </w:rPr>
        <w:t xml:space="preserve">本报告期末已签订合同、但尚未履行或尚未履行完毕的履约义务所对应的收入金额为 </w:t>
      </w:r>
      <w:r>
        <w:rPr>
          <w:rFonts w:ascii="Times New Roman" w:eastAsia="Times New Roman" w:hAnsi="Times New Roman" w:cs="Times New Roman"/>
          <w:color w:val="000000"/>
          <w:spacing w:val="0"/>
          <w:w w:val="100"/>
          <w:position w:val="0"/>
          <w:sz w:val="24"/>
          <w:szCs w:val="24"/>
        </w:rPr>
        <w:t>318,533,124.08</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216,310,380.03</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72,563,956.37</w:t>
      </w:r>
      <w:r>
        <w:rPr>
          <w:color w:val="000000"/>
          <w:spacing w:val="0"/>
          <w:w w:val="100"/>
          <w:position w:val="0"/>
        </w:rPr>
        <w:t>元预 计将于</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29,658,787.68</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2024</w:t>
      </w:r>
      <w:r>
        <w:rPr>
          <w:color w:val="000000"/>
          <w:spacing w:val="0"/>
          <w:w w:val="100"/>
          <w:position w:val="0"/>
        </w:rPr>
        <w:t>及以后年度确认收入。</w:t>
      </w:r>
    </w:p>
    <w:p>
      <w:pPr>
        <w:pStyle w:val="Style32"/>
        <w:keepNext/>
        <w:keepLines/>
        <w:widowControl w:val="0"/>
        <w:shd w:val="clear" w:color="auto" w:fill="auto"/>
        <w:bidi w:val="0"/>
        <w:spacing w:before="0" w:after="180" w:line="379"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24"/>
          <w:szCs w:val="24"/>
        </w:rPr>
        <w:t>4</w:t>
      </w:r>
      <w:bookmarkEnd w:id="12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、税金及附加</w:t>
      </w:r>
      <w:bookmarkEnd w:id="1252"/>
      <w:bookmarkEnd w:id="1253"/>
      <w:bookmarkEnd w:id="12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1,653,810.48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1,830,114.59</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737,954.35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823,413.10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1,155,652.39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821,429.74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147,988.78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171,224.28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6,921.40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274,702.76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283,773.69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502,744.93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439,278.04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23,174.06</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4,508,926.31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4,399,328.90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sz w:val="24"/>
          <w:szCs w:val="24"/>
        </w:rPr>
        <w:t>4</w:t>
      </w:r>
      <w:bookmarkEnd w:id="12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、销售费用</w:t>
      </w:r>
      <w:bookmarkEnd w:id="1256"/>
      <w:bookmarkEnd w:id="1257"/>
      <w:bookmarkEnd w:id="12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30,659,032.56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31,633,701.14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14,097,200.87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8,135,722.00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6,003,430.82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4,559,725.23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4,316,451.86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4,589,404.52</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3,956,538.05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2,441,436.22</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1,222,941.89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1,500,783.96</w:t>
            </w:r>
          </w:p>
        </w:tc>
      </w:tr>
    </w:tbl>
    <w:p>
      <w:pPr>
        <w:spacing w:lineRule="exact" w:line="1"/>
        <w:rPr>
          <w:sz w:val="2"/>
          <w:szCs w:val="2"/>
        </w:rPr>
      </w:pPr>
      <w:r>
        <w:br w:type="page"/>
      </w:r>
    </w:p>
    <w:tbl>
      <w:tblPr>
        <w:tblOverlap w:val="never"/>
        <w:jc w:val="center"/>
        <w:tblLayout w:type="fixed"/>
      </w:tblPr>
      <w:tblGrid>
        <w:gridCol w:w="3211"/>
        <w:gridCol w:w="3187"/>
        <w:gridCol w:w="3221"/>
      </w:tblGrid>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919,682.84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714,730.96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2,253,432.33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486,588.64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1,232,561.34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5,048,270.13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3,848,662.92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3,455,053.86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68,509,935.48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62,565,416.66</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sz w:val="24"/>
          <w:szCs w:val="24"/>
        </w:rPr>
        <w:t>4</w:t>
      </w:r>
      <w:bookmarkEnd w:id="1262"/>
      <w:r>
        <w:rPr>
          <w:rFonts w:ascii="Times New Roman" w:eastAsia="Times New Roman" w:hAnsi="Times New Roman" w:cs="Times New Roman"/>
          <w:color w:val="000000"/>
          <w:spacing w:val="0"/>
          <w:w w:val="100"/>
          <w:position w:val="0"/>
          <w:sz w:val="24"/>
          <w:szCs w:val="24"/>
        </w:rPr>
        <w:t>3</w:t>
      </w:r>
      <w:r>
        <w:rPr>
          <w:color w:val="000000"/>
          <w:spacing w:val="0"/>
          <w:w w:val="100"/>
          <w:position w:val="0"/>
        </w:rPr>
        <w:t>、管理费用</w:t>
      </w:r>
      <w:bookmarkEnd w:id="1260"/>
      <w:bookmarkEnd w:id="1261"/>
      <w:bookmarkEnd w:id="12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26,043,875.15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24,509,365.53</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2,165,576.61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1,496,077.64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1,869,476.50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2,123,833.91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3,377,286.54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2,329,139.19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409,606.84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454,123.41</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2,001,420.17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1,860,695.41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1,002,457.19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1,294,064.88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288,419.13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1,168,014.13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458,260.58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613,825.73</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417,924.52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356,835.61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1,592,597.37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1,537,008.71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885,304.46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1,360,909.20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3,489,881.83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3,006,093.95</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44,002,086.89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42,109,987.30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sz w:val="24"/>
          <w:szCs w:val="24"/>
        </w:rPr>
        <w:t>4</w:t>
      </w:r>
      <w:bookmarkEnd w:id="1266"/>
      <w:r>
        <w:rPr>
          <w:rFonts w:ascii="Times New Roman" w:eastAsia="Times New Roman" w:hAnsi="Times New Roman" w:cs="Times New Roman"/>
          <w:color w:val="000000"/>
          <w:spacing w:val="0"/>
          <w:w w:val="100"/>
          <w:position w:val="0"/>
          <w:sz w:val="24"/>
          <w:szCs w:val="24"/>
        </w:rPr>
        <w:t>4</w:t>
      </w:r>
      <w:r>
        <w:rPr>
          <w:color w:val="000000"/>
          <w:spacing w:val="0"/>
          <w:w w:val="100"/>
          <w:position w:val="0"/>
        </w:rPr>
        <w:t>、研发费用</w:t>
      </w:r>
      <w:bookmarkEnd w:id="1264"/>
      <w:bookmarkEnd w:id="1265"/>
      <w:bookmarkEnd w:id="12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60,476,739.43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55,814,327.96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检测及测试费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2,198,364.51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2,789,894.66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2,429,784.05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1,520,061.74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3,489,916.96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1,999,206.59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2,201,048.46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4,651,984.21</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委托外部机构研发投入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695,532.60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3,213,785.16</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2,813,516.47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3,146,614.62</w:t>
            </w:r>
          </w:p>
        </w:tc>
      </w:tr>
    </w:tbl>
    <w:p>
      <w:pPr>
        <w:spacing w:lineRule="exact" w:line="1"/>
        <w:rPr>
          <w:sz w:val="2"/>
          <w:szCs w:val="2"/>
        </w:rPr>
      </w:pPr>
      <w:r>
        <w:br w:type="page"/>
      </w:r>
    </w:p>
    <w:tbl>
      <w:tblPr>
        <w:tblOverlap w:val="never"/>
        <w:jc w:val="center"/>
        <w:tblLayout w:type="fixed"/>
      </w:tblPr>
      <w:tblGrid>
        <w:gridCol w:w="3211"/>
        <w:gridCol w:w="3187"/>
        <w:gridCol w:w="3221"/>
      </w:tblGrid>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233,143.65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1,369,008.30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1,191,772.57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1,283,439.58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4,132,417.54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3,872,332.66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79,862,236.24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79,660,655.48</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sz w:val="24"/>
          <w:szCs w:val="24"/>
        </w:rPr>
        <w:t>4</w:t>
      </w:r>
      <w:bookmarkEnd w:id="1270"/>
      <w:r>
        <w:rPr>
          <w:rFonts w:ascii="Times New Roman" w:eastAsia="Times New Roman" w:hAnsi="Times New Roman" w:cs="Times New Roman"/>
          <w:color w:val="000000"/>
          <w:spacing w:val="0"/>
          <w:w w:val="100"/>
          <w:position w:val="0"/>
          <w:sz w:val="24"/>
          <w:szCs w:val="24"/>
        </w:rPr>
        <w:t>5</w:t>
      </w:r>
      <w:r>
        <w:rPr>
          <w:color w:val="000000"/>
          <w:spacing w:val="0"/>
          <w:w w:val="100"/>
          <w:position w:val="0"/>
        </w:rPr>
        <w:t>、财务费用</w:t>
      </w:r>
      <w:bookmarkEnd w:id="1268"/>
      <w:bookmarkEnd w:id="1269"/>
      <w:bookmarkEnd w:id="12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553,754.61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1,787,285.27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6,969,741.33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9,531,946.07</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-6,415,986.72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-7,744,660.80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110,002.87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-6,325,007.05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-7,634,657.93</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sz w:val="24"/>
          <w:szCs w:val="24"/>
        </w:rPr>
        <w:t>4</w:t>
      </w:r>
      <w:bookmarkEnd w:id="1274"/>
      <w:r>
        <w:rPr>
          <w:rFonts w:ascii="Times New Roman" w:eastAsia="Times New Roman" w:hAnsi="Times New Roman" w:cs="Times New Roman"/>
          <w:color w:val="000000"/>
          <w:spacing w:val="0"/>
          <w:w w:val="100"/>
          <w:position w:val="0"/>
          <w:sz w:val="24"/>
          <w:szCs w:val="24"/>
        </w:rPr>
        <w:t>6</w:t>
      </w:r>
      <w:r>
        <w:rPr>
          <w:color w:val="000000"/>
          <w:spacing w:val="0"/>
          <w:w w:val="100"/>
          <w:position w:val="0"/>
        </w:rPr>
        <w:t>、其他收益</w:t>
      </w:r>
      <w:bookmarkEnd w:id="1272"/>
      <w:bookmarkEnd w:id="1273"/>
      <w:bookmarkEnd w:id="12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5,635,643.14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6,220,972.41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132,377.46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281,026.24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1,942,163.45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3,555,440.00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544,841.44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137,523.73</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8,255,025.49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10,194,962.38</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sz w:val="24"/>
          <w:szCs w:val="24"/>
        </w:rPr>
        <w:t>4</w:t>
      </w:r>
      <w:bookmarkEnd w:id="1278"/>
      <w:r>
        <w:rPr>
          <w:rFonts w:ascii="Times New Roman" w:eastAsia="Times New Roman" w:hAnsi="Times New Roman" w:cs="Times New Roman"/>
          <w:color w:val="000000"/>
          <w:spacing w:val="0"/>
          <w:w w:val="100"/>
          <w:position w:val="0"/>
          <w:sz w:val="24"/>
          <w:szCs w:val="24"/>
        </w:rPr>
        <w:t>7</w:t>
      </w:r>
      <w:r>
        <w:rPr>
          <w:color w:val="000000"/>
          <w:spacing w:val="0"/>
          <w:w w:val="100"/>
          <w:position w:val="0"/>
        </w:rPr>
        <w:t>、投资收益</w:t>
      </w:r>
      <w:bookmarkEnd w:id="1276"/>
      <w:bookmarkEnd w:id="1277"/>
      <w:bookmarkEnd w:id="12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5"/>
        <w:gridCol w:w="3197"/>
        <w:gridCol w:w="2923"/>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-411,937.25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842,360.21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5,090,912.90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交易性金融资产在持有期间的投资收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6,825,058.18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7,747,535.59</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权益法核算的其他非流动资产投资收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15,379,545.68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3,321,809.27</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26,883,579.51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11,911,705.07</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sz w:val="24"/>
          <w:szCs w:val="24"/>
        </w:rPr>
        <w:t>4</w:t>
      </w:r>
      <w:bookmarkEnd w:id="1282"/>
      <w:r>
        <w:rPr>
          <w:rFonts w:ascii="Times New Roman" w:eastAsia="Times New Roman" w:hAnsi="Times New Roman" w:cs="Times New Roman"/>
          <w:color w:val="000000"/>
          <w:spacing w:val="0"/>
          <w:w w:val="100"/>
          <w:position w:val="0"/>
          <w:sz w:val="24"/>
          <w:szCs w:val="24"/>
        </w:rPr>
        <w:t>8</w:t>
      </w:r>
      <w:r>
        <w:rPr>
          <w:color w:val="000000"/>
          <w:spacing w:val="0"/>
          <w:w w:val="100"/>
          <w:position w:val="0"/>
        </w:rPr>
        <w:t>、公允价值变动收益</w:t>
      </w:r>
      <w:bookmarkEnd w:id="1280"/>
      <w:bookmarkEnd w:id="1281"/>
      <w:bookmarkEnd w:id="12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54,572,212.06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22,117,750.37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54,572,212.06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22,117,750.37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24"/>
          <w:szCs w:val="24"/>
        </w:rPr>
        <w:t>4</w:t>
      </w:r>
      <w:bookmarkEnd w:id="1286"/>
      <w:r>
        <w:rPr>
          <w:rFonts w:ascii="Times New Roman" w:eastAsia="Times New Roman" w:hAnsi="Times New Roman" w:cs="Times New Roman"/>
          <w:color w:val="000000"/>
          <w:spacing w:val="0"/>
          <w:w w:val="100"/>
          <w:position w:val="0"/>
          <w:sz w:val="24"/>
          <w:szCs w:val="24"/>
        </w:rPr>
        <w:t>9</w:t>
      </w:r>
      <w:r>
        <w:rPr>
          <w:color w:val="000000"/>
          <w:spacing w:val="0"/>
          <w:w w:val="100"/>
          <w:position w:val="0"/>
        </w:rPr>
        <w:t>、信用减值损失</w:t>
      </w:r>
      <w:bookmarkEnd w:id="1284"/>
      <w:bookmarkEnd w:id="1285"/>
      <w:bookmarkEnd w:id="12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-4,655,594.49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-919,078.51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-107,243.93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-29,749.57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-4,171,719.95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-7,150,267.59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-8,934,558.37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-8,099,095.67</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sz w:val="24"/>
          <w:szCs w:val="24"/>
        </w:rPr>
        <w:t>5</w:t>
      </w:r>
      <w:bookmarkEnd w:id="1290"/>
      <w:r>
        <w:rPr>
          <w:rFonts w:ascii="Times New Roman" w:eastAsia="Times New Roman" w:hAnsi="Times New Roman" w:cs="Times New Roman"/>
          <w:color w:val="000000"/>
          <w:spacing w:val="0"/>
          <w:w w:val="100"/>
          <w:position w:val="0"/>
          <w:sz w:val="24"/>
          <w:szCs w:val="24"/>
        </w:rPr>
        <w:t>0</w:t>
      </w:r>
      <w:r>
        <w:rPr>
          <w:color w:val="000000"/>
          <w:spacing w:val="0"/>
          <w:w w:val="100"/>
          <w:position w:val="0"/>
        </w:rPr>
        <w:t>、资产减值损失</w:t>
      </w:r>
      <w:bookmarkEnd w:id="1288"/>
      <w:bookmarkEnd w:id="1289"/>
      <w:bookmarkEnd w:id="12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二、存货跌价损失及合同履约成本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-413,371.41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-2,388,909.88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-1,763,627.25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-14,290,855.91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134,775.98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50,633.07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-2,042,222.68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-16,629,132.72</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sz w:val="24"/>
          <w:szCs w:val="24"/>
        </w:rPr>
        <w:t>5</w:t>
      </w:r>
      <w:bookmarkEnd w:id="1294"/>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、资产处置收益</w:t>
      </w:r>
      <w:bookmarkEnd w:id="1292"/>
      <w:bookmarkEnd w:id="1293"/>
      <w:bookmarkEnd w:id="12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sz w:val="24"/>
          <w:szCs w:val="24"/>
        </w:rPr>
        <w:t>5</w:t>
      </w:r>
      <w:bookmarkEnd w:id="1298"/>
      <w:r>
        <w:rPr>
          <w:rFonts w:ascii="Times New Roman" w:eastAsia="Times New Roman" w:hAnsi="Times New Roman" w:cs="Times New Roman"/>
          <w:color w:val="000000"/>
          <w:spacing w:val="0"/>
          <w:w w:val="100"/>
          <w:position w:val="0"/>
          <w:sz w:val="24"/>
          <w:szCs w:val="24"/>
        </w:rPr>
        <w:t>2</w:t>
      </w:r>
      <w:r>
        <w:rPr>
          <w:color w:val="000000"/>
          <w:spacing w:val="0"/>
          <w:w w:val="100"/>
          <w:position w:val="0"/>
        </w:rPr>
        <w:t>、营业外收入</w:t>
      </w:r>
      <w:bookmarkEnd w:id="1296"/>
      <w:bookmarkEnd w:id="1297"/>
      <w:bookmarkEnd w:id="12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405"/>
        <w:gridCol w:w="2381"/>
      </w:tblGrid>
      <w:tr>
        <w:trPr>
          <w:trHeight w:val="73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bl>
    <w:p>
      <w:pPr>
        <w:spacing w:lineRule="exact" w:line="1"/>
        <w:rPr>
          <w:sz w:val="2"/>
          <w:szCs w:val="2"/>
        </w:rPr>
      </w:pPr>
      <w:r>
        <w:br w:type="page"/>
      </w:r>
    </w:p>
    <w:tbl>
      <w:tblPr>
        <w:tblOverlap w:val="never"/>
        <w:jc w:val="center"/>
        <w:tblLayout w:type="fixed"/>
      </w:tblPr>
      <w:tblGrid>
        <w:gridCol w:w="2410"/>
        <w:gridCol w:w="2395"/>
        <w:gridCol w:w="2390"/>
        <w:gridCol w:w="2424"/>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3,762,548.40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5,488,007.00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3,762,548.40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782,654.02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183,510.01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185,327.27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183,510.01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4,729,056.53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6,093,174.99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4,729,056.53</w:t>
            </w: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计入当期损益的政府补助：</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075"/>
        <w:gridCol w:w="1051"/>
        <w:gridCol w:w="1056"/>
        <w:gridCol w:w="1051"/>
        <w:gridCol w:w="1056"/>
        <w:gridCol w:w="1056"/>
        <w:gridCol w:w="1157"/>
        <w:gridCol w:w="1162"/>
        <w:gridCol w:w="1085"/>
      </w:tblGrid>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补贴是否</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影响当年</w:t>
            </w:r>
          </w:p>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1"/>
              <w:keepNext w:val="0"/>
              <w:keepLines w:val="0"/>
              <w:widowControl w:val="0"/>
              <w:shd w:val="clear" w:color="auto" w:fill="auto"/>
              <w:bidi w:val="0"/>
              <w:spacing w:before="0" w:after="80" w:line="240" w:lineRule="auto"/>
              <w:ind w:left="0" w:right="0" w:firstLine="300"/>
              <w:jc w:val="both"/>
            </w:pPr>
            <w:r>
              <w:rPr>
                <w:color w:val="000000"/>
                <w:spacing w:val="0"/>
                <w:w w:val="100"/>
                <w:position w:val="0"/>
              </w:rPr>
              <w:t>相关</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高企认定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2,555,244.00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创新基金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46"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省级</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科技创新</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创新省份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知识产权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优势企业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因研究开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发、技术更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104"/>
        <w:gridCol w:w="1051"/>
        <w:gridCol w:w="1056"/>
        <w:gridCol w:w="1051"/>
        <w:gridCol w:w="1056"/>
        <w:gridCol w:w="1056"/>
        <w:gridCol w:w="1157"/>
        <w:gridCol w:w="1162"/>
        <w:gridCol w:w="1085"/>
      </w:tblGrid>
      <w:tr>
        <w:trPr>
          <w:trHeight w:val="989" w:hRule="exact"/>
        </w:trPr>
        <w:tc>
          <w:tcPr>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9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经贸委工 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61"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因研究开</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发、技术更</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新及改造</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等获得的</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1,062,548.40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970,763.00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sz w:val="24"/>
          <w:szCs w:val="24"/>
        </w:rPr>
        <w:t>5</w:t>
      </w:r>
      <w:bookmarkEnd w:id="1302"/>
      <w:r>
        <w:rPr>
          <w:rFonts w:ascii="Times New Roman" w:eastAsia="Times New Roman" w:hAnsi="Times New Roman" w:cs="Times New Roman"/>
          <w:color w:val="000000"/>
          <w:spacing w:val="0"/>
          <w:w w:val="100"/>
          <w:position w:val="0"/>
          <w:sz w:val="24"/>
          <w:szCs w:val="24"/>
        </w:rPr>
        <w:t>3</w:t>
      </w:r>
      <w:r>
        <w:rPr>
          <w:color w:val="000000"/>
          <w:spacing w:val="0"/>
          <w:w w:val="100"/>
          <w:position w:val="0"/>
        </w:rPr>
        <w:t>、营业外支出</w:t>
      </w:r>
      <w:bookmarkEnd w:id="1300"/>
      <w:bookmarkEnd w:id="1301"/>
      <w:bookmarkEnd w:id="13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5"/>
        <w:gridCol w:w="2390"/>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诉讼逾期利息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2,744,793.07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2,744,793.07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591,026.24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591,026.24</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104,857.72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104,857.72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332,847.87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450,682.88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332,847.87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3,773,524.90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462,628.40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b/>
                <w:bCs/>
                <w:color w:val="000000"/>
                <w:spacing w:val="0"/>
                <w:w w:val="100"/>
                <w:position w:val="0"/>
              </w:rPr>
              <w:t>3,773,524.90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sz w:val="24"/>
          <w:szCs w:val="24"/>
        </w:rPr>
        <w:t>5</w:t>
      </w:r>
      <w:bookmarkEnd w:id="1306"/>
      <w:r>
        <w:rPr>
          <w:rFonts w:ascii="Times New Roman" w:eastAsia="Times New Roman" w:hAnsi="Times New Roman" w:cs="Times New Roman"/>
          <w:color w:val="000000"/>
          <w:spacing w:val="0"/>
          <w:w w:val="100"/>
          <w:position w:val="0"/>
          <w:sz w:val="24"/>
          <w:szCs w:val="24"/>
        </w:rPr>
        <w:t>4</w:t>
      </w:r>
      <w:r>
        <w:rPr>
          <w:color w:val="000000"/>
          <w:spacing w:val="0"/>
          <w:w w:val="100"/>
          <w:position w:val="0"/>
        </w:rPr>
        <w:t>、所得税费用</w:t>
      </w:r>
      <w:bookmarkEnd w:id="1304"/>
      <w:bookmarkEnd w:id="1305"/>
      <w:bookmarkEnd w:id="1307"/>
    </w:p>
    <w:p>
      <w:pPr>
        <w:pStyle w:val="Style46"/>
        <w:keepNext/>
        <w:keepLines/>
        <w:widowControl w:val="0"/>
        <w:shd w:val="clear" w:color="auto" w:fill="auto"/>
        <w:bidi w:val="0"/>
        <w:spacing w:before="0" w:after="32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）所得税费用表</w:t>
      </w:r>
      <w:bookmarkEnd w:id="1308"/>
      <w:bookmarkEnd w:id="1309"/>
      <w:bookmarkEnd w:id="13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5,689,001.11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6,598,910.77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-832,944.63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-1,825,100.67</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4,856,056.48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4,773,810.10</w:t>
            </w:r>
          </w:p>
        </w:tc>
      </w:tr>
    </w:tbl>
    <w:p>
      <w:pPr>
        <w:spacing w:lineRule="exact" w:line="1"/>
        <w:rPr>
          <w:sz w:val="2"/>
          <w:szCs w:val="2"/>
        </w:rPr>
      </w:pPr>
      <w:r>
        <w:br w:type="page"/>
      </w:r>
    </w:p>
    <w:tbl>
      <w:tblPr>
        <w:tblOverlap w:val="never"/>
        <w:jc w:val="center"/>
        <w:tblLayout w:type="fixed"/>
      </w:tblPr>
      <w:tblGrid>
        <w:gridCol w:w="5659"/>
        <w:gridCol w:w="3979"/>
      </w:tblGrid>
      <w:tr>
        <w:trPr>
          <w:trHeight w:val="95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1311" w:name="bookmark1311"/>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）会计利润与所得税费用调整过程</w:t>
            </w:r>
            <w:bookmarkEnd w:id="1311"/>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80" w:right="0" w:firstLine="0"/>
              <w:jc w:val="left"/>
            </w:pPr>
            <w:r>
              <w:rPr>
                <w:color w:val="000000"/>
                <w:spacing w:val="0"/>
                <w:w w:val="100"/>
                <w:position w:val="0"/>
              </w:rPr>
              <w:t>项目</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本期发生额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90,986,256.80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13,647,938.52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6,604,014.70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-367,357.87</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-17,541,975.31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-1,759,216.93</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使用前期未确认递延所得税资产的可抵扣亏损的影 响</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-845,604.83</w:t>
            </w:r>
          </w:p>
        </w:tc>
      </w:tr>
      <w:tr>
        <w:trPr>
          <w:trHeight w:val="293" w:hRule="exact"/>
        </w:trPr>
        <w:tc>
          <w:tcPr>
            <w:tcBorders>
              <w:top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w:t>
            </w:r>
          </w:p>
        </w:tc>
        <w:tc>
          <w:tcPr>
            <w:vMerge w:val="restart"/>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pPr>
            <w:r>
              <w:rPr>
                <w:rFonts w:ascii="Times New Roman" w:eastAsia="Times New Roman" w:hAnsi="Times New Roman" w:cs="Times New Roman"/>
                <w:color w:val="000000"/>
                <w:spacing w:val="0"/>
                <w:w w:val="100"/>
                <w:position w:val="0"/>
              </w:rPr>
              <w:t>16,704,949.70</w:t>
            </w:r>
          </w:p>
        </w:tc>
      </w:tr>
      <w:tr>
        <w:trPr>
          <w:trHeight w:val="422" w:hRule="exact"/>
        </w:trPr>
        <w:tc>
          <w:tcPr>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可抵扣亏损的影响</w:t>
            </w:r>
          </w:p>
        </w:tc>
        <w:tc>
          <w:tcPr>
            <w:vMerge/>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-11,586,691.50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pPr>
            <w:r>
              <w:rPr>
                <w:rFonts w:ascii="Times New Roman" w:eastAsia="Times New Roman" w:hAnsi="Times New Roman" w:cs="Times New Roman"/>
                <w:color w:val="000000"/>
                <w:spacing w:val="0"/>
                <w:w w:val="100"/>
                <w:position w:val="0"/>
              </w:rPr>
              <w:t>4,856,056.48</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sz w:val="24"/>
          <w:szCs w:val="24"/>
        </w:rPr>
        <w:t>5</w:t>
      </w:r>
      <w:bookmarkEnd w:id="1314"/>
      <w:r>
        <w:rPr>
          <w:rFonts w:ascii="Times New Roman" w:eastAsia="Times New Roman" w:hAnsi="Times New Roman" w:cs="Times New Roman"/>
          <w:color w:val="000000"/>
          <w:spacing w:val="0"/>
          <w:w w:val="100"/>
          <w:position w:val="0"/>
          <w:sz w:val="24"/>
          <w:szCs w:val="24"/>
        </w:rPr>
        <w:t>5</w:t>
      </w:r>
      <w:r>
        <w:rPr>
          <w:color w:val="000000"/>
          <w:spacing w:val="0"/>
          <w:w w:val="100"/>
          <w:position w:val="0"/>
        </w:rPr>
        <w:t>、现金流量表项目</w:t>
      </w:r>
      <w:bookmarkEnd w:id="1312"/>
      <w:bookmarkEnd w:id="1313"/>
      <w:bookmarkEnd w:id="1315"/>
    </w:p>
    <w:p>
      <w:pPr>
        <w:pStyle w:val="Style46"/>
        <w:keepNext/>
        <w:keepLines/>
        <w:widowControl w:val="0"/>
        <w:shd w:val="clear" w:color="auto" w:fill="auto"/>
        <w:bidi w:val="0"/>
        <w:spacing w:before="0" w:after="32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）收到的其他与经营活动有关的现金</w:t>
      </w:r>
      <w:bookmarkEnd w:id="1316"/>
      <w:bookmarkEnd w:id="1317"/>
      <w:bookmarkEnd w:id="13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5,341,084.85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11,134,303.73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11,485,677.77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9,756,341.31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8,048,524.27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10,042,407.48</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6,080,043.45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9,285,835.48</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3,100,801.24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9,908,117.59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1,445,738.53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4,505,106.91</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35,501,870.11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54,632,112.50</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）支付的其他与经营活动有关的现金</w:t>
      </w:r>
      <w:bookmarkEnd w:id="1319"/>
      <w:bookmarkEnd w:id="1320"/>
      <w:bookmarkEnd w:id="13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5,575,325.70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8,922,500.04</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13,463,437.45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13,766,924.20</w:t>
            </w:r>
          </w:p>
        </w:tc>
      </w:tr>
    </w:tbl>
    <w:p>
      <w:pPr>
        <w:spacing w:lineRule="exact" w:line="1"/>
        <w:rPr>
          <w:sz w:val="2"/>
          <w:szCs w:val="2"/>
        </w:rPr>
      </w:pPr>
      <w:r>
        <w:br w:type="page"/>
      </w:r>
    </w:p>
    <w:tbl>
      <w:tblPr>
        <w:tblOverlap w:val="never"/>
        <w:jc w:val="center"/>
        <w:tblLayout w:type="fixed"/>
      </w:tblPr>
      <w:tblGrid>
        <w:gridCol w:w="3206"/>
        <w:gridCol w:w="3192"/>
        <w:gridCol w:w="3221"/>
      </w:tblGrid>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6,582,576.07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8,662,933.15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7,741,343.58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5,261,177.73</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8,722,034.72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14,187,507.74</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13,527,697.76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8,050,315.09</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3,950,439.63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2,292,288.59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3,658,838.07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2,817,966.04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2,448,959.67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咨询及培训费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1,670,591.17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5,315,907.03</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25,758,420.63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22,830,628.53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89,809,832.75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95,397,979.84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sz w:val="24"/>
          <w:szCs w:val="24"/>
        </w:rPr>
        <w:t>3</w:t>
      </w:r>
      <w:r>
        <w:rPr>
          <w:color w:val="000000"/>
          <w:spacing w:val="0"/>
          <w:w w:val="100"/>
          <w:position w:val="0"/>
        </w:rPr>
        <w:t>）收到的其他与投资活动有关的现金</w:t>
      </w:r>
      <w:bookmarkEnd w:id="1322"/>
      <w:bookmarkEnd w:id="1323"/>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396,237.91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收回对子公司的财务资助款项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396,237.91</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sz w:val="24"/>
          <w:szCs w:val="24"/>
        </w:rPr>
        <w:t>4</w:t>
      </w:r>
      <w:r>
        <w:rPr>
          <w:color w:val="000000"/>
          <w:spacing w:val="0"/>
          <w:w w:val="100"/>
          <w:position w:val="0"/>
        </w:rPr>
        <w:t>）支付的其他与筹资活动有关的现金</w:t>
      </w:r>
      <w:bookmarkEnd w:id="1326"/>
      <w:bookmarkEnd w:id="1327"/>
      <w:bookmarkEnd w:id="13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9,507,990.00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2,664,030.72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2,664,030.72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9,507,990.00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sz w:val="24"/>
          <w:szCs w:val="24"/>
        </w:rPr>
        <w:t>5</w:t>
      </w:r>
      <w:bookmarkEnd w:id="1332"/>
      <w:r>
        <w:rPr>
          <w:rFonts w:ascii="Times New Roman" w:eastAsia="Times New Roman" w:hAnsi="Times New Roman" w:cs="Times New Roman"/>
          <w:color w:val="000000"/>
          <w:spacing w:val="0"/>
          <w:w w:val="100"/>
          <w:position w:val="0"/>
          <w:sz w:val="24"/>
          <w:szCs w:val="24"/>
        </w:rPr>
        <w:t>6</w:t>
      </w:r>
      <w:r>
        <w:rPr>
          <w:color w:val="000000"/>
          <w:spacing w:val="0"/>
          <w:w w:val="100"/>
          <w:position w:val="0"/>
        </w:rPr>
        <w:t>、现金流量表补充资料</w:t>
      </w:r>
      <w:bookmarkEnd w:id="1330"/>
      <w:bookmarkEnd w:id="1331"/>
      <w:bookmarkEnd w:id="1333"/>
    </w:p>
    <w:p>
      <w:pPr>
        <w:pStyle w:val="Style46"/>
        <w:keepNext/>
        <w:keepLines/>
        <w:widowControl w:val="0"/>
        <w:shd w:val="clear" w:color="auto" w:fill="auto"/>
        <w:bidi w:val="0"/>
        <w:spacing w:before="0" w:after="320" w:line="240" w:lineRule="auto"/>
        <w:ind w:left="0" w:right="0" w:firstLine="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）现金流量表补充资料</w:t>
      </w:r>
      <w:bookmarkEnd w:id="1334"/>
      <w:bookmarkEnd w:id="1335"/>
      <w:bookmarkEnd w:id="13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92"/>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86,130,200.32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49,622,640.83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10,976,781.05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24,728,228.39</w:t>
            </w:r>
          </w:p>
        </w:tc>
      </w:tr>
    </w:tbl>
    <w:p>
      <w:pPr>
        <w:spacing w:lineRule="exact" w:line="1"/>
        <w:rPr>
          <w:sz w:val="2"/>
          <w:szCs w:val="2"/>
        </w:rPr>
      </w:pPr>
      <w:r>
        <w:br w:type="page"/>
      </w:r>
    </w:p>
    <w:tbl>
      <w:tblPr>
        <w:tblOverlap w:val="never"/>
        <w:jc w:val="center"/>
        <w:tblLayout w:type="fixed"/>
      </w:tblPr>
      <w:tblGrid>
        <w:gridCol w:w="3336"/>
        <w:gridCol w:w="3067"/>
        <w:gridCol w:w="3192"/>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880"/>
              <w:jc w:val="left"/>
            </w:pPr>
            <w:r>
              <w:rPr>
                <w:color w:val="000000"/>
                <w:spacing w:val="0"/>
                <w:w w:val="100"/>
                <w:position w:val="0"/>
              </w:rPr>
              <w:t>固定资产折旧、油气资产折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11,516,572.65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11,018,447.08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2,321,577.69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3,040,125.83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2,678,767.25</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1,317,668.44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964,615.03</w:t>
            </w:r>
          </w:p>
        </w:tc>
      </w:tr>
      <w:tr>
        <w:trPr>
          <w:trHeight w:val="102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left"/>
            </w:pPr>
            <w:r>
              <w:rPr>
                <w:color w:val="000000"/>
                <w:spacing w:val="0"/>
                <w:w w:val="100"/>
                <w:position w:val="0"/>
              </w:rPr>
              <w:t>处置固定资产、无形资产和 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-157,067.80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固定资产报废损失（收益以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11,945.52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公允价值变动损失（收益以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-54,572,212.06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-22,117,750.37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8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400,245.94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1,787,285.27</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8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-26,883,579.51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-11,911,705.07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80"/>
              <w:jc w:val="both"/>
            </w:pPr>
            <w:r>
              <w:rPr>
                <w:color w:val="000000"/>
                <w:spacing w:val="0"/>
                <w:w w:val="100"/>
                <w:position w:val="0"/>
              </w:rPr>
              <w:t>递延所得税资产减少（增加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-832,944.63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-1,825,100.67</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880"/>
              <w:jc w:val="both"/>
            </w:pPr>
            <w:r>
              <w:rPr>
                <w:color w:val="000000"/>
                <w:spacing w:val="0"/>
                <w:w w:val="100"/>
                <w:position w:val="0"/>
              </w:rPr>
              <w:t>递延所得税负债增加（减少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8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-19,320,245.60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-24,137,935.26</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80"/>
              <w:jc w:val="both"/>
            </w:pPr>
            <w:r>
              <w:rPr>
                <w:color w:val="000000"/>
                <w:spacing w:val="0"/>
                <w:w w:val="100"/>
                <w:position w:val="0"/>
              </w:rPr>
              <w:t>经营性应收项目的减少（增 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-17,441,183.43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-10,493,145.86</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880"/>
              <w:jc w:val="both"/>
            </w:pPr>
            <w:r>
              <w:rPr>
                <w:color w:val="000000"/>
                <w:spacing w:val="0"/>
                <w:w w:val="100"/>
                <w:position w:val="0"/>
              </w:rPr>
              <w:t>经营性应付项目的增加（减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44,212,671.39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22,607,043.37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-418,280.52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880"/>
              <w:jc w:val="both"/>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40,721,419.75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42,357,987.19</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 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245,881,090.88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546,340,339.70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546,340,339.70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528,008,843.14</w:t>
            </w:r>
          </w:p>
        </w:tc>
      </w:tr>
    </w:tbl>
    <w:p>
      <w:pPr>
        <w:spacing w:lineRule="exact" w:line="1"/>
        <w:rPr>
          <w:sz w:val="2"/>
          <w:szCs w:val="2"/>
        </w:rPr>
      </w:pPr>
      <w:r>
        <w:br w:type="page"/>
      </w:r>
    </w:p>
    <w:tbl>
      <w:tblPr>
        <w:tblOverlap w:val="never"/>
        <w:jc w:val="center"/>
        <w:tblLayout w:type="fixed"/>
      </w:tblPr>
      <w:tblGrid>
        <w:gridCol w:w="3346"/>
        <w:gridCol w:w="3058"/>
        <w:gridCol w:w="321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-300,459,248.82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18,331,496.56</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）本期收到的处置子公司的现金净额</w:t>
      </w:r>
      <w:bookmarkEnd w:id="1337"/>
      <w:bookmarkEnd w:id="1338"/>
      <w:bookmarkEnd w:id="1339"/>
    </w:p>
    <w:tbl>
      <w:tblPr>
        <w:tblOverlap w:val="never"/>
        <w:jc w:val="center"/>
        <w:tblLayout w:type="fixed"/>
      </w:tblPr>
      <w:tblGrid>
        <w:gridCol w:w="3374"/>
        <w:gridCol w:w="3058"/>
        <w:gridCol w:w="3278"/>
      </w:tblGrid>
      <w:tr>
        <w:trPr>
          <w:trHeight w:val="326"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gridSpan w:val="3"/>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2,400,001.00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武汉中元惠合科技有限公司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2,400,000.00</w:t>
            </w:r>
          </w:p>
        </w:tc>
      </w:tr>
      <w:tr>
        <w:trPr>
          <w:trHeight w:val="403" w:hRule="exact"/>
        </w:trPr>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611,435.08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广州埃克森生物科技有限公司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410,809.55</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武汉中元惠合科技有限公司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200,625.53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1,788,565.92</w:t>
            </w:r>
          </w:p>
        </w:tc>
      </w:tr>
      <w:tr>
        <w:trPr>
          <w:trHeight w:val="127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1340" w:name="bookmark1340"/>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）现金和现金等价物的构成</w:t>
            </w:r>
            <w:bookmarkEnd w:id="134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245,881,090.88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546,340,339.70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259,512.67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142,841.80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245,621,578.21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546,197,497.90</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245,881,090.88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546,340,339.70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sz w:val="24"/>
          <w:szCs w:val="24"/>
        </w:rPr>
        <w:t>5</w:t>
      </w:r>
      <w:bookmarkEnd w:id="1343"/>
      <w:r>
        <w:rPr>
          <w:rFonts w:ascii="Times New Roman" w:eastAsia="Times New Roman" w:hAnsi="Times New Roman" w:cs="Times New Roman"/>
          <w:color w:val="000000"/>
          <w:spacing w:val="0"/>
          <w:w w:val="100"/>
          <w:position w:val="0"/>
          <w:sz w:val="24"/>
          <w:szCs w:val="24"/>
        </w:rPr>
        <w:t>7</w:t>
      </w:r>
      <w:r>
        <w:rPr>
          <w:color w:val="000000"/>
          <w:spacing w:val="0"/>
          <w:w w:val="100"/>
          <w:position w:val="0"/>
        </w:rPr>
        <w:t>、所有权或使用权受到限制的资产</w:t>
      </w:r>
      <w:bookmarkEnd w:id="1341"/>
      <w:bookmarkEnd w:id="1342"/>
      <w:bookmarkEnd w:id="13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488"/>
        <w:gridCol w:w="6485"/>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4,788,157.55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银行承兑汇票保证金、保函保证金、履约保证金及借款保证金</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54,788,157.55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sz w:val="24"/>
          <w:szCs w:val="24"/>
        </w:rPr>
        <w:t>5</w:t>
      </w:r>
      <w:bookmarkEnd w:id="1347"/>
      <w:r>
        <w:rPr>
          <w:rFonts w:ascii="Times New Roman" w:eastAsia="Times New Roman" w:hAnsi="Times New Roman" w:cs="Times New Roman"/>
          <w:color w:val="000000"/>
          <w:spacing w:val="0"/>
          <w:w w:val="100"/>
          <w:position w:val="0"/>
          <w:sz w:val="24"/>
          <w:szCs w:val="24"/>
        </w:rPr>
        <w:t>8</w:t>
      </w:r>
      <w:r>
        <w:rPr>
          <w:color w:val="000000"/>
          <w:spacing w:val="0"/>
          <w:w w:val="100"/>
          <w:position w:val="0"/>
        </w:rPr>
        <w:t>、政府补助</w:t>
      </w:r>
      <w:bookmarkEnd w:id="1345"/>
      <w:bookmarkEnd w:id="1346"/>
      <w:bookmarkEnd w:id="1348"/>
    </w:p>
    <w:p>
      <w:pPr>
        <w:pStyle w:val="Style46"/>
        <w:keepNext/>
        <w:keepLines/>
        <w:widowControl w:val="0"/>
        <w:shd w:val="clear" w:color="auto" w:fill="auto"/>
        <w:bidi w:val="0"/>
        <w:spacing w:before="0" w:after="34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）政府补助基本情况</w:t>
      </w:r>
      <w:bookmarkEnd w:id="1349"/>
      <w:bookmarkEnd w:id="1350"/>
      <w:bookmarkEnd w:id="13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90"/>
        <w:gridCol w:w="240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列报项目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计入当期损益的金额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高企认定补贴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知识产权优势企业奖励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省级科技创新专项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创新省份建设资金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1,062,548.40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1,062,548.40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5,635,643.14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5,635,643.14</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132,377.46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132,377.46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1,942,163.45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1,942,163.45</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544,841.44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544,841.44</w:t>
            </w:r>
          </w:p>
        </w:tc>
      </w:tr>
    </w:tbl>
    <w:p>
      <w:pPr>
        <w:sectPr>
          <w:footnotePr>
            <w:pos w:val="pageBottom"/>
            <w:numFmt w:val="decimal"/>
            <w:numRestart w:val="continuous"/>
          </w:footnotePr>
          <w:pgSz w:w="11900" w:h="16840"/>
          <w:pgMar w:top="1441" w:right="1066" w:bottom="1460" w:left="1057" w:header="0" w:footer="3" w:gutter="0"/>
          <w:cols w:space="720"/>
          <w:noEndnote/>
          <w:rtlGutter w:val="0"/>
          <w:docGrid w:linePitch="360"/>
        </w:sectPr>
      </w:pPr>
    </w:p>
    <w:p>
      <w:pPr>
        <w:pStyle w:val="Style29"/>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八</w:t>
      </w:r>
      <w:bookmarkEnd w:id="1354"/>
      <w:r>
        <w:rPr>
          <w:color w:val="000000"/>
          <w:spacing w:val="0"/>
          <w:w w:val="100"/>
          <w:position w:val="0"/>
        </w:rPr>
        <w:t>、合并范围的变更</w:t>
      </w:r>
      <w:bookmarkEnd w:id="1352"/>
      <w:bookmarkEnd w:id="1353"/>
      <w:bookmarkEnd w:id="1355"/>
    </w:p>
    <w:p>
      <w:pPr>
        <w:pStyle w:val="Style32"/>
        <w:keepNext/>
        <w:keepLines/>
        <w:widowControl w:val="0"/>
        <w:shd w:val="clear" w:color="auto" w:fill="auto"/>
        <w:bidi w:val="0"/>
        <w:spacing w:before="0" w:after="44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、处置子公司</w:t>
      </w:r>
      <w:bookmarkEnd w:id="1356"/>
      <w:bookmarkEnd w:id="1357"/>
      <w:bookmarkEnd w:id="1358"/>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051"/>
        <w:gridCol w:w="1157"/>
        <w:gridCol w:w="1027"/>
        <w:gridCol w:w="1027"/>
        <w:gridCol w:w="1027"/>
        <w:gridCol w:w="1027"/>
        <w:gridCol w:w="1157"/>
        <w:gridCol w:w="1027"/>
        <w:gridCol w:w="1157"/>
        <w:gridCol w:w="1162"/>
        <w:gridCol w:w="1157"/>
        <w:gridCol w:w="1032"/>
        <w:gridCol w:w="1032"/>
      </w:tblGrid>
      <w:tr>
        <w:trPr>
          <w:trHeight w:val="228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丧失控制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丧失控制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权时点的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丧失控制</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权之日剩</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余股权的</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按照公允价</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值重新计量</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剩余股权产 生的利得或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与原子公 司股权投 资相关的 其他综合 收益转入 投资损益 的金额</w:t>
            </w:r>
          </w:p>
        </w:tc>
      </w:tr>
      <w:tr>
        <w:trPr>
          <w:trHeight w:val="133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广州埃克</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森生物科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控制权变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2,614,119.92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惠合科技</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控制权变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2,679,925.63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1,161,604.02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1,238,395.98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出售股权 的交易价 格</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00" w:line="240"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32"/>
        <w:keepNext/>
        <w:keepLines/>
        <w:widowControl w:val="0"/>
        <w:shd w:val="clear" w:color="auto" w:fill="auto"/>
        <w:bidi w:val="0"/>
        <w:spacing w:before="0" w:after="460" w:line="240" w:lineRule="auto"/>
        <w:ind w:left="0" w:right="0" w:firstLine="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、其他原因的合并范围变动</w:t>
      </w:r>
      <w:bookmarkEnd w:id="1359"/>
      <w:bookmarkEnd w:id="1360"/>
      <w:bookmarkEnd w:id="1361"/>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本年度子公司江苏世轩科技股份有限公司注销全资子公司南京鸣珂软件技术有限公司。</w:t>
      </w:r>
    </w:p>
    <w:p>
      <w:pPr>
        <w:pStyle w:val="Style29"/>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九</w:t>
      </w:r>
      <w:bookmarkEnd w:id="1364"/>
      <w:r>
        <w:rPr>
          <w:color w:val="000000"/>
          <w:spacing w:val="0"/>
          <w:w w:val="100"/>
          <w:position w:val="0"/>
        </w:rPr>
        <w:t>、在其他主体中的权益</w:t>
      </w:r>
      <w:bookmarkEnd w:id="1362"/>
      <w:bookmarkEnd w:id="1363"/>
      <w:bookmarkEnd w:id="1365"/>
    </w:p>
    <w:p>
      <w:pPr>
        <w:pStyle w:val="Style32"/>
        <w:keepNext/>
        <w:keepLines/>
        <w:widowControl w:val="0"/>
        <w:shd w:val="clear" w:color="auto" w:fill="auto"/>
        <w:bidi w:val="0"/>
        <w:spacing w:before="0" w:after="34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bookmarkEnd w:id="1366"/>
      <w:bookmarkEnd w:id="1367"/>
      <w:bookmarkEnd w:id="1368"/>
    </w:p>
    <w:p>
      <w:pPr>
        <w:pStyle w:val="Style46"/>
        <w:keepNext/>
        <w:keepLines/>
        <w:widowControl w:val="0"/>
        <w:shd w:val="clear" w:color="auto" w:fill="auto"/>
        <w:bidi w:val="0"/>
        <w:spacing w:before="0" w:after="34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）企业集团的构成</w:t>
      </w:r>
      <w:bookmarkEnd w:id="1369"/>
      <w:bookmarkEnd w:id="1370"/>
      <w:bookmarkEnd w:id="1371"/>
    </w:p>
    <w:tbl>
      <w:tblPr>
        <w:tblOverlap w:val="never"/>
        <w:jc w:val="center"/>
        <w:tblLayout w:type="fixed"/>
      </w:tblPr>
      <w:tblGrid>
        <w:gridCol w:w="4162"/>
        <w:gridCol w:w="1699"/>
        <w:gridCol w:w="1704"/>
        <w:gridCol w:w="2405"/>
        <w:gridCol w:w="1282"/>
        <w:gridCol w:w="1128"/>
        <w:gridCol w:w="1661"/>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取得方式</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间接</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武汉中元华电电力设备有限公司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成都集众软件有限公司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生物制药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合肥康丞生物科技有限公司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江苏世轩科技股份有限公司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常州高新医疗服务有限公司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电力设备制造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广州穗华能源互联网研究院有限公司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中元汇（武汉）产业投资有限公司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合肥禾沃商贸有限责任公司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医疗软件研发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ectPr>
          <w:footnotePr>
            <w:pos w:val="pageBottom"/>
            <w:numFmt w:val="decimal"/>
            <w:numRestart w:val="continuous"/>
          </w:footnotePr>
          <w:pgSz w:w="16840" w:h="11900" w:orient="landscape"/>
          <w:pgMar w:top="1145" w:right="1407" w:bottom="1529" w:left="1393" w:header="0" w:footer="3" w:gutter="0"/>
          <w:cols w:space="720"/>
          <w:noEndnote/>
          <w:rtlGutter w:val="0"/>
          <w:docGrid w:linePitch="360"/>
        </w:sectPr>
      </w:pPr>
    </w:p>
    <w:p>
      <w:pPr>
        <w:pStyle w:val="Style18"/>
        <w:keepNext w:val="0"/>
        <w:keepLines w:val="0"/>
        <w:widowControl w:val="0"/>
        <w:shd w:val="clear" w:color="auto" w:fill="auto"/>
        <w:tabs>
          <w:tab w:pos="4070" w:val="left"/>
          <w:tab w:pos="5774" w:val="left"/>
          <w:tab w:pos="7474" w:val="left"/>
          <w:tab w:pos="9883" w:val="left"/>
          <w:tab w:pos="11160" w:val="left"/>
          <w:tab w:pos="11630" w:val="left"/>
        </w:tabs>
        <w:bidi w:val="0"/>
        <w:spacing w:before="0" w:after="0" w:line="394" w:lineRule="exact"/>
        <w:ind w:left="0" w:right="0" w:firstLine="0"/>
        <w:jc w:val="right"/>
        <w:rPr>
          <w:sz w:val="20"/>
          <w:szCs w:val="20"/>
        </w:rPr>
      </w:pPr>
      <w:r>
        <w:rPr>
          <w:color w:val="000000"/>
          <w:spacing w:val="0"/>
          <w:w w:val="100"/>
          <w:position w:val="0"/>
          <w:sz w:val="17"/>
          <w:szCs w:val="17"/>
          <w:u w:val="single"/>
        </w:rPr>
        <w:t>武汉中元华电科技股份有限公司</w:t>
      </w:r>
      <w:r>
        <w:rPr>
          <w:rFonts w:ascii="Times New Roman" w:eastAsia="Times New Roman" w:hAnsi="Times New Roman" w:cs="Times New Roman"/>
          <w:color w:val="000000"/>
          <w:spacing w:val="0"/>
          <w:w w:val="100"/>
          <w:position w:val="0"/>
          <w:sz w:val="18"/>
          <w:szCs w:val="18"/>
          <w:u w:val="single"/>
        </w:rPr>
        <w:t>2021</w:t>
      </w:r>
      <w:r>
        <w:rPr>
          <w:color w:val="000000"/>
          <w:spacing w:val="0"/>
          <w:w w:val="100"/>
          <w:position w:val="0"/>
          <w:sz w:val="17"/>
          <w:szCs w:val="17"/>
          <w:u w:val="single"/>
        </w:rPr>
        <w:t xml:space="preserve">年年度报告全文 </w:t>
      </w:r>
      <w:r>
        <w:rPr>
          <w:color w:val="000000"/>
          <w:spacing w:val="0"/>
          <w:w w:val="100"/>
          <w:position w:val="0"/>
          <w:sz w:val="20"/>
          <w:szCs w:val="20"/>
        </w:rPr>
        <w:t>中元健康（广州）软件有限公司</w:t>
        <w:tab/>
        <w:t>，广州</w:t>
        <w:tab/>
        <w:t>|广州</w:t>
        <w:tab/>
        <w:t>医疗软件研发</w:t>
        <w:tab/>
        <w:t>|</w:t>
        <w:tab/>
      </w:r>
      <w:r>
        <w:rPr>
          <w:rFonts w:ascii="Times New Roman" w:eastAsia="Times New Roman" w:hAnsi="Times New Roman" w:cs="Times New Roman"/>
          <w:color w:val="000000"/>
          <w:spacing w:val="0"/>
          <w:w w:val="100"/>
          <w:position w:val="0"/>
          <w:sz w:val="20"/>
          <w:szCs w:val="20"/>
        </w:rPr>
        <w:t>|</w:t>
        <w:tab/>
        <w:t>57.80%|</w:t>
      </w:r>
      <w:r>
        <w:rPr>
          <w:color w:val="000000"/>
          <w:spacing w:val="0"/>
          <w:w w:val="100"/>
          <w:position w:val="0"/>
          <w:sz w:val="20"/>
          <w:szCs w:val="20"/>
        </w:rPr>
        <w:t>设立</w:t>
      </w:r>
    </w:p>
    <w:p>
      <w:pPr>
        <w:pStyle w:val="Style18"/>
        <w:keepNext w:val="0"/>
        <w:keepLines w:val="0"/>
        <w:widowControl w:val="0"/>
        <w:shd w:val="clear" w:color="auto" w:fill="auto"/>
        <w:bidi w:val="0"/>
        <w:spacing w:before="0" w:after="0" w:line="442" w:lineRule="exact"/>
        <w:ind w:left="0" w:right="0" w:firstLine="520"/>
        <w:jc w:val="left"/>
      </w:pPr>
      <w:r>
        <w:rPr>
          <w:color w:val="000000"/>
          <w:spacing w:val="0"/>
          <w:w w:val="100"/>
          <w:position w:val="0"/>
        </w:rPr>
        <w:t>其他说明：</w:t>
      </w:r>
    </w:p>
    <w:p>
      <w:pPr>
        <w:pStyle w:val="Style18"/>
        <w:keepNext w:val="0"/>
        <w:keepLines w:val="0"/>
        <w:widowControl w:val="0"/>
        <w:shd w:val="clear" w:color="auto" w:fill="auto"/>
        <w:bidi w:val="0"/>
        <w:spacing w:before="0" w:after="0" w:line="442"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：成都集众软件有限公司为子公司成都智达电力自动控制有限公司投资设立的全资子公司，广州穗华能源互联网研究院有限公 司为子公司广州穗华能源科技有限公司投资设立的全资子公司，常州高新医疗服务有限公司为子公司江苏世轩科技股份有限公司投资 设立的非全资子公司，合肥康丞生物科技有限公司为子公司安徽大千生物工程有限公司投资设立的非全资子公司，合肥禾沃商贸有限 责任公司为子公司安徽大千生物工程有限公司收购的全资子公司，中元健康（广州）软件有限公司为子公司中元健康科技有限公司投 资设立的非全资子公司。</w:t>
      </w:r>
    </w:p>
    <w:p>
      <w:pPr>
        <w:pStyle w:val="Style18"/>
        <w:keepNext w:val="0"/>
        <w:keepLines w:val="0"/>
        <w:widowControl w:val="0"/>
        <w:shd w:val="clear" w:color="auto" w:fill="auto"/>
        <w:bidi w:val="0"/>
        <w:spacing w:before="0" w:after="160" w:line="466"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：根据常州高新医疗服务有限公司的章程及合资协议规定，董事会成员</w:t>
      </w:r>
      <w:r>
        <w:rPr>
          <w:rFonts w:ascii="Times New Roman" w:eastAsia="Times New Roman" w:hAnsi="Times New Roman" w:cs="Times New Roman"/>
          <w:color w:val="000000"/>
          <w:spacing w:val="0"/>
          <w:w w:val="100"/>
          <w:position w:val="0"/>
        </w:rPr>
        <w:t>3</w:t>
      </w:r>
      <w:r>
        <w:rPr>
          <w:color w:val="000000"/>
          <w:spacing w:val="0"/>
          <w:w w:val="100"/>
          <w:position w:val="0"/>
        </w:rPr>
        <w:t>名，其中江苏世轩科技股份有限公司拥有</w:t>
      </w:r>
      <w:r>
        <w:rPr>
          <w:rFonts w:ascii="Times New Roman" w:eastAsia="Times New Roman" w:hAnsi="Times New Roman" w:cs="Times New Roman"/>
          <w:color w:val="000000"/>
          <w:spacing w:val="0"/>
          <w:w w:val="100"/>
          <w:position w:val="0"/>
        </w:rPr>
        <w:t>2</w:t>
      </w:r>
      <w:r>
        <w:rPr>
          <w:color w:val="000000"/>
          <w:spacing w:val="0"/>
          <w:w w:val="100"/>
          <w:position w:val="0"/>
        </w:rPr>
        <w:t>名，且由江 苏世轩科技股份有限公司推荐董事担任法人代表，江苏世轩科技股份有限公司拥有常州高新医疗服务有限公司的控制权。</w:t>
      </w:r>
    </w:p>
    <w:p>
      <w:pPr>
        <w:pStyle w:val="Style46"/>
        <w:keepNext/>
        <w:keepLines/>
        <w:widowControl w:val="0"/>
        <w:shd w:val="clear" w:color="auto" w:fill="auto"/>
        <w:bidi w:val="0"/>
        <w:spacing w:before="0" w:after="220" w:line="442" w:lineRule="exact"/>
        <w:ind w:left="0" w:right="0" w:firstLine="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）重要的非全资子公司</w:t>
      </w:r>
      <w:bookmarkEnd w:id="1372"/>
      <w:bookmarkEnd w:id="1373"/>
      <w:bookmarkEnd w:id="1374"/>
    </w:p>
    <w:p>
      <w:pPr>
        <w:pStyle w:val="Style18"/>
        <w:keepNext w:val="0"/>
        <w:keepLines w:val="0"/>
        <w:widowControl w:val="0"/>
        <w:shd w:val="clear" w:color="auto" w:fill="auto"/>
        <w:bidi w:val="0"/>
        <w:spacing w:before="0" w:after="60" w:line="394" w:lineRule="exact"/>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3019"/>
        <w:gridCol w:w="1733"/>
        <w:gridCol w:w="2578"/>
        <w:gridCol w:w="2995"/>
        <w:gridCol w:w="2160"/>
      </w:tblGrid>
      <w:tr>
        <w:trPr>
          <w:trHeight w:val="77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本期向少数股东宣告分派的股利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成都智达电力自动控制有限公司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3,821,569.01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26,639,000.07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安徽大千生物工程有限公司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2,847,795.28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16,343,869.92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广州穗华能源科技有限公司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-4,973,609.51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16,594,957.65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常州高新医疗服务有限公司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-1,719,679.04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2,744,437.86</w:t>
            </w:r>
          </w:p>
        </w:tc>
      </w:tr>
      <w:tr>
        <w:trPr>
          <w:trHeight w:val="408"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中元健康（广州）软件有限公司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-559,155.82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130,094.47</w:t>
            </w:r>
          </w:p>
        </w:tc>
      </w:tr>
    </w:tbl>
    <w:p>
      <w:pPr>
        <w:pStyle w:val="Style25"/>
        <w:keepNext w:val="0"/>
        <w:keepLines w:val="0"/>
        <w:widowControl w:val="0"/>
        <w:shd w:val="clear" w:color="auto" w:fill="auto"/>
        <w:bidi w:val="0"/>
        <w:spacing w:before="0" w:after="0" w:line="240" w:lineRule="auto"/>
        <w:ind w:left="48" w:right="0" w:firstLine="0"/>
        <w:jc w:val="left"/>
        <w:rPr>
          <w:sz w:val="22"/>
          <w:szCs w:val="22"/>
        </w:rPr>
      </w:pPr>
      <w:bookmarkStart w:id="1375" w:name="bookmark1375"/>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）重要非全资子公司的主要财务信息</w:t>
      </w:r>
      <w:bookmarkEnd w:id="1375"/>
    </w:p>
    <w:p>
      <w:pPr>
        <w:widowControl w:val="0"/>
        <w:spacing w:after="339" w:line="1" w:lineRule="exact"/>
      </w:pPr>
    </w:p>
    <w:p>
      <w:pPr>
        <w:pStyle w:val="Style18"/>
        <w:keepNext w:val="0"/>
        <w:keepLines w:val="0"/>
        <w:widowControl w:val="0"/>
        <w:shd w:val="clear" w:color="auto" w:fill="auto"/>
        <w:bidi w:val="0"/>
        <w:spacing w:before="0" w:after="120" w:line="240" w:lineRule="auto"/>
        <w:ind w:left="0" w:right="0" w:firstLine="0"/>
        <w:jc w:val="right"/>
        <w:rPr>
          <w:sz w:val="20"/>
          <w:szCs w:val="20"/>
        </w:rPr>
        <w:sectPr>
          <w:footnotePr>
            <w:pos w:val="pageBottom"/>
            <w:numFmt w:val="decimal"/>
            <w:numRestart w:val="continuous"/>
          </w:footnotePr>
          <w:pgSz w:w="16840" w:h="11900" w:orient="landscape"/>
          <w:pgMar w:top="678" w:right="1417" w:bottom="1156" w:left="1393" w:header="0" w:footer="3" w:gutter="0"/>
          <w:cols w:space="720"/>
          <w:noEndnote/>
          <w:rtlGutter w:val="0"/>
          <w:docGrid w:linePitch="360"/>
        </w:sectPr>
      </w:pPr>
      <w:r>
        <w:rPr>
          <w:color w:val="000000"/>
          <w:spacing w:val="0"/>
          <w:w w:val="100"/>
          <w:position w:val="0"/>
          <w:sz w:val="20"/>
          <w:szCs w:val="20"/>
        </w:rPr>
        <w:t>单位：元</w:t>
      </w:r>
    </w:p>
    <w:tbl>
      <w:tblPr>
        <w:tblOverlap w:val="never"/>
        <w:jc w:val="center"/>
        <w:tblLayout w:type="fixed"/>
      </w:tblPr>
      <w:tblGrid>
        <w:gridCol w:w="1027"/>
        <w:gridCol w:w="1094"/>
        <w:gridCol w:w="1090"/>
        <w:gridCol w:w="1090"/>
        <w:gridCol w:w="1094"/>
        <w:gridCol w:w="1003"/>
        <w:gridCol w:w="1090"/>
        <w:gridCol w:w="1094"/>
        <w:gridCol w:w="1090"/>
        <w:gridCol w:w="1090"/>
        <w:gridCol w:w="1090"/>
        <w:gridCol w:w="1094"/>
        <w:gridCol w:w="1094"/>
      </w:tblGrid>
      <w:tr>
        <w:trPr>
          <w:trHeight w:val="437"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成都智达电 力自动控制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57,721,162.37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37,401,721.99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95,122,884.36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16,655,575.61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16,757,837.99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80,605,537.44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6,175,128.38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86,780,665.82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17,247,780.85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17,655,528.30</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安徽大千生</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物工程有限</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33,900,730.05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17,201,768.72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51,102,498.77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10,844,229.55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10,844,229.55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34,481,969.65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18,708,314.91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53,190,284.56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9,794,369.61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9,633,333.35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19,427,702.96</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广州埃克森</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生物科技有</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14,937,937.26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764,138.49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15,702,075.75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9,469,577.52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19,469,577.52</w:t>
            </w: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广州穗华能</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源科技有限</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40,858,850.17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1,876,586.31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42,735,436.48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8,784,033.48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13,284,033.48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49,482,657.86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2,599,665.63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52,082,323.49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18,032,884.45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18,032,884.45</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常州高新医</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疗服务有限</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22,113,630.26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22,113,630.26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17,539,567.17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17,539,567.17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22,234,968.93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22,234,968.93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14,794,774.10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14,794,774.10</w:t>
            </w: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中元健康</w:t>
            </w:r>
          </w:p>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（广州）软 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616,650.25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13,730.76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630,381.01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803,474.96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803,474.96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武汉中元惠</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合科技有限</w:t>
            </w:r>
          </w:p>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5,728,815.54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2,407,130.24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8,135,945.78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7,285,031.95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7,285,031.95</w:t>
            </w:r>
          </w:p>
        </w:tc>
      </w:tr>
    </w:tbl>
    <w:p>
      <w:pPr>
        <w:widowControl w:val="0"/>
        <w:spacing w:after="419" w:line="1" w:lineRule="exact"/>
      </w:pPr>
    </w:p>
    <w:p>
      <w:pPr>
        <w:pStyle w:val="Style18"/>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60"/>
        <w:gridCol w:w="1550"/>
        <w:gridCol w:w="1555"/>
        <w:gridCol w:w="1560"/>
        <w:gridCol w:w="1560"/>
        <w:gridCol w:w="1555"/>
        <w:gridCol w:w="1560"/>
        <w:gridCol w:w="1555"/>
        <w:gridCol w:w="1570"/>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r>
    </w:tbl>
    <w:p>
      <w:pPr>
        <w:spacing w:lineRule="exact" w:line="1"/>
        <w:rPr>
          <w:sz w:val="2"/>
          <w:szCs w:val="2"/>
        </w:rPr>
      </w:pPr>
      <w:r>
        <w:br w:type="page"/>
      </w:r>
    </w:p>
    <w:tbl>
      <w:tblPr>
        <w:tblOverlap w:val="never"/>
        <w:jc w:val="center"/>
        <w:tblLayout w:type="fixed"/>
      </w:tblPr>
      <w:tblGrid>
        <w:gridCol w:w="1603"/>
        <w:gridCol w:w="1555"/>
        <w:gridCol w:w="1555"/>
        <w:gridCol w:w="1555"/>
        <w:gridCol w:w="1565"/>
        <w:gridCol w:w="1555"/>
        <w:gridCol w:w="1555"/>
        <w:gridCol w:w="1555"/>
        <w:gridCol w:w="1598"/>
      </w:tblGrid>
      <w:tr>
        <w:trPr>
          <w:trHeight w:val="74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成都智达电力自动 控制有限公司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66,535,371.82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11,239,908.85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11,239,908.85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3,662,414.27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45,066,975.13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5,812,024.91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5,812,024.91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4,098,006.75</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安徽大千生物工程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43,278,906.71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6,495,687.62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6,495,687.62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11,164,464.80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37,815,686.10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5,297,949.56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5,297,949.56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11,395,511.71</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广州埃克森生物科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16,074,268.68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-5,111,570.54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-5,111,570.54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-62,606.20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广州穗华能源科技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25,006,661.78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-8,698,036.04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-8,698,036.04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-2,951,291.57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41,797,450.65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3,051,347.22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3,051,347.22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656,798.38</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常州高新医疗服务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-2,866,131.74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-2,866,131.74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-297,093.77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-297,093.77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中元健康（广州） 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630,097.03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-1,745,669.09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-1,745,669.09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武汉中元惠合科技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4,456,405.94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-3,020,486.81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-3,020,486.81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-5,567,021.69</w:t>
            </w:r>
          </w:p>
        </w:tc>
      </w:tr>
    </w:tbl>
    <w:p>
      <w:pPr>
        <w:sectPr>
          <w:footnotePr>
            <w:pos w:val="pageBottom"/>
            <w:numFmt w:val="decimal"/>
            <w:numRestart w:val="continuous"/>
          </w:footnotePr>
          <w:pgSz w:w="16840" w:h="11900" w:orient="landscape"/>
          <w:pgMar w:top="1101" w:right="1378" w:bottom="1213" w:left="1364" w:header="0" w:footer="3" w:gutter="0"/>
          <w:cols w:space="720"/>
          <w:noEndnote/>
          <w:rtlGutter w:val="0"/>
          <w:docGrid w:linePitch="360"/>
        </w:sectPr>
      </w:pPr>
    </w:p>
    <w:p>
      <w:pPr>
        <w:pStyle w:val="Style32"/>
        <w:keepNext/>
        <w:keepLines/>
        <w:widowControl w:val="0"/>
        <w:shd w:val="clear" w:color="auto" w:fill="auto"/>
        <w:tabs>
          <w:tab w:pos="402" w:val="left"/>
        </w:tabs>
        <w:bidi w:val="0"/>
        <w:spacing w:before="0" w:after="180" w:line="440" w:lineRule="exact"/>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sz w:val="24"/>
          <w:szCs w:val="24"/>
        </w:rPr>
        <w:t>2</w:t>
      </w:r>
      <w:bookmarkEnd w:id="1378"/>
      <w:r>
        <w:rPr>
          <w:color w:val="000000"/>
          <w:spacing w:val="0"/>
          <w:w w:val="100"/>
          <w:position w:val="0"/>
        </w:rPr>
        <w:t>、</w:t>
        <w:tab/>
        <w:t>在子公司的所有者权益份额发生变化且仍控制子公司的交易</w:t>
      </w:r>
      <w:bookmarkEnd w:id="1376"/>
      <w:bookmarkEnd w:id="1377"/>
      <w:bookmarkEnd w:id="1379"/>
    </w:p>
    <w:p>
      <w:pPr>
        <w:pStyle w:val="Style46"/>
        <w:keepNext/>
        <w:keepLines/>
        <w:widowControl w:val="0"/>
        <w:shd w:val="clear" w:color="auto" w:fill="auto"/>
        <w:bidi w:val="0"/>
        <w:spacing w:before="0" w:after="240" w:line="440" w:lineRule="exact"/>
        <w:ind w:left="0" w:right="0" w:firstLine="0"/>
        <w:jc w:val="left"/>
      </w:pPr>
      <w:bookmarkStart w:id="1380" w:name="bookmark1380"/>
      <w:bookmarkStart w:id="1381" w:name="bookmark1381"/>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）在子公司所有者权益份额发生变化的情况说明</w:t>
      </w:r>
      <w:bookmarkEnd w:id="1380"/>
      <w:bookmarkEnd w:id="1381"/>
      <w:bookmarkEnd w:id="1382"/>
    </w:p>
    <w:p>
      <w:pPr>
        <w:pStyle w:val="Style18"/>
        <w:keepNext w:val="0"/>
        <w:keepLines w:val="0"/>
        <w:widowControl w:val="0"/>
        <w:shd w:val="clear" w:color="auto" w:fill="auto"/>
        <w:bidi w:val="0"/>
        <w:spacing w:before="0" w:after="180" w:line="440" w:lineRule="exact"/>
        <w:ind w:left="0" w:right="0" w:firstLine="520"/>
        <w:jc w:val="both"/>
      </w:pPr>
      <w:r>
        <w:rPr>
          <w:color w:val="000000"/>
          <w:spacing w:val="0"/>
          <w:w w:val="100"/>
          <w:position w:val="0"/>
        </w:rPr>
        <w:t>本公司在子公司广州穗华能源科技有限公司的少数股东于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月增资</w:t>
      </w:r>
      <w:r>
        <w:rPr>
          <w:rFonts w:ascii="Times New Roman" w:eastAsia="Times New Roman" w:hAnsi="Times New Roman" w:cs="Times New Roman"/>
          <w:color w:val="000000"/>
          <w:spacing w:val="0"/>
          <w:w w:val="100"/>
          <w:position w:val="0"/>
        </w:rPr>
        <w:t>3,562,400.00</w:t>
      </w:r>
      <w:r>
        <w:rPr>
          <w:color w:val="000000"/>
          <w:spacing w:val="0"/>
          <w:w w:val="100"/>
          <w:position w:val="0"/>
        </w:rPr>
        <w:t>元， 增资后本公司持股比例由</w:t>
      </w:r>
      <w:r>
        <w:rPr>
          <w:rFonts w:ascii="Times New Roman" w:eastAsia="Times New Roman" w:hAnsi="Times New Roman" w:cs="Times New Roman"/>
          <w:color w:val="000000"/>
          <w:spacing w:val="0"/>
          <w:w w:val="100"/>
          <w:position w:val="0"/>
        </w:rPr>
        <w:t>47.66%</w:t>
      </w:r>
      <w:r>
        <w:rPr>
          <w:color w:val="000000"/>
          <w:spacing w:val="0"/>
          <w:w w:val="100"/>
          <w:position w:val="0"/>
        </w:rPr>
        <w:t>变更为</w:t>
      </w:r>
      <w:r>
        <w:rPr>
          <w:rFonts w:ascii="Times New Roman" w:eastAsia="Times New Roman" w:hAnsi="Times New Roman" w:cs="Times New Roman"/>
          <w:color w:val="000000"/>
          <w:spacing w:val="0"/>
          <w:w w:val="100"/>
          <w:position w:val="0"/>
        </w:rPr>
        <w:t>41.38%</w:t>
      </w:r>
      <w:r>
        <w:rPr>
          <w:color w:val="000000"/>
          <w:spacing w:val="0"/>
          <w:w w:val="100"/>
          <w:position w:val="0"/>
        </w:rPr>
        <w:t>，仍为第一大股东，同时在董事会中拥有</w:t>
      </w:r>
      <w:r>
        <w:rPr>
          <w:rFonts w:ascii="Times New Roman" w:eastAsia="Times New Roman" w:hAnsi="Times New Roman" w:cs="Times New Roman"/>
          <w:color w:val="000000"/>
          <w:spacing w:val="0"/>
          <w:w w:val="100"/>
          <w:position w:val="0"/>
        </w:rPr>
        <w:t>2/3</w:t>
      </w:r>
      <w:r>
        <w:rPr>
          <w:color w:val="000000"/>
          <w:spacing w:val="0"/>
          <w:w w:val="100"/>
          <w:position w:val="0"/>
        </w:rPr>
        <w:t>的 席位，本公司仍对广州穗华能源科技有限公司实施控制。本公司的子公司中元健康（广州） 软件有限公司的少数股东于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月增资</w:t>
      </w:r>
      <w:r>
        <w:rPr>
          <w:rFonts w:ascii="Times New Roman" w:eastAsia="Times New Roman" w:hAnsi="Times New Roman" w:cs="Times New Roman"/>
          <w:color w:val="000000"/>
          <w:spacing w:val="0"/>
          <w:w w:val="100"/>
          <w:position w:val="0"/>
        </w:rPr>
        <w:t>300,000.00</w:t>
      </w:r>
      <w:r>
        <w:rPr>
          <w:color w:val="000000"/>
          <w:spacing w:val="0"/>
          <w:w w:val="100"/>
          <w:position w:val="0"/>
        </w:rPr>
        <w:t>元，增资后本公司持股比例由</w:t>
      </w:r>
      <w:r>
        <w:rPr>
          <w:rFonts w:ascii="Times New Roman" w:eastAsia="Times New Roman" w:hAnsi="Times New Roman" w:cs="Times New Roman"/>
          <w:color w:val="000000"/>
          <w:spacing w:val="0"/>
          <w:w w:val="100"/>
          <w:position w:val="0"/>
        </w:rPr>
        <w:t>69.35%</w:t>
      </w:r>
      <w:r>
        <w:rPr>
          <w:color w:val="000000"/>
          <w:spacing w:val="0"/>
          <w:w w:val="100"/>
          <w:position w:val="0"/>
        </w:rPr>
        <w:t xml:space="preserve">变更 </w:t>
      </w:r>
      <w:r>
        <w:rPr>
          <w:rFonts w:ascii="Times New Roman" w:eastAsia="Times New Roman" w:hAnsi="Times New Roman" w:cs="Times New Roman"/>
          <w:color w:val="000000"/>
          <w:spacing w:val="0"/>
          <w:w w:val="100"/>
          <w:position w:val="0"/>
        </w:rPr>
        <w:t>57.80%</w:t>
      </w:r>
      <w:r>
        <w:rPr>
          <w:color w:val="000000"/>
          <w:spacing w:val="0"/>
          <w:w w:val="100"/>
          <w:position w:val="0"/>
        </w:rPr>
        <w:t>，仍对中元健康（广州）软件有限公司实施控制。</w:t>
      </w:r>
    </w:p>
    <w:p>
      <w:pPr>
        <w:pStyle w:val="Style32"/>
        <w:keepNext/>
        <w:keepLines/>
        <w:widowControl w:val="0"/>
        <w:shd w:val="clear" w:color="auto" w:fill="auto"/>
        <w:tabs>
          <w:tab w:pos="402" w:val="left"/>
        </w:tabs>
        <w:bidi w:val="0"/>
        <w:spacing w:before="0" w:after="180" w:line="440" w:lineRule="exact"/>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24"/>
          <w:szCs w:val="24"/>
        </w:rPr>
        <w:t>3</w:t>
      </w:r>
      <w:bookmarkEnd w:id="1385"/>
      <w:r>
        <w:rPr>
          <w:color w:val="000000"/>
          <w:spacing w:val="0"/>
          <w:w w:val="100"/>
          <w:position w:val="0"/>
        </w:rPr>
        <w:t>、</w:t>
        <w:tab/>
        <w:t>在合营安排或联营企业中的权益</w:t>
      </w:r>
      <w:bookmarkEnd w:id="1383"/>
      <w:bookmarkEnd w:id="1384"/>
      <w:bookmarkEnd w:id="1386"/>
    </w:p>
    <w:p>
      <w:pPr>
        <w:pStyle w:val="Style46"/>
        <w:keepNext/>
        <w:keepLines/>
        <w:widowControl w:val="0"/>
        <w:shd w:val="clear" w:color="auto" w:fill="auto"/>
        <w:bidi w:val="0"/>
        <w:spacing w:before="0" w:after="320" w:line="440" w:lineRule="exact"/>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）重要的合营企业或联营企业</w:t>
      </w:r>
      <w:bookmarkEnd w:id="1387"/>
      <w:bookmarkEnd w:id="1388"/>
      <w:bookmarkEnd w:id="1389"/>
    </w:p>
    <w:tbl>
      <w:tblPr>
        <w:tblOverlap w:val="never"/>
        <w:jc w:val="center"/>
        <w:tblLayout w:type="fixed"/>
      </w:tblPr>
      <w:tblGrid>
        <w:gridCol w:w="1406"/>
        <w:gridCol w:w="1387"/>
        <w:gridCol w:w="1382"/>
        <w:gridCol w:w="1387"/>
        <w:gridCol w:w="1382"/>
        <w:gridCol w:w="1382"/>
        <w:gridCol w:w="1421"/>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合营企业或联</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湖北中元九派 产业投资基金 合伙企业（有</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武汉中元九派</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产业投资管理</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合肥沃兴生物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合肥正雅生物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非证券类投资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）重要合营企业的主要财务信息</w:t>
      </w:r>
      <w:bookmarkEnd w:id="1390"/>
      <w:bookmarkEnd w:id="1391"/>
      <w:bookmarkEnd w:id="13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6"/>
        <w:gridCol w:w="3182"/>
        <w:gridCol w:w="319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71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湖北中元九派产业投资基金合伙 企业（有限合伙）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湖北中元九派产业投资基金合伙 企业（有限合伙）</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16,028,160.84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103,782,796.01</w:t>
            </w:r>
          </w:p>
        </w:tc>
      </w:tr>
    </w:tbl>
    <w:p>
      <w:pPr>
        <w:widowControl w:val="0"/>
        <w:spacing w:line="1" w:lineRule="exact"/>
      </w:pPr>
      <w:r>
        <w:br w:type="page"/>
      </w:r>
    </w:p>
    <w:tbl>
      <w:tblPr>
        <w:tblOverlap w:val="never"/>
        <w:jc w:val="center"/>
        <w:tblLayout w:type="fixed"/>
      </w:tblPr>
      <w:tblGrid>
        <w:gridCol w:w="3206"/>
        <w:gridCol w:w="3192"/>
        <w:gridCol w:w="3226"/>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16,028,160.84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103,782,796.01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305,129,895.50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157,903,306.00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321,158,056.34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261,686,102.01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2,528,674.58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18,000.51</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2,528,674.58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318,629,381.76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261,668,101.50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86,029,933.08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70,650,387.41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86,029,933.08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70,650,387.41</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588,118.80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-2,293,523.33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-2,092,690.44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1,476,849.26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3,448,690.44</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56,961,280.26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3,448,690.44</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本年度收到的来自合营企业的股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23"/>
        </w:numPr>
        <w:shd w:val="clear" w:color="auto" w:fill="auto"/>
        <w:bidi w:val="0"/>
        <w:spacing w:before="0" w:after="32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重要联营企业的主要财务信息</w:t>
      </w:r>
      <w:bookmarkEnd w:id="1393"/>
      <w:bookmarkEnd w:id="1394"/>
      <w:bookmarkEnd w:id="13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584"/>
        <w:gridCol w:w="1598"/>
        <w:gridCol w:w="1594"/>
        <w:gridCol w:w="1594"/>
        <w:gridCol w:w="1598"/>
      </w:tblGrid>
      <w:tr>
        <w:trPr>
          <w:trHeight w:val="408" w:hRule="exact"/>
        </w:trPr>
        <w:tc>
          <w:tcPr>
            <w:tcBorders>
              <w:top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1027"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武汉中元九派产</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业投资管理有限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合肥沃兴生物科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技有限公司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合肥正雅生物科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武汉中元九派产</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业投资管理有限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合肥沃兴生物科</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技有限公司</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3,870,166.04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2,851,363.90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1,002,662.23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2,482,825.42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3,666,437.91</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3,015,281.50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3,225,604.56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2,596.79</w:t>
            </w:r>
          </w:p>
        </w:tc>
      </w:tr>
    </w:tbl>
    <w:p>
      <w:pPr>
        <w:widowControl w:val="0"/>
        <w:spacing w:line="1" w:lineRule="exact"/>
      </w:pPr>
      <w:r>
        <w:br w:type="page"/>
      </w:r>
    </w:p>
    <w:tbl>
      <w:tblPr>
        <w:tblOverlap w:val="never"/>
        <w:jc w:val="center"/>
        <w:tblLayout w:type="fixed"/>
      </w:tblPr>
      <w:tblGrid>
        <w:gridCol w:w="1603"/>
        <w:gridCol w:w="1603"/>
        <w:gridCol w:w="1598"/>
        <w:gridCol w:w="1594"/>
        <w:gridCol w:w="1594"/>
        <w:gridCol w:w="1622"/>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6,885,447.54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2,853,526.61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1,002,662.23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5,708,429.98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3,669,034.70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1,597,910.07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2,314,201.10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1,022,606.52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3,167,816.78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1,597,910.07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2,314,201.10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1,022,606.52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3,167,816.78</w:t>
            </w: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归属于母公司股 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5,287,537.47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539,325.51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4,685,823.46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501,217.92</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1,586,261.24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188,763.93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491,295.19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1,405,747.04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175,426.28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 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1,586,261.24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188,763.93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491,295.19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1,405,747.04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175,426.28</w:t>
            </w:r>
          </w:p>
        </w:tc>
      </w:tr>
      <w:tr>
        <w:trPr>
          <w:trHeight w:val="102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存在公开报价的 联营企业权益投 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4,962,871.25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7,172,597.46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7,764,672.36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1,022,128.01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1,939,379.18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362,903.76</w:t>
            </w: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终止经营的净利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1,022,128.01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1,939,379.18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362,903.76</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 自联营企业的股 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keepLines/>
        <w:widowControl w:val="0"/>
        <w:shd w:val="clear" w:color="auto" w:fill="auto"/>
        <w:bidi w:val="0"/>
        <w:spacing w:before="0" w:after="280" w:line="429" w:lineRule="exact"/>
        <w:ind w:left="0" w:right="0" w:firstLine="0"/>
        <w:jc w:val="both"/>
      </w:pPr>
      <w:bookmarkStart w:id="1397" w:name="bookmark1397"/>
      <w:bookmarkStart w:id="1398" w:name="bookmark1398"/>
      <w:bookmarkStart w:id="1399" w:name="bookmark1399"/>
      <w:r>
        <w:rPr>
          <w:color w:val="000000"/>
          <w:spacing w:val="0"/>
          <w:w w:val="100"/>
          <w:position w:val="0"/>
        </w:rPr>
        <w:t>十、与金融工具相关的风险</w:t>
      </w:r>
      <w:bookmarkEnd w:id="1397"/>
      <w:bookmarkEnd w:id="1398"/>
      <w:bookmarkEnd w:id="1399"/>
    </w:p>
    <w:p>
      <w:pPr>
        <w:pStyle w:val="Style18"/>
        <w:keepNext w:val="0"/>
        <w:keepLines w:val="0"/>
        <w:widowControl w:val="0"/>
        <w:shd w:val="clear" w:color="auto" w:fill="auto"/>
        <w:bidi w:val="0"/>
        <w:spacing w:before="0" w:after="220" w:line="429" w:lineRule="exact"/>
        <w:ind w:left="0" w:right="0" w:firstLine="480"/>
        <w:jc w:val="both"/>
      </w:pPr>
      <w:r>
        <w:rPr>
          <w:color w:val="000000"/>
          <w:spacing w:val="0"/>
          <w:w w:val="100"/>
          <w:position w:val="0"/>
        </w:rPr>
        <w:t>本公司的主要金融工具包括银行存款、借款、应收款项、应付款项、应收及应付票据、 交易性金融资产等，各项金融工具的详细情况说明见本附注六。与这些金融工具有关的风险， 以及本公司为降低这些风险所采取的风险管理政策如下所述。本公司管理层对这些风险敞口 进行管理和监控以确保将上述风险控制在限定的范围之内。</w:t>
      </w:r>
    </w:p>
    <w:p>
      <w:pPr>
        <w:pStyle w:val="Style18"/>
        <w:keepNext w:val="0"/>
        <w:keepLines w:val="0"/>
        <w:widowControl w:val="0"/>
        <w:shd w:val="clear" w:color="auto" w:fill="auto"/>
        <w:tabs>
          <w:tab w:pos="895" w:val="left"/>
        </w:tabs>
        <w:bidi w:val="0"/>
        <w:spacing w:before="0" w:after="0" w:line="442" w:lineRule="exact"/>
        <w:ind w:left="0" w:right="0" w:firstLine="480"/>
        <w:jc w:val="both"/>
      </w:pPr>
      <w:bookmarkStart w:id="1400" w:name="bookmark1400"/>
      <w:r>
        <w:rPr>
          <w:rFonts w:ascii="Times New Roman" w:eastAsia="Times New Roman" w:hAnsi="Times New Roman" w:cs="Times New Roman"/>
          <w:color w:val="000000"/>
          <w:spacing w:val="0"/>
          <w:w w:val="100"/>
          <w:position w:val="0"/>
          <w:sz w:val="24"/>
          <w:szCs w:val="24"/>
        </w:rPr>
        <w:t>1</w:t>
      </w:r>
      <w:bookmarkEnd w:id="1400"/>
      <w:r>
        <w:rPr>
          <w:color w:val="000000"/>
          <w:spacing w:val="0"/>
          <w:w w:val="100"/>
          <w:position w:val="0"/>
        </w:rPr>
        <w:t>、</w:t>
        <w:tab/>
        <w:t>各类风险管理目标和政策</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本公司从事风险管理的目标是在风险和收益之间取得适当的平衡，将风险对本公司经营 业绩的负面影响降低到最低水平，使股东及其它权益投资者的利益最大化。基于该风险管理 目标，本公司风险管理的基本策略是确定和分析本公司所面临的各种风险，建立适当的风险 承受底线并进行风险管理，并及时可靠地对各种风险进行监督，将风险控制在限定的范围之 内。</w:t>
      </w:r>
    </w:p>
    <w:p>
      <w:pPr>
        <w:pStyle w:val="Style18"/>
        <w:keepNext w:val="0"/>
        <w:keepLines w:val="0"/>
        <w:widowControl w:val="0"/>
        <w:shd w:val="clear" w:color="auto" w:fill="auto"/>
        <w:tabs>
          <w:tab w:pos="998" w:val="left"/>
        </w:tabs>
        <w:bidi w:val="0"/>
        <w:spacing w:before="0" w:after="0" w:line="442" w:lineRule="exact"/>
        <w:ind w:left="0" w:right="0" w:firstLine="480"/>
        <w:jc w:val="both"/>
      </w:pPr>
      <w:bookmarkStart w:id="1401" w:name="bookmark1401"/>
      <w:r>
        <w:rPr>
          <w:color w:val="000000"/>
          <w:spacing w:val="0"/>
          <w:w w:val="100"/>
          <w:position w:val="0"/>
        </w:rPr>
        <w:t>（</w:t>
      </w:r>
      <w:bookmarkEnd w:id="140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信用风险</w:t>
      </w:r>
    </w:p>
    <w:p>
      <w:pPr>
        <w:pStyle w:val="Style18"/>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公司信用风险主要来自于银行存款和应收款项。其中银行存款主要存放于实力雄厚、信 誉度高的大中型商业银行，不存在重大信用风险。对于应收款项，公司制定了相关政策以控 制信用风险敞口，公司基于对债务人的财务状况、信用记录、从第三方获取担保的可能性等 评估债务人的资信状况。另外，公司定期对债务人信用记录进行监控，对于信用记录不良的 债务人，公司采用书面催款、缩短信用期或取消信用期等方式，确保整体信用风险在可控的 范围之内。</w:t>
      </w:r>
    </w:p>
    <w:p>
      <w:pPr>
        <w:pStyle w:val="Style18"/>
        <w:keepNext w:val="0"/>
        <w:keepLines w:val="0"/>
        <w:widowControl w:val="0"/>
        <w:shd w:val="clear" w:color="auto" w:fill="auto"/>
        <w:tabs>
          <w:tab w:pos="998" w:val="left"/>
        </w:tabs>
        <w:bidi w:val="0"/>
        <w:spacing w:before="0" w:after="0" w:line="442" w:lineRule="exact"/>
        <w:ind w:left="0" w:right="0" w:firstLine="480"/>
        <w:jc w:val="both"/>
      </w:pPr>
      <w:bookmarkStart w:id="1402" w:name="bookmark1402"/>
      <w:r>
        <w:rPr>
          <w:color w:val="000000"/>
          <w:spacing w:val="0"/>
          <w:w w:val="100"/>
          <w:position w:val="0"/>
        </w:rPr>
        <w:t>（</w:t>
      </w:r>
      <w:bookmarkEnd w:id="140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流动风险</w:t>
      </w:r>
    </w:p>
    <w:p>
      <w:pPr>
        <w:pStyle w:val="Style18"/>
        <w:keepNext w:val="0"/>
        <w:keepLines w:val="0"/>
        <w:widowControl w:val="0"/>
        <w:shd w:val="clear" w:color="auto" w:fill="auto"/>
        <w:bidi w:val="0"/>
        <w:spacing w:before="0" w:after="0" w:line="437" w:lineRule="exact"/>
        <w:ind w:left="0" w:right="0" w:firstLine="480"/>
        <w:jc w:val="both"/>
      </w:pPr>
      <w:r>
        <w:rPr>
          <w:color w:val="000000"/>
          <w:spacing w:val="0"/>
          <w:w w:val="100"/>
          <w:position w:val="0"/>
        </w:rPr>
        <w:t>管理流动风险时，本公司保持管理层认为充分的现金及现金等价物并对其进行监控，以 满足本公司经营需要，并降低现金流量波动的影响。</w:t>
      </w:r>
    </w:p>
    <w:p>
      <w:pPr>
        <w:pStyle w:val="Style18"/>
        <w:keepNext w:val="0"/>
        <w:keepLines w:val="0"/>
        <w:widowControl w:val="0"/>
        <w:shd w:val="clear" w:color="auto" w:fill="auto"/>
        <w:tabs>
          <w:tab w:pos="895" w:val="left"/>
        </w:tabs>
        <w:bidi w:val="0"/>
        <w:spacing w:before="0" w:after="0" w:line="442" w:lineRule="exact"/>
        <w:ind w:left="0" w:right="0" w:firstLine="480"/>
        <w:jc w:val="both"/>
      </w:pPr>
      <w:bookmarkStart w:id="1403" w:name="bookmark1403"/>
      <w:r>
        <w:rPr>
          <w:rFonts w:ascii="Times New Roman" w:eastAsia="Times New Roman" w:hAnsi="Times New Roman" w:cs="Times New Roman"/>
          <w:color w:val="000000"/>
          <w:spacing w:val="0"/>
          <w:w w:val="100"/>
          <w:position w:val="0"/>
          <w:sz w:val="24"/>
          <w:szCs w:val="24"/>
        </w:rPr>
        <w:t>2</w:t>
      </w:r>
      <w:bookmarkEnd w:id="1403"/>
      <w:r>
        <w:rPr>
          <w:color w:val="000000"/>
          <w:spacing w:val="0"/>
          <w:w w:val="100"/>
          <w:position w:val="0"/>
        </w:rPr>
        <w:t>、</w:t>
        <w:tab/>
        <w:t>金融资产转移</w:t>
      </w:r>
    </w:p>
    <w:p>
      <w:pPr>
        <w:pStyle w:val="Style18"/>
        <w:keepNext w:val="0"/>
        <w:keepLines w:val="0"/>
        <w:widowControl w:val="0"/>
        <w:shd w:val="clear" w:color="auto" w:fill="auto"/>
        <w:bidi w:val="0"/>
        <w:spacing w:before="0" w:after="180" w:line="443" w:lineRule="exact"/>
        <w:ind w:left="0" w:right="0" w:firstLine="480"/>
        <w:jc w:val="both"/>
      </w:pPr>
      <w:r>
        <w:rPr>
          <w:color w:val="000000"/>
          <w:spacing w:val="0"/>
          <w:w w:val="100"/>
          <w:position w:val="0"/>
        </w:rPr>
        <w:t>截至本年末，本公司已背书尚未到期的银行承兑汇票人民币</w:t>
      </w:r>
      <w:r>
        <w:rPr>
          <w:rFonts w:ascii="Times New Roman" w:eastAsia="Times New Roman" w:hAnsi="Times New Roman" w:cs="Times New Roman"/>
          <w:color w:val="000000"/>
          <w:spacing w:val="0"/>
          <w:w w:val="100"/>
          <w:position w:val="0"/>
          <w:sz w:val="24"/>
          <w:szCs w:val="24"/>
        </w:rPr>
        <w:t>11,676,847.22</w:t>
      </w:r>
      <w:r>
        <w:rPr>
          <w:color w:val="000000"/>
          <w:spacing w:val="0"/>
          <w:w w:val="100"/>
          <w:position w:val="0"/>
        </w:rPr>
        <w:t>元。本公司管 理层认为，上述银行承兑汇票的承兑人分别是大型国有银行及商业银行，票据到期无法兑付 导致本公司继续承担汇票相关信用风险的可能性极低，因此，本公司终止确认已背书未到期 的银行承兑汇票。</w:t>
      </w:r>
    </w:p>
    <w:p>
      <w:pPr>
        <w:pStyle w:val="Style29"/>
        <w:keepNext/>
        <w:keepLines/>
        <w:widowControl w:val="0"/>
        <w:shd w:val="clear" w:color="auto" w:fill="auto"/>
        <w:bidi w:val="0"/>
        <w:spacing w:before="0" w:after="180" w:line="442" w:lineRule="exact"/>
        <w:ind w:left="0" w:right="0" w:firstLine="0"/>
        <w:jc w:val="left"/>
      </w:pPr>
      <w:bookmarkStart w:id="1404" w:name="bookmark1404"/>
      <w:bookmarkStart w:id="1405" w:name="bookmark1405"/>
      <w:bookmarkStart w:id="1406" w:name="bookmark1406"/>
      <w:r>
        <w:rPr>
          <w:color w:val="000000"/>
          <w:spacing w:val="0"/>
          <w:w w:val="100"/>
          <w:position w:val="0"/>
        </w:rPr>
        <w:t>十一、公允价值的披露</w:t>
      </w:r>
      <w:bookmarkEnd w:id="1404"/>
      <w:bookmarkEnd w:id="1405"/>
      <w:bookmarkEnd w:id="1406"/>
    </w:p>
    <w:p>
      <w:pPr>
        <w:pStyle w:val="Style32"/>
        <w:keepNext/>
        <w:keepLines/>
        <w:widowControl w:val="0"/>
        <w:shd w:val="clear" w:color="auto" w:fill="auto"/>
        <w:bidi w:val="0"/>
        <w:spacing w:before="0" w:after="320" w:line="442" w:lineRule="exact"/>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、以公允价值计量的资产和负债的期末公允价值</w:t>
      </w:r>
      <w:bookmarkEnd w:id="1407"/>
      <w:bookmarkEnd w:id="1408"/>
      <w:bookmarkEnd w:id="14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829"/>
        <w:gridCol w:w="1838"/>
        <w:gridCol w:w="2011"/>
        <w:gridCol w:w="1382"/>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第二层次公允价值 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8,229,320.00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8,229,320.00</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188,334,265.97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188,334,265.97</w:t>
            </w:r>
          </w:p>
        </w:tc>
      </w:tr>
    </w:tbl>
    <w:p>
      <w:pPr>
        <w:widowControl w:val="0"/>
        <w:spacing w:line="1" w:lineRule="exact"/>
      </w:pPr>
      <w:r>
        <w:br w:type="page"/>
      </w:r>
    </w:p>
    <w:tbl>
      <w:tblPr>
        <w:tblOverlap w:val="never"/>
        <w:jc w:val="center"/>
        <w:tblLayout w:type="fixed"/>
      </w:tblPr>
      <w:tblGrid>
        <w:gridCol w:w="2611"/>
        <w:gridCol w:w="1848"/>
        <w:gridCol w:w="1838"/>
        <w:gridCol w:w="2021"/>
        <w:gridCol w:w="1373"/>
      </w:tblGrid>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196,563,585.97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196,563,585.97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bookmarkStart w:id="1410" w:name="bookmark1410"/>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、持续和非持续第三层次公允价值计量项目，采用的估值技术和重要参数的定性及定量信息</w:t>
      </w:r>
      <w:bookmarkEnd w:id="1410"/>
    </w:p>
    <w:p>
      <w:pPr>
        <w:widowControl w:val="0"/>
        <w:spacing w:after="259" w:line="1" w:lineRule="exact"/>
      </w:pPr>
    </w:p>
    <w:p>
      <w:pPr>
        <w:pStyle w:val="Style18"/>
        <w:keepNext w:val="0"/>
        <w:keepLines w:val="0"/>
        <w:widowControl w:val="0"/>
        <w:shd w:val="clear" w:color="auto" w:fill="auto"/>
        <w:bidi w:val="0"/>
        <w:spacing w:before="0" w:after="180" w:line="440" w:lineRule="exact"/>
        <w:ind w:left="0" w:right="0" w:firstLine="520"/>
        <w:jc w:val="both"/>
      </w:pPr>
      <w:r>
        <w:rPr>
          <w:color w:val="000000"/>
          <w:spacing w:val="0"/>
          <w:w w:val="100"/>
          <w:position w:val="0"/>
        </w:rPr>
        <w:t>本公司第三层次公允价值计量项目包括其他权益工具投资和应收款项融资，其他权益工 具投资系公司持有无控制、共同控制和重大影响的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股权投资，本公司采用估值技术确 认其公允价值，采用的估值模型主要为市场可比公司模型。所使用的输入值主要包括：市盈 率，净利润和缺乏流动性折扣。应收款项融资系公司持有的银行承兑汇票，由于票据剩余期 限较短，账面价值与公允价值接近，所以公司以票面金额确认公允价值。</w:t>
      </w:r>
    </w:p>
    <w:p>
      <w:pPr>
        <w:pStyle w:val="Style29"/>
        <w:keepNext/>
        <w:keepLines/>
        <w:widowControl w:val="0"/>
        <w:shd w:val="clear" w:color="auto" w:fill="auto"/>
        <w:bidi w:val="0"/>
        <w:spacing w:before="0" w:after="360"/>
        <w:ind w:left="0" w:right="0" w:firstLine="0"/>
        <w:jc w:val="left"/>
      </w:pPr>
      <w:bookmarkStart w:id="1411" w:name="bookmark1411"/>
      <w:bookmarkStart w:id="1412" w:name="bookmark1412"/>
      <w:bookmarkStart w:id="1413" w:name="bookmark1413"/>
      <w:r>
        <w:rPr>
          <w:color w:val="000000"/>
          <w:spacing w:val="0"/>
          <w:w w:val="100"/>
          <w:position w:val="0"/>
        </w:rPr>
        <w:t>十二、关联方及关联交易</w:t>
      </w:r>
      <w:bookmarkEnd w:id="1411"/>
      <w:bookmarkEnd w:id="1412"/>
      <w:bookmarkEnd w:id="1413"/>
    </w:p>
    <w:p>
      <w:pPr>
        <w:pStyle w:val="Style32"/>
        <w:keepNext/>
        <w:keepLines/>
        <w:widowControl w:val="0"/>
        <w:shd w:val="clear" w:color="auto" w:fill="auto"/>
        <w:bidi w:val="0"/>
        <w:spacing w:before="0" w:line="384"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、本企业的母公司情况</w:t>
      </w:r>
      <w:bookmarkEnd w:id="1414"/>
      <w:bookmarkEnd w:id="1415"/>
      <w:bookmarkEnd w:id="1416"/>
    </w:p>
    <w:p>
      <w:pPr>
        <w:pStyle w:val="Style18"/>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）实际控制人及最终控制方：</w:t>
      </w:r>
    </w:p>
    <w:p>
      <w:pPr>
        <w:pStyle w:val="Style18"/>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邓志刚、王永业、张小波、刘屹、尹健、卢春明、尹力光、陈志兵</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位自然人为一致行</w:t>
      </w:r>
    </w:p>
    <w:p>
      <w:pPr>
        <w:pStyle w:val="Style25"/>
        <w:keepNext w:val="0"/>
        <w:keepLines w:val="0"/>
        <w:widowControl w:val="0"/>
        <w:shd w:val="clear" w:color="auto" w:fill="auto"/>
        <w:bidi w:val="0"/>
        <w:spacing w:before="0" w:after="220" w:line="240" w:lineRule="auto"/>
        <w:ind w:left="38" w:right="0" w:firstLine="0"/>
        <w:jc w:val="left"/>
        <w:rPr>
          <w:sz w:val="22"/>
          <w:szCs w:val="22"/>
        </w:rPr>
      </w:pPr>
      <w:r>
        <w:rPr>
          <w:color w:val="000000"/>
          <w:spacing w:val="0"/>
          <w:w w:val="100"/>
          <w:position w:val="0"/>
          <w:sz w:val="22"/>
          <w:szCs w:val="22"/>
        </w:rPr>
        <w:t>动人，为本公司实际控制人。</w:t>
      </w:r>
    </w:p>
    <w:p>
      <w:pPr>
        <w:pStyle w:val="Style25"/>
        <w:keepNext w:val="0"/>
        <w:keepLines w:val="0"/>
        <w:widowControl w:val="0"/>
        <w:shd w:val="clear" w:color="auto" w:fill="auto"/>
        <w:bidi w:val="0"/>
        <w:spacing w:before="0" w:after="0" w:line="240" w:lineRule="auto"/>
        <w:ind w:left="38"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）实际控制人的所持股份或权益及其变化</w:t>
      </w:r>
    </w:p>
    <w:tbl>
      <w:tblPr>
        <w:tblOverlap w:val="never"/>
        <w:jc w:val="center"/>
        <w:tblLayout w:type="fixed"/>
      </w:tblPr>
      <w:tblGrid>
        <w:gridCol w:w="1906"/>
        <w:gridCol w:w="2088"/>
        <w:gridCol w:w="2414"/>
        <w:gridCol w:w="1531"/>
        <w:gridCol w:w="1800"/>
      </w:tblGrid>
      <w:tr>
        <w:trPr>
          <w:trHeight w:val="346" w:hRule="exact"/>
        </w:trPr>
        <w:tc>
          <w:tcPr>
            <w:vMerge w:val="restart"/>
            <w:tcBorders>
              <w:top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实际控制人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b/>
                <w:bCs/>
                <w:color w:val="000000"/>
                <w:spacing w:val="0"/>
                <w:w w:val="100"/>
                <w:position w:val="0"/>
              </w:rPr>
              <w:t>％</w:t>
            </w:r>
            <w:r>
              <w:rPr>
                <w:b/>
                <w:bCs/>
                <w:color w:val="000000"/>
                <w:spacing w:val="0"/>
                <w:w w:val="100"/>
                <w:position w:val="0"/>
              </w:rPr>
              <w:t>）</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年初比例</w:t>
            </w:r>
          </w:p>
        </w:tc>
      </w:tr>
      <w:tr>
        <w:trPr>
          <w:trHeight w:val="35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116,545,897.00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116,545,897.00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w:t>
            </w:r>
          </w:p>
        </w:tc>
      </w:tr>
    </w:tbl>
    <w:p>
      <w:pPr>
        <w:widowControl w:val="0"/>
        <w:spacing w:after="319" w:line="1" w:lineRule="exact"/>
      </w:pPr>
    </w:p>
    <w:p>
      <w:pPr>
        <w:pStyle w:val="Style32"/>
        <w:keepNext/>
        <w:keepLines/>
        <w:widowControl w:val="0"/>
        <w:shd w:val="clear" w:color="auto" w:fill="auto"/>
        <w:tabs>
          <w:tab w:pos="402" w:val="left"/>
        </w:tabs>
        <w:bidi w:val="0"/>
        <w:spacing w:before="0" w:after="44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sz w:val="24"/>
          <w:szCs w:val="24"/>
        </w:rPr>
        <w:t>2</w:t>
      </w:r>
      <w:bookmarkEnd w:id="1419"/>
      <w:r>
        <w:rPr>
          <w:color w:val="000000"/>
          <w:spacing w:val="0"/>
          <w:w w:val="100"/>
          <w:position w:val="0"/>
        </w:rPr>
        <w:t>、</w:t>
        <w:tab/>
        <w:t>本企业的子公司情况</w:t>
      </w:r>
      <w:bookmarkEnd w:id="1417"/>
      <w:bookmarkEnd w:id="1418"/>
      <w:bookmarkEnd w:id="1420"/>
    </w:p>
    <w:p>
      <w:pPr>
        <w:pStyle w:val="Style18"/>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、在子公司中的权益。</w:t>
      </w:r>
    </w:p>
    <w:p>
      <w:pPr>
        <w:pStyle w:val="Style32"/>
        <w:keepNext/>
        <w:keepLines/>
        <w:widowControl w:val="0"/>
        <w:shd w:val="clear" w:color="auto" w:fill="auto"/>
        <w:tabs>
          <w:tab w:pos="402" w:val="left"/>
        </w:tabs>
        <w:bidi w:val="0"/>
        <w:spacing w:before="0" w:after="44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sz w:val="24"/>
          <w:szCs w:val="24"/>
        </w:rPr>
        <w:t>3</w:t>
      </w:r>
      <w:bookmarkEnd w:id="1423"/>
      <w:r>
        <w:rPr>
          <w:color w:val="000000"/>
          <w:spacing w:val="0"/>
          <w:w w:val="100"/>
          <w:position w:val="0"/>
        </w:rPr>
        <w:t>、</w:t>
        <w:tab/>
        <w:t>本企业合营和联营企业情况</w:t>
      </w:r>
      <w:bookmarkEnd w:id="1421"/>
      <w:bookmarkEnd w:id="1422"/>
      <w:bookmarkEnd w:id="1424"/>
    </w:p>
    <w:p>
      <w:pPr>
        <w:pStyle w:val="Style18"/>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、在合营安排或联营企业中的权益。</w:t>
      </w:r>
    </w:p>
    <w:p>
      <w:pPr>
        <w:pStyle w:val="Style32"/>
        <w:keepNext/>
        <w:keepLines/>
        <w:widowControl w:val="0"/>
        <w:shd w:val="clear" w:color="auto" w:fill="auto"/>
        <w:tabs>
          <w:tab w:pos="397" w:val="left"/>
        </w:tabs>
        <w:bidi w:val="0"/>
        <w:spacing w:before="0" w:after="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z w:val="24"/>
          <w:szCs w:val="24"/>
        </w:rPr>
        <w:t>4</w:t>
      </w:r>
      <w:bookmarkEnd w:id="1427"/>
      <w:r>
        <w:rPr>
          <w:color w:val="000000"/>
          <w:spacing w:val="0"/>
          <w:w w:val="100"/>
          <w:position w:val="0"/>
        </w:rPr>
        <w:t>、</w:t>
        <w:tab/>
        <w:t>其他关联方情况</w:t>
      </w:r>
      <w:bookmarkEnd w:id="1425"/>
      <w:bookmarkEnd w:id="1426"/>
      <w:bookmarkEnd w:id="1428"/>
    </w:p>
    <w:p>
      <w:pPr>
        <w:widowControl w:val="0"/>
        <w:spacing w:line="1" w:lineRule="exact"/>
        <w:sectPr>
          <w:footnotePr>
            <w:pos w:val="pageBottom"/>
            <w:numFmt w:val="decimal"/>
            <w:numRestart w:val="continuous"/>
          </w:footnotePr>
          <w:pgSz w:w="11900" w:h="16840"/>
          <w:pgMar w:top="1302" w:right="1076" w:bottom="1499" w:left="1075" w:header="0" w:footer="3" w:gutter="0"/>
          <w:cols w:space="720"/>
          <w:noEndnote/>
          <w:rtlGutter w:val="0"/>
          <w:docGrid w:linePitch="360"/>
        </w:sectPr>
      </w:pPr>
      <w:r>
        <mc:AlternateContent>
          <mc:Choice Requires="wps">
            <w:drawing>
              <wp:anchor distT="165100" distB="0" distL="0" distR="0" simplePos="0" relativeHeight="125829394" behindDoc="0" locked="0" layoutInCell="1" allowOverlap="1">
                <wp:simplePos x="0" y="0"/>
                <wp:positionH relativeFrom="page">
                  <wp:posOffset>740410</wp:posOffset>
                </wp:positionH>
                <wp:positionV relativeFrom="paragraph">
                  <wp:posOffset>165100</wp:posOffset>
                </wp:positionV>
                <wp:extent cx="1981200" cy="423545"/>
                <wp:wrapTopAndBottom/>
                <wp:docPr id="19" name="Shape 19"/>
                <a:graphic xmlns:a="http://schemas.openxmlformats.org/drawingml/2006/main">
                  <a:graphicData uri="http://schemas.microsoft.com/office/word/2010/wordprocessingShape">
                    <wps:wsp>
                      <wps:cNvSpPr txBox="1"/>
                      <wps:spPr>
                        <a:xfrm>
                          <a:ext cx="1981200" cy="423545"/>
                        </a:xfrm>
                        <a:prstGeom prst="rect"/>
                        <a:noFill/>
                      </wps:spPr>
                      <wps:txbx>
                        <w:txbxContent>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其他关联方名称</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四川宏业电力公司有限公司</w:t>
                            </w:r>
                          </w:p>
                        </w:txbxContent>
                      </wps:txbx>
                      <wps:bodyPr lIns="0" tIns="0" rIns="0" bIns="0">
                        <a:noAutoFit/>
                      </wps:bodyPr>
                    </wps:wsp>
                  </a:graphicData>
                </a:graphic>
              </wp:anchor>
            </w:drawing>
          </mc:Choice>
          <mc:Fallback>
            <w:pict>
              <v:shape id="_x0000_s1045" type="#_x0000_t202" style="position:absolute;margin-left:58.300000000000004pt;margin-top:13.pt;width:156.pt;height:33.350000000000001pt;z-index:-125829359;mso-wrap-distance-left:0;mso-wrap-distance-top:13.pt;mso-wrap-distance-right:0;mso-position-horizontal-relative:page" filled="f" stroked="f">
                <v:textbox inset="0,0,0,0">
                  <w:txbxContent>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其他关联方名称</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四川宏业电力公司有限公司</w:t>
                      </w:r>
                    </w:p>
                  </w:txbxContent>
                </v:textbox>
                <w10:wrap type="topAndBottom" anchorx="page"/>
              </v:shape>
            </w:pict>
          </mc:Fallback>
        </mc:AlternateContent>
      </w:r>
      <w:r>
        <mc:AlternateContent>
          <mc:Choice Requires="wps">
            <w:drawing>
              <wp:anchor distT="165100" distB="3175" distL="0" distR="0" simplePos="0" relativeHeight="125829396" behindDoc="0" locked="0" layoutInCell="1" allowOverlap="1">
                <wp:simplePos x="0" y="0"/>
                <wp:positionH relativeFrom="page">
                  <wp:posOffset>3766820</wp:posOffset>
                </wp:positionH>
                <wp:positionV relativeFrom="paragraph">
                  <wp:posOffset>165100</wp:posOffset>
                </wp:positionV>
                <wp:extent cx="2261870" cy="420370"/>
                <wp:wrapTopAndBottom/>
                <wp:docPr id="21" name="Shape 21"/>
                <a:graphic xmlns:a="http://schemas.openxmlformats.org/drawingml/2006/main">
                  <a:graphicData uri="http://schemas.microsoft.com/office/word/2010/wordprocessingShape">
                    <wps:wsp>
                      <wps:cNvSpPr txBox="1"/>
                      <wps:spPr>
                        <a:xfrm>
                          <a:ext cx="2261870" cy="420370"/>
                        </a:xfrm>
                        <a:prstGeom prst="rect"/>
                        <a:noFill/>
                      </wps:spPr>
                      <wps:txbx>
                        <w:txbxContent>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其他关联方与本企业关系</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子公司参股股东</w:t>
                            </w:r>
                          </w:p>
                        </w:txbxContent>
                      </wps:txbx>
                      <wps:bodyPr lIns="0" tIns="0" rIns="0" bIns="0">
                        <a:noAutoFit/>
                      </wps:bodyPr>
                    </wps:wsp>
                  </a:graphicData>
                </a:graphic>
              </wp:anchor>
            </w:drawing>
          </mc:Choice>
          <mc:Fallback>
            <w:pict>
              <v:shape id="_x0000_s1047" type="#_x0000_t202" style="position:absolute;margin-left:296.60000000000002pt;margin-top:13.pt;width:178.09999999999999pt;height:33.100000000000001pt;z-index:-125829357;mso-wrap-distance-left:0;mso-wrap-distance-top:13.pt;mso-wrap-distance-right:0;mso-wrap-distance-bottom:0.25pt;mso-position-horizontal-relative:page" filled="f" stroked="f">
                <v:textbox inset="0,0,0,0">
                  <w:txbxContent>
                    <w:p>
                      <w:pPr>
                        <w:pStyle w:val="Style18"/>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其他关联方与本企业关系</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子公司参股股东</w:t>
                      </w:r>
                    </w:p>
                  </w:txbxContent>
                </v:textbox>
                <w10:wrap type="topAndBottom" anchorx="page"/>
              </v:shape>
            </w:pict>
          </mc:Fallback>
        </mc:AlternateContent>
      </w:r>
    </w:p>
    <w:p>
      <w:pPr>
        <w:widowControl w:val="0"/>
        <w:spacing w:line="33" w:lineRule="exact"/>
        <w:rPr>
          <w:sz w:val="3"/>
          <w:szCs w:val="3"/>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3940" w:right="0" w:firstLine="0"/>
        <w:jc w:val="left"/>
        <w:rPr>
          <w:sz w:val="20"/>
          <w:szCs w:val="20"/>
        </w:rPr>
        <w:sectPr>
          <w:footnotePr>
            <w:pos w:val="pageBottom"/>
            <w:numFmt w:val="decimal"/>
            <w:numRestart w:val="continuous"/>
          </w:footnotePr>
          <w:type w:val="continuous"/>
          <w:pgSz w:w="11900" w:h="16840"/>
          <w:pgMar w:top="1441" w:right="1090" w:bottom="1441" w:left="1128" w:header="0" w:footer="3" w:gutter="0"/>
          <w:cols w:space="720"/>
          <w:noEndnote/>
          <w:rtlGutter w:val="0"/>
          <w:docGrid w:linePitch="360"/>
        </w:sectPr>
      </w:pPr>
      <w:r>
        <mc:AlternateContent>
          <mc:Choice Requires="wps">
            <w:drawing>
              <wp:anchor distT="0" distB="0" distL="114300" distR="114300" simplePos="0" relativeHeight="125829398" behindDoc="0" locked="0" layoutInCell="1" allowOverlap="1">
                <wp:simplePos x="0" y="0"/>
                <wp:positionH relativeFrom="page">
                  <wp:posOffset>731520</wp:posOffset>
                </wp:positionH>
                <wp:positionV relativeFrom="paragraph">
                  <wp:posOffset>12700</wp:posOffset>
                </wp:positionV>
                <wp:extent cx="423545" cy="167640"/>
                <wp:wrapSquare wrapText="right"/>
                <wp:docPr id="23" name="Shape 23"/>
                <a:graphic xmlns:a="http://schemas.openxmlformats.org/drawingml/2006/main">
                  <a:graphicData uri="http://schemas.microsoft.com/office/word/2010/wordprocessingShape">
                    <wps:wsp>
                      <wps:cNvSpPr txBox="1"/>
                      <wps:spPr>
                        <a:xfrm>
                          <a:ext cx="4235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芮双印</w:t>
                            </w:r>
                          </w:p>
                        </w:txbxContent>
                      </wps:txbx>
                      <wps:bodyPr wrap="none" lIns="0" tIns="0" rIns="0" bIns="0">
                        <a:noAutoFit/>
                      </wps:bodyPr>
                    </wps:wsp>
                  </a:graphicData>
                </a:graphic>
              </wp:anchor>
            </w:drawing>
          </mc:Choice>
          <mc:Fallback>
            <w:pict>
              <v:shape id="_x0000_s1049" type="#_x0000_t202" style="position:absolute;margin-left:57.600000000000001pt;margin-top:1.pt;width:33.350000000000001pt;height:13.200000000000001pt;z-index:-125829355;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芮双印</w:t>
                      </w:r>
                    </w:p>
                  </w:txbxContent>
                </v:textbox>
                <w10:wrap type="square" side="right" anchorx="page"/>
              </v:shape>
            </w:pict>
          </mc:Fallback>
        </mc:AlternateContent>
      </w:r>
      <w:r>
        <w:rPr>
          <w:color w:val="000000"/>
          <w:spacing w:val="0"/>
          <w:w w:val="100"/>
          <w:position w:val="0"/>
          <w:sz w:val="20"/>
          <w:szCs w:val="20"/>
        </w:rPr>
        <w:t>子公司参股股东</w:t>
      </w:r>
    </w:p>
    <w:p>
      <w:pPr>
        <w:pStyle w:val="Style32"/>
        <w:keepNext/>
        <w:keepLines/>
        <w:widowControl w:val="0"/>
        <w:shd w:val="clear" w:color="auto" w:fill="auto"/>
        <w:bidi w:val="0"/>
        <w:spacing w:before="0" w:after="32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sz w:val="24"/>
          <w:szCs w:val="24"/>
        </w:rPr>
        <w:t>5</w:t>
      </w:r>
      <w:bookmarkEnd w:id="1431"/>
      <w:r>
        <w:rPr>
          <w:color w:val="000000"/>
          <w:spacing w:val="0"/>
          <w:w w:val="100"/>
          <w:position w:val="0"/>
        </w:rPr>
        <w:t>、关联交易情况</w:t>
      </w:r>
      <w:bookmarkEnd w:id="1429"/>
      <w:bookmarkEnd w:id="1430"/>
      <w:bookmarkEnd w:id="1432"/>
    </w:p>
    <w:p>
      <w:pPr>
        <w:pStyle w:val="Style46"/>
        <w:keepNext/>
        <w:keepLines/>
        <w:widowControl w:val="0"/>
        <w:shd w:val="clear" w:color="auto" w:fill="auto"/>
        <w:bidi w:val="0"/>
        <w:spacing w:before="0" w:after="44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）购销商品、提供和接受劳务的关联交易</w:t>
      </w:r>
      <w:bookmarkEnd w:id="1433"/>
      <w:bookmarkEnd w:id="1434"/>
      <w:bookmarkEnd w:id="1435"/>
    </w:p>
    <w:p>
      <w:pPr>
        <w:pStyle w:val="Style1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454"/>
        <w:gridCol w:w="1454"/>
        <w:gridCol w:w="1709"/>
        <w:gridCol w:w="1699"/>
        <w:gridCol w:w="1718"/>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是否超过交易额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四川宏业电力公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3,042,690.31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5,151,917.68</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合肥禾沃商贸有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913,579.74</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合肥沃兴生物科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1,051,375.06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820,940.43</w:t>
            </w: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武汉中元惠合科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44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）关联租赁情况</w:t>
      </w:r>
      <w:bookmarkEnd w:id="1436"/>
      <w:bookmarkEnd w:id="1437"/>
      <w:bookmarkEnd w:id="1438"/>
    </w:p>
    <w:p>
      <w:pPr>
        <w:pStyle w:val="Style1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25"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合肥沃兴生物科技有限公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57,142.86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42,857.12</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）关键管理人员报酬</w:t>
      </w:r>
      <w:bookmarkEnd w:id="1439"/>
      <w:bookmarkEnd w:id="1440"/>
      <w:bookmarkEnd w:id="14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6,559,622.54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6,884,803.15</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24"/>
          <w:szCs w:val="24"/>
        </w:rPr>
        <w:t>6</w:t>
      </w:r>
      <w:bookmarkEnd w:id="1445"/>
      <w:r>
        <w:rPr>
          <w:color w:val="000000"/>
          <w:spacing w:val="0"/>
          <w:w w:val="100"/>
          <w:position w:val="0"/>
        </w:rPr>
        <w:t>、关联方应收应付款项</w:t>
      </w:r>
      <w:bookmarkEnd w:id="1443"/>
      <w:bookmarkEnd w:id="1444"/>
      <w:bookmarkEnd w:id="1446"/>
    </w:p>
    <w:p>
      <w:pPr>
        <w:pStyle w:val="Style46"/>
        <w:keepNext/>
        <w:keepLines/>
        <w:widowControl w:val="0"/>
        <w:shd w:val="clear" w:color="auto" w:fill="auto"/>
        <w:bidi w:val="0"/>
        <w:spacing w:before="0" w:after="32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）应收项目</w:t>
      </w:r>
      <w:bookmarkEnd w:id="1447"/>
      <w:bookmarkEnd w:id="1448"/>
      <w:bookmarkEnd w:id="14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8"/>
        <w:gridCol w:w="1594"/>
        <w:gridCol w:w="1598"/>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四川宏业电力公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3,829,793.23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575,284.74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4,750,313.53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237,515.68</w:t>
            </w:r>
          </w:p>
        </w:tc>
      </w:tr>
    </w:tbl>
    <w:p>
      <w:pPr>
        <w:spacing w:lineRule="exact" w:line="1"/>
        <w:rPr>
          <w:sz w:val="2"/>
          <w:szCs w:val="2"/>
        </w:rPr>
      </w:pPr>
      <w:r>
        <w:br w:type="page"/>
      </w:r>
    </w:p>
    <w:tbl>
      <w:tblPr>
        <w:tblOverlap w:val="never"/>
        <w:jc w:val="center"/>
        <w:tblLayout w:type="fixed"/>
      </w:tblPr>
      <w:tblGrid>
        <w:gridCol w:w="1646"/>
        <w:gridCol w:w="1594"/>
        <w:gridCol w:w="1594"/>
        <w:gridCol w:w="1594"/>
        <w:gridCol w:w="1594"/>
        <w:gridCol w:w="1627"/>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合肥沃兴生物科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279,835.70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354,928.20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17,746.41</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武汉中元惠合科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武汉中元惠合科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64,876.26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)应付项目</w:t>
      </w:r>
      <w:bookmarkEnd w:id="1450"/>
      <w:bookmarkEnd w:id="1451"/>
      <w:bookmarkEnd w:id="14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0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合肥禾沃商贸有限责任公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芮双印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53,932.75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112,055.70</w:t>
            </w:r>
          </w:p>
        </w:tc>
      </w:tr>
      <w:tr>
        <w:trPr>
          <w:trHeight w:val="413" w:hRule="exact"/>
        </w:trPr>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170,738.96</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53" w:name="bookmark1453"/>
      <w:bookmarkStart w:id="1454" w:name="bookmark1454"/>
      <w:bookmarkStart w:id="1455" w:name="bookmark1455"/>
      <w:r>
        <w:rPr>
          <w:color w:val="000000"/>
          <w:spacing w:val="0"/>
          <w:w w:val="100"/>
          <w:position w:val="0"/>
        </w:rPr>
        <w:t>十三、承诺及或有事项</w:t>
      </w:r>
      <w:bookmarkEnd w:id="1453"/>
      <w:bookmarkEnd w:id="1454"/>
      <w:bookmarkEnd w:id="1455"/>
    </w:p>
    <w:p>
      <w:pPr>
        <w:pStyle w:val="Style32"/>
        <w:keepNext/>
        <w:keepLines/>
        <w:widowControl w:val="0"/>
        <w:shd w:val="clear" w:color="auto" w:fill="auto"/>
        <w:bidi w:val="0"/>
        <w:spacing w:before="0" w:after="42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、重要承诺事项</w:t>
      </w:r>
      <w:bookmarkEnd w:id="1456"/>
      <w:bookmarkEnd w:id="1457"/>
      <w:bookmarkEnd w:id="1458"/>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日，本公司无需要披露的重大承诺事项。</w:t>
      </w:r>
    </w:p>
    <w:p>
      <w:pPr>
        <w:pStyle w:val="Style32"/>
        <w:keepNext/>
        <w:keepLines/>
        <w:widowControl w:val="0"/>
        <w:shd w:val="clear" w:color="auto" w:fill="auto"/>
        <w:bidi w:val="0"/>
        <w:spacing w:before="0" w:after="42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sz w:val="24"/>
          <w:szCs w:val="24"/>
        </w:rPr>
        <w:t>2</w:t>
      </w:r>
      <w:r>
        <w:rPr>
          <w:color w:val="000000"/>
          <w:spacing w:val="0"/>
          <w:w w:val="100"/>
          <w:position w:val="0"/>
        </w:rPr>
        <w:t>、或有事项</w:t>
      </w:r>
      <w:bookmarkEnd w:id="1459"/>
      <w:bookmarkEnd w:id="1460"/>
      <w:bookmarkEnd w:id="1461"/>
    </w:p>
    <w:p>
      <w:pPr>
        <w:pStyle w:val="Style18"/>
        <w:keepNext w:val="0"/>
        <w:keepLines w:val="0"/>
        <w:widowControl w:val="0"/>
        <w:shd w:val="clear" w:color="auto" w:fill="auto"/>
        <w:bidi w:val="0"/>
        <w:spacing w:before="0" w:after="340" w:line="240" w:lineRule="auto"/>
        <w:ind w:left="0" w:right="0" w:firstLine="5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日，本公司无需要披露的重要或有事项。</w:t>
      </w:r>
    </w:p>
    <w:p>
      <w:pPr>
        <w:pStyle w:val="Style29"/>
        <w:keepNext/>
        <w:keepLines/>
        <w:widowControl w:val="0"/>
        <w:shd w:val="clear" w:color="auto" w:fill="auto"/>
        <w:bidi w:val="0"/>
        <w:spacing w:before="0" w:after="340" w:line="240" w:lineRule="auto"/>
        <w:ind w:left="0" w:right="0" w:firstLine="0"/>
        <w:jc w:val="left"/>
      </w:pPr>
      <w:bookmarkStart w:id="1462" w:name="bookmark1462"/>
      <w:bookmarkStart w:id="1463" w:name="bookmark1463"/>
      <w:bookmarkStart w:id="1464" w:name="bookmark1464"/>
      <w:r>
        <w:rPr>
          <w:color w:val="000000"/>
          <w:spacing w:val="0"/>
          <w:w w:val="100"/>
          <w:position w:val="0"/>
        </w:rPr>
        <w:t>十四、资产负债表日后事项</w:t>
      </w:r>
      <w:bookmarkEnd w:id="1462"/>
      <w:bookmarkEnd w:id="1463"/>
      <w:bookmarkEnd w:id="1464"/>
    </w:p>
    <w:p>
      <w:pPr>
        <w:pStyle w:val="Style32"/>
        <w:keepNext/>
        <w:keepLines/>
        <w:widowControl w:val="0"/>
        <w:shd w:val="clear" w:color="auto" w:fill="auto"/>
        <w:bidi w:val="0"/>
        <w:spacing w:before="0" w:after="420" w:line="240" w:lineRule="auto"/>
        <w:ind w:left="0" w:right="0" w:firstLine="0"/>
        <w:jc w:val="left"/>
      </w:pPr>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、其他资产负债表日后事项说明</w:t>
      </w:r>
      <w:bookmarkEnd w:id="1465"/>
      <w:bookmarkEnd w:id="1466"/>
      <w:bookmarkEnd w:id="1467"/>
    </w:p>
    <w:p>
      <w:pPr>
        <w:pStyle w:val="Style18"/>
        <w:keepNext w:val="0"/>
        <w:keepLines w:val="0"/>
        <w:widowControl w:val="0"/>
        <w:shd w:val="clear" w:color="auto" w:fill="auto"/>
        <w:bidi w:val="0"/>
        <w:spacing w:before="0" w:after="340" w:line="240" w:lineRule="auto"/>
        <w:ind w:left="0" w:right="0" w:firstLine="520"/>
        <w:jc w:val="left"/>
        <w:sectPr>
          <w:footnotePr>
            <w:pos w:val="pageBottom"/>
            <w:numFmt w:val="decimal"/>
            <w:numRestart w:val="continuous"/>
          </w:footnotePr>
          <w:pgSz w:w="11900" w:h="16840"/>
          <w:pgMar w:top="1441" w:right="1102" w:bottom="1710" w:left="1088" w:header="0" w:footer="3" w:gutter="0"/>
          <w:cols w:space="720"/>
          <w:noEndnote/>
          <w:rtlGutter w:val="0"/>
          <w:docGrid w:linePitch="360"/>
        </w:sectPr>
      </w:pPr>
      <w:r>
        <w:rPr>
          <w:color w:val="000000"/>
          <w:spacing w:val="0"/>
          <w:w w:val="100"/>
          <w:position w:val="0"/>
        </w:rPr>
        <w:t>截至财务报告批准报出日，本公司无其他重大资产负债表日后事项。</w:t>
      </w:r>
    </w:p>
    <w:p>
      <w:pPr>
        <w:pStyle w:val="Style29"/>
        <w:keepNext/>
        <w:keepLines/>
        <w:widowControl w:val="0"/>
        <w:shd w:val="clear" w:color="auto" w:fill="auto"/>
        <w:bidi w:val="0"/>
        <w:spacing w:before="0" w:after="360" w:line="438" w:lineRule="exact"/>
        <w:ind w:left="0" w:right="0" w:firstLine="0"/>
        <w:jc w:val="left"/>
      </w:pPr>
      <w:bookmarkStart w:id="1468" w:name="bookmark1468"/>
      <w:bookmarkStart w:id="1469" w:name="bookmark1469"/>
      <w:bookmarkStart w:id="1470" w:name="bookmark1470"/>
      <w:r>
        <w:rPr>
          <w:color w:val="000000"/>
          <w:spacing w:val="0"/>
          <w:w w:val="100"/>
          <w:position w:val="0"/>
        </w:rPr>
        <w:t>十五、其他重要事项</w:t>
      </w:r>
      <w:bookmarkEnd w:id="1468"/>
      <w:bookmarkEnd w:id="1469"/>
      <w:bookmarkEnd w:id="1470"/>
    </w:p>
    <w:p>
      <w:pPr>
        <w:pStyle w:val="Style32"/>
        <w:keepNext/>
        <w:keepLines/>
        <w:widowControl w:val="0"/>
        <w:shd w:val="clear" w:color="auto" w:fill="auto"/>
        <w:bidi w:val="0"/>
        <w:spacing w:before="0" w:after="0"/>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、分部信息</w:t>
      </w:r>
      <w:bookmarkEnd w:id="1471"/>
      <w:bookmarkEnd w:id="1472"/>
      <w:bookmarkEnd w:id="1473"/>
    </w:p>
    <w:p>
      <w:pPr>
        <w:pStyle w:val="Style46"/>
        <w:keepNext/>
        <w:keepLines/>
        <w:widowControl w:val="0"/>
        <w:shd w:val="clear" w:color="auto" w:fill="auto"/>
        <w:tabs>
          <w:tab w:pos="536" w:val="left"/>
        </w:tabs>
        <w:bidi w:val="0"/>
        <w:spacing w:before="0" w:after="260" w:line="438" w:lineRule="exact"/>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报告分部的确定依据与会计政策</w:t>
      </w:r>
      <w:bookmarkEnd w:id="1474"/>
      <w:bookmarkEnd w:id="1475"/>
      <w:bookmarkEnd w:id="1477"/>
    </w:p>
    <w:p>
      <w:pPr>
        <w:pStyle w:val="Style18"/>
        <w:keepNext w:val="0"/>
        <w:keepLines w:val="0"/>
        <w:widowControl w:val="0"/>
        <w:shd w:val="clear" w:color="auto" w:fill="auto"/>
        <w:bidi w:val="0"/>
        <w:spacing w:before="0" w:after="0" w:line="438" w:lineRule="exact"/>
        <w:ind w:left="0" w:right="0" w:firstLine="480"/>
        <w:jc w:val="both"/>
      </w:pPr>
      <w:r>
        <w:rPr>
          <w:color w:val="000000"/>
          <w:spacing w:val="0"/>
          <w:w w:val="100"/>
          <w:position w:val="0"/>
        </w:rPr>
        <w:t>根据本公司的内部组织结构、管理要求及内部报告制度，本公司的经营业务划分为两个 经营分部，本公司的管理层定期评价这些分部的经营成果，以决定向其分配资源及评价其业 绩。在经营分部的基础上本公司确定了两个报告分部，分别为输配电、控制设备制造业务分 部以及医疗健康业务分部。这些报告分部是以经营业务模式为基础确定的。本公司输配电、 控制制造业务分部提供的主要产品为智能电网产品，医疗健康业务分部提供的主要产品及劳 务为医疗信息化及医疗服务及体外诊断</w:t>
      </w:r>
      <w:r>
        <w:rPr>
          <w:color w:val="000000"/>
          <w:spacing w:val="0"/>
          <w:w w:val="100"/>
          <w:position w:val="0"/>
        </w:rPr>
        <w:t>（</w:t>
      </w:r>
      <w:r>
        <w:rPr>
          <w:rFonts w:ascii="Times New Roman" w:eastAsia="Times New Roman" w:hAnsi="Times New Roman" w:cs="Times New Roman"/>
          <w:color w:val="000000"/>
          <w:spacing w:val="0"/>
          <w:w w:val="100"/>
          <w:position w:val="0"/>
        </w:rPr>
        <w:t>IVD</w:t>
      </w:r>
      <w:r>
        <w:rPr>
          <w:color w:val="000000"/>
          <w:spacing w:val="0"/>
          <w:w w:val="100"/>
          <w:position w:val="0"/>
        </w:rPr>
        <w:t>）</w:t>
      </w:r>
      <w:r>
        <w:rPr>
          <w:color w:val="000000"/>
          <w:spacing w:val="0"/>
          <w:w w:val="100"/>
          <w:position w:val="0"/>
        </w:rPr>
        <w:t>业务。</w:t>
      </w:r>
    </w:p>
    <w:p>
      <w:pPr>
        <w:pStyle w:val="Style18"/>
        <w:keepNext w:val="0"/>
        <w:keepLines w:val="0"/>
        <w:widowControl w:val="0"/>
        <w:shd w:val="clear" w:color="auto" w:fill="auto"/>
        <w:bidi w:val="0"/>
        <w:spacing w:before="0" w:after="180" w:line="434" w:lineRule="exact"/>
        <w:ind w:left="0" w:right="0" w:firstLine="480"/>
        <w:jc w:val="both"/>
      </w:pPr>
      <w:r>
        <w:rPr>
          <w:color w:val="000000"/>
          <w:spacing w:val="0"/>
          <w:w w:val="100"/>
          <w:position w:val="0"/>
        </w:rPr>
        <w:t>分部报告信息根据各分部向管理层报告时采用的会计政策及计量标准披露，这些计量基 础与编制财务报表时的会计与计量基础保持一致。分部报告信息仅包括各分部的营业收入及 营业成本，未包括营业税金及附加、营业费用及其他费用及支出的分摊。</w:t>
      </w:r>
    </w:p>
    <w:p>
      <w:pPr>
        <w:pStyle w:val="Style46"/>
        <w:keepNext/>
        <w:keepLines/>
        <w:widowControl w:val="0"/>
        <w:shd w:val="clear" w:color="auto" w:fill="auto"/>
        <w:tabs>
          <w:tab w:pos="536" w:val="left"/>
        </w:tabs>
        <w:bidi w:val="0"/>
        <w:spacing w:before="0" w:after="360" w:line="438" w:lineRule="exact"/>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报告分部的财务信息</w:t>
      </w:r>
      <w:bookmarkEnd w:id="1478"/>
      <w:bookmarkEnd w:id="1479"/>
      <w:bookmarkEnd w:id="14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896"/>
        <w:gridCol w:w="1925"/>
        <w:gridCol w:w="1910"/>
        <w:gridCol w:w="1920"/>
      </w:tblGrid>
      <w:tr>
        <w:trPr>
          <w:trHeight w:val="72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输配电、控制设备制 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医疗健康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342,062,078.40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78,447,008.73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420,509,087.13</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172,966,706.84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45,936,285.21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218,902,992.05</w:t>
            </w:r>
          </w:p>
        </w:tc>
      </w:tr>
    </w:tbl>
    <w:p>
      <w:pPr>
        <w:sectPr>
          <w:footnotePr>
            <w:pos w:val="pageBottom"/>
            <w:numFmt w:val="decimal"/>
            <w:numRestart w:val="continuous"/>
          </w:footnotePr>
          <w:pgSz w:w="11900" w:h="16840"/>
          <w:pgMar w:top="1484" w:right="1109" w:bottom="1484" w:left="1109" w:header="0" w:footer="3" w:gutter="0"/>
          <w:cols w:space="720"/>
          <w:noEndnote/>
          <w:rtlGutter w:val="0"/>
          <w:docGrid w:linePitch="360"/>
        </w:sectPr>
      </w:pPr>
    </w:p>
    <w:p>
      <w:pPr>
        <w:pStyle w:val="Style29"/>
        <w:keepNext/>
        <w:keepLines/>
        <w:widowControl w:val="0"/>
        <w:shd w:val="clear" w:color="auto" w:fill="auto"/>
        <w:bidi w:val="0"/>
        <w:spacing w:before="0" w:after="340" w:line="240" w:lineRule="auto"/>
        <w:ind w:left="0" w:right="0" w:firstLine="0"/>
        <w:jc w:val="left"/>
      </w:pPr>
      <w:bookmarkStart w:id="1482" w:name="bookmark1482"/>
      <w:bookmarkStart w:id="1483" w:name="bookmark1483"/>
      <w:bookmarkStart w:id="1484" w:name="bookmark1484"/>
      <w:r>
        <w:rPr>
          <w:color w:val="000000"/>
          <w:spacing w:val="0"/>
          <w:w w:val="100"/>
          <w:position w:val="0"/>
        </w:rPr>
        <w:t>十六、母公司财务报表主要项目注释</w:t>
      </w:r>
      <w:bookmarkEnd w:id="1482"/>
      <w:bookmarkEnd w:id="1483"/>
      <w:bookmarkEnd w:id="1484"/>
    </w:p>
    <w:p>
      <w:pPr>
        <w:pStyle w:val="Style32"/>
        <w:keepNext/>
        <w:keepLines/>
        <w:widowControl w:val="0"/>
        <w:shd w:val="clear" w:color="auto" w:fill="auto"/>
        <w:bidi w:val="0"/>
        <w:spacing w:before="0" w:after="34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w:t>
      </w:r>
      <w:bookmarkEnd w:id="1485"/>
      <w:bookmarkEnd w:id="1486"/>
      <w:bookmarkEnd w:id="1487"/>
    </w:p>
    <w:p>
      <w:pPr>
        <w:pStyle w:val="Style46"/>
        <w:keepNext/>
        <w:keepLines/>
        <w:widowControl w:val="0"/>
        <w:shd w:val="clear" w:color="auto" w:fill="auto"/>
        <w:bidi w:val="0"/>
        <w:spacing w:before="0" w:after="34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）应收账款分类披露</w:t>
      </w:r>
      <w:bookmarkEnd w:id="1488"/>
      <w:bookmarkEnd w:id="1489"/>
      <w:bookmarkEnd w:id="1490"/>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2285"/>
        <w:gridCol w:w="1267"/>
        <w:gridCol w:w="994"/>
        <w:gridCol w:w="1262"/>
        <w:gridCol w:w="994"/>
        <w:gridCol w:w="1262"/>
        <w:gridCol w:w="1368"/>
        <w:gridCol w:w="1042"/>
        <w:gridCol w:w="1267"/>
        <w:gridCol w:w="1032"/>
        <w:gridCol w:w="1267"/>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按组合计提坏账准备的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99,779,161.61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15,130,229.28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84,648,932.33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109,244,173.78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93,615,956.80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其中：以账龄特征为基础 的预期信用损失组合的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97,985,502.80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15,130,229.28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82,855,273.52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108,877,473.89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93,249,256.91</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应收合并内关联方款项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1,793,658.81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1,793,658.81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366,699.89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366,699.89</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99,779,161.61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15,130,229.28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84,648,932.33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109,244,173.78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15,628,216.98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93,615,956.80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03"/>
        <w:gridCol w:w="2808"/>
        <w:gridCol w:w="2803"/>
        <w:gridCol w:w="2803"/>
        <w:gridCol w:w="2808"/>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139" w:line="1" w:lineRule="exact"/>
      </w:pPr>
    </w:p>
    <w:p>
      <w:pPr>
        <w:pStyle w:val="Style43"/>
        <w:keepNext w:val="0"/>
        <w:keepLines w:val="0"/>
        <w:widowControl w:val="0"/>
        <w:shd w:val="clear" w:color="auto" w:fill="auto"/>
        <w:bidi w:val="0"/>
        <w:spacing w:before="0" w:after="80" w:line="240" w:lineRule="auto"/>
        <w:ind w:left="0" w:right="0" w:firstLine="520"/>
        <w:jc w:val="left"/>
      </w:pPr>
      <w:r>
        <w:rPr>
          <w:rFonts w:ascii="SimSun" w:eastAsia="SimSun" w:hAnsi="SimSun" w:cs="SimSun"/>
          <w:color w:val="000000"/>
          <w:spacing w:val="0"/>
          <w:w w:val="100"/>
          <w:position w:val="0"/>
          <w:sz w:val="22"/>
          <w:szCs w:val="22"/>
        </w:rPr>
        <w:t>按组合计提坏账准备：</w:t>
      </w:r>
      <w:r>
        <w:rPr>
          <w:color w:val="000000"/>
          <w:spacing w:val="0"/>
          <w:w w:val="100"/>
          <w:position w:val="0"/>
          <w:sz w:val="24"/>
          <w:szCs w:val="24"/>
        </w:rPr>
        <w:t>15,130,229.28</w:t>
      </w:r>
    </w:p>
    <w:p>
      <w:pPr>
        <w:pStyle w:val="Style18"/>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779"/>
        <w:gridCol w:w="4152"/>
        <w:gridCol w:w="4152"/>
        <w:gridCol w:w="2942"/>
      </w:tblGrid>
      <w:tr>
        <w:trPr>
          <w:trHeight w:val="442"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72,668,511.63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3,633,425.58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11,050,009.63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1,105,000.96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3,078,530.78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923,559.23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2,607,012.01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1,303,506.01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2,083,506.28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1,666,805.03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6,497,932.47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6,497,932.47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00" w:right="0" w:firstLine="0"/>
              <w:jc w:val="both"/>
            </w:pPr>
            <w:r>
              <w:rPr>
                <w:rFonts w:ascii="Times New Roman" w:eastAsia="Times New Roman" w:hAnsi="Times New Roman" w:cs="Times New Roman"/>
                <w:color w:val="000000"/>
                <w:spacing w:val="0"/>
                <w:w w:val="100"/>
                <w:position w:val="0"/>
              </w:rPr>
              <w:t>97,985,502.80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15,130,229.28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确定该组合依据的说明:</w:t>
      </w:r>
    </w:p>
    <w:tbl>
      <w:tblPr>
        <w:tblOverlap w:val="never"/>
        <w:jc w:val="center"/>
        <w:tblLayout w:type="fixed"/>
      </w:tblPr>
      <w:tblGrid>
        <w:gridCol w:w="3538"/>
        <w:gridCol w:w="3504"/>
        <w:gridCol w:w="3504"/>
        <w:gridCol w:w="3538"/>
      </w:tblGrid>
      <w:tr>
        <w:trPr>
          <w:trHeight w:val="70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按组合计提坏账准备：</w:t>
            </w:r>
          </w:p>
        </w:tc>
        <w:tc>
          <w:tcPr>
            <w:gridSpan w:val="3"/>
            <w:tcBorders/>
            <w:shd w:val="clear" w:color="auto" w:fill="FFFFFF"/>
            <w:vAlign w:val="bottom"/>
          </w:tcPr>
          <w:p>
            <w:pPr>
              <w:pStyle w:val="Style21"/>
              <w:keepNext w:val="0"/>
              <w:keepLines w:val="0"/>
              <w:widowControl w:val="0"/>
              <w:shd w:val="clear" w:color="auto" w:fill="auto"/>
              <w:bidi w:val="0"/>
              <w:spacing w:before="0" w:after="0" w:line="240" w:lineRule="auto"/>
              <w:ind w:left="9640" w:right="0" w:firstLine="0"/>
              <w:jc w:val="left"/>
            </w:pPr>
            <w:r>
              <w:rPr>
                <w:color w:val="000000"/>
                <w:spacing w:val="0"/>
                <w:w w:val="100"/>
                <w:position w:val="0"/>
              </w:rPr>
              <w:t>单位：元</w:t>
            </w:r>
          </w:p>
        </w:tc>
      </w:tr>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200" w:line="240" w:lineRule="auto"/>
        <w:ind w:left="0" w:right="0" w:firstLine="5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4040"/>
      </w:tblGrid>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tabs>
                <w:tab w:pos="10792" w:val="left"/>
              </w:tabs>
              <w:bidi w:val="0"/>
              <w:spacing w:before="0" w:after="0" w:line="240" w:lineRule="auto"/>
              <w:ind w:left="4000" w:right="0" w:firstLine="0"/>
              <w:jc w:val="left"/>
            </w:pPr>
            <w:r>
              <w:rPr>
                <w:color w:val="000000"/>
                <w:spacing w:val="0"/>
                <w:w w:val="100"/>
                <w:position w:val="0"/>
              </w:rPr>
              <w:t>账龄</w:t>
              <w:tab/>
              <w:t>账面余额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tabs>
                <w:tab w:pos="1273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年以内（含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tab/>
            </w:r>
            <w:r>
              <w:rPr>
                <w:rFonts w:ascii="Times New Roman" w:eastAsia="Times New Roman" w:hAnsi="Times New Roman" w:cs="Times New Roman"/>
                <w:color w:val="000000"/>
                <w:spacing w:val="0"/>
                <w:w w:val="100"/>
                <w:position w:val="0"/>
              </w:rPr>
              <w:t>74,462,170.44</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tabs>
                <w:tab w:pos="1275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tab/>
            </w:r>
            <w:r>
              <w:rPr>
                <w:rFonts w:ascii="Times New Roman" w:eastAsia="Times New Roman" w:hAnsi="Times New Roman" w:cs="Times New Roman"/>
                <w:color w:val="000000"/>
                <w:spacing w:val="0"/>
                <w:w w:val="100"/>
                <w:position w:val="0"/>
              </w:rPr>
              <w:t>11,050,009.63</w:t>
            </w:r>
          </w:p>
        </w:tc>
      </w:tr>
    </w:tbl>
    <w:p>
      <w:pPr>
        <w:spacing w:lineRule="exact" w:line="1"/>
        <w:rPr>
          <w:sz w:val="2"/>
          <w:szCs w:val="2"/>
        </w:rPr>
      </w:pPr>
      <w:r>
        <w:br w:type="page"/>
      </w:r>
    </w:p>
    <w:tbl>
      <w:tblPr>
        <w:tblOverlap w:val="never"/>
        <w:jc w:val="center"/>
        <w:tblLayout w:type="fixed"/>
      </w:tblPr>
      <w:tblGrid>
        <w:gridCol w:w="6912"/>
        <w:gridCol w:w="7142"/>
      </w:tblGrid>
      <w:tr>
        <w:trPr>
          <w:trHeight w:val="437"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60" w:right="0" w:firstLine="0"/>
              <w:jc w:val="left"/>
            </w:pPr>
            <w:r>
              <w:rPr>
                <w:rFonts w:ascii="Times New Roman" w:eastAsia="Times New Roman" w:hAnsi="Times New Roman" w:cs="Times New Roman"/>
                <w:color w:val="000000"/>
                <w:spacing w:val="0"/>
                <w:w w:val="100"/>
                <w:position w:val="0"/>
              </w:rPr>
              <w:t>3,078,530.78</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11,188,450.76</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60" w:right="0" w:firstLine="0"/>
              <w:jc w:val="left"/>
            </w:pPr>
            <w:r>
              <w:rPr>
                <w:rFonts w:ascii="Times New Roman" w:eastAsia="Times New Roman" w:hAnsi="Times New Roman" w:cs="Times New Roman"/>
                <w:color w:val="000000"/>
                <w:spacing w:val="0"/>
                <w:w w:val="100"/>
                <w:position w:val="0"/>
              </w:rPr>
              <w:t>2,607,012.01</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60" w:right="0" w:firstLine="0"/>
              <w:jc w:val="left"/>
            </w:pPr>
            <w:r>
              <w:rPr>
                <w:rFonts w:ascii="Times New Roman" w:eastAsia="Times New Roman" w:hAnsi="Times New Roman" w:cs="Times New Roman"/>
                <w:color w:val="000000"/>
                <w:spacing w:val="0"/>
                <w:w w:val="100"/>
                <w:position w:val="0"/>
              </w:rPr>
              <w:t>2,083,506.28</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960" w:right="0" w:firstLine="0"/>
              <w:jc w:val="left"/>
            </w:pPr>
            <w:r>
              <w:rPr>
                <w:rFonts w:ascii="Times New Roman" w:eastAsia="Times New Roman" w:hAnsi="Times New Roman" w:cs="Times New Roman"/>
                <w:color w:val="000000"/>
                <w:spacing w:val="0"/>
                <w:w w:val="100"/>
                <w:position w:val="0"/>
              </w:rPr>
              <w:t>6,497,932.47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99,779,161.61</w:t>
            </w:r>
          </w:p>
        </w:tc>
      </w:tr>
    </w:tbl>
    <w:p>
      <w:pPr>
        <w:sectPr>
          <w:footnotePr>
            <w:pos w:val="pageBottom"/>
            <w:numFmt w:val="decimal"/>
            <w:numRestart w:val="continuous"/>
          </w:footnotePr>
          <w:pgSz w:w="16840" w:h="11900" w:orient="landscape"/>
          <w:pgMar w:top="1130" w:right="1376" w:bottom="1410" w:left="1381" w:header="0" w:footer="3" w:gutter="0"/>
          <w:cols w:space="720"/>
          <w:noEndnote/>
          <w:rtlGutter w:val="0"/>
          <w:docGrid w:linePitch="360"/>
        </w:sectPr>
      </w:pPr>
    </w:p>
    <w:p>
      <w:pPr>
        <w:pStyle w:val="Style46"/>
        <w:keepNext/>
        <w:keepLines/>
        <w:widowControl w:val="0"/>
        <w:shd w:val="clear" w:color="auto" w:fill="auto"/>
        <w:bidi w:val="0"/>
        <w:spacing w:before="0" w:after="46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）本期计提、收回或转回的坏账准备情况</w:t>
      </w:r>
      <w:bookmarkEnd w:id="1491"/>
      <w:bookmarkEnd w:id="1492"/>
      <w:bookmarkEnd w:id="1493"/>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8"/>
        <w:gridCol w:w="1368"/>
        <w:gridCol w:w="1368"/>
        <w:gridCol w:w="1363"/>
        <w:gridCol w:w="1373"/>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15,628,216.98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-788,701.18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15,130,229.28</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15,628,216.98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-788,701.18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15,130,229.28</w:t>
            </w:r>
          </w:p>
        </w:tc>
      </w:tr>
    </w:tbl>
    <w:p>
      <w:pPr>
        <w:widowControl w:val="0"/>
        <w:spacing w:after="179" w:line="1" w:lineRule="exact"/>
      </w:pPr>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p>
      <w:pPr>
        <w:widowControl w:val="0"/>
        <w:spacing w:line="1" w:lineRule="exact"/>
      </w:pPr>
      <w:r>
        <mc:AlternateContent>
          <mc:Choice Requires="wps">
            <w:drawing>
              <wp:anchor distT="25400" distB="0" distL="0" distR="0" simplePos="0" relativeHeight="125829400" behindDoc="0" locked="0" layoutInCell="1" allowOverlap="1">
                <wp:simplePos x="0" y="0"/>
                <wp:positionH relativeFrom="page">
                  <wp:posOffset>1514475</wp:posOffset>
                </wp:positionH>
                <wp:positionV relativeFrom="paragraph">
                  <wp:posOffset>25400</wp:posOffset>
                </wp:positionV>
                <wp:extent cx="554990" cy="167640"/>
                <wp:wrapTopAndBottom/>
                <wp:docPr id="25" name="Shape 25"/>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xbxContent>
                      </wps:txbx>
                      <wps:bodyPr wrap="none" lIns="0" tIns="0" rIns="0" bIns="0">
                        <a:noAutoFit/>
                      </wps:bodyPr>
                    </wps:wsp>
                  </a:graphicData>
                </a:graphic>
              </wp:anchor>
            </w:drawing>
          </mc:Choice>
          <mc:Fallback>
            <w:pict>
              <v:shape id="_x0000_s1051" type="#_x0000_t202" style="position:absolute;margin-left:119.25pt;margin-top:2.pt;width:43.700000000000003pt;height:13.200000000000001pt;z-index:-125829353;mso-wrap-distance-left:0;mso-wrap-distance-top:2.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xbxContent>
                </v:textbox>
                <w10:wrap type="topAndBottom" anchorx="page"/>
              </v:shape>
            </w:pict>
          </mc:Fallback>
        </mc:AlternateContent>
      </w:r>
      <w:r>
        <mc:AlternateContent>
          <mc:Choice Requires="wps">
            <w:drawing>
              <wp:anchor distT="25400" distB="0" distL="0" distR="0" simplePos="0" relativeHeight="125829402" behindDoc="0" locked="0" layoutInCell="1" allowOverlap="1">
                <wp:simplePos x="0" y="0"/>
                <wp:positionH relativeFrom="page">
                  <wp:posOffset>3364865</wp:posOffset>
                </wp:positionH>
                <wp:positionV relativeFrom="paragraph">
                  <wp:posOffset>25400</wp:posOffset>
                </wp:positionV>
                <wp:extent cx="956945" cy="167640"/>
                <wp:wrapTopAndBottom/>
                <wp:docPr id="27" name="Shape 27"/>
                <a:graphic xmlns:a="http://schemas.openxmlformats.org/drawingml/2006/main">
                  <a:graphicData uri="http://schemas.microsoft.com/office/word/2010/wordprocessingShape">
                    <wps:wsp>
                      <wps:cNvSpPr txBox="1"/>
                      <wps:spPr>
                        <a:xfrm>
                          <a:ext cx="9569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xbxContent>
                      </wps:txbx>
                      <wps:bodyPr wrap="none" lIns="0" tIns="0" rIns="0" bIns="0">
                        <a:noAutoFit/>
                      </wps:bodyPr>
                    </wps:wsp>
                  </a:graphicData>
                </a:graphic>
              </wp:anchor>
            </w:drawing>
          </mc:Choice>
          <mc:Fallback>
            <w:pict>
              <v:shape id="_x0000_s1053" type="#_x0000_t202" style="position:absolute;margin-left:264.94999999999999pt;margin-top:2.pt;width:75.350000000000009pt;height:13.200000000000001pt;z-index:-125829351;mso-wrap-distance-left:0;mso-wrap-distance-top:2.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xbxContent>
                </v:textbox>
                <w10:wrap type="topAndBottom" anchorx="page"/>
              </v:shape>
            </w:pict>
          </mc:Fallback>
        </mc:AlternateContent>
      </w:r>
      <w:r>
        <mc:AlternateContent>
          <mc:Choice Requires="wps">
            <w:drawing>
              <wp:anchor distT="25400" distB="0" distL="0" distR="0" simplePos="0" relativeHeight="125829404" behindDoc="0" locked="0" layoutInCell="1" allowOverlap="1">
                <wp:simplePos x="0" y="0"/>
                <wp:positionH relativeFrom="page">
                  <wp:posOffset>5534660</wp:posOffset>
                </wp:positionH>
                <wp:positionV relativeFrom="paragraph">
                  <wp:posOffset>25400</wp:posOffset>
                </wp:positionV>
                <wp:extent cx="557530" cy="167640"/>
                <wp:wrapTopAndBottom/>
                <wp:docPr id="29" name="Shape 29"/>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收回方式</w:t>
                            </w:r>
                          </w:p>
                        </w:txbxContent>
                      </wps:txbx>
                      <wps:bodyPr wrap="none" lIns="0" tIns="0" rIns="0" bIns="0">
                        <a:noAutoFit/>
                      </wps:bodyPr>
                    </wps:wsp>
                  </a:graphicData>
                </a:graphic>
              </wp:anchor>
            </w:drawing>
          </mc:Choice>
          <mc:Fallback>
            <w:pict>
              <v:shape id="_x0000_s1055" type="#_x0000_t202" style="position:absolute;margin-left:435.80000000000001pt;margin-top:2.pt;width:43.899999999999999pt;height:13.200000000000001pt;z-index:-125829349;mso-wrap-distance-left:0;mso-wrap-distance-top:2.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收回方式</w:t>
                      </w:r>
                    </w:p>
                  </w:txbxContent>
                </v:textbox>
                <w10:wrap type="topAndBottom" anchorx="page"/>
              </v:shape>
            </w:pict>
          </mc:Fallback>
        </mc:AlternateContent>
      </w:r>
    </w:p>
    <w:p>
      <w:pPr>
        <w:pStyle w:val="Style46"/>
        <w:keepNext/>
        <w:keepLines/>
        <w:widowControl w:val="0"/>
        <w:shd w:val="clear" w:color="auto" w:fill="auto"/>
        <w:bidi w:val="0"/>
        <w:spacing w:before="0" w:after="32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）本期实际核销的应收账款情况</w:t>
      </w:r>
      <w:bookmarkEnd w:id="1494"/>
      <w:bookmarkEnd w:id="1495"/>
      <w:bookmarkEnd w:id="14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3178"/>
        <w:gridCol w:w="1694"/>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883" w:hRule="exact"/>
        </w:trPr>
        <w:tc>
          <w:tcPr>
            <w:tcBorders>
              <w:top w:val="single" w:sz="4"/>
            </w:tcBorders>
            <w:shd w:val="clear" w:color="auto" w:fill="FFFFFF"/>
            <w:vAlign w:val="top"/>
          </w:tcPr>
          <w:p>
            <w:pPr>
              <w:pStyle w:val="Style21"/>
              <w:keepNext w:val="0"/>
              <w:keepLines w:val="0"/>
              <w:widowControl w:val="0"/>
              <w:shd w:val="clear" w:color="auto" w:fill="auto"/>
              <w:bidi w:val="0"/>
              <w:spacing w:before="180" w:after="0" w:line="240" w:lineRule="auto"/>
              <w:ind w:left="0" w:right="0" w:firstLine="460"/>
              <w:jc w:val="left"/>
              <w:rPr>
                <w:sz w:val="22"/>
                <w:szCs w:val="22"/>
              </w:rPr>
            </w:pPr>
            <w:r>
              <w:rPr>
                <w:color w:val="000000"/>
                <w:spacing w:val="0"/>
                <w:w w:val="100"/>
                <w:position w:val="0"/>
                <w:sz w:val="22"/>
                <w:szCs w:val="22"/>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bottom w:val="single" w:sz="4"/>
            </w:tcBorders>
            <w:shd w:val="clear" w:color="auto" w:fill="D3D3D3"/>
            <w:vAlign w:val="center"/>
          </w:tcPr>
          <w:p>
            <w:pPr>
              <w:pStyle w:val="Style21"/>
              <w:keepNext w:val="0"/>
              <w:keepLines w:val="0"/>
              <w:widowControl w:val="0"/>
              <w:shd w:val="clear" w:color="auto" w:fill="auto"/>
              <w:tabs>
                <w:tab w:pos="1402" w:val="left"/>
                <w:tab w:pos="3158"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1262" w:val="left"/>
              </w:tabs>
              <w:bidi w:val="0"/>
              <w:spacing w:before="0" w:after="0" w:line="240" w:lineRule="auto"/>
              <w:ind w:left="0" w:right="0" w:firstLine="0"/>
              <w:jc w:val="right"/>
            </w:pPr>
            <w:r>
              <w:rPr>
                <w:color w:val="000000"/>
                <w:spacing w:val="0"/>
                <w:w w:val="100"/>
                <w:position w:val="0"/>
              </w:rPr>
              <w:t>核销原因</w:t>
              <w:tab/>
              <w:t>履行的核销程序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款项是否由关联</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交易产生</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sz w:val="24"/>
          <w:szCs w:val="24"/>
        </w:rPr>
        <w:t>4</w:t>
      </w:r>
      <w:r>
        <w:rPr>
          <w:color w:val="000000"/>
          <w:spacing w:val="0"/>
          <w:w w:val="100"/>
          <w:position w:val="0"/>
        </w:rPr>
        <w:t>）按欠款方归集的期末余额前五名的应收账款情况</w:t>
      </w:r>
      <w:bookmarkEnd w:id="1498"/>
      <w:bookmarkEnd w:id="1499"/>
      <w:bookmarkEnd w:id="15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86"/>
        <w:gridCol w:w="2405"/>
      </w:tblGrid>
      <w:tr>
        <w:trPr>
          <w:trHeight w:val="72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 数的比例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坏账准备期末余额</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长园深瑞继保自动化有限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6,822,226.15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341,111.31</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南京国电南自电网自动化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4,946,230.11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340,425.01</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江西鼎石电力工程技术有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3,308,500.00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269,065.00</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南京南瑞继保工程技术有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2,487,235.92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124,361.79</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南京河海南自水电自动化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2,258,778.00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139,377.80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19,822,970.18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w:t>
            </w:r>
          </w:p>
        </w:tc>
        <w:tc>
          <w:tcPr>
            <w:tcBorders>
              <w:top w:val="single" w:sz="4"/>
              <w:left w:val="single" w:sz="4"/>
              <w:bottom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1502"/>
      <w:bookmarkEnd w:id="1503"/>
      <w:bookmarkEnd w:id="15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13,642,087.55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17,009,403.70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15,942,754.22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17,009,403.70</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）应收利息</w:t>
      </w:r>
      <w:bookmarkEnd w:id="1505"/>
      <w:bookmarkEnd w:id="1506"/>
      <w:bookmarkEnd w:id="1507"/>
    </w:p>
    <w:p>
      <w:pPr>
        <w:pStyle w:val="Style77"/>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）应收利息分类</w:t>
      </w:r>
      <w:bookmarkEnd w:id="1508"/>
      <w:bookmarkEnd w:id="1509"/>
      <w:bookmarkEnd w:id="15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2,300,666.67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2,300,666.67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1511"/>
      <w:bookmarkEnd w:id="1512"/>
      <w:bookmarkEnd w:id="1513"/>
    </w:p>
    <w:p>
      <w:pPr>
        <w:pStyle w:val="Style77"/>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）其他应收款按款项性质分类情况</w:t>
      </w:r>
      <w:bookmarkEnd w:id="1514"/>
      <w:bookmarkEnd w:id="1515"/>
      <w:bookmarkEnd w:id="15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7"/>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8,914,104.42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11,780,343.42</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4,893,793.98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4,680,094.07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399,814.59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1,080,447.85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320,334.02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74,000.00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14,528,047.01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17,614,885.34</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sz w:val="24"/>
          <w:szCs w:val="24"/>
        </w:rPr>
        <w:t>2</w:t>
      </w:r>
      <w:r>
        <w:rPr>
          <w:color w:val="000000"/>
          <w:spacing w:val="0"/>
          <w:w w:val="100"/>
          <w:position w:val="0"/>
        </w:rPr>
        <w:t>）坏账准备计提情况</w:t>
      </w:r>
      <w:bookmarkEnd w:id="1517"/>
      <w:bookmarkEnd w:id="1518"/>
      <w:bookmarkEnd w:id="15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51"/>
        <w:gridCol w:w="2098"/>
        <w:gridCol w:w="2093"/>
        <w:gridCol w:w="1819"/>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rFonts w:ascii="Times New Roman" w:eastAsia="Times New Roman" w:hAnsi="Times New Roman" w:cs="Times New Roman"/>
                <w:color w:val="000000"/>
                <w:spacing w:val="0"/>
                <w:w w:val="100"/>
                <w:position w:val="0"/>
              </w:rPr>
              <w:t>）</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605,481.64</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280,477.82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280,477.82</w:t>
            </w:r>
          </w:p>
        </w:tc>
      </w:tr>
    </w:tbl>
    <w:p>
      <w:pPr>
        <w:spacing w:lineRule="exact" w:line="1"/>
        <w:rPr>
          <w:sz w:val="2"/>
          <w:szCs w:val="2"/>
        </w:rPr>
      </w:pPr>
      <w:r>
        <w:br w:type="page"/>
      </w:r>
    </w:p>
    <w:p>
      <w:pPr>
        <w:widowControl w:val="0"/>
        <w:spacing w:line="1" w:lineRule="exact"/>
      </w:pPr>
      <w:r>
        <mc:AlternateContent>
          <mc:Choice Requires="wps">
            <w:drawing>
              <wp:anchor distT="0" distB="38100" distL="0" distR="0" simplePos="0" relativeHeight="125829406" behindDoc="0" locked="0" layoutInCell="1" allowOverlap="1">
                <wp:simplePos x="0" y="0"/>
                <wp:positionH relativeFrom="page">
                  <wp:posOffset>706755</wp:posOffset>
                </wp:positionH>
                <wp:positionV relativeFrom="paragraph">
                  <wp:posOffset>0</wp:posOffset>
                </wp:positionV>
                <wp:extent cx="5010785" cy="463550"/>
                <wp:wrapTopAndBottom/>
                <wp:docPr id="31" name="Shape 31"/>
                <a:graphic xmlns:a="http://schemas.openxmlformats.org/drawingml/2006/main">
                  <a:graphicData uri="http://schemas.microsoft.com/office/word/2010/wordprocessingShape">
                    <wps:wsp>
                      <wps:cNvSpPr txBox="1"/>
                      <wps:spPr>
                        <a:xfrm>
                          <a:ext cx="5010785" cy="463550"/>
                        </a:xfrm>
                        <a:prstGeom prst="rect"/>
                        <a:noFill/>
                      </wps:spPr>
                      <wps:txbx>
                        <w:txbxContent>
                          <w:tbl>
                            <w:tblPr>
                              <w:tblOverlap w:val="never"/>
                              <w:jc w:val="left"/>
                              <w:tblLayout w:type="fixed"/>
                            </w:tblPr>
                            <w:tblGrid>
                              <w:gridCol w:w="1920"/>
                              <w:gridCol w:w="1666"/>
                              <w:gridCol w:w="2098"/>
                              <w:gridCol w:w="2208"/>
                            </w:tblGrid>
                            <w:tr>
                              <w:trPr>
                                <w:tblHeader/>
                                <w:trHeight w:val="73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885,959.46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7" type="#_x0000_t202" style="position:absolute;margin-left:55.649999999999999pt;margin-top:0;width:394.55000000000001pt;height:36.5pt;z-index:-125829347;mso-wrap-distance-left:0;mso-wrap-distance-right:0;mso-wrap-distance-bottom:3.pt;mso-position-horizontal-relative:page" filled="f" stroked="f">
                <v:textbox inset="0,0,0,0">
                  <w:txbxContent>
                    <w:tbl>
                      <w:tblPr>
                        <w:tblOverlap w:val="never"/>
                        <w:jc w:val="left"/>
                        <w:tblLayout w:type="fixed"/>
                      </w:tblPr>
                      <w:tblGrid>
                        <w:gridCol w:w="1920"/>
                        <w:gridCol w:w="1666"/>
                        <w:gridCol w:w="2098"/>
                        <w:gridCol w:w="2208"/>
                      </w:tblGrid>
                      <w:tr>
                        <w:trPr>
                          <w:tblHeader/>
                          <w:trHeight w:val="73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885,959.46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58750" distB="181610" distL="0" distR="0" simplePos="0" relativeHeight="125829408" behindDoc="0" locked="0" layoutInCell="1" allowOverlap="1">
                <wp:simplePos x="0" y="0"/>
                <wp:positionH relativeFrom="page">
                  <wp:posOffset>6169025</wp:posOffset>
                </wp:positionH>
                <wp:positionV relativeFrom="paragraph">
                  <wp:posOffset>158750</wp:posOffset>
                </wp:positionV>
                <wp:extent cx="621665" cy="161290"/>
                <wp:wrapTopAndBottom/>
                <wp:docPr id="33" name="Shape 33"/>
                <a:graphic xmlns:a="http://schemas.openxmlformats.org/drawingml/2006/main">
                  <a:graphicData uri="http://schemas.microsoft.com/office/word/2010/wordprocessingShape">
                    <wps:wsp>
                      <wps:cNvSpPr txBox="1"/>
                      <wps:spPr>
                        <a:xfrm>
                          <a:ext cx="621665" cy="1612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885,959.46</w:t>
                            </w:r>
                          </w:p>
                        </w:txbxContent>
                      </wps:txbx>
                      <wps:bodyPr wrap="none" lIns="0" tIns="0" rIns="0" bIns="0">
                        <a:noAutoFit/>
                      </wps:bodyPr>
                    </wps:wsp>
                  </a:graphicData>
                </a:graphic>
              </wp:anchor>
            </w:drawing>
          </mc:Choice>
          <mc:Fallback>
            <w:pict>
              <v:shape id="_x0000_s1059" type="#_x0000_t202" style="position:absolute;margin-left:485.75pt;margin-top:12.5pt;width:48.950000000000003pt;height:12.700000000000001pt;z-index:-125829345;mso-wrap-distance-left:0;mso-wrap-distance-top:12.5pt;mso-wrap-distance-right:0;mso-wrap-distance-bottom:14.3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885,959.46</w:t>
                      </w:r>
                    </w:p>
                  </w:txbxContent>
                </v:textbox>
                <w10:wrap type="topAndBottom" anchorx="page"/>
              </v:shape>
            </w:pict>
          </mc:Fallback>
        </mc:AlternateContent>
      </w:r>
    </w:p>
    <w:p>
      <w:pPr>
        <w:pStyle w:val="Style18"/>
        <w:keepNext w:val="0"/>
        <w:keepLines w:val="0"/>
        <w:widowControl w:val="0"/>
        <w:shd w:val="clear" w:color="auto" w:fill="auto"/>
        <w:bidi w:val="0"/>
        <w:spacing w:before="0" w:after="200" w:line="240" w:lineRule="auto"/>
        <w:ind w:left="0" w:right="0" w:firstLine="52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00" w:line="240" w:lineRule="auto"/>
        <w:ind w:left="0" w:right="0" w:firstLine="5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4"/>
        <w:gridCol w:w="492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9,060,030.53</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3,952,109.73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973,215.93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542,690.82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364,291.50</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17,684.43</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00" w:right="0" w:firstLine="0"/>
              <w:jc w:val="both"/>
            </w:pPr>
            <w:r>
              <w:rPr>
                <w:rFonts w:ascii="Times New Roman" w:eastAsia="Times New Roman" w:hAnsi="Times New Roman" w:cs="Times New Roman"/>
                <w:color w:val="000000"/>
                <w:spacing w:val="0"/>
                <w:w w:val="100"/>
                <w:position w:val="0"/>
              </w:rPr>
              <w:t>160,714.89</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14,528,047.01</w:t>
            </w:r>
          </w:p>
        </w:tc>
      </w:tr>
    </w:tbl>
    <w:p>
      <w:pPr>
        <w:widowControl w:val="0"/>
        <w:spacing w:after="319" w:line="1" w:lineRule="exact"/>
      </w:pPr>
    </w:p>
    <w:p>
      <w:pPr>
        <w:pStyle w:val="Style77"/>
        <w:keepNext/>
        <w:keepLines/>
        <w:widowControl w:val="0"/>
        <w:shd w:val="clear" w:color="auto" w:fill="auto"/>
        <w:bidi w:val="0"/>
        <w:spacing w:before="0" w:after="42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sz w:val="24"/>
          <w:szCs w:val="24"/>
        </w:rPr>
        <w:t>3</w:t>
      </w:r>
      <w:bookmarkEnd w:id="1522"/>
      <w:r>
        <w:rPr>
          <w:color w:val="000000"/>
          <w:spacing w:val="0"/>
          <w:w w:val="100"/>
          <w:position w:val="0"/>
        </w:rPr>
        <w:t>）本期计提、收回或转回的坏账准备情况</w:t>
      </w:r>
      <w:bookmarkEnd w:id="1520"/>
      <w:bookmarkEnd w:id="1521"/>
      <w:bookmarkEnd w:id="1523"/>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090"/>
        <w:gridCol w:w="1330"/>
        <w:gridCol w:w="1454"/>
        <w:gridCol w:w="1195"/>
        <w:gridCol w:w="1349"/>
        <w:gridCol w:w="1579"/>
      </w:tblGrid>
      <w:tr>
        <w:trPr>
          <w:trHeight w:val="403"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605,481.64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280,477.82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885,959.46</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605,481.64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280,477.82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885,959.46</w:t>
            </w:r>
          </w:p>
        </w:tc>
      </w:tr>
    </w:tbl>
    <w:p>
      <w:pPr>
        <w:widowControl w:val="0"/>
        <w:spacing w:after="199" w:line="1" w:lineRule="exact"/>
      </w:pPr>
    </w:p>
    <w:p>
      <w:pPr>
        <w:pStyle w:val="Style18"/>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单位：元</w:t>
      </w:r>
    </w:p>
    <w:p>
      <w:pPr>
        <w:pStyle w:val="Style18"/>
        <w:keepNext w:val="0"/>
        <w:keepLines w:val="0"/>
        <w:widowControl w:val="0"/>
        <w:shd w:val="clear" w:color="auto" w:fill="auto"/>
        <w:tabs>
          <w:tab w:pos="2861" w:val="left"/>
          <w:tab w:pos="6374" w:val="left"/>
        </w:tabs>
        <w:bidi w:val="0"/>
        <w:spacing w:before="0" w:after="420" w:line="240" w:lineRule="auto"/>
        <w:ind w:left="0" w:right="0" w:firstLine="0"/>
        <w:jc w:val="center"/>
        <w:rPr>
          <w:sz w:val="20"/>
          <w:szCs w:val="20"/>
        </w:rPr>
      </w:pPr>
      <w:r>
        <w:rPr>
          <w:color w:val="000000"/>
          <w:spacing w:val="0"/>
          <w:w w:val="100"/>
          <w:position w:val="0"/>
          <w:sz w:val="20"/>
          <w:szCs w:val="20"/>
        </w:rPr>
        <w:t>单位名称</w:t>
        <w:tab/>
        <w:t>转回或收回金额</w:t>
        <w:tab/>
        <w:t>收回方式</w:t>
      </w:r>
    </w:p>
    <w:p>
      <w:pPr>
        <w:pStyle w:val="Style77"/>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sz w:val="24"/>
          <w:szCs w:val="24"/>
        </w:rPr>
        <w:t>4</w:t>
      </w:r>
      <w:bookmarkEnd w:id="1526"/>
      <w:r>
        <w:rPr>
          <w:color w:val="000000"/>
          <w:spacing w:val="0"/>
          <w:w w:val="100"/>
          <w:position w:val="0"/>
        </w:rPr>
        <w:t>）本期实际核销的其他应收款情况</w:t>
      </w:r>
      <w:bookmarkEnd w:id="1524"/>
      <w:bookmarkEnd w:id="1525"/>
      <w:bookmarkEnd w:id="15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3106"/>
        <w:gridCol w:w="4872"/>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504" w:hRule="exact"/>
        </w:trPr>
        <w:tc>
          <w:tcPr>
            <w:gridSpan w:val="2"/>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1853" w:val="left"/>
              </w:tabs>
              <w:bidi w:val="0"/>
              <w:spacing w:before="0" w:after="0" w:line="240" w:lineRule="auto"/>
              <w:ind w:left="0" w:right="0" w:firstLine="0"/>
              <w:jc w:val="left"/>
            </w:pPr>
            <w:r>
              <w:rPr>
                <w:color w:val="000000"/>
                <w:spacing w:val="0"/>
                <w:w w:val="100"/>
                <w:position w:val="0"/>
              </w:rPr>
              <w:t>其他应收款性质</w:t>
              <w:tab/>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1607" w:val="left"/>
              </w:tabs>
              <w:bidi w:val="0"/>
              <w:spacing w:before="0" w:after="0" w:line="240" w:lineRule="auto"/>
              <w:ind w:left="0" w:right="0" w:firstLine="340"/>
              <w:jc w:val="left"/>
            </w:pPr>
            <w:r>
              <w:rPr>
                <w:color w:val="000000"/>
                <w:spacing w:val="0"/>
                <w:w w:val="100"/>
                <w:position w:val="0"/>
              </w:rPr>
              <w:t>核销原因</w:t>
              <w:tab/>
              <w:t>履行的核销程序款项是否由关联</w:t>
            </w:r>
          </w:p>
        </w:tc>
      </w:tr>
    </w:tbl>
    <w:p>
      <w:pPr>
        <w:widowControl w:val="0"/>
        <w:spacing w:line="1" w:lineRule="exact"/>
      </w:pPr>
      <w:r>
        <w:br w:type="page"/>
      </w:r>
    </w:p>
    <w:tbl>
      <w:tblPr>
        <w:tblOverlap w:val="never"/>
        <w:jc w:val="center"/>
        <w:tblLayout w:type="fixed"/>
      </w:tblPr>
      <w:tblGrid>
        <w:gridCol w:w="1704"/>
        <w:gridCol w:w="1550"/>
        <w:gridCol w:w="1555"/>
        <w:gridCol w:w="1550"/>
        <w:gridCol w:w="1613"/>
        <w:gridCol w:w="1622"/>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sz w:val="24"/>
          <w:szCs w:val="24"/>
        </w:rPr>
        <w:t>5</w:t>
      </w:r>
      <w:bookmarkEnd w:id="1530"/>
      <w:r>
        <w:rPr>
          <w:color w:val="000000"/>
          <w:spacing w:val="0"/>
          <w:w w:val="100"/>
          <w:position w:val="0"/>
        </w:rPr>
        <w:t>）按欠款方归集的期末余额前五名的其他应收款情况</w:t>
      </w:r>
      <w:bookmarkEnd w:id="1528"/>
      <w:bookmarkEnd w:id="1529"/>
      <w:bookmarkEnd w:id="15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50"/>
        <w:gridCol w:w="1555"/>
        <w:gridCol w:w="1555"/>
        <w:gridCol w:w="1608"/>
        <w:gridCol w:w="1618"/>
      </w:tblGrid>
      <w:tr>
        <w:trPr>
          <w:trHeight w:val="1032"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武汉中元华电电 力设备有限公司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8,565,304.53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南方电网物资有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941,288.38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47,064.42</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国网浙江浙电招 标咨询有限公司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524,383.00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101,907.11</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国网江苏招标有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406,275.00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20,473.20</w:t>
            </w: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雅碧江流域水电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371,930.00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101,579.00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10,809,180.91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271,023.73</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sz w:val="24"/>
          <w:szCs w:val="24"/>
        </w:rPr>
        <w:t>3</w:t>
      </w:r>
      <w:bookmarkEnd w:id="1534"/>
      <w:r>
        <w:rPr>
          <w:color w:val="000000"/>
          <w:spacing w:val="0"/>
          <w:w w:val="100"/>
          <w:position w:val="0"/>
        </w:rPr>
        <w:t>、长期股权投资</w:t>
      </w:r>
      <w:bookmarkEnd w:id="1532"/>
      <w:bookmarkEnd w:id="1533"/>
      <w:bookmarkEnd w:id="15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6"/>
        <w:gridCol w:w="1526"/>
        <w:gridCol w:w="1368"/>
        <w:gridCol w:w="1373"/>
        <w:gridCol w:w="1526"/>
        <w:gridCol w:w="1368"/>
        <w:gridCol w:w="1373"/>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对子公司投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1,036,001,650.16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464,577,070.46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571,424,579.70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1,044,129,950.16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488,257,070.46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555,872,879.70</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对联营、合 营企业投资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525,231.27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525,231.27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1,036,526,881.43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465,102,301.73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571,424,579.70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1,044,129,950.16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488,257,070.46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555,872,879.70</w:t>
            </w:r>
          </w:p>
        </w:tc>
      </w:tr>
    </w:tbl>
    <w:p>
      <w:pPr>
        <w:sectPr>
          <w:footnotePr>
            <w:pos w:val="pageBottom"/>
            <w:numFmt w:val="decimal"/>
            <w:numRestart w:val="continuous"/>
          </w:footnotePr>
          <w:pgSz w:w="11900" w:h="16840"/>
          <w:pgMar w:top="1441" w:right="1101" w:bottom="1508" w:left="1080" w:header="0" w:footer="3" w:gutter="0"/>
          <w:cols w:space="720"/>
          <w:noEndnote/>
          <w:rtlGutter w:val="0"/>
          <w:docGrid w:linePitch="360"/>
        </w:sectPr>
      </w:pPr>
    </w:p>
    <w:p>
      <w:pPr>
        <w:pStyle w:val="Style46"/>
        <w:keepNext/>
        <w:keepLines/>
        <w:widowControl w:val="0"/>
        <w:shd w:val="clear" w:color="auto" w:fill="auto"/>
        <w:bidi w:val="0"/>
        <w:spacing w:before="0" w:after="32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）对子公司投资</w:t>
      </w:r>
      <w:bookmarkEnd w:id="1536"/>
      <w:bookmarkEnd w:id="1537"/>
      <w:bookmarkEnd w:id="1538"/>
    </w:p>
    <w:p>
      <w:pPr>
        <w:pStyle w:val="Style25"/>
        <w:keepNext w:val="0"/>
        <w:keepLines w:val="0"/>
        <w:widowControl w:val="0"/>
        <w:shd w:val="clear" w:color="auto" w:fill="auto"/>
        <w:bidi w:val="0"/>
        <w:spacing w:before="0" w:after="0" w:line="240" w:lineRule="auto"/>
        <w:ind w:left="13152" w:right="0" w:firstLine="0"/>
        <w:jc w:val="left"/>
      </w:pPr>
      <w:r>
        <w:rPr>
          <w:color w:val="000000"/>
          <w:spacing w:val="0"/>
          <w:w w:val="100"/>
          <w:position w:val="0"/>
        </w:rPr>
        <w:t>单位：元</w:t>
      </w:r>
    </w:p>
    <w:tbl>
      <w:tblPr>
        <w:tblOverlap w:val="never"/>
        <w:jc w:val="center"/>
        <w:tblLayout w:type="fixed"/>
      </w:tblPr>
      <w:tblGrid>
        <w:gridCol w:w="1877"/>
        <w:gridCol w:w="1704"/>
        <w:gridCol w:w="1709"/>
        <w:gridCol w:w="1709"/>
        <w:gridCol w:w="1704"/>
        <w:gridCol w:w="1781"/>
        <w:gridCol w:w="1771"/>
        <w:gridCol w:w="1786"/>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40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武汉中元华电软件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8,980,697.39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8,980,697.39</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武汉中元华电电力 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29,969,252.77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29,969,252.77</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成都智达电力自动 控制有限公司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42,900,000.00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安徽大千生物工程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广州穗华能源科技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15,451,700.00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江苏世轩科技股份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218,522,929.54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218,522,929.54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464,577,070.46</w:t>
            </w: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中元汇（武汉）产业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187,000,000.00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武汉中元惠合科技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中元健康科技有限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555,872,879.70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20,351,700.00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571,424,579.70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464,577,070.46</w:t>
            </w:r>
          </w:p>
        </w:tc>
      </w:tr>
    </w:tbl>
    <w:p>
      <w:pPr>
        <w:spacing w:lineRule="exact" w:line="1"/>
        <w:rPr>
          <w:sz w:val="2"/>
          <w:szCs w:val="2"/>
        </w:rPr>
      </w:pPr>
      <w:r>
        <w:br w:type="page"/>
      </w:r>
    </w:p>
    <w:p>
      <w:pPr>
        <w:pStyle w:val="Style46"/>
        <w:keepNext/>
        <w:keepLines/>
        <w:widowControl w:val="0"/>
        <w:shd w:val="clear" w:color="auto" w:fill="auto"/>
        <w:bidi w:val="0"/>
        <w:spacing w:before="0" w:after="34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）对联营、合营企业投资</w:t>
      </w:r>
      <w:bookmarkEnd w:id="1539"/>
      <w:bookmarkEnd w:id="1540"/>
      <w:bookmarkEnd w:id="1541"/>
    </w:p>
    <w:p>
      <w:pPr>
        <w:pStyle w:val="Style2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166"/>
        <w:gridCol w:w="1157"/>
        <w:gridCol w:w="1162"/>
        <w:gridCol w:w="1162"/>
        <w:gridCol w:w="1166"/>
        <w:gridCol w:w="1162"/>
        <w:gridCol w:w="1162"/>
        <w:gridCol w:w="1166"/>
        <w:gridCol w:w="1166"/>
        <w:gridCol w:w="1224"/>
        <w:gridCol w:w="1166"/>
        <w:gridCol w:w="1166"/>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8"/>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027"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权益法下确</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认的投资损</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gridSpan w:val="12"/>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rPr>
        <w:t>二、联营企业</w:t>
      </w:r>
    </w:p>
    <w:tbl>
      <w:tblPr>
        <w:tblOverlap w:val="never"/>
        <w:jc w:val="center"/>
        <w:tblLayout w:type="fixed"/>
      </w:tblPr>
      <w:tblGrid>
        <w:gridCol w:w="1181"/>
        <w:gridCol w:w="1162"/>
        <w:gridCol w:w="1157"/>
        <w:gridCol w:w="1166"/>
        <w:gridCol w:w="1162"/>
        <w:gridCol w:w="1162"/>
        <w:gridCol w:w="1166"/>
        <w:gridCol w:w="1162"/>
        <w:gridCol w:w="1166"/>
        <w:gridCol w:w="1229"/>
        <w:gridCol w:w="1162"/>
        <w:gridCol w:w="1195"/>
      </w:tblGrid>
      <w:tr>
        <w:trPr>
          <w:trHeight w:val="1027"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武汉中元惠</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合科技有限</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-636,372.75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525,231.27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-1,238,395.98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525,231.27</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-636,372.75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-1,238,395.98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525,231.27</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-636,372.75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525,231.27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-1,238,395.98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525,231.27</w:t>
            </w:r>
          </w:p>
        </w:tc>
      </w:tr>
    </w:tbl>
    <w:p>
      <w:pPr>
        <w:sectPr>
          <w:footnotePr>
            <w:pos w:val="pageBottom"/>
            <w:numFmt w:val="decimal"/>
            <w:numRestart w:val="continuous"/>
          </w:footnotePr>
          <w:pgSz w:w="16840" w:h="11900" w:orient="landscape"/>
          <w:pgMar w:top="1145" w:right="1386" w:bottom="2158" w:left="1386" w:header="0" w:footer="3" w:gutter="0"/>
          <w:cols w:space="720"/>
          <w:noEndnote/>
          <w:rtlGutter w:val="0"/>
          <w:docGrid w:linePitch="360"/>
        </w:sectPr>
      </w:pPr>
    </w:p>
    <w:p>
      <w:pPr>
        <w:pStyle w:val="Style32"/>
        <w:keepNext/>
        <w:keepLines/>
        <w:widowControl w:val="0"/>
        <w:shd w:val="clear" w:color="auto" w:fill="auto"/>
        <w:bidi w:val="0"/>
        <w:spacing w:before="0" w:after="34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sz w:val="24"/>
          <w:szCs w:val="24"/>
        </w:rPr>
        <w:t>4</w:t>
      </w:r>
      <w:bookmarkEnd w:id="1544"/>
      <w:r>
        <w:rPr>
          <w:color w:val="000000"/>
          <w:spacing w:val="0"/>
          <w:w w:val="100"/>
          <w:position w:val="0"/>
        </w:rPr>
        <w:t>、营业收入和营业成本</w:t>
      </w:r>
      <w:bookmarkEnd w:id="1542"/>
      <w:bookmarkEnd w:id="1543"/>
      <w:bookmarkEnd w:id="15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34"/>
        <w:gridCol w:w="1915"/>
        <w:gridCol w:w="1910"/>
        <w:gridCol w:w="1920"/>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211,348,067.54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142,288,614.81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204,572,998.07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125,751,528.52</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5,739,075.38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2,624,694.65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2,942,667.40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1,732,458.80</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217,087,142.92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144,913,309.46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207,515,665.47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127,483,987.32</w:t>
            </w:r>
          </w:p>
        </w:tc>
      </w:tr>
    </w:tbl>
    <w:p>
      <w:pPr>
        <w:widowControl w:val="0"/>
        <w:spacing w:after="179" w:line="1" w:lineRule="exact"/>
      </w:pPr>
    </w:p>
    <w:p>
      <w:pPr>
        <w:pStyle w:val="Style18"/>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收入相关信息：</w:t>
      </w:r>
    </w:p>
    <w:p>
      <w:pPr>
        <w:pStyle w:val="Style18"/>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38"/>
        <w:gridCol w:w="2266"/>
        <w:gridCol w:w="1723"/>
        <w:gridCol w:w="1723"/>
        <w:gridCol w:w="2270"/>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输配电、控制设备制造业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电力故障录波装 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120,552,820.75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120,552,820.75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时间同步装置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41,857,190.56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41,857,190.56</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1,443,945.72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1,443,945.72</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53,233,185.89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53,233,185.89</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2,397,748.85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2,397,748.85</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43,230,199.76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43,230,199.76</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57,804,642.17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57,804,642.17</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54,978,010.70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54,978,010.70</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31,902,243.09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31,902,243.09</w:t>
            </w:r>
          </w:p>
        </w:tc>
      </w:tr>
      <w:tr>
        <w:trPr>
          <w:trHeight w:val="40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5,968,295.90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5,968,295.90</w:t>
            </w:r>
          </w:p>
        </w:tc>
      </w:tr>
      <w:tr>
        <w:trPr>
          <w:trHeight w:val="398"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20,806,002.45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20,806,002.45</w:t>
            </w:r>
          </w:p>
        </w:tc>
      </w:tr>
      <w:tr>
        <w:trPr>
          <w:trHeight w:val="413"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217,087,142.92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217,087,142.92</w:t>
            </w:r>
          </w:p>
        </w:tc>
      </w:tr>
    </w:tbl>
    <w:p>
      <w:pPr>
        <w:widowControl w:val="0"/>
        <w:spacing w:after="179" w:line="1" w:lineRule="exact"/>
      </w:pPr>
    </w:p>
    <w:p>
      <w:pPr>
        <w:pStyle w:val="Style18"/>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与履约义务相关的信息：</w:t>
      </w:r>
    </w:p>
    <w:p>
      <w:pPr>
        <w:pStyle w:val="Style18"/>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52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180" w:line="434" w:lineRule="exact"/>
        <w:ind w:left="0" w:right="0" w:firstLine="52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24"/>
          <w:szCs w:val="24"/>
        </w:rPr>
        <w:t xml:space="preserve">16 </w:t>
      </w:r>
      <w:r>
        <w:rPr>
          <w:rFonts w:ascii="Times New Roman" w:eastAsia="Times New Roman" w:hAnsi="Times New Roman" w:cs="Times New Roman"/>
          <w:color w:val="000000"/>
          <w:spacing w:val="0"/>
          <w:w w:val="100"/>
          <w:position w:val="0"/>
          <w:sz w:val="24"/>
          <w:szCs w:val="24"/>
        </w:rPr>
        <w:t>8,822,500.12</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106,985,971.45</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40,809,705.37</w:t>
      </w:r>
      <w:r>
        <w:rPr>
          <w:color w:val="000000"/>
          <w:spacing w:val="0"/>
          <w:w w:val="100"/>
          <w:position w:val="0"/>
        </w:rPr>
        <w:t>元预计 将于</w:t>
      </w:r>
      <w:r>
        <w:rPr>
          <w:rFonts w:ascii="Times New Roman" w:eastAsia="Times New Roman" w:hAnsi="Times New Roman" w:cs="Times New Roman"/>
          <w:color w:val="000000"/>
          <w:spacing w:val="0"/>
          <w:w w:val="100"/>
          <w:position w:val="0"/>
          <w:sz w:val="24"/>
          <w:szCs w:val="24"/>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24"/>
          <w:szCs w:val="24"/>
        </w:rPr>
        <w:t>21,026,823.30</w:t>
      </w:r>
      <w:r>
        <w:rPr>
          <w:color w:val="000000"/>
          <w:spacing w:val="0"/>
          <w:w w:val="100"/>
          <w:position w:val="0"/>
        </w:rPr>
        <w:t>元预计将于</w:t>
      </w:r>
      <w:r>
        <w:rPr>
          <w:rFonts w:ascii="Times New Roman" w:eastAsia="Times New Roman" w:hAnsi="Times New Roman" w:cs="Times New Roman"/>
          <w:color w:val="000000"/>
          <w:spacing w:val="0"/>
          <w:w w:val="100"/>
          <w:position w:val="0"/>
          <w:sz w:val="24"/>
          <w:szCs w:val="24"/>
        </w:rPr>
        <w:t>2024</w:t>
      </w:r>
      <w:r>
        <w:rPr>
          <w:color w:val="000000"/>
          <w:spacing w:val="0"/>
          <w:w w:val="100"/>
          <w:position w:val="0"/>
        </w:rPr>
        <w:t>及以后年度确认收入。</w:t>
      </w:r>
      <w:r>
        <w:br w:type="page"/>
      </w:r>
    </w:p>
    <w:p>
      <w:pPr>
        <w:pStyle w:val="Style32"/>
        <w:keepNext/>
        <w:keepLines/>
        <w:widowControl w:val="0"/>
        <w:shd w:val="clear" w:color="auto" w:fill="auto"/>
        <w:bidi w:val="0"/>
        <w:spacing w:before="0" w:after="34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sz w:val="24"/>
          <w:szCs w:val="24"/>
        </w:rPr>
        <w:t>5</w:t>
      </w:r>
      <w:bookmarkEnd w:id="1548"/>
      <w:r>
        <w:rPr>
          <w:color w:val="000000"/>
          <w:spacing w:val="0"/>
          <w:w w:val="100"/>
          <w:position w:val="0"/>
        </w:rPr>
        <w:t>、投资收益</w:t>
      </w:r>
      <w:bookmarkEnd w:id="1546"/>
      <w:bookmarkEnd w:id="1547"/>
      <w:bookmarkEnd w:id="15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92"/>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31,320,000.00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60,000,000.00</w:t>
            </w: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-636,372.75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-203,132.65</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5,808,507.47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4,031,327.77</w:t>
            </w: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36,289,002.07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64,031,327.77</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550" w:name="bookmark1550"/>
      <w:bookmarkStart w:id="1551" w:name="bookmark1551"/>
      <w:bookmarkStart w:id="1552" w:name="bookmark1552"/>
      <w:r>
        <w:rPr>
          <w:color w:val="000000"/>
          <w:spacing w:val="0"/>
          <w:w w:val="100"/>
          <w:position w:val="0"/>
        </w:rPr>
        <w:t>十七、补充资料</w:t>
      </w:r>
      <w:bookmarkEnd w:id="1550"/>
      <w:bookmarkEnd w:id="1551"/>
      <w:bookmarkEnd w:id="1552"/>
    </w:p>
    <w:p>
      <w:pPr>
        <w:pStyle w:val="Style32"/>
        <w:keepNext/>
        <w:keepLines/>
        <w:widowControl w:val="0"/>
        <w:shd w:val="clear" w:color="auto" w:fill="auto"/>
        <w:bidi w:val="0"/>
        <w:spacing w:before="0" w:after="42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、当期非经常性损益明细表</w:t>
      </w:r>
      <w:bookmarkEnd w:id="1553"/>
      <w:bookmarkEnd w:id="1554"/>
      <w:bookmarkEnd w:id="1555"/>
    </w:p>
    <w:p>
      <w:pPr>
        <w:pStyle w:val="Style18"/>
        <w:keepNext w:val="0"/>
        <w:keepLines w:val="0"/>
        <w:widowControl w:val="0"/>
        <w:shd w:val="clear" w:color="auto" w:fill="auto"/>
        <w:bidi w:val="0"/>
        <w:spacing w:before="0" w:after="120" w:line="240" w:lineRule="auto"/>
        <w:ind w:left="0" w:right="0" w:firstLine="480"/>
        <w:jc w:val="left"/>
      </w:pPr>
      <w:r>
        <w:rPr>
          <w:color w:val="000000"/>
          <w:spacing w:val="0"/>
          <w:w w:val="100"/>
          <w:position w:val="0"/>
          <w:sz w:val="24"/>
          <w:szCs w:val="24"/>
        </w:rPr>
        <w:t>寸</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72"/>
        <w:gridCol w:w="3192"/>
      </w:tblGrid>
      <w:tr>
        <w:trPr>
          <w:trHeight w:val="40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1,179,521.66</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 常经营业务密切相关，符合国家政策 规定、按照一定标准定额或定量持续 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6,275,662.72</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 业的投资成本小于取得投资时应享 有被投资单位可辨认净资产公允价 值产生的收益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-1,238,395.98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6,606,832.89</w:t>
            </w:r>
          </w:p>
        </w:tc>
        <w:tc>
          <w:tcPr>
            <w:tcBorders>
              <w:top w:val="single" w:sz="4"/>
              <w:left w:val="single" w:sz="4"/>
            </w:tcBorders>
            <w:shd w:val="clear" w:color="auto" w:fill="FFFFFF"/>
            <w:vAlign w:val="top"/>
          </w:tcPr>
          <w:p>
            <w:pPr>
              <w:widowControl w:val="0"/>
              <w:rPr>
                <w:sz w:val="10"/>
                <w:szCs w:val="10"/>
              </w:rPr>
            </w:pPr>
          </w:p>
        </w:tc>
      </w:tr>
      <w:tr>
        <w:trPr>
          <w:trHeight w:val="1958"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 套期保值业务外，持有交易性金融资 产、交易性金融负债产生的公允价值 变动损益，以及处置交易性金融资产 交易性金融负债和可供出售金融资 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69,951,757.74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-2,707,519.15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1,834,220.33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-60,556.49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78,294,196.04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18"/>
        <w:keepNext w:val="0"/>
        <w:keepLines w:val="0"/>
        <w:widowControl w:val="0"/>
        <w:shd w:val="clear" w:color="auto" w:fill="auto"/>
        <w:bidi w:val="0"/>
        <w:spacing w:before="0" w:after="200" w:line="437" w:lineRule="exact"/>
        <w:ind w:left="0" w:right="0" w:firstLine="52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9"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8"/>
        <w:keepNext w:val="0"/>
        <w:keepLines w:val="0"/>
        <w:widowControl w:val="0"/>
        <w:shd w:val="clear" w:color="auto" w:fill="auto"/>
        <w:bidi w:val="0"/>
        <w:spacing w:before="0" w:line="437" w:lineRule="exact"/>
        <w:ind w:left="0" w:right="0" w:firstLine="52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200" w:line="437" w:lineRule="exact"/>
        <w:ind w:left="0" w:right="0" w:firstLine="5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非经常性损益》中列举的非经 常性损益项目界定为经常性损益项目的情况说明</w:t>
      </w:r>
    </w:p>
    <w:p>
      <w:pPr>
        <w:pStyle w:val="Style18"/>
        <w:keepNext w:val="0"/>
        <w:keepLines w:val="0"/>
        <w:widowControl w:val="0"/>
        <w:shd w:val="clear" w:color="auto" w:fill="auto"/>
        <w:bidi w:val="0"/>
        <w:spacing w:before="0" w:after="200" w:line="379" w:lineRule="auto"/>
        <w:ind w:left="0" w:right="0" w:firstLine="5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140" w:line="379"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、净资产收益率及每股收益</w:t>
      </w:r>
      <w:bookmarkEnd w:id="1556"/>
      <w:bookmarkEnd w:id="1557"/>
      <w:bookmarkEnd w:id="1558"/>
    </w:p>
    <w:tbl>
      <w:tblPr>
        <w:tblOverlap w:val="never"/>
        <w:jc w:val="center"/>
        <w:tblLayout w:type="fixed"/>
      </w:tblPr>
      <w:tblGrid>
        <w:gridCol w:w="2707"/>
        <w:gridCol w:w="3139"/>
        <w:gridCol w:w="1930"/>
        <w:gridCol w:w="1944"/>
      </w:tblGrid>
      <w:tr>
        <w:trPr>
          <w:trHeight w:val="408" w:hRule="exact"/>
        </w:trPr>
        <w:tc>
          <w:tcPr>
            <w:vMerge w:val="restart"/>
            <w:tcBorders>
              <w:top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稀释每股收益（元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r>
      <w:tr>
        <w:trPr>
          <w:trHeight w:val="715" w:hRule="exact"/>
        </w:trPr>
        <w:tc>
          <w:tcPr>
            <w:tcBorders>
              <w:top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r>
        <w:trPr>
          <w:trHeight w:val="720" w:hRule="exact"/>
        </w:trPr>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bl>
    <w:sectPr>
      <w:footnotePr>
        <w:pos w:val="pageBottom"/>
        <w:numFmt w:val="decimal"/>
        <w:numRestart w:val="continuous"/>
      </w:footnotePr>
      <w:pgSz w:w="11900" w:h="16840"/>
      <w:pgMar w:top="1398" w:right="1097" w:bottom="1566" w:left="10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22"/>
      <w:szCs w:val="22"/>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44">
    <w:name w:val="Body text (3)_"/>
    <w:basedOn w:val="DefaultParagraphFont"/>
    <w:link w:val="Style43"/>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47">
    <w:name w:val="Heading #4_"/>
    <w:basedOn w:val="DefaultParagraphFont"/>
    <w:link w:val="Style46"/>
    <w:rPr>
      <w:rFonts w:ascii="SimSun" w:eastAsia="SimSun" w:hAnsi="SimSun" w:cs="SimSun"/>
      <w:b/>
      <w:bCs/>
      <w:i w:val="0"/>
      <w:iCs w:val="0"/>
      <w:smallCaps w:val="0"/>
      <w:strike w:val="0"/>
      <w:sz w:val="22"/>
      <w:szCs w:val="22"/>
      <w:u w:val="none"/>
      <w:shd w:val="clear" w:color="auto" w:fill="auto"/>
    </w:rPr>
  </w:style>
  <w:style w:type="character" w:customStyle="1" w:styleId="CharStyle78">
    <w:name w:val="Heading #5_"/>
    <w:basedOn w:val="DefaultParagraphFont"/>
    <w:link w:val="Style77"/>
    <w:rPr>
      <w:rFonts w:ascii="SimSun" w:eastAsia="SimSun" w:hAnsi="SimSun" w:cs="SimSun"/>
      <w:b/>
      <w:bCs/>
      <w:i w:val="0"/>
      <w:iCs w:val="0"/>
      <w:smallCaps w:val="0"/>
      <w:strike w:val="0"/>
      <w:sz w:val="22"/>
      <w:szCs w:val="22"/>
      <w:u w:val="none"/>
      <w:shd w:val="clear" w:color="auto" w:fill="auto"/>
    </w:rPr>
  </w:style>
  <w:style w:type="paragraph" w:customStyle="1" w:styleId="Style2">
    <w:name w:val="Body text (5)"/>
    <w:basedOn w:val="Normal"/>
    <w:link w:val="CharStyle3"/>
    <w:pPr>
      <w:widowControl w:val="0"/>
      <w:shd w:val="clear" w:color="auto" w:fill="auto"/>
      <w:spacing w:after="10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before="34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after="390" w:line="331" w:lineRule="auto"/>
      <w:ind w:firstLine="2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after="40" w:line="413"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Heading #2"/>
    <w:basedOn w:val="Normal"/>
    <w:link w:val="CharStyle30"/>
    <w:pPr>
      <w:widowControl w:val="0"/>
      <w:shd w:val="clear" w:color="auto" w:fill="auto"/>
      <w:spacing w:after="450" w:line="440" w:lineRule="exact"/>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3"/>
    <w:basedOn w:val="Normal"/>
    <w:link w:val="CharStyle33"/>
    <w:pPr>
      <w:widowControl w:val="0"/>
      <w:shd w:val="clear" w:color="auto" w:fill="auto"/>
      <w:spacing w:after="260" w:line="382" w:lineRule="auto"/>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43">
    <w:name w:val="Body text (3)"/>
    <w:basedOn w:val="Normal"/>
    <w:link w:val="CharStyle44"/>
    <w:pPr>
      <w:widowControl w:val="0"/>
      <w:shd w:val="clear" w:color="auto" w:fill="auto"/>
      <w:spacing w:line="439" w:lineRule="exact"/>
      <w:ind w:firstLine="6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46">
    <w:name w:val="Heading #4"/>
    <w:basedOn w:val="Normal"/>
    <w:link w:val="CharStyle47"/>
    <w:pPr>
      <w:widowControl w:val="0"/>
      <w:shd w:val="clear" w:color="auto" w:fill="auto"/>
      <w:spacing w:after="390" w:line="434" w:lineRule="exact"/>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77">
    <w:name w:val="Heading #5"/>
    <w:basedOn w:val="Normal"/>
    <w:link w:val="CharStyle78"/>
    <w:pPr>
      <w:widowControl w:val="0"/>
      <w:shd w:val="clear" w:color="auto" w:fill="auto"/>
      <w:spacing w:after="320"/>
      <w:outlineLvl w:val="4"/>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武汉中元华电科技股份有限公司2021年年度报告全文</dc:title>
  <dc:subject/>
  <dc:creator>武汉中元华电科技股份有限公司</dc:creator>
  <cp:keywords/>
</cp:coreProperties>
</file>