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31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410335" cy="200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200025"/>
                    </a:xfrm>
                    <a:prstGeom prst="rect">
                      <a:avLst/>
                    </a:prstGeom>
                  </pic:spPr>
                </pic:pic>
              </a:graphicData>
            </a:graphic>
          </wp:inline>
        </w:drawing>
      </w:r>
      <w:r>
        <w:rPr>
          <w:rFonts w:ascii="Times New Roman" w:hAnsi="Times New Roman" w:cs="Times New Roman" w:eastAsia="Times New Roman" w:hint="default"/>
          <w:position w:val="-5"/>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090" w:right="4090" w:firstLine="0"/>
        <w:jc w:val="center"/>
        <w:rPr>
          <w:rFonts w:ascii="宋体" w:hAnsi="宋体" w:cs="宋体" w:eastAsia="宋体" w:hint="default"/>
          <w:sz w:val="36"/>
          <w:szCs w:val="36"/>
        </w:rPr>
      </w:pPr>
      <w:r>
        <w:rPr>
          <w:rFonts w:ascii="宋体" w:hAnsi="宋体" w:cs="宋体" w:eastAsia="宋体" w:hint="default"/>
          <w:b/>
          <w:bCs/>
          <w:sz w:val="36"/>
          <w:szCs w:val="36"/>
        </w:rPr>
        <w:t>银江股份有限公司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089" w:right="40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090" w:right="40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公司负责人章建强、主管会计工作负责人钱小鸿及会计机构负责人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任刚要声明：保证年度报告中财务报告的真实、准确、完整。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瑞华会计师事务所为本公司出具了带强调事项段的无保留意见审计报告，</w:t>
      </w:r>
      <w:r>
        <w:rPr>
          <w:rFonts w:ascii="宋体" w:hAnsi="宋体" w:cs="宋体" w:eastAsia="宋体" w:hint="default"/>
          <w:spacing w:val="3"/>
          <w:sz w:val="28"/>
          <w:szCs w:val="28"/>
        </w:rPr>
      </w:r>
    </w:p>
    <w:p>
      <w:pPr>
        <w:spacing w:line="475" w:lineRule="auto"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本公司董事会、监事会对相关事项已有详细说明，请投资者注意阅读。</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本报告中所涉及的未来计划、发展战略等前瞻性陈述，不构成公司对投资</w:t>
      </w:r>
      <w:r>
        <w:rPr>
          <w:rFonts w:ascii="宋体" w:hAnsi="宋体" w:cs="宋体" w:eastAsia="宋体" w:hint="default"/>
          <w:spacing w:val="3"/>
          <w:sz w:val="28"/>
          <w:szCs w:val="28"/>
        </w:rPr>
      </w:r>
    </w:p>
    <w:p>
      <w:pPr>
        <w:spacing w:line="351" w:lineRule="exact" w:before="0"/>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者的实质承诺，敬请投资者注意投资风险。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33" w:right="114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司存在政策性风险、核心技术人员流失风险、智慧城市总包业务模式的风险、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投资并购及管理风险、商业模式创新风险、诉讼执行结果不确定和应补偿股份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注销完成时间不确定的风险等风险，敬请广大投资者注意投资风险。详细内容</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5"/>
          <w:w w:val="99"/>
          <w:sz w:val="28"/>
          <w:szCs w:val="28"/>
        </w:rPr>
        <w:t>见本报告</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第四节经营情况讨论与分析之九、（三）风险因素</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w:t>
      </w:r>
      <w:r>
        <w:rPr>
          <w:rFonts w:ascii="宋体" w:hAnsi="宋体" w:cs="宋体" w:eastAsia="宋体" w:hint="default"/>
          <w:spacing w:val="-5"/>
          <w:sz w:val="28"/>
          <w:szCs w:val="28"/>
        </w:rPr>
      </w:r>
    </w:p>
    <w:p>
      <w:pPr>
        <w:spacing w:before="11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655,789,086</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8"/>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090" w:right="408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4090" w:right="408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公司、本公司、银江股份、发行人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最近三年、近三年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独立财务顾问、保荐机构、浙商证券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审计机构、瑞华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控股股东、银江科技集团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银江股份有限公司董事会提名委员会、银江股份有限公司董事会战略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决策委员会、银江股份有限公司董事会薪酬与考核委员会、银江股份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有限公司董事会审计委员会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年股票期权激励计划</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22216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Enjoyor</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ENJOYOR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章建强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杭州市益乐路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310030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www.enjoyor.net</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吴孟立</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座公司证券管理部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谭争 许旭光</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浙江省杭州市江干区五星路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苏永法、赵华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1,942,221,214.28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1,655,303,898.15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1,935,002,048.70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138,654,236.34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153,377,346.60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111,209,966.75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79,889,151.96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5,283,393.29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79,401,310.57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-215,372,225.24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-137,134,746.35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99,034,597.19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5,819,414,180.77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5,468,779,767.61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4,729,620,709.42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3,071,153,977.73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2,984,487,076.66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2,666,413,723.61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352,552,938.64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582,509,760.36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365,500,490.45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641,658,024.83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33,571,951.95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50,821,083.99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38,494,627.55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15,766,572.85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33,404,870.58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48,827,203.88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37,982,874.91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-40,325,797.41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-132,171,379.64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-7,171,353.21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-278,011,065.64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201,981,573.25</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6,869,974.76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2,449,729.71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18,690,391.24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8,312,009.85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14,451,062.04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17,880,028.98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53,096,708.13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122,938,994.20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32,268,967.88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-820,641.60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1,510,696.36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624,643.44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-991,830.44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8,681,640.22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25,260,817.49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4,256,106.33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264,679.39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138,470.71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58,765,084.38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148,093,953.31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31,808,656.18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9" w:lineRule="auto" w:before="25"/>
        <w:ind w:right="0"/>
        <w:jc w:val="left"/>
      </w:pPr>
      <w:r>
        <w:rPr>
          <w:spacing w:val="-2"/>
        </w:rPr>
        <w:t>报告期内，公司主营业务没有发生重大变化。公司作为智慧城市大脑建设运营服务商，专注于通过大数据、云计算、物联网</w:t>
      </w:r>
      <w:r>
        <w:rPr>
          <w:spacing w:val="-67"/>
        </w:rPr>
        <w:t> </w:t>
      </w:r>
      <w:r>
        <w:rPr>
          <w:spacing w:val="-67"/>
        </w:rPr>
      </w:r>
      <w:r>
        <w:rPr>
          <w:spacing w:val="-2"/>
        </w:rPr>
        <w:t>等高科技将信息服务广泛应用于交通出行、医疗健康、城市服务等大民生领域，围绕智慧交通、智慧医疗、智慧城市三大主</w:t>
      </w:r>
      <w:r>
        <w:rPr>
          <w:spacing w:val="-67"/>
        </w:rPr>
        <w:t> </w:t>
      </w:r>
      <w:r>
        <w:rPr>
          <w:spacing w:val="-67"/>
        </w:rPr>
      </w:r>
      <w:r>
        <w:rPr>
          <w:spacing w:val="-4"/>
        </w:rPr>
        <w:t>营业务，不断探索和创新业务管理模式和商业模式，研究开发新技术新产品，为客户提供涵盖信息系统咨询设计、软件开发、</w:t>
      </w:r>
      <w:r>
        <w:rPr>
          <w:spacing w:val="-46"/>
        </w:rPr>
        <w:t> </w:t>
      </w:r>
      <w:r>
        <w:rPr>
          <w:spacing w:val="-46"/>
        </w:rPr>
      </w:r>
      <w:r>
        <w:rPr/>
        <w:t>系统集成、运营运维在内的一体化的智慧城市解决方案和数据运营服务。</w:t>
      </w:r>
    </w:p>
    <w:p>
      <w:pPr>
        <w:pStyle w:val="BodyText"/>
        <w:spacing w:line="302" w:lineRule="auto" w:before="55"/>
        <w:ind w:right="0"/>
        <w:jc w:val="left"/>
      </w:pPr>
      <w:r>
        <w:rPr/>
        <w:t>报告期内公司所属行业的发展阶段、周期性特点以及公司所处行业的地位，请详见第四节</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w:t>
      </w:r>
      <w:r>
        <w:rPr>
          <w:spacing w:val="-54"/>
        </w:rPr>
        <w:t> </w:t>
      </w:r>
      <w:r>
        <w:rPr/>
        <w:t>司未来发展的展望</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0"/>
          <w:szCs w:val="20"/>
        </w:rPr>
      </w:pPr>
    </w:p>
    <w:p>
      <w:pPr>
        <w:pStyle w:val="Heading2"/>
        <w:spacing w:line="240" w:lineRule="auto"/>
        <w:ind w:left="1134"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本期增加浙江亿邦通信科技股份有限公司、杭州银江智慧产业创业投资合伙企业</w:t>
            </w:r>
          </w:p>
          <w:p>
            <w:pPr>
              <w:pStyle w:val="TableParagraph"/>
              <w:spacing w:line="319" w:lineRule="auto" w:before="76"/>
              <w:ind w:left="16" w:right="21"/>
              <w:jc w:val="left"/>
              <w:rPr>
                <w:rFonts w:ascii="宋体" w:hAnsi="宋体" w:cs="宋体" w:eastAsia="宋体" w:hint="default"/>
                <w:sz w:val="18"/>
                <w:szCs w:val="18"/>
              </w:rPr>
            </w:pPr>
            <w:r>
              <w:rPr>
                <w:rFonts w:ascii="宋体" w:hAnsi="宋体" w:cs="宋体" w:eastAsia="宋体" w:hint="default"/>
                <w:spacing w:val="-1"/>
                <w:sz w:val="18"/>
                <w:szCs w:val="18"/>
              </w:rPr>
              <w:t>（有限合伙）投资和杭州银江医联网技术股份有限公司、杭州清普信息技术有限公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司股权比例变动所致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182"/>
              <w:jc w:val="left"/>
              <w:rPr>
                <w:rFonts w:ascii="宋体" w:hAnsi="宋体" w:cs="宋体" w:eastAsia="宋体" w:hint="default"/>
                <w:sz w:val="18"/>
                <w:szCs w:val="18"/>
              </w:rPr>
            </w:pPr>
            <w:r>
              <w:rPr>
                <w:rFonts w:ascii="宋体" w:hAnsi="宋体" w:cs="宋体" w:eastAsia="宋体" w:hint="default"/>
                <w:sz w:val="18"/>
                <w:szCs w:val="18"/>
              </w:rPr>
              <w:t>本期转让北京亚太安讯科技有限责任公司股权及杭州银江医联网技术股份有限公 司、杭州清普信息技术有限公司股权比例变动不纳入合并所致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182"/>
              <w:jc w:val="left"/>
              <w:rPr>
                <w:rFonts w:ascii="宋体" w:hAnsi="宋体" w:cs="宋体" w:eastAsia="宋体" w:hint="default"/>
                <w:sz w:val="18"/>
                <w:szCs w:val="18"/>
              </w:rPr>
            </w:pPr>
            <w:r>
              <w:rPr>
                <w:rFonts w:ascii="宋体" w:hAnsi="宋体" w:cs="宋体" w:eastAsia="宋体" w:hint="default"/>
                <w:sz w:val="18"/>
                <w:szCs w:val="18"/>
              </w:rPr>
              <w:t>本期转让北京亚太安讯科技有限责任公司股权及杭州银江医联网技术股份有限公 司、杭州清普信息技术有限公司股权比例变动不纳入合并所致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240" w:lineRule="auto" w:before="26"/>
        <w:ind w:left="1134" w:right="0"/>
        <w:jc w:val="both"/>
      </w:pPr>
      <w:r>
        <w:rPr/>
        <w:t>报告期内，公司核心竞争能力未发生重大变化。</w:t>
      </w:r>
    </w:p>
    <w:p>
      <w:pPr>
        <w:spacing w:line="240" w:lineRule="auto" w:before="0"/>
        <w:rPr>
          <w:rFonts w:ascii="宋体" w:hAnsi="宋体" w:cs="宋体" w:eastAsia="宋体" w:hint="default"/>
          <w:sz w:val="18"/>
          <w:szCs w:val="18"/>
        </w:rPr>
      </w:pPr>
    </w:p>
    <w:p>
      <w:pPr>
        <w:pStyle w:val="BodyText"/>
        <w:spacing w:line="316" w:lineRule="auto" w:before="153"/>
        <w:ind w:right="1131"/>
        <w:jc w:val="both"/>
      </w:pPr>
      <w:r>
        <w:rPr>
          <w:spacing w:val="-2"/>
        </w:rPr>
        <w:t>（一）公司作为作为智慧城市大脑建设运营服务商，是国家火炬计划重点高新技术企业、中国软件业务收入前百家企业、浙</w:t>
      </w:r>
      <w:r>
        <w:rPr>
          <w:spacing w:val="-67"/>
        </w:rPr>
        <w:t> </w:t>
      </w:r>
      <w:r>
        <w:rPr>
          <w:spacing w:val="-67"/>
        </w:rPr>
      </w:r>
      <w:r>
        <w:rPr>
          <w:spacing w:val="-2"/>
        </w:rPr>
        <w:t>江省百强高新技术企业、中国智慧城市产业联盟副理事长单位。报告期内，公司未发生因核心技术人员离职、特许经营权丧</w:t>
      </w:r>
      <w:r>
        <w:rPr>
          <w:spacing w:val="-66"/>
        </w:rPr>
        <w:t> </w:t>
      </w:r>
      <w:r>
        <w:rPr>
          <w:spacing w:val="-66"/>
        </w:rPr>
      </w:r>
      <w:r>
        <w:rPr>
          <w:spacing w:val="-2"/>
        </w:rPr>
        <w:t>失等严重影响公司核心竞争能力的情况，公司的核心竞争力没有发生不利变化。公司的竞争优势来自于公司成立至今始终坚</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持的技术创新战略及当前的平台战略、总包战略，经过多年的积累，公司构建了较强的核心竞争能力。</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（二）公司主要资产情况</w:t>
      </w:r>
    </w:p>
    <w:p>
      <w:pPr>
        <w:pStyle w:val="BodyText"/>
        <w:spacing w:line="240" w:lineRule="auto" w:before="76"/>
        <w:ind w:right="0"/>
        <w:jc w:val="left"/>
      </w:pPr>
      <w:r>
        <w:rPr>
          <w:rFonts w:ascii="Times New Roman" w:hAnsi="Times New Roman" w:cs="Times New Roman" w:eastAsia="Times New Roman" w:hint="default"/>
        </w:rPr>
        <w:t>1</w:t>
      </w:r>
      <w:r>
        <w:rPr/>
        <w:t>、固定资产情况</w:t>
      </w:r>
    </w:p>
    <w:p>
      <w:pPr>
        <w:spacing w:line="240" w:lineRule="auto" w:before="13"/>
        <w:rPr>
          <w:rFonts w:ascii="宋体" w:hAnsi="宋体" w:cs="宋体" w:eastAsia="宋体" w:hint="default"/>
          <w:sz w:val="3"/>
          <w:szCs w:val="3"/>
        </w:rPr>
      </w:pPr>
    </w:p>
    <w:tbl>
      <w:tblPr>
        <w:tblW w:w="0" w:type="auto"/>
        <w:jc w:val="left"/>
        <w:tblInd w:w="771" w:type="dxa"/>
        <w:tblLayout w:type="fixed"/>
        <w:tblCellMar>
          <w:top w:w="0" w:type="dxa"/>
          <w:left w:w="0" w:type="dxa"/>
          <w:bottom w:w="0" w:type="dxa"/>
          <w:right w:w="0" w:type="dxa"/>
        </w:tblCellMar>
        <w:tblLook w:val="01E0"/>
      </w:tblPr>
      <w:tblGrid>
        <w:gridCol w:w="3119"/>
        <w:gridCol w:w="1134"/>
        <w:gridCol w:w="1134"/>
        <w:gridCol w:w="992"/>
        <w:gridCol w:w="1134"/>
        <w:gridCol w:w="2128"/>
        <w:gridCol w:w="708"/>
      </w:tblGrid>
      <w:tr>
        <w:trPr>
          <w:trHeight w:val="6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土地证号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90" w:right="17" w:hanging="270"/>
              <w:jc w:val="left"/>
              <w:rPr>
                <w:rFonts w:ascii="宋体" w:hAnsi="宋体" w:cs="宋体" w:eastAsia="宋体" w:hint="default"/>
                <w:sz w:val="18"/>
                <w:szCs w:val="18"/>
              </w:rPr>
            </w:pPr>
            <w:r>
              <w:rPr>
                <w:rFonts w:ascii="宋体" w:hAnsi="宋体" w:cs="宋体" w:eastAsia="宋体" w:hint="default"/>
                <w:sz w:val="18"/>
                <w:szCs w:val="18"/>
              </w:rPr>
              <w:t>宗地面积（平 方米）</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90" w:right="17" w:hanging="270"/>
              <w:jc w:val="left"/>
              <w:rPr>
                <w:rFonts w:ascii="宋体" w:hAnsi="宋体" w:cs="宋体" w:eastAsia="宋体" w:hint="default"/>
                <w:sz w:val="18"/>
                <w:szCs w:val="18"/>
              </w:rPr>
            </w:pPr>
            <w:r>
              <w:rPr>
                <w:rFonts w:ascii="宋体" w:hAnsi="宋体" w:cs="宋体" w:eastAsia="宋体" w:hint="default"/>
                <w:sz w:val="18"/>
                <w:szCs w:val="18"/>
              </w:rPr>
              <w:t>房屋面积（平 方米）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土地用途</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所属公司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5" w:right="77" w:hanging="180"/>
              <w:jc w:val="left"/>
              <w:rPr>
                <w:rFonts w:ascii="宋体" w:hAnsi="宋体" w:cs="宋体" w:eastAsia="宋体" w:hint="default"/>
                <w:sz w:val="18"/>
                <w:szCs w:val="18"/>
              </w:rPr>
            </w:pPr>
            <w:r>
              <w:rPr>
                <w:rFonts w:ascii="宋体" w:hAnsi="宋体" w:cs="宋体" w:eastAsia="宋体" w:hint="default"/>
                <w:sz w:val="18"/>
                <w:szCs w:val="18"/>
              </w:rPr>
              <w:t>抵押情 况</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沪房地市字（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Times New Roman" w:hAnsi="Times New Roman" w:cs="Times New Roman" w:eastAsia="Times New Roman" w:hint="default"/>
                <w:sz w:val="18"/>
                <w:szCs w:val="18"/>
              </w:rPr>
              <w:t>014154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27922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133.91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综合用地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2042.9.3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沪房地徐字（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020932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33902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274.35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2059.9.8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杭西园用（</w:t>
            </w:r>
            <w:r>
              <w:rPr>
                <w:rFonts w:ascii="Times New Roman" w:hAnsi="Times New Roman" w:cs="Times New Roman" w:eastAsia="Times New Roman" w:hint="default"/>
                <w:sz w:val="18"/>
                <w:szCs w:val="18"/>
              </w:rPr>
              <w:t>2006</w:t>
            </w:r>
            <w:r>
              <w:rPr>
                <w:rFonts w:ascii="宋体" w:hAnsi="宋体" w:cs="宋体" w:eastAsia="宋体" w:hint="default"/>
                <w:sz w:val="18"/>
                <w:szCs w:val="18"/>
              </w:rPr>
              <w:t>）第</w:t>
            </w:r>
            <w:r>
              <w:rPr>
                <w:rFonts w:ascii="Times New Roman" w:hAnsi="Times New Roman" w:cs="Times New Roman" w:eastAsia="Times New Roman" w:hint="default"/>
                <w:sz w:val="18"/>
                <w:szCs w:val="18"/>
              </w:rPr>
              <w:t>001395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4"/>
              <w:jc w:val="right"/>
              <w:rPr>
                <w:rFonts w:ascii="Times New Roman" w:hAnsi="Times New Roman" w:cs="Times New Roman" w:eastAsia="Times New Roman" w:hint="default"/>
                <w:sz w:val="18"/>
                <w:szCs w:val="18"/>
              </w:rPr>
            </w:pPr>
            <w:r>
              <w:rPr>
                <w:rFonts w:ascii="Times New Roman"/>
                <w:sz w:val="18"/>
              </w:rPr>
              <w:t>76.67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住宅用地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2064.1.3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杭州银江电子有限公司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5"/>
              <w:jc w:val="right"/>
              <w:rPr>
                <w:rFonts w:ascii="Times New Roman" w:hAnsi="Times New Roman" w:cs="Times New Roman" w:eastAsia="Times New Roman" w:hint="default"/>
                <w:sz w:val="18"/>
                <w:szCs w:val="18"/>
              </w:rPr>
            </w:pPr>
            <w:r>
              <w:rPr>
                <w:rFonts w:ascii="Times New Roman"/>
                <w:sz w:val="18"/>
              </w:rPr>
              <w:t>10253.6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9"/>
              <w:jc w:val="right"/>
              <w:rPr>
                <w:rFonts w:ascii="Times New Roman" w:hAnsi="Times New Roman" w:cs="Times New Roman" w:eastAsia="Times New Roman" w:hint="default"/>
                <w:sz w:val="18"/>
                <w:szCs w:val="18"/>
              </w:rPr>
            </w:pPr>
            <w:r>
              <w:rPr>
                <w:rFonts w:ascii="Times New Roman"/>
                <w:sz w:val="18"/>
              </w:rPr>
              <w:t>124.97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8"/>
              <w:jc w:val="right"/>
              <w:rPr>
                <w:rFonts w:ascii="Times New Roman" w:hAnsi="Times New Roman" w:cs="Times New Roman" w:eastAsia="Times New Roman" w:hint="default"/>
                <w:sz w:val="18"/>
                <w:szCs w:val="18"/>
              </w:rPr>
            </w:pPr>
            <w:r>
              <w:rPr>
                <w:rFonts w:ascii="Times New Roman"/>
                <w:sz w:val="18"/>
              </w:rPr>
              <w:t>2043.5.22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0920033514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5"/>
              <w:jc w:val="right"/>
              <w:rPr>
                <w:rFonts w:ascii="Times New Roman" w:hAnsi="Times New Roman" w:cs="Times New Roman" w:eastAsia="Times New Roman" w:hint="default"/>
                <w:sz w:val="18"/>
                <w:szCs w:val="18"/>
              </w:rPr>
            </w:pPr>
            <w:r>
              <w:rPr>
                <w:rFonts w:ascii="Times New Roman"/>
                <w:sz w:val="18"/>
              </w:rPr>
              <w:t>10253.6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91.8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8"/>
              <w:jc w:val="right"/>
              <w:rPr>
                <w:rFonts w:ascii="Times New Roman" w:hAnsi="Times New Roman" w:cs="Times New Roman" w:eastAsia="Times New Roman" w:hint="default"/>
                <w:sz w:val="18"/>
                <w:szCs w:val="18"/>
              </w:rPr>
            </w:pPr>
            <w:r>
              <w:rPr>
                <w:rFonts w:ascii="Times New Roman"/>
                <w:sz w:val="18"/>
              </w:rPr>
              <w:t>2043.5.22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0920033520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5"/>
              <w:jc w:val="right"/>
              <w:rPr>
                <w:rFonts w:ascii="Times New Roman" w:hAnsi="Times New Roman" w:cs="Times New Roman" w:eastAsia="Times New Roman" w:hint="default"/>
                <w:sz w:val="18"/>
                <w:szCs w:val="18"/>
              </w:rPr>
            </w:pPr>
            <w:r>
              <w:rPr>
                <w:rFonts w:ascii="Times New Roman"/>
                <w:sz w:val="18"/>
              </w:rPr>
              <w:t>10253.6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91.8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8"/>
              <w:jc w:val="right"/>
              <w:rPr>
                <w:rFonts w:ascii="Times New Roman" w:hAnsi="Times New Roman" w:cs="Times New Roman" w:eastAsia="Times New Roman" w:hint="default"/>
                <w:sz w:val="18"/>
                <w:szCs w:val="18"/>
              </w:rPr>
            </w:pPr>
            <w:r>
              <w:rPr>
                <w:rFonts w:ascii="Times New Roman"/>
                <w:sz w:val="18"/>
              </w:rPr>
              <w:t>2043.5.22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粤房地权证穗字第 </w:t>
            </w:r>
            <w:r>
              <w:rPr>
                <w:rFonts w:ascii="Times New Roman" w:hAnsi="Times New Roman" w:cs="Times New Roman" w:eastAsia="Times New Roman" w:hint="default"/>
                <w:sz w:val="18"/>
                <w:szCs w:val="18"/>
              </w:rPr>
              <w:t>0920033780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5"/>
              <w:jc w:val="right"/>
              <w:rPr>
                <w:rFonts w:ascii="Times New Roman" w:hAnsi="Times New Roman" w:cs="Times New Roman" w:eastAsia="Times New Roman" w:hint="default"/>
                <w:sz w:val="18"/>
                <w:szCs w:val="18"/>
              </w:rPr>
            </w:pPr>
            <w:r>
              <w:rPr>
                <w:rFonts w:ascii="Times New Roman"/>
                <w:sz w:val="18"/>
              </w:rPr>
              <w:t>10253.6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124.97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8"/>
              <w:jc w:val="right"/>
              <w:rPr>
                <w:rFonts w:ascii="Times New Roman" w:hAnsi="Times New Roman" w:cs="Times New Roman" w:eastAsia="Times New Roman" w:hint="default"/>
                <w:sz w:val="18"/>
                <w:szCs w:val="18"/>
              </w:rPr>
            </w:pPr>
            <w:r>
              <w:rPr>
                <w:rFonts w:ascii="Times New Roman"/>
                <w:sz w:val="18"/>
              </w:rPr>
              <w:t>2043.5.22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3052.73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8238.27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4"/>
              <w:jc w:val="right"/>
              <w:rPr>
                <w:rFonts w:ascii="Times New Roman" w:hAnsi="Times New Roman" w:cs="Times New Roman" w:eastAsia="Times New Roman" w:hint="default"/>
                <w:sz w:val="18"/>
                <w:szCs w:val="18"/>
              </w:rPr>
            </w:pPr>
            <w:r>
              <w:rPr>
                <w:rFonts w:ascii="Times New Roman"/>
                <w:sz w:val="18"/>
              </w:rPr>
              <w:t>4704.67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4704.67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4704.67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8017.98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z w:val="18"/>
              </w:rPr>
              <w:t>22159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5078.55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z w:val="18"/>
              </w:rPr>
              <w:t>2053.12.22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100069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7" w:right="0"/>
              <w:jc w:val="left"/>
              <w:rPr>
                <w:rFonts w:ascii="Times New Roman" w:hAnsi="Times New Roman" w:cs="Times New Roman" w:eastAsia="Times New Roman" w:hint="default"/>
                <w:sz w:val="18"/>
                <w:szCs w:val="18"/>
              </w:rPr>
            </w:pPr>
            <w:r>
              <w:rPr>
                <w:rFonts w:ascii="Times New Roman"/>
                <w:sz w:val="18"/>
              </w:rPr>
              <w:t>61.12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4"/>
              <w:jc w:val="right"/>
              <w:rPr>
                <w:rFonts w:ascii="Times New Roman" w:hAnsi="Times New Roman" w:cs="Times New Roman" w:eastAsia="Times New Roman" w:hint="default"/>
                <w:sz w:val="18"/>
                <w:szCs w:val="18"/>
              </w:rPr>
            </w:pPr>
            <w:r>
              <w:rPr>
                <w:rFonts w:ascii="Times New Roman"/>
                <w:sz w:val="18"/>
              </w:rPr>
              <w:t>61.12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杭州银江电子有限公司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西高科技国用（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39430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9"/>
              <w:jc w:val="right"/>
              <w:rPr>
                <w:rFonts w:ascii="Times New Roman" w:hAnsi="Times New Roman" w:cs="Times New Roman" w:eastAsia="Times New Roman" w:hint="default"/>
                <w:sz w:val="18"/>
                <w:szCs w:val="18"/>
              </w:rPr>
            </w:pPr>
            <w:r>
              <w:rPr>
                <w:rFonts w:ascii="Times New Roman"/>
                <w:sz w:val="18"/>
              </w:rPr>
              <w:t>630.46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6"/>
              <w:jc w:val="right"/>
              <w:rPr>
                <w:rFonts w:ascii="宋体" w:hAnsi="宋体" w:cs="宋体" w:eastAsia="宋体" w:hint="default"/>
                <w:sz w:val="18"/>
                <w:szCs w:val="18"/>
              </w:rPr>
            </w:pPr>
            <w:r>
              <w:rPr>
                <w:rFonts w:ascii="宋体" w:hAnsi="宋体" w:cs="宋体" w:eastAsia="宋体" w:hint="default"/>
                <w:sz w:val="18"/>
                <w:szCs w:val="18"/>
              </w:rPr>
              <w:t>办公用地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8"/>
              <w:jc w:val="right"/>
              <w:rPr>
                <w:rFonts w:ascii="Times New Roman" w:hAnsi="Times New Roman" w:cs="Times New Roman" w:eastAsia="Times New Roman" w:hint="default"/>
                <w:sz w:val="18"/>
                <w:szCs w:val="18"/>
              </w:rPr>
            </w:pPr>
            <w:r>
              <w:rPr>
                <w:rFonts w:ascii="Times New Roman"/>
                <w:sz w:val="18"/>
              </w:rPr>
              <w:t>2052.7.25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462" w:right="66" w:hanging="1396"/>
              <w:jc w:val="left"/>
              <w:rPr>
                <w:rFonts w:ascii="宋体" w:hAnsi="宋体" w:cs="宋体" w:eastAsia="宋体"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2017</w:t>
            </w:r>
            <w:r>
              <w:rPr>
                <w:rFonts w:ascii="宋体" w:hAnsi="宋体" w:cs="宋体" w:eastAsia="宋体" w:hint="default"/>
                <w:sz w:val="18"/>
                <w:szCs w:val="18"/>
              </w:rPr>
              <w:t>）余杭区不动产权第</w:t>
            </w:r>
            <w:r>
              <w:rPr>
                <w:rFonts w:ascii="Times New Roman" w:hAnsi="Times New Roman" w:cs="Times New Roman" w:eastAsia="Times New Roman" w:hint="default"/>
                <w:sz w:val="18"/>
                <w:szCs w:val="18"/>
              </w:rPr>
              <w:t>0046978 </w:t>
            </w:r>
            <w:r>
              <w:rPr>
                <w:rFonts w:ascii="宋体" w:hAnsi="宋体" w:cs="宋体" w:eastAsia="宋体" w:hint="default"/>
                <w:sz w:val="18"/>
                <w:szCs w:val="18"/>
              </w:rPr>
              <w:t>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5"/>
              <w:jc w:val="right"/>
              <w:rPr>
                <w:rFonts w:ascii="Times New Roman" w:hAnsi="Times New Roman" w:cs="Times New Roman" w:eastAsia="Times New Roman" w:hint="default"/>
                <w:sz w:val="18"/>
                <w:szCs w:val="18"/>
              </w:rPr>
            </w:pPr>
            <w:r>
              <w:rPr>
                <w:rFonts w:ascii="Times New Roman"/>
                <w:sz w:val="18"/>
              </w:rPr>
              <w:t>45100.1</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工业用地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3"/>
              <w:jc w:val="right"/>
              <w:rPr>
                <w:rFonts w:ascii="Times New Roman" w:hAnsi="Times New Roman" w:cs="Times New Roman" w:eastAsia="Times New Roman" w:hint="default"/>
                <w:sz w:val="18"/>
                <w:szCs w:val="18"/>
              </w:rPr>
            </w:pPr>
            <w:r>
              <w:rPr>
                <w:rFonts w:ascii="Times New Roman"/>
                <w:sz w:val="18"/>
              </w:rPr>
              <w:t>2066.9.2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85" w:right="65" w:hanging="720"/>
              <w:jc w:val="left"/>
              <w:rPr>
                <w:rFonts w:ascii="宋体" w:hAnsi="宋体" w:cs="宋体" w:eastAsia="宋体" w:hint="default"/>
                <w:sz w:val="18"/>
                <w:szCs w:val="18"/>
              </w:rPr>
            </w:pPr>
            <w:r>
              <w:rPr>
                <w:rFonts w:ascii="宋体" w:hAnsi="宋体" w:cs="宋体" w:eastAsia="宋体" w:hint="default"/>
                <w:sz w:val="18"/>
                <w:szCs w:val="18"/>
              </w:rPr>
              <w:t>浙江交通宝互联网技术有 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21"/>
          <w:szCs w:val="21"/>
        </w:rPr>
      </w:pPr>
    </w:p>
    <w:p>
      <w:pPr>
        <w:pStyle w:val="BodyText"/>
        <w:spacing w:line="240" w:lineRule="auto" w:before="44"/>
        <w:ind w:left="1134" w:right="0"/>
        <w:jc w:val="left"/>
      </w:pPr>
      <w:r>
        <w:rPr>
          <w:rFonts w:ascii="Times New Roman" w:hAnsi="Times New Roman" w:cs="Times New Roman" w:eastAsia="Times New Roman" w:hint="default"/>
        </w:rPr>
        <w:t>2</w:t>
      </w:r>
      <w:r>
        <w:rPr/>
        <w:t>、无形资产情况</w:t>
      </w:r>
    </w:p>
    <w:p>
      <w:pPr>
        <w:pStyle w:val="BodyText"/>
        <w:spacing w:line="240" w:lineRule="auto" w:before="63"/>
        <w:ind w:left="1134" w:right="0"/>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60</w:t>
      </w:r>
      <w:r>
        <w:rPr/>
        <w:t>项注册商标，与上一年度相比未发生变化。</w:t>
      </w:r>
    </w:p>
    <w:p>
      <w:pPr>
        <w:pStyle w:val="BodyText"/>
        <w:spacing w:line="300" w:lineRule="auto" w:before="63"/>
        <w:ind w:right="112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日，公司及下属控股子公司拥有</w:t>
      </w:r>
      <w:r>
        <w:rPr>
          <w:rFonts w:ascii="Times New Roman" w:hAnsi="Times New Roman" w:cs="Times New Roman" w:eastAsia="Times New Roman" w:hint="default"/>
        </w:rPr>
        <w:t>56</w:t>
      </w:r>
      <w:r>
        <w:rPr/>
        <w:t>项资质证书，其中</w:t>
      </w:r>
      <w:r>
        <w:rPr>
          <w:rFonts w:ascii="Times New Roman" w:hAnsi="Times New Roman" w:cs="Times New Roman" w:eastAsia="Times New Roman" w:hint="default"/>
        </w:rPr>
        <w:t>2017</w:t>
      </w:r>
      <w:r>
        <w:rPr/>
        <w:t>年度新增了</w:t>
      </w:r>
      <w:r>
        <w:rPr>
          <w:rFonts w:ascii="Times New Roman" w:hAnsi="Times New Roman" w:cs="Times New Roman" w:eastAsia="Times New Roman" w:hint="default"/>
        </w:rPr>
        <w:t>16</w:t>
      </w:r>
      <w:r>
        <w:rPr/>
        <w:t>项，</w:t>
      </w:r>
      <w:r>
        <w:rPr>
          <w:rFonts w:ascii="Times New Roman" w:hAnsi="Times New Roman" w:cs="Times New Roman" w:eastAsia="Times New Roman" w:hint="default"/>
        </w:rPr>
        <w:t>2017</w:t>
      </w:r>
      <w:r>
        <w:rPr/>
        <w:t>年度资质证书新增</w:t>
      </w:r>
      <w:r>
        <w:rPr>
          <w:spacing w:val="-83"/>
        </w:rPr>
        <w:t> </w:t>
      </w:r>
      <w:r>
        <w:rPr>
          <w:spacing w:val="-83"/>
        </w:rPr>
      </w:r>
      <w:r>
        <w:rPr/>
        <w:t>情况如下：</w:t>
      </w:r>
    </w:p>
    <w:tbl>
      <w:tblPr>
        <w:tblW w:w="0" w:type="auto"/>
        <w:jc w:val="left"/>
        <w:tblInd w:w="1188" w:type="dxa"/>
        <w:tblLayout w:type="fixed"/>
        <w:tblCellMar>
          <w:top w:w="0" w:type="dxa"/>
          <w:left w:w="0" w:type="dxa"/>
          <w:bottom w:w="0" w:type="dxa"/>
          <w:right w:w="0" w:type="dxa"/>
        </w:tblCellMar>
        <w:tblLook w:val="01E0"/>
      </w:tblPr>
      <w:tblGrid>
        <w:gridCol w:w="4354"/>
        <w:gridCol w:w="2036"/>
        <w:gridCol w:w="1341"/>
        <w:gridCol w:w="1786"/>
      </w:tblGrid>
      <w:tr>
        <w:trPr>
          <w:trHeight w:val="348"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资质名称</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应用领域</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发证日期</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所属公司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安徽安防资质三级</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7" w:right="0"/>
              <w:jc w:val="left"/>
              <w:rPr>
                <w:rFonts w:ascii="Times New Roman" w:hAnsi="Times New Roman" w:cs="Times New Roman" w:eastAsia="Times New Roman" w:hint="default"/>
                <w:sz w:val="18"/>
                <w:szCs w:val="18"/>
              </w:rPr>
            </w:pPr>
            <w:r>
              <w:rPr>
                <w:rFonts w:ascii="Times New Roman"/>
                <w:sz w:val="18"/>
              </w:rPr>
              <w:t>2017.06.30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5" w:right="73" w:hanging="360"/>
              <w:jc w:val="left"/>
              <w:rPr>
                <w:rFonts w:ascii="宋体" w:hAnsi="宋体" w:cs="宋体" w:eastAsia="宋体" w:hint="default"/>
                <w:sz w:val="18"/>
                <w:szCs w:val="18"/>
              </w:rPr>
            </w:pPr>
            <w:r>
              <w:rPr>
                <w:rFonts w:ascii="宋体" w:hAnsi="宋体" w:cs="宋体" w:eastAsia="宋体" w:hint="default"/>
                <w:sz w:val="18"/>
                <w:szCs w:val="18"/>
              </w:rPr>
              <w:t>安徽银江智慧城市技 术有限公司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2017.11.13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5" w:right="73" w:hanging="450"/>
              <w:jc w:val="left"/>
              <w:rPr>
                <w:rFonts w:ascii="宋体" w:hAnsi="宋体" w:cs="宋体" w:eastAsia="宋体" w:hint="default"/>
                <w:sz w:val="18"/>
                <w:szCs w:val="18"/>
              </w:rPr>
            </w:pPr>
            <w:r>
              <w:rPr>
                <w:rFonts w:ascii="宋体" w:hAnsi="宋体" w:cs="宋体" w:eastAsia="宋体" w:hint="default"/>
                <w:sz w:val="18"/>
                <w:szCs w:val="18"/>
              </w:rPr>
              <w:t>浙江银江云计算技术 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2017.11.13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15" w:right="73" w:hanging="540"/>
              <w:jc w:val="left"/>
              <w:rPr>
                <w:rFonts w:ascii="宋体" w:hAnsi="宋体" w:cs="宋体" w:eastAsia="宋体" w:hint="default"/>
                <w:sz w:val="18"/>
                <w:szCs w:val="18"/>
              </w:rPr>
            </w:pPr>
            <w:r>
              <w:rPr>
                <w:rFonts w:ascii="宋体" w:hAnsi="宋体" w:cs="宋体" w:eastAsia="宋体" w:hint="default"/>
                <w:sz w:val="18"/>
                <w:szCs w:val="18"/>
              </w:rPr>
              <w:t>浙江智尔信息技术有 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2017.12.14</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5" w:right="73" w:hanging="360"/>
              <w:jc w:val="left"/>
              <w:rPr>
                <w:rFonts w:ascii="宋体" w:hAnsi="宋体" w:cs="宋体" w:eastAsia="宋体" w:hint="default"/>
                <w:sz w:val="18"/>
                <w:szCs w:val="18"/>
              </w:rPr>
            </w:pPr>
            <w:r>
              <w:rPr>
                <w:rFonts w:ascii="宋体" w:hAnsi="宋体" w:cs="宋体" w:eastAsia="宋体" w:hint="default"/>
                <w:sz w:val="18"/>
                <w:szCs w:val="18"/>
              </w:rPr>
              <w:t>西安银江智慧城市技 术有限公司</w:t>
            </w:r>
          </w:p>
        </w:tc>
      </w:tr>
      <w:tr>
        <w:trPr>
          <w:trHeight w:val="34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GB/T29490-2013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知识产权管理体系认证证书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2017.4.10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信息系统集成及服务肆级资质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2017.12.31</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9001:2015</w:t>
            </w:r>
            <w:r>
              <w:rPr>
                <w:rFonts w:ascii="宋体" w:hAnsi="宋体" w:cs="宋体" w:eastAsia="宋体" w:hint="default"/>
                <w:sz w:val="18"/>
                <w:szCs w:val="18"/>
              </w:rPr>
              <w:t>质量管理体系认证证书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7" w:right="0"/>
              <w:jc w:val="left"/>
              <w:rPr>
                <w:rFonts w:ascii="Times New Roman" w:hAnsi="Times New Roman" w:cs="Times New Roman" w:eastAsia="Times New Roman" w:hint="default"/>
                <w:sz w:val="18"/>
                <w:szCs w:val="18"/>
              </w:rPr>
            </w:pPr>
            <w:r>
              <w:rPr>
                <w:rFonts w:ascii="Times New Roman"/>
                <w:sz w:val="18"/>
              </w:rPr>
              <w:t>2017.11.16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88" w:type="dxa"/>
        <w:tblLayout w:type="fixed"/>
        <w:tblCellMar>
          <w:top w:w="0" w:type="dxa"/>
          <w:left w:w="0" w:type="dxa"/>
          <w:bottom w:w="0" w:type="dxa"/>
          <w:right w:w="0" w:type="dxa"/>
        </w:tblCellMar>
        <w:tblLook w:val="01E0"/>
      </w:tblPr>
      <w:tblGrid>
        <w:gridCol w:w="4354"/>
        <w:gridCol w:w="2036"/>
        <w:gridCol w:w="1341"/>
        <w:gridCol w:w="1786"/>
      </w:tblGrid>
      <w:tr>
        <w:trPr>
          <w:trHeight w:val="347"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信息系统集成及服务肆级资质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交通</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2017.12.31</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5"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宋体" w:hAnsi="宋体" w:cs="宋体" w:eastAsia="宋体" w:hint="default"/>
                <w:sz w:val="18"/>
                <w:szCs w:val="18"/>
              </w:rPr>
              <w:t>软件能力成熟度模型证书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2017.12.17</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5" w:right="73" w:hanging="450"/>
              <w:jc w:val="left"/>
              <w:rPr>
                <w:rFonts w:ascii="宋体" w:hAnsi="宋体" w:cs="宋体" w:eastAsia="宋体" w:hint="default"/>
                <w:sz w:val="18"/>
                <w:szCs w:val="18"/>
              </w:rPr>
            </w:pPr>
            <w:r>
              <w:rPr>
                <w:rFonts w:ascii="宋体" w:hAnsi="宋体" w:cs="宋体" w:eastAsia="宋体" w:hint="default"/>
                <w:sz w:val="18"/>
                <w:szCs w:val="18"/>
              </w:rPr>
              <w:t>浙江银江云计算技术 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27001:2013</w:t>
            </w:r>
            <w:r>
              <w:rPr>
                <w:rFonts w:ascii="宋体" w:hAnsi="宋体" w:cs="宋体" w:eastAsia="宋体" w:hint="default"/>
                <w:sz w:val="18"/>
                <w:szCs w:val="18"/>
              </w:rPr>
              <w:t>信息安全管理体系认证证书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2017.12.8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525" w:right="73" w:hanging="450"/>
              <w:jc w:val="left"/>
              <w:rPr>
                <w:rFonts w:ascii="宋体" w:hAnsi="宋体" w:cs="宋体" w:eastAsia="宋体" w:hint="default"/>
                <w:sz w:val="18"/>
                <w:szCs w:val="18"/>
              </w:rPr>
            </w:pPr>
            <w:r>
              <w:rPr>
                <w:rFonts w:ascii="宋体" w:hAnsi="宋体" w:cs="宋体" w:eastAsia="宋体" w:hint="default"/>
                <w:sz w:val="18"/>
                <w:szCs w:val="18"/>
              </w:rPr>
              <w:t>浙江银江云计算技术 有限公司</w:t>
            </w:r>
          </w:p>
        </w:tc>
      </w:tr>
      <w:tr>
        <w:trPr>
          <w:trHeight w:val="660"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9001:2015</w:t>
            </w:r>
            <w:r>
              <w:rPr>
                <w:rFonts w:ascii="宋体" w:hAnsi="宋体" w:cs="宋体" w:eastAsia="宋体" w:hint="default"/>
                <w:sz w:val="18"/>
                <w:szCs w:val="18"/>
              </w:rPr>
              <w:t>质量管理体系认证证书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2017.12.6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15" w:right="73" w:hanging="540"/>
              <w:jc w:val="left"/>
              <w:rPr>
                <w:rFonts w:ascii="宋体" w:hAnsi="宋体" w:cs="宋体" w:eastAsia="宋体" w:hint="default"/>
                <w:sz w:val="18"/>
                <w:szCs w:val="18"/>
              </w:rPr>
            </w:pPr>
            <w:r>
              <w:rPr>
                <w:rFonts w:ascii="宋体" w:hAnsi="宋体" w:cs="宋体" w:eastAsia="宋体" w:hint="default"/>
                <w:sz w:val="18"/>
                <w:szCs w:val="18"/>
              </w:rPr>
              <w:t>健康宝互联网技术有 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信息系统集成及服务肆级资质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7" w:right="0"/>
              <w:jc w:val="left"/>
              <w:rPr>
                <w:rFonts w:ascii="Times New Roman" w:hAnsi="Times New Roman" w:cs="Times New Roman" w:eastAsia="Times New Roman" w:hint="default"/>
                <w:sz w:val="18"/>
                <w:szCs w:val="18"/>
              </w:rPr>
            </w:pPr>
            <w:r>
              <w:rPr>
                <w:rFonts w:ascii="Times New Roman"/>
                <w:sz w:val="18"/>
              </w:rPr>
              <w:t>2017.12.31</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5" w:right="73" w:hanging="360"/>
              <w:jc w:val="left"/>
              <w:rPr>
                <w:rFonts w:ascii="宋体" w:hAnsi="宋体" w:cs="宋体" w:eastAsia="宋体" w:hint="default"/>
                <w:sz w:val="18"/>
                <w:szCs w:val="18"/>
              </w:rPr>
            </w:pPr>
            <w:r>
              <w:rPr>
                <w:rFonts w:ascii="宋体" w:hAnsi="宋体" w:cs="宋体" w:eastAsia="宋体" w:hint="default"/>
                <w:sz w:val="18"/>
                <w:szCs w:val="18"/>
              </w:rPr>
              <w:t>安徽银江智慧城市技 术有限公司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9001:2015</w:t>
            </w:r>
            <w:r>
              <w:rPr>
                <w:rFonts w:ascii="宋体" w:hAnsi="宋体" w:cs="宋体" w:eastAsia="宋体" w:hint="default"/>
                <w:sz w:val="18"/>
                <w:szCs w:val="18"/>
              </w:rPr>
              <w:t>质量管理体系认证证书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2017.11.28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5" w:right="73" w:hanging="360"/>
              <w:jc w:val="left"/>
              <w:rPr>
                <w:rFonts w:ascii="宋体" w:hAnsi="宋体" w:cs="宋体" w:eastAsia="宋体" w:hint="default"/>
                <w:sz w:val="18"/>
                <w:szCs w:val="18"/>
              </w:rPr>
            </w:pPr>
            <w:r>
              <w:rPr>
                <w:rFonts w:ascii="宋体" w:hAnsi="宋体" w:cs="宋体" w:eastAsia="宋体" w:hint="default"/>
                <w:sz w:val="18"/>
                <w:szCs w:val="18"/>
              </w:rPr>
              <w:t>安徽银江智慧城市技 术有限公司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14001:2015</w:t>
            </w:r>
            <w:r>
              <w:rPr>
                <w:rFonts w:ascii="宋体" w:hAnsi="宋体" w:cs="宋体" w:eastAsia="宋体" w:hint="default"/>
                <w:sz w:val="18"/>
                <w:szCs w:val="18"/>
              </w:rPr>
              <w:t>环境管理体系认证证书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2017.11.28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5" w:right="73" w:hanging="360"/>
              <w:jc w:val="left"/>
              <w:rPr>
                <w:rFonts w:ascii="宋体" w:hAnsi="宋体" w:cs="宋体" w:eastAsia="宋体" w:hint="default"/>
                <w:sz w:val="18"/>
                <w:szCs w:val="18"/>
              </w:rPr>
            </w:pPr>
            <w:r>
              <w:rPr>
                <w:rFonts w:ascii="宋体" w:hAnsi="宋体" w:cs="宋体" w:eastAsia="宋体" w:hint="default"/>
                <w:sz w:val="18"/>
                <w:szCs w:val="18"/>
              </w:rPr>
              <w:t>安徽银江智慧城市技 术有限公司</w:t>
            </w:r>
          </w:p>
        </w:tc>
      </w:tr>
      <w:tr>
        <w:trPr>
          <w:trHeight w:val="659"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28001-2011</w:t>
            </w:r>
            <w:r>
              <w:rPr>
                <w:rFonts w:ascii="宋体" w:hAnsi="宋体" w:cs="宋体" w:eastAsia="宋体" w:hint="default"/>
                <w:sz w:val="18"/>
                <w:szCs w:val="18"/>
              </w:rPr>
              <w:t>职业健康安全管理系统认证证书</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2017.11.28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5" w:right="73" w:hanging="360"/>
              <w:jc w:val="left"/>
              <w:rPr>
                <w:rFonts w:ascii="宋体" w:hAnsi="宋体" w:cs="宋体" w:eastAsia="宋体" w:hint="default"/>
                <w:sz w:val="18"/>
                <w:szCs w:val="18"/>
              </w:rPr>
            </w:pPr>
            <w:r>
              <w:rPr>
                <w:rFonts w:ascii="宋体" w:hAnsi="宋体" w:cs="宋体" w:eastAsia="宋体" w:hint="default"/>
                <w:sz w:val="18"/>
                <w:szCs w:val="18"/>
              </w:rPr>
              <w:t>安徽银江智慧城市技 术有限公司</w:t>
            </w:r>
          </w:p>
        </w:tc>
      </w:tr>
      <w:tr>
        <w:trPr>
          <w:trHeight w:val="660" w:hRule="exact"/>
        </w:trPr>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广东省安全技术防范系统设计、施工、维修四级资质</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医疗、交通、建筑</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7" w:right="0"/>
              <w:jc w:val="left"/>
              <w:rPr>
                <w:rFonts w:ascii="Times New Roman" w:hAnsi="Times New Roman" w:cs="Times New Roman" w:eastAsia="Times New Roman" w:hint="default"/>
                <w:sz w:val="18"/>
                <w:szCs w:val="18"/>
              </w:rPr>
            </w:pPr>
            <w:r>
              <w:rPr>
                <w:rFonts w:ascii="Times New Roman"/>
                <w:sz w:val="18"/>
              </w:rPr>
              <w:t>2017.12.06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5" w:right="73" w:hanging="180"/>
              <w:jc w:val="left"/>
              <w:rPr>
                <w:rFonts w:ascii="宋体" w:hAnsi="宋体" w:cs="宋体" w:eastAsia="宋体" w:hint="default"/>
                <w:sz w:val="18"/>
                <w:szCs w:val="18"/>
              </w:rPr>
            </w:pPr>
            <w:r>
              <w:rPr>
                <w:rFonts w:ascii="宋体" w:hAnsi="宋体" w:cs="宋体" w:eastAsia="宋体" w:hint="default"/>
                <w:sz w:val="18"/>
                <w:szCs w:val="18"/>
              </w:rPr>
              <w:t>广东银江智慧城市建 设技术有限公司</w:t>
            </w:r>
          </w:p>
        </w:tc>
      </w:tr>
    </w:tbl>
    <w:p>
      <w:pPr>
        <w:spacing w:line="240" w:lineRule="auto" w:before="3"/>
        <w:rPr>
          <w:rFonts w:ascii="宋体" w:hAnsi="宋体" w:cs="宋体" w:eastAsia="宋体" w:hint="default"/>
          <w:sz w:val="21"/>
          <w:szCs w:val="21"/>
        </w:rPr>
      </w:pPr>
    </w:p>
    <w:p>
      <w:pPr>
        <w:pStyle w:val="BodyText"/>
        <w:spacing w:line="300" w:lineRule="auto" w:before="44"/>
        <w:ind w:right="1130"/>
        <w:jc w:val="both"/>
      </w:pPr>
      <w:r>
        <w:rPr>
          <w:spacing w:val="-2"/>
        </w:rPr>
        <w:t>（</w:t>
      </w:r>
      <w:r>
        <w:rPr>
          <w:rFonts w:ascii="Times New Roman" w:hAnsi="Times New Roman" w:cs="Times New Roman" w:eastAsia="Times New Roman" w:hint="default"/>
          <w:spacing w:val="-2"/>
        </w:rPr>
        <w:t>3</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日，公司及下属控股子公司共获得</w:t>
      </w:r>
      <w:r>
        <w:rPr>
          <w:rFonts w:ascii="Times New Roman" w:hAnsi="Times New Roman" w:cs="Times New Roman" w:eastAsia="Times New Roman" w:hint="default"/>
          <w:spacing w:val="-2"/>
        </w:rPr>
        <w:t>144</w:t>
      </w:r>
      <w:r>
        <w:rPr>
          <w:spacing w:val="-2"/>
        </w:rPr>
        <w:t>项专利，正在申请注册且已公开的专利有</w:t>
      </w:r>
      <w:r>
        <w:rPr>
          <w:rFonts w:ascii="Times New Roman" w:hAnsi="Times New Roman" w:cs="Times New Roman" w:eastAsia="Times New Roman" w:hint="default"/>
          <w:spacing w:val="-2"/>
        </w:rPr>
        <w:t>70</w:t>
      </w:r>
      <w:r>
        <w:rPr>
          <w:spacing w:val="-2"/>
        </w:rPr>
        <w:t>项，其中</w:t>
      </w:r>
      <w:r>
        <w:rPr>
          <w:rFonts w:ascii="Times New Roman" w:hAnsi="Times New Roman" w:cs="Times New Roman" w:eastAsia="Times New Roman" w:hint="default"/>
          <w:spacing w:val="-2"/>
        </w:rPr>
        <w:t>2017</w:t>
      </w:r>
      <w:r>
        <w:rPr>
          <w:spacing w:val="-2"/>
        </w:rPr>
        <w:t>年度</w:t>
      </w:r>
      <w:r>
        <w:rPr>
          <w:spacing w:val="-49"/>
        </w:rPr>
        <w:t> </w:t>
      </w:r>
      <w:r>
        <w:rPr>
          <w:spacing w:val="-2"/>
        </w:rPr>
        <w:t>新增授权专利</w:t>
      </w:r>
      <w:r>
        <w:rPr>
          <w:rFonts w:ascii="Times New Roman" w:hAnsi="Times New Roman" w:cs="Times New Roman" w:eastAsia="Times New Roman" w:hint="default"/>
          <w:spacing w:val="-2"/>
        </w:rPr>
        <w:t>42</w:t>
      </w:r>
      <w:r>
        <w:rPr>
          <w:spacing w:val="-2"/>
        </w:rPr>
        <w:t>项。发明专利权期限为自申请日起</w:t>
      </w:r>
      <w:r>
        <w:rPr>
          <w:rFonts w:ascii="Times New Roman" w:hAnsi="Times New Roman" w:cs="Times New Roman" w:eastAsia="Times New Roman" w:hint="default"/>
          <w:spacing w:val="-2"/>
        </w:rPr>
        <w:t>20</w:t>
      </w:r>
      <w:r>
        <w:rPr>
          <w:spacing w:val="-2"/>
        </w:rPr>
        <w:t>年，实用新型专利权和外观设计专利权期限均为自申请日起</w:t>
      </w:r>
      <w:r>
        <w:rPr>
          <w:rFonts w:ascii="Times New Roman" w:hAnsi="Times New Roman" w:cs="Times New Roman" w:eastAsia="Times New Roman" w:hint="default"/>
          <w:spacing w:val="-2"/>
        </w:rPr>
        <w:t>10</w:t>
      </w:r>
      <w:r>
        <w:rPr>
          <w:spacing w:val="-2"/>
        </w:rPr>
        <w:t>年。</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t>年度新增授权专利情况如下：</w:t>
      </w:r>
    </w:p>
    <w:tbl>
      <w:tblPr>
        <w:tblW w:w="0" w:type="auto"/>
        <w:jc w:val="left"/>
        <w:tblInd w:w="1196" w:type="dxa"/>
        <w:tblLayout w:type="fixed"/>
        <w:tblCellMar>
          <w:top w:w="0" w:type="dxa"/>
          <w:left w:w="0" w:type="dxa"/>
          <w:bottom w:w="0" w:type="dxa"/>
          <w:right w:w="0" w:type="dxa"/>
        </w:tblCellMar>
        <w:tblLook w:val="01E0"/>
      </w:tblPr>
      <w:tblGrid>
        <w:gridCol w:w="710"/>
        <w:gridCol w:w="3545"/>
        <w:gridCol w:w="991"/>
        <w:gridCol w:w="1702"/>
        <w:gridCol w:w="1417"/>
        <w:gridCol w:w="1134"/>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4" w:right="0"/>
              <w:jc w:val="left"/>
              <w:rPr>
                <w:rFonts w:ascii="宋体" w:hAnsi="宋体" w:cs="宋体" w:eastAsia="宋体" w:hint="default"/>
                <w:sz w:val="18"/>
                <w:szCs w:val="18"/>
              </w:rPr>
            </w:pPr>
            <w:r>
              <w:rPr>
                <w:rFonts w:ascii="宋体" w:hAnsi="宋体" w:cs="宋体" w:eastAsia="宋体" w:hint="default"/>
                <w:sz w:val="18"/>
                <w:szCs w:val="18"/>
              </w:rPr>
              <w:t>已批准的专利名称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专利权人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0" w:right="0"/>
              <w:jc w:val="left"/>
              <w:rPr>
                <w:rFonts w:ascii="宋体" w:hAnsi="宋体" w:cs="宋体" w:eastAsia="宋体" w:hint="default"/>
                <w:sz w:val="18"/>
                <w:szCs w:val="18"/>
              </w:rPr>
            </w:pPr>
            <w:r>
              <w:rPr>
                <w:rFonts w:ascii="宋体" w:hAnsi="宋体" w:cs="宋体" w:eastAsia="宋体" w:hint="default"/>
                <w:sz w:val="18"/>
                <w:szCs w:val="18"/>
              </w:rPr>
              <w:t>申请日</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一种基于无线传感器网络的智能停车检测系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ZL201410166525.2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2014/4/24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XML</w:t>
            </w:r>
            <w:r>
              <w:rPr>
                <w:rFonts w:ascii="宋体" w:hAnsi="宋体" w:cs="宋体" w:eastAsia="宋体" w:hint="default"/>
                <w:sz w:val="18"/>
                <w:szCs w:val="18"/>
              </w:rPr>
              <w:t>的流式分页发布方法及系统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ZL201310484727.7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2013/10/16</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基于自动功率增大重传机制的输电线路无线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通信的数据传输方法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ZL201310667319.5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2013/12/10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一种城市交通瓶颈挖掘方法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ZL201510166714.4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2015/4/9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一种交通异常路段概率识别方法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ZL201510077183.1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2015/4/21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手动四轮多功能老年人专用代步机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ZL201310711810.3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银江医疗集团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2013/12/20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一种心电图相似性度量方法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ZL201410201179.7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2014/5/12</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一种基于蓝牙通信的虚拟钥匙及其防盗锁系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统、应用方法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ZL201410815782.4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2014/12/24</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GPS</w:t>
            </w:r>
            <w:r>
              <w:rPr>
                <w:rFonts w:ascii="宋体" w:hAnsi="宋体" w:cs="宋体" w:eastAsia="宋体" w:hint="default"/>
                <w:sz w:val="18"/>
                <w:szCs w:val="18"/>
              </w:rPr>
              <w:t>定位数据补偿方法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ZL201410349119.X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2014/7/22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一种面向城市交通的交通指数计算方法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ZL201510165393.6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2015/4/9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呼叫器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ZL201630443127.0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8"/>
                <w:sz w:val="18"/>
                <w:szCs w:val="18"/>
              </w:rPr>
              <w:t> </w:t>
            </w: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智</w:t>
            </w:r>
            <w:r>
              <w:rPr>
                <w:rFonts w:ascii="宋体" w:hAnsi="宋体" w:cs="宋体" w:eastAsia="宋体" w:hint="default"/>
                <w:spacing w:val="-68"/>
                <w:sz w:val="18"/>
                <w:szCs w:val="18"/>
              </w:rPr>
              <w:t> </w:t>
            </w:r>
            <w:r>
              <w:rPr>
                <w:rFonts w:ascii="宋体" w:hAnsi="宋体" w:cs="宋体" w:eastAsia="宋体" w:hint="default"/>
                <w:sz w:val="18"/>
                <w:szCs w:val="18"/>
              </w:rPr>
              <w:t>尔</w:t>
            </w:r>
            <w:r>
              <w:rPr>
                <w:rFonts w:ascii="宋体" w:hAnsi="宋体" w:cs="宋体" w:eastAsia="宋体" w:hint="default"/>
                <w:spacing w:val="-68"/>
                <w:sz w:val="18"/>
                <w:szCs w:val="18"/>
              </w:rPr>
              <w:t> </w:t>
            </w:r>
            <w:r>
              <w:rPr>
                <w:rFonts w:ascii="宋体" w:hAnsi="宋体" w:cs="宋体" w:eastAsia="宋体" w:hint="default"/>
                <w:sz w:val="18"/>
                <w:szCs w:val="18"/>
              </w:rPr>
              <w:t>信</w:t>
            </w:r>
            <w:r>
              <w:rPr>
                <w:rFonts w:ascii="宋体" w:hAnsi="宋体" w:cs="宋体" w:eastAsia="宋体" w:hint="default"/>
                <w:spacing w:val="-68"/>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2016/8/30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新型有源母亲匹配标签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ZL201620978955.9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8"/>
                <w:sz w:val="18"/>
                <w:szCs w:val="18"/>
              </w:rPr>
              <w:t> </w:t>
            </w: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智</w:t>
            </w:r>
            <w:r>
              <w:rPr>
                <w:rFonts w:ascii="宋体" w:hAnsi="宋体" w:cs="宋体" w:eastAsia="宋体" w:hint="default"/>
                <w:spacing w:val="-68"/>
                <w:sz w:val="18"/>
                <w:szCs w:val="18"/>
              </w:rPr>
              <w:t> </w:t>
            </w:r>
            <w:r>
              <w:rPr>
                <w:rFonts w:ascii="宋体" w:hAnsi="宋体" w:cs="宋体" w:eastAsia="宋体" w:hint="default"/>
                <w:sz w:val="18"/>
                <w:szCs w:val="18"/>
              </w:rPr>
              <w:t>尔</w:t>
            </w:r>
            <w:r>
              <w:rPr>
                <w:rFonts w:ascii="宋体" w:hAnsi="宋体" w:cs="宋体" w:eastAsia="宋体" w:hint="default"/>
                <w:spacing w:val="-68"/>
                <w:sz w:val="18"/>
                <w:szCs w:val="18"/>
              </w:rPr>
              <w:t> </w:t>
            </w:r>
            <w:r>
              <w:rPr>
                <w:rFonts w:ascii="宋体" w:hAnsi="宋体" w:cs="宋体" w:eastAsia="宋体" w:hint="default"/>
                <w:sz w:val="18"/>
                <w:szCs w:val="18"/>
              </w:rPr>
              <w:t>信</w:t>
            </w:r>
            <w:r>
              <w:rPr>
                <w:rFonts w:ascii="宋体" w:hAnsi="宋体" w:cs="宋体" w:eastAsia="宋体" w:hint="default"/>
                <w:spacing w:val="-68"/>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2016/8/28</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婴儿标签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ZL201630443125.1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8"/>
                <w:sz w:val="18"/>
                <w:szCs w:val="18"/>
              </w:rPr>
              <w:t> </w:t>
            </w: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智</w:t>
            </w:r>
            <w:r>
              <w:rPr>
                <w:rFonts w:ascii="宋体" w:hAnsi="宋体" w:cs="宋体" w:eastAsia="宋体" w:hint="default"/>
                <w:spacing w:val="-68"/>
                <w:sz w:val="18"/>
                <w:szCs w:val="18"/>
              </w:rPr>
              <w:t> </w:t>
            </w:r>
            <w:r>
              <w:rPr>
                <w:rFonts w:ascii="宋体" w:hAnsi="宋体" w:cs="宋体" w:eastAsia="宋体" w:hint="default"/>
                <w:sz w:val="18"/>
                <w:szCs w:val="18"/>
              </w:rPr>
              <w:t>尔</w:t>
            </w:r>
            <w:r>
              <w:rPr>
                <w:rFonts w:ascii="宋体" w:hAnsi="宋体" w:cs="宋体" w:eastAsia="宋体" w:hint="default"/>
                <w:spacing w:val="-68"/>
                <w:sz w:val="18"/>
                <w:szCs w:val="18"/>
              </w:rPr>
              <w:t> </w:t>
            </w:r>
            <w:r>
              <w:rPr>
                <w:rFonts w:ascii="宋体" w:hAnsi="宋体" w:cs="宋体" w:eastAsia="宋体" w:hint="default"/>
                <w:sz w:val="18"/>
                <w:szCs w:val="18"/>
              </w:rPr>
              <w:t>信</w:t>
            </w:r>
            <w:r>
              <w:rPr>
                <w:rFonts w:ascii="宋体" w:hAnsi="宋体" w:cs="宋体" w:eastAsia="宋体" w:hint="default"/>
                <w:spacing w:val="-68"/>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2016/8/30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6" w:type="dxa"/>
        <w:tblLayout w:type="fixed"/>
        <w:tblCellMar>
          <w:top w:w="0" w:type="dxa"/>
          <w:left w:w="0" w:type="dxa"/>
          <w:bottom w:w="0" w:type="dxa"/>
          <w:right w:w="0" w:type="dxa"/>
        </w:tblCellMar>
        <w:tblLook w:val="01E0"/>
      </w:tblPr>
      <w:tblGrid>
        <w:gridCol w:w="710"/>
        <w:gridCol w:w="3545"/>
        <w:gridCol w:w="991"/>
        <w:gridCol w:w="1702"/>
        <w:gridCol w:w="1417"/>
        <w:gridCol w:w="1134"/>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一种基于微波雷达数据的道路交通状态估计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ZL201310487384.X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2013/10/17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一种交通设备自动报警系统及方法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ZL201510165436.0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2015/4/9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一种结合电子围栏的多目标公交客流检测方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ZL201510257915.5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2015/5/19</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一种基于转向系数的交通流模拟及预测方法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ZL201510354506.7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2015/6/24</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JSON</w:t>
            </w:r>
            <w:r>
              <w:rPr>
                <w:rFonts w:ascii="宋体" w:hAnsi="宋体" w:cs="宋体" w:eastAsia="宋体" w:hint="default"/>
                <w:sz w:val="18"/>
                <w:szCs w:val="18"/>
              </w:rPr>
              <w:t>协议包的医疗领域云及端安全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交互方法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ZL201310135398.5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2013/4/18</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一种基于流式计算与时间窗动态优化的多源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交通状态判别方法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ZL201510439525.X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2015/7/23</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一种基于云计算平台的交通数据组合处理方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ZL201410235971.4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2014/5/29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一种基于粒子群算法的相邻路口间人行道信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号灯控制方法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ZL201510525897.4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2015/8/25</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w:t>
            </w:r>
            <w:r>
              <w:rPr>
                <w:rFonts w:ascii="Times New Roman" w:hAnsi="Times New Roman" w:cs="Times New Roman" w:eastAsia="Times New Roman" w:hint="default"/>
                <w:sz w:val="18"/>
                <w:szCs w:val="18"/>
              </w:rPr>
              <w:t>90</w:t>
            </w:r>
            <w:r>
              <w:rPr>
                <w:rFonts w:ascii="宋体" w:hAnsi="宋体" w:cs="宋体" w:eastAsia="宋体" w:hint="default"/>
                <w:sz w:val="18"/>
                <w:szCs w:val="18"/>
              </w:rPr>
              <w:t>度旋转的医疗健身床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ZL201410377273.8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2014/8/1</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一种交通数据修复的云处理方法及其系统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ZL201410800057.X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2014/12/19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pacing w:val="4"/>
                <w:sz w:val="18"/>
                <w:szCs w:val="18"/>
              </w:rPr>
              <w:t>基于量子粒子群优化算法的主动噪声控制方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ZL201410325136.X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2014/7/9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对串口仪表进行数据采集的通用软件模块的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设计开发方法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ZL201410179296.8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2014/4/29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一种改进的自适应迭代</w:t>
            </w:r>
            <w:r>
              <w:rPr>
                <w:rFonts w:ascii="Times New Roman" w:hAnsi="Times New Roman" w:cs="Times New Roman" w:eastAsia="Times New Roman" w:hint="default"/>
                <w:spacing w:val="2"/>
                <w:sz w:val="18"/>
                <w:szCs w:val="18"/>
              </w:rPr>
              <w:t>UKF</w:t>
            </w:r>
            <w:r>
              <w:rPr>
                <w:rFonts w:ascii="宋体" w:hAnsi="宋体" w:cs="宋体" w:eastAsia="宋体" w:hint="default"/>
                <w:spacing w:val="2"/>
                <w:sz w:val="18"/>
                <w:szCs w:val="18"/>
              </w:rPr>
              <w:t>的</w:t>
            </w:r>
            <w:r>
              <w:rPr>
                <w:rFonts w:ascii="Times New Roman" w:hAnsi="Times New Roman" w:cs="Times New Roman" w:eastAsia="Times New Roman" w:hint="default"/>
                <w:spacing w:val="2"/>
                <w:sz w:val="18"/>
                <w:szCs w:val="18"/>
              </w:rPr>
              <w:t>WSN</w:t>
            </w:r>
            <w:r>
              <w:rPr>
                <w:rFonts w:ascii="宋体" w:hAnsi="宋体" w:cs="宋体" w:eastAsia="宋体" w:hint="default"/>
                <w:spacing w:val="2"/>
                <w:sz w:val="18"/>
                <w:szCs w:val="18"/>
              </w:rPr>
              <w:t>节点定位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ZL201410327658.3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2014/7/10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一种基于随机稀疏编码的大规模医学图像检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索方法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ZL201310651989.8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2013/12/5</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一种城市交通警情等级预测方法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ZL201510242669.6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2015/5/13</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一种基于不确定信息的假牌车筛选方法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ZL201510835244.6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2015/11/26</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一种自适应的粘连车辆分割方法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ZL201510129155.X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6"/>
                <w:sz w:val="18"/>
                <w:szCs w:val="18"/>
              </w:rPr>
              <w:t>银江股份；杭州师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范大学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2015/3/24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一种视频数据存取的方法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ZL201510381984.7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2015/6/30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一种基于微波数据的交通流基本图参数标定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ZL201511017432.4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2015/12/30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一种基于机器学习的车型识别方法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ZL201410238905.2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2014/5/29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一种面向大数据的分布式密度聚类方法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ZL201410687507.9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2014/11/25</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宋体" w:hAnsi="宋体" w:cs="宋体" w:eastAsia="宋体" w:hint="default"/>
                <w:spacing w:val="2"/>
                <w:sz w:val="18"/>
                <w:szCs w:val="18"/>
              </w:rPr>
              <w:t>一种结合</w:t>
            </w:r>
            <w:r>
              <w:rPr>
                <w:rFonts w:ascii="Times New Roman" w:hAnsi="Times New Roman" w:cs="Times New Roman" w:eastAsia="Times New Roman" w:hint="default"/>
                <w:spacing w:val="2"/>
                <w:sz w:val="18"/>
                <w:szCs w:val="18"/>
              </w:rPr>
              <w:t>RFID</w:t>
            </w:r>
            <w:r>
              <w:rPr>
                <w:rFonts w:ascii="宋体" w:hAnsi="宋体" w:cs="宋体" w:eastAsia="宋体" w:hint="default"/>
                <w:spacing w:val="2"/>
                <w:sz w:val="18"/>
                <w:szCs w:val="18"/>
              </w:rPr>
              <w:t>与视频识别的老人异常行为监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ZL201510260138.X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2015/5/20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一种基于内存数据库的云台控制方法及其系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ZL201510506896.5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2015/8/18</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面向道路实时速度计算的浮动车数据停车行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为模式清洗方法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ZL201511031346.9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2015/12/31</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基于视频分析的交通信号灯定位、识别与分类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ZL201410178384.6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2014/4/29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6" w:type="dxa"/>
        <w:tblLayout w:type="fixed"/>
        <w:tblCellMar>
          <w:top w:w="0" w:type="dxa"/>
          <w:left w:w="0" w:type="dxa"/>
          <w:bottom w:w="0" w:type="dxa"/>
          <w:right w:w="0" w:type="dxa"/>
        </w:tblCellMar>
        <w:tblLook w:val="01E0"/>
      </w:tblPr>
      <w:tblGrid>
        <w:gridCol w:w="710"/>
        <w:gridCol w:w="3545"/>
        <w:gridCol w:w="991"/>
        <w:gridCol w:w="1702"/>
        <w:gridCol w:w="1417"/>
        <w:gridCol w:w="1134"/>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一种车辆快速接警出警系统及方法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ZL201510297510.4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健</w:t>
            </w:r>
            <w:r>
              <w:rPr>
                <w:rFonts w:ascii="宋体" w:hAnsi="宋体" w:cs="宋体" w:eastAsia="宋体" w:hint="default"/>
                <w:spacing w:val="-68"/>
                <w:sz w:val="18"/>
                <w:szCs w:val="18"/>
              </w:rPr>
              <w:t> </w:t>
            </w:r>
            <w:r>
              <w:rPr>
                <w:rFonts w:ascii="宋体" w:hAnsi="宋体" w:cs="宋体" w:eastAsia="宋体" w:hint="default"/>
                <w:sz w:val="18"/>
                <w:szCs w:val="18"/>
              </w:rPr>
              <w:t>康</w:t>
            </w:r>
            <w:r>
              <w:rPr>
                <w:rFonts w:ascii="宋体" w:hAnsi="宋体" w:cs="宋体" w:eastAsia="宋体" w:hint="default"/>
                <w:spacing w:val="-68"/>
                <w:sz w:val="18"/>
                <w:szCs w:val="18"/>
              </w:rPr>
              <w:t> </w:t>
            </w:r>
            <w:r>
              <w:rPr>
                <w:rFonts w:ascii="宋体" w:hAnsi="宋体" w:cs="宋体" w:eastAsia="宋体" w:hint="default"/>
                <w:sz w:val="18"/>
                <w:szCs w:val="18"/>
              </w:rPr>
              <w:t>宝</w:t>
            </w:r>
            <w:r>
              <w:rPr>
                <w:rFonts w:ascii="宋体" w:hAnsi="宋体" w:cs="宋体" w:eastAsia="宋体" w:hint="default"/>
                <w:spacing w:val="-68"/>
                <w:sz w:val="18"/>
                <w:szCs w:val="18"/>
              </w:rPr>
              <w:t> </w:t>
            </w:r>
            <w:r>
              <w:rPr>
                <w:rFonts w:ascii="宋体" w:hAnsi="宋体" w:cs="宋体" w:eastAsia="宋体" w:hint="default"/>
                <w:sz w:val="18"/>
                <w:szCs w:val="18"/>
              </w:rPr>
              <w:t>互</w:t>
            </w:r>
            <w:r>
              <w:rPr>
                <w:rFonts w:ascii="宋体" w:hAnsi="宋体" w:cs="宋体" w:eastAsia="宋体" w:hint="default"/>
                <w:spacing w:val="-68"/>
                <w:sz w:val="18"/>
                <w:szCs w:val="18"/>
              </w:rPr>
              <w:t> </w:t>
            </w:r>
            <w:r>
              <w:rPr>
                <w:rFonts w:ascii="宋体" w:hAnsi="宋体" w:cs="宋体" w:eastAsia="宋体" w:hint="default"/>
                <w:sz w:val="18"/>
                <w:szCs w:val="18"/>
              </w:rPr>
              <w:t>联</w:t>
            </w:r>
            <w:r>
              <w:rPr>
                <w:rFonts w:ascii="宋体" w:hAnsi="宋体" w:cs="宋体" w:eastAsia="宋体" w:hint="default"/>
                <w:spacing w:val="-68"/>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2015/6/2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一种失驾人员筛选方法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ZL201510997215.X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2015/12/25</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人员定位标签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ZL201730335670.3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8"/>
                <w:sz w:val="18"/>
                <w:szCs w:val="18"/>
              </w:rPr>
              <w:t> </w:t>
            </w: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智</w:t>
            </w:r>
            <w:r>
              <w:rPr>
                <w:rFonts w:ascii="宋体" w:hAnsi="宋体" w:cs="宋体" w:eastAsia="宋体" w:hint="default"/>
                <w:spacing w:val="-68"/>
                <w:sz w:val="18"/>
                <w:szCs w:val="18"/>
              </w:rPr>
              <w:t> </w:t>
            </w:r>
            <w:r>
              <w:rPr>
                <w:rFonts w:ascii="宋体" w:hAnsi="宋体" w:cs="宋体" w:eastAsia="宋体" w:hint="default"/>
                <w:sz w:val="18"/>
                <w:szCs w:val="18"/>
              </w:rPr>
              <w:t>尔</w:t>
            </w:r>
            <w:r>
              <w:rPr>
                <w:rFonts w:ascii="宋体" w:hAnsi="宋体" w:cs="宋体" w:eastAsia="宋体" w:hint="default"/>
                <w:spacing w:val="-68"/>
                <w:sz w:val="18"/>
                <w:szCs w:val="18"/>
              </w:rPr>
              <w:t> </w:t>
            </w:r>
            <w:r>
              <w:rPr>
                <w:rFonts w:ascii="宋体" w:hAnsi="宋体" w:cs="宋体" w:eastAsia="宋体" w:hint="default"/>
                <w:sz w:val="18"/>
                <w:szCs w:val="18"/>
              </w:rPr>
              <w:t>信</w:t>
            </w:r>
            <w:r>
              <w:rPr>
                <w:rFonts w:ascii="宋体" w:hAnsi="宋体" w:cs="宋体" w:eastAsia="宋体" w:hint="default"/>
                <w:spacing w:val="-68"/>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2017/7/27</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一种基于时空关联性的数据缺失路段速度计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算方法</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ZL201510997250.1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2015/12/25</w:t>
            </w:r>
          </w:p>
        </w:tc>
      </w:tr>
    </w:tbl>
    <w:p>
      <w:pPr>
        <w:spacing w:line="240" w:lineRule="auto" w:before="2"/>
        <w:rPr>
          <w:rFonts w:ascii="Times New Roman" w:hAnsi="Times New Roman" w:cs="Times New Roman" w:eastAsia="Times New Roman" w:hint="default"/>
          <w:sz w:val="24"/>
          <w:szCs w:val="24"/>
        </w:rPr>
      </w:pPr>
    </w:p>
    <w:p>
      <w:pPr>
        <w:pStyle w:val="BodyText"/>
        <w:spacing w:line="300" w:lineRule="auto" w:before="44"/>
        <w:ind w:right="1118"/>
        <w:jc w:val="left"/>
      </w:pPr>
      <w:r>
        <w:rPr>
          <w:spacing w:val="-2"/>
        </w:rPr>
        <w:t>（</w:t>
      </w:r>
      <w:r>
        <w:rPr>
          <w:rFonts w:ascii="Times New Roman" w:hAnsi="Times New Roman" w:cs="Times New Roman" w:eastAsia="Times New Roman" w:hint="default"/>
          <w:spacing w:val="-2"/>
        </w:rPr>
        <w:t>4</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日，公司及下属控股子公司共有</w:t>
      </w:r>
      <w:r>
        <w:rPr>
          <w:rFonts w:ascii="Times New Roman" w:hAnsi="Times New Roman" w:cs="Times New Roman" w:eastAsia="Times New Roman" w:hint="default"/>
          <w:spacing w:val="-2"/>
        </w:rPr>
        <w:t>86</w:t>
      </w:r>
      <w:r>
        <w:rPr>
          <w:spacing w:val="-2"/>
        </w:rPr>
        <w:t>项软件产品，其中</w:t>
      </w:r>
      <w:r>
        <w:rPr>
          <w:rFonts w:ascii="Times New Roman" w:hAnsi="Times New Roman" w:cs="Times New Roman" w:eastAsia="Times New Roman" w:hint="default"/>
          <w:spacing w:val="-2"/>
        </w:rPr>
        <w:t>2017</w:t>
      </w:r>
      <w:r>
        <w:rPr>
          <w:spacing w:val="-2"/>
        </w:rPr>
        <w:t>年度新增</w:t>
      </w:r>
      <w:r>
        <w:rPr>
          <w:rFonts w:ascii="Times New Roman" w:hAnsi="Times New Roman" w:cs="Times New Roman" w:eastAsia="Times New Roman" w:hint="default"/>
          <w:spacing w:val="-2"/>
        </w:rPr>
        <w:t>7</w:t>
      </w:r>
      <w:r>
        <w:rPr>
          <w:spacing w:val="-2"/>
        </w:rPr>
        <w:t>项。</w:t>
      </w:r>
      <w:r>
        <w:rPr>
          <w:rFonts w:ascii="Times New Roman" w:hAnsi="Times New Roman" w:cs="Times New Roman" w:eastAsia="Times New Roman" w:hint="default"/>
          <w:spacing w:val="-2"/>
        </w:rPr>
        <w:t>2017</w:t>
      </w:r>
      <w:r>
        <w:rPr>
          <w:spacing w:val="-2"/>
        </w:rPr>
        <w:t>年度新增软件产品情况</w:t>
      </w:r>
      <w:r>
        <w:rPr>
          <w:spacing w:val="-47"/>
        </w:rPr>
        <w:t> </w:t>
      </w:r>
      <w:r>
        <w:rPr/>
        <w:t>如下：</w:t>
      </w:r>
    </w:p>
    <w:tbl>
      <w:tblPr>
        <w:tblW w:w="0" w:type="auto"/>
        <w:jc w:val="left"/>
        <w:tblInd w:w="1450" w:type="dxa"/>
        <w:tblLayout w:type="fixed"/>
        <w:tblCellMar>
          <w:top w:w="0" w:type="dxa"/>
          <w:left w:w="0" w:type="dxa"/>
          <w:bottom w:w="0" w:type="dxa"/>
          <w:right w:w="0" w:type="dxa"/>
        </w:tblCellMar>
        <w:tblLook w:val="01E0"/>
      </w:tblPr>
      <w:tblGrid>
        <w:gridCol w:w="627"/>
        <w:gridCol w:w="3860"/>
        <w:gridCol w:w="1930"/>
        <w:gridCol w:w="2576"/>
      </w:tblGrid>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软件产品名称</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85"/>
              <w:jc w:val="right"/>
              <w:rPr>
                <w:rFonts w:ascii="宋体" w:hAnsi="宋体" w:cs="宋体" w:eastAsia="宋体" w:hint="default"/>
                <w:sz w:val="18"/>
                <w:szCs w:val="18"/>
              </w:rPr>
            </w:pPr>
            <w:r>
              <w:rPr>
                <w:rFonts w:ascii="宋体" w:hAnsi="宋体" w:cs="宋体" w:eastAsia="宋体" w:hint="default"/>
                <w:sz w:val="18"/>
                <w:szCs w:val="18"/>
              </w:rPr>
              <w:t>证书号</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拥有者</w:t>
            </w:r>
          </w:p>
        </w:tc>
      </w:tr>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银江健康管理系统软件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RC-2017-0254</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银江自助式医疗健康云服务平台系统</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RC-2017-0255</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银江设备设施运维调度系统软件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RC-2017-0396</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银江智慧政务管理信息平台软件</w:t>
            </w:r>
            <w:r>
              <w:rPr>
                <w:rFonts w:ascii="Times New Roman" w:hAnsi="Times New Roman" w:cs="Times New Roman" w:eastAsia="Times New Roman" w:hint="default"/>
                <w:sz w:val="18"/>
                <w:szCs w:val="18"/>
              </w:rPr>
              <w:t>V2.0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RC-2017-0677</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银江指挥通系统软件</w:t>
            </w:r>
            <w:r>
              <w:rPr>
                <w:rFonts w:ascii="Times New Roman" w:hAnsi="Times New Roman" w:cs="Times New Roman" w:eastAsia="Times New Roman" w:hint="default"/>
                <w:sz w:val="18"/>
                <w:szCs w:val="18"/>
              </w:rPr>
              <w:t>V1.0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RC-2017-0397</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银江区域基层医疗卫生信息系统软件</w:t>
            </w:r>
            <w:r>
              <w:rPr>
                <w:rFonts w:ascii="Times New Roman" w:hAnsi="Times New Roman" w:cs="Times New Roman" w:eastAsia="Times New Roman" w:hint="default"/>
                <w:sz w:val="18"/>
                <w:szCs w:val="18"/>
              </w:rPr>
              <w:t>V2.0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RC-2017-0144</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r>
      <w:tr>
        <w:trPr>
          <w:trHeight w:val="348" w:hRule="exact"/>
        </w:trPr>
        <w:tc>
          <w:tcPr>
            <w:tcW w:w="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银江人口健康信息平台系统软件</w:t>
            </w:r>
            <w:r>
              <w:rPr>
                <w:rFonts w:ascii="Times New Roman" w:hAnsi="Times New Roman" w:cs="Times New Roman" w:eastAsia="Times New Roman" w:hint="default"/>
                <w:sz w:val="18"/>
                <w:szCs w:val="18"/>
              </w:rPr>
              <w:t>V2.0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RC-2017-0145</w:t>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r>
    </w:tbl>
    <w:p>
      <w:pPr>
        <w:spacing w:line="240" w:lineRule="auto" w:before="11"/>
        <w:rPr>
          <w:rFonts w:ascii="宋体" w:hAnsi="宋体" w:cs="宋体" w:eastAsia="宋体" w:hint="default"/>
          <w:sz w:val="22"/>
          <w:szCs w:val="22"/>
        </w:rPr>
      </w:pPr>
    </w:p>
    <w:p>
      <w:pPr>
        <w:pStyle w:val="BodyText"/>
        <w:spacing w:line="300" w:lineRule="auto" w:before="44"/>
        <w:ind w:right="1123"/>
        <w:jc w:val="left"/>
      </w:pPr>
      <w:r>
        <w:rPr/>
        <w:t>（</w:t>
      </w:r>
      <w:r>
        <w:rPr>
          <w:rFonts w:ascii="Times New Roman" w:hAnsi="Times New Roman" w:cs="Times New Roman" w:eastAsia="Times New Roman" w:hint="default"/>
        </w:rPr>
        <w:t>5</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日，公司及下属控股子公司共有</w:t>
      </w:r>
      <w:r>
        <w:rPr>
          <w:rFonts w:ascii="Times New Roman" w:hAnsi="Times New Roman" w:cs="Times New Roman" w:eastAsia="Times New Roman" w:hint="default"/>
        </w:rPr>
        <w:t>690</w:t>
      </w:r>
      <w:r>
        <w:rPr/>
        <w:t>项著作权，其中</w:t>
      </w:r>
      <w:r>
        <w:rPr>
          <w:rFonts w:ascii="Times New Roman" w:hAnsi="Times New Roman" w:cs="Times New Roman" w:eastAsia="Times New Roman" w:hint="default"/>
        </w:rPr>
        <w:t>2017</w:t>
      </w:r>
      <w:r>
        <w:rPr/>
        <w:t>年度新增了</w:t>
      </w:r>
      <w:r>
        <w:rPr>
          <w:rFonts w:ascii="Times New Roman" w:hAnsi="Times New Roman" w:cs="Times New Roman" w:eastAsia="Times New Roman" w:hint="default"/>
        </w:rPr>
        <w:t>113</w:t>
      </w:r>
      <w:r>
        <w:rPr/>
        <w:t>项。</w:t>
      </w:r>
      <w:r>
        <w:rPr>
          <w:rFonts w:ascii="Times New Roman" w:hAnsi="Times New Roman" w:cs="Times New Roman" w:eastAsia="Times New Roman" w:hint="default"/>
        </w:rPr>
        <w:t>2017</w:t>
      </w:r>
      <w:r>
        <w:rPr/>
        <w:t>年度新增著作权情</w:t>
      </w:r>
      <w:r>
        <w:rPr>
          <w:spacing w:val="-83"/>
        </w:rPr>
        <w:t> </w:t>
      </w:r>
      <w:r>
        <w:rPr>
          <w:spacing w:val="-83"/>
        </w:rPr>
      </w:r>
      <w:r>
        <w:rPr/>
        <w:t>况如下：</w:t>
      </w:r>
    </w:p>
    <w:tbl>
      <w:tblPr>
        <w:tblW w:w="0" w:type="auto"/>
        <w:jc w:val="left"/>
        <w:tblInd w:w="883" w:type="dxa"/>
        <w:tblLayout w:type="fixed"/>
        <w:tblCellMar>
          <w:top w:w="0" w:type="dxa"/>
          <w:left w:w="0" w:type="dxa"/>
          <w:bottom w:w="0" w:type="dxa"/>
          <w:right w:w="0" w:type="dxa"/>
        </w:tblCellMar>
        <w:tblLook w:val="01E0"/>
      </w:tblPr>
      <w:tblGrid>
        <w:gridCol w:w="628"/>
        <w:gridCol w:w="4111"/>
        <w:gridCol w:w="1134"/>
        <w:gridCol w:w="1418"/>
        <w:gridCol w:w="2836"/>
      </w:tblGrid>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软件著作权名称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首发日期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证书号</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拥有者</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银江警情指挥调度系统软件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2016/10/25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2017SR002113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银江警用系统管理中心软件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2016/10/25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2017SR002196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银江勤务管理与自动考勤系统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2016/10/20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2017SR003793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银江警用基础信息统一管理系统软件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2016/10/25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2017SR004149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银江公安交警业务集成指挥平台系统后台管理及路</w:t>
            </w:r>
            <w:r>
              <w:rPr>
                <w:rFonts w:ascii="宋体" w:hAnsi="宋体" w:cs="宋体" w:eastAsia="宋体" w:hint="default"/>
                <w:sz w:val="18"/>
                <w:szCs w:val="18"/>
              </w:rPr>
              <w:t> 况监控系统软件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4" w:right="0"/>
              <w:jc w:val="left"/>
              <w:rPr>
                <w:rFonts w:ascii="Times New Roman" w:hAnsi="Times New Roman" w:cs="Times New Roman" w:eastAsia="Times New Roman" w:hint="default"/>
                <w:sz w:val="18"/>
                <w:szCs w:val="18"/>
              </w:rPr>
            </w:pPr>
            <w:r>
              <w:rPr>
                <w:rFonts w:ascii="Times New Roman"/>
                <w:sz w:val="18"/>
              </w:rPr>
              <w:t>2015/7/20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2017SR019328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银江公安交警业务集成指挥平台系统</w:t>
            </w:r>
            <w:r>
              <w:rPr>
                <w:rFonts w:ascii="Times New Roman" w:hAnsi="Times New Roman" w:cs="Times New Roman" w:eastAsia="Times New Roman" w:hint="default"/>
                <w:sz w:val="18"/>
                <w:szCs w:val="18"/>
              </w:rPr>
              <w:t>GIS</w:t>
            </w:r>
            <w:r>
              <w:rPr>
                <w:rFonts w:ascii="宋体" w:hAnsi="宋体" w:cs="宋体" w:eastAsia="宋体" w:hint="default"/>
                <w:sz w:val="18"/>
                <w:szCs w:val="18"/>
              </w:rPr>
              <w:t>服务及预案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4" w:right="0"/>
              <w:jc w:val="left"/>
              <w:rPr>
                <w:rFonts w:ascii="Times New Roman" w:hAnsi="Times New Roman" w:cs="Times New Roman" w:eastAsia="Times New Roman" w:hint="default"/>
                <w:sz w:val="18"/>
                <w:szCs w:val="18"/>
              </w:rPr>
            </w:pPr>
            <w:r>
              <w:rPr>
                <w:rFonts w:ascii="Times New Roman"/>
                <w:sz w:val="18"/>
              </w:rPr>
              <w:t>2015/7/20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2017SR019329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银江指挥通用户端移动应用软件（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2016/11/10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2017SR041561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银江自助式医疗健康云服务平台系统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4" w:right="0"/>
              <w:jc w:val="left"/>
              <w:rPr>
                <w:rFonts w:ascii="Times New Roman" w:hAnsi="Times New Roman" w:cs="Times New Roman" w:eastAsia="Times New Roman" w:hint="default"/>
                <w:sz w:val="18"/>
                <w:szCs w:val="18"/>
              </w:rPr>
            </w:pPr>
            <w:r>
              <w:rPr>
                <w:rFonts w:ascii="Times New Roman"/>
                <w:sz w:val="18"/>
              </w:rPr>
              <w:t>2016/12/5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2017SR049052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银江医疗健康大数据非结构化数据存储与监控系统</w:t>
            </w:r>
            <w:r>
              <w:rPr>
                <w:rFonts w:ascii="宋体" w:hAnsi="宋体" w:cs="宋体" w:eastAsia="宋体" w:hint="default"/>
                <w:sz w:val="18"/>
                <w:szCs w:val="18"/>
              </w:rPr>
              <w:t> 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2016/11/21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2017SR049151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银江指挥通用户端移动应用软件（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2016/11/10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2017SR053895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银江智能交通分控中心指挥平台路况监控及预案管</w:t>
            </w:r>
            <w:r>
              <w:rPr>
                <w:rFonts w:ascii="宋体" w:hAnsi="宋体" w:cs="宋体" w:eastAsia="宋体" w:hint="default"/>
                <w:sz w:val="18"/>
                <w:szCs w:val="18"/>
              </w:rPr>
              <w:t> 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2016/11/17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2017SR054302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银江智能交通分控中心指挥平台指挥调度及特勤任</w:t>
            </w:r>
            <w:r>
              <w:rPr>
                <w:rFonts w:ascii="宋体" w:hAnsi="宋体" w:cs="宋体" w:eastAsia="宋体" w:hint="default"/>
                <w:sz w:val="18"/>
                <w:szCs w:val="18"/>
              </w:rPr>
              <w:t> 务系统软件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2016/10/26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2017SR053897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银江健康管理系统软件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2016/11/28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2017SR073210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银江视频监控综合管理平台</w:t>
            </w:r>
            <w:r>
              <w:rPr>
                <w:rFonts w:ascii="Times New Roman" w:hAnsi="Times New Roman" w:cs="Times New Roman" w:eastAsia="Times New Roman" w:hint="default"/>
                <w:sz w:val="18"/>
                <w:szCs w:val="18"/>
              </w:rPr>
              <w:t>V5.0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2016/12/20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2017SR074137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83" w:type="dxa"/>
        <w:tblLayout w:type="fixed"/>
        <w:tblCellMar>
          <w:top w:w="0" w:type="dxa"/>
          <w:left w:w="0" w:type="dxa"/>
          <w:bottom w:w="0" w:type="dxa"/>
          <w:right w:w="0" w:type="dxa"/>
        </w:tblCellMar>
        <w:tblLook w:val="01E0"/>
      </w:tblPr>
      <w:tblGrid>
        <w:gridCol w:w="628"/>
        <w:gridCol w:w="4111"/>
        <w:gridCol w:w="1134"/>
        <w:gridCol w:w="1418"/>
        <w:gridCol w:w="2836"/>
      </w:tblGrid>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银江快速路网可视化系统软件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2016/10/14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2017SR074379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便民服务热线系统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2015/1/6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2017SR088348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移动政务审批系统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2015/10/12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2017SR088358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公共资源交易管理系统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2016/2/19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2017SR092028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政务网上办事系统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8"/>
              <w:jc w:val="right"/>
              <w:rPr>
                <w:rFonts w:ascii="Times New Roman" w:hAnsi="Times New Roman" w:cs="Times New Roman" w:eastAsia="Times New Roman" w:hint="default"/>
                <w:sz w:val="18"/>
                <w:szCs w:val="18"/>
              </w:rPr>
            </w:pPr>
            <w:r>
              <w:rPr>
                <w:rFonts w:ascii="Times New Roman"/>
                <w:sz w:val="18"/>
              </w:rPr>
              <w:t>2015/11/10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2017SR092035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政务自助填单系统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2016/3/13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2017SR092036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银江社会矛盾风险大数据分析与研判平台软件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2017SR107895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营业收费管理系统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2017SR110181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客户服务中心管理系统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2017SR110188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水质化验管理系统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2017SR110195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报装报修管理系统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2017SR110203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水务公众服务</w:t>
            </w:r>
            <w:r>
              <w:rPr>
                <w:rFonts w:ascii="Times New Roman" w:hAnsi="Times New Roman" w:cs="Times New Roman" w:eastAsia="Times New Roman" w:hint="default"/>
                <w:sz w:val="18"/>
                <w:szCs w:val="18"/>
              </w:rPr>
              <w:t>APP</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2017SR110213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水务信息服务系统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2017SR112394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智慧水务综合管理平台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2017SR112431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水务地理信息系统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2017SR113420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智慧水务大数据云平台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2017SR113780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银江信息共享与交换核心平台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2017/4/14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2017SR115162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管网管理系统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2017SR115899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工程项目管理系统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2017SR118817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移动巡检调度</w:t>
            </w:r>
            <w:r>
              <w:rPr>
                <w:rFonts w:ascii="Times New Roman" w:hAnsi="Times New Roman" w:cs="Times New Roman" w:eastAsia="Times New Roman" w:hint="default"/>
                <w:sz w:val="18"/>
                <w:szCs w:val="18"/>
              </w:rPr>
              <w:t>APP</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2017SR122563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银江综合管廊应急安全指挥系统软件</w:t>
            </w:r>
            <w:r>
              <w:rPr>
                <w:rFonts w:ascii="Times New Roman" w:hAnsi="Times New Roman" w:cs="Times New Roman" w:eastAsia="Times New Roman" w:hint="default"/>
                <w:sz w:val="18"/>
                <w:szCs w:val="18"/>
              </w:rPr>
              <w:t>V5.1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2017SR142460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银江综合管廊三维地理信息系统软件</w:t>
            </w:r>
            <w:r>
              <w:rPr>
                <w:rFonts w:ascii="Times New Roman" w:hAnsi="Times New Roman" w:cs="Times New Roman" w:eastAsia="Times New Roman" w:hint="default"/>
                <w:sz w:val="18"/>
                <w:szCs w:val="18"/>
              </w:rPr>
              <w:t>V5.1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2017/4/26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2017SR142472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银江综合管廊环境监测与设备控制系统软件</w:t>
            </w:r>
            <w:r>
              <w:rPr>
                <w:rFonts w:ascii="Times New Roman" w:hAnsi="Times New Roman" w:cs="Times New Roman" w:eastAsia="Times New Roman" w:hint="default"/>
                <w:sz w:val="18"/>
                <w:szCs w:val="18"/>
              </w:rPr>
              <w:t>V5.1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2017/4/26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2017SR142473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银江城市级停车运营管理平台软件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2017SR157770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银江面向停车场岗亭的停车收费管理系统软件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2017SR159494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智能政务服务平台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2017SR166254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绩效考核与测评系统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2017SR166260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银江城市道路停车收费管理</w:t>
            </w:r>
            <w:r>
              <w:rPr>
                <w:rFonts w:ascii="Times New Roman" w:hAnsi="Times New Roman" w:cs="Times New Roman" w:eastAsia="Times New Roman" w:hint="default"/>
                <w:sz w:val="18"/>
                <w:szCs w:val="18"/>
              </w:rPr>
              <w:t>PDA</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2017SR167301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银江城市级停车支付宝服务窗软件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2017/5/9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2017SR167864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银江智慧停车手机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2017SR167886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银江综合管廊运维管理系统软件</w:t>
            </w:r>
            <w:r>
              <w:rPr>
                <w:rFonts w:ascii="Times New Roman" w:hAnsi="Times New Roman" w:cs="Times New Roman" w:eastAsia="Times New Roman" w:hint="default"/>
                <w:sz w:val="18"/>
                <w:szCs w:val="18"/>
              </w:rPr>
              <w:t>V5.1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2017SR168313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生产调度系统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2017/5/10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2017SR171229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银江城市级停车微信服务号软件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2017/5/11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2017SR174623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智慧水务基础平台软件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2017/5/23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2017SR200934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水资源智慧管理平台软件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2017/5/23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2017SR201009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银江公安交警业务集成指挥平台机动车缉查布控及</w:t>
            </w:r>
            <w:r>
              <w:rPr>
                <w:rFonts w:ascii="宋体" w:hAnsi="宋体" w:cs="宋体" w:eastAsia="宋体" w:hint="default"/>
                <w:sz w:val="18"/>
                <w:szCs w:val="18"/>
              </w:rPr>
              <w:t> 交警执法站管理系统软件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2017/6/1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2017SR223308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银江公安交警业务集成指挥平台非现场交通违法管</w:t>
            </w:r>
            <w:r>
              <w:rPr>
                <w:rFonts w:ascii="宋体" w:hAnsi="宋体" w:cs="宋体" w:eastAsia="宋体" w:hint="default"/>
                <w:sz w:val="18"/>
                <w:szCs w:val="18"/>
              </w:rPr>
              <w:t> 理及视频监控联网系统软件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2017/6/2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2017SR228622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银江学生工作管理软件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2017/6/21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2017SR296263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9"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83" w:type="dxa"/>
        <w:tblLayout w:type="fixed"/>
        <w:tblCellMar>
          <w:top w:w="0" w:type="dxa"/>
          <w:left w:w="0" w:type="dxa"/>
          <w:bottom w:w="0" w:type="dxa"/>
          <w:right w:w="0" w:type="dxa"/>
        </w:tblCellMar>
        <w:tblLook w:val="01E0"/>
      </w:tblPr>
      <w:tblGrid>
        <w:gridCol w:w="628"/>
        <w:gridCol w:w="4111"/>
        <w:gridCol w:w="1134"/>
        <w:gridCol w:w="1418"/>
        <w:gridCol w:w="2836"/>
      </w:tblGrid>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银江教务管理软件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2017SR296435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银江教学质量管理软件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2017SR296722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w:t>
            </w:r>
            <w:r>
              <w:rPr>
                <w:rFonts w:ascii="Times New Roman" w:hAnsi="Times New Roman" w:cs="Times New Roman" w:eastAsia="Times New Roman" w:hint="default"/>
                <w:sz w:val="18"/>
                <w:szCs w:val="18"/>
              </w:rPr>
              <w:t>BIM</w:t>
            </w:r>
            <w:r>
              <w:rPr>
                <w:rFonts w:ascii="宋体" w:hAnsi="宋体" w:cs="宋体" w:eastAsia="宋体" w:hint="default"/>
                <w:sz w:val="18"/>
                <w:szCs w:val="18"/>
              </w:rPr>
              <w:t>模型数据转化接入系统软件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2017SR307249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银江智慧政务管理信息平台软件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2017SR309841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水厂滤池气水反冲洗强度优化控制系统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2017/6/28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2017SR321352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银江综合管廊数据汇聚系统软件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2017SR321417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水厂投药加氯在线监测趋势图预测分析系统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2017/6/28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2017SR326241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互联网消防指挥中心软件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2017/7/25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2017SR394939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银江非机动车道违法行为监测机动车违法占道抓拍</w:t>
            </w:r>
            <w:r>
              <w:rPr>
                <w:rFonts w:ascii="宋体" w:hAnsi="宋体" w:cs="宋体" w:eastAsia="宋体" w:hint="default"/>
                <w:sz w:val="18"/>
                <w:szCs w:val="18"/>
              </w:rPr>
              <w:t> 功能软件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2017/8/15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2017SR449365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银江非机动车道违法行为监测非机动车闯红灯抓拍</w:t>
            </w:r>
            <w:r>
              <w:rPr>
                <w:rFonts w:ascii="宋体" w:hAnsi="宋体" w:cs="宋体" w:eastAsia="宋体" w:hint="default"/>
                <w:sz w:val="18"/>
                <w:szCs w:val="18"/>
              </w:rPr>
              <w:t> 功能软件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2017/8/15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2017SR449373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银江图侦违法行为识别、车辆特征识别及人脸特征识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别功能软件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2017/8/15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2017SR449375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银江公路车辆智能监测记录限行车辆抓拍及雷达测</w:t>
            </w:r>
            <w:r>
              <w:rPr>
                <w:rFonts w:ascii="宋体" w:hAnsi="宋体" w:cs="宋体" w:eastAsia="宋体" w:hint="default"/>
                <w:sz w:val="18"/>
                <w:szCs w:val="18"/>
              </w:rPr>
              <w:t> 速功能软件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2017/8/15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2017SR449382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银江基于</w:t>
            </w:r>
            <w:r>
              <w:rPr>
                <w:rFonts w:ascii="Times New Roman" w:hAnsi="Times New Roman" w:cs="Times New Roman" w:eastAsia="Times New Roman" w:hint="default"/>
                <w:spacing w:val="3"/>
                <w:sz w:val="18"/>
                <w:szCs w:val="18"/>
              </w:rPr>
              <w:t>Hadoop</w:t>
            </w:r>
            <w:r>
              <w:rPr>
                <w:rFonts w:ascii="宋体" w:hAnsi="宋体" w:cs="宋体" w:eastAsia="宋体" w:hint="default"/>
                <w:spacing w:val="3"/>
                <w:sz w:val="18"/>
                <w:szCs w:val="18"/>
              </w:rPr>
              <w:t>平台的车辆特征比对及人脸特征比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对功能软件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2017/8/15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2017SR449413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银江区域教研平台软件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2017/9/14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2017SR516072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银江教育云平台软件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2017/9/14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2017SR516076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银江资源共建共享软件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2017/9/14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2017SR516080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银江司法行政大数据服务软件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2017SR558943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银江医院信息集成平台</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2017/11/30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2017SR656517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银江临床数据管理系统</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2017/11/30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2017SR656520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银江交通视频监控违法停车抓拍及黄色网格区域抓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拍系统软件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2017SR665017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驾培行业学员跨驾培机构培训监督管理系统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2017SR679702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驾培行业培训机构及学员培训过程监管系统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2017SR679135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4"/>
                <w:sz w:val="18"/>
                <w:szCs w:val="18"/>
              </w:rPr>
              <w:t>驾培行业教练车实时音视频及行车轨迹监管系统</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2017SR677376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驾培行业行政管理等级分级权限管理系统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2017SR679147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驾培行业服务监督与评价系统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2017SR679142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驾培行业大数据分析系统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2017SR677379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机动车驾驶员考试网上预约系统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2017SR682396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银江智慧停车手机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2017SR688131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银江智慧停车手机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2017/12/13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2017SR688252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银江景区交通诱导管理系统软件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2016/11/18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2017SR063769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银江景区交通诱导屏显示控制系统软件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2016/11/18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2017SR064180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银江基于卡口大数据的车辆查控软件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2019/9/9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2017SR064184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银江交通业务消息服务平台软件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2016/7/12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2017SR064200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83" w:type="dxa"/>
        <w:tblLayout w:type="fixed"/>
        <w:tblCellMar>
          <w:top w:w="0" w:type="dxa"/>
          <w:left w:w="0" w:type="dxa"/>
          <w:bottom w:w="0" w:type="dxa"/>
          <w:right w:w="0" w:type="dxa"/>
        </w:tblCellMar>
        <w:tblLook w:val="01E0"/>
      </w:tblPr>
      <w:tblGrid>
        <w:gridCol w:w="628"/>
        <w:gridCol w:w="4111"/>
        <w:gridCol w:w="1134"/>
        <w:gridCol w:w="1418"/>
        <w:gridCol w:w="2836"/>
      </w:tblGrid>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86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银江基于卡口数据的智能车辆信息分析系统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2016/11/4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2017SR064228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87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银江视频图像质检软件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2015/4/15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2017SR064246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88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银江信息流转中间件软件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2016/5/13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2017SR064330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89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银江交通设备维护客户端软件（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2016/11/10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2017SR064374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7" w:right="0"/>
              <w:jc w:val="left"/>
              <w:rPr>
                <w:rFonts w:ascii="Times New Roman" w:hAnsi="Times New Roman" w:cs="Times New Roman" w:eastAsia="Times New Roman" w:hint="default"/>
                <w:sz w:val="18"/>
                <w:szCs w:val="18"/>
              </w:rPr>
            </w:pPr>
            <w:r>
              <w:rPr>
                <w:rFonts w:ascii="Times New Roman"/>
                <w:sz w:val="18"/>
              </w:rPr>
              <w:t>90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银江交通设备维护客户端软件（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8"/>
              <w:jc w:val="right"/>
              <w:rPr>
                <w:rFonts w:ascii="Times New Roman" w:hAnsi="Times New Roman" w:cs="Times New Roman" w:eastAsia="Times New Roman" w:hint="default"/>
                <w:sz w:val="18"/>
                <w:szCs w:val="18"/>
              </w:rPr>
            </w:pPr>
            <w:r>
              <w:rPr>
                <w:rFonts w:ascii="Times New Roman"/>
                <w:sz w:val="18"/>
              </w:rPr>
              <w:t>2016/11/10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2017SR066076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银江交通设备自动报警系统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2016/8/23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2017SR066819</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银江人口健康数据质量控制系统软件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2017/9/25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2017SR540382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浙江银江云计算技术有限公司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银江景区大队事故录入系统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2017/9/25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2017SR540391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浙江银江研究院有限公司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智尔物联网中间件平台软件</w:t>
            </w:r>
            <w:r>
              <w:rPr>
                <w:rFonts w:ascii="Times New Roman" w:hAnsi="Times New Roman" w:cs="Times New Roman" w:eastAsia="Times New Roman" w:hint="default"/>
                <w:sz w:val="18"/>
                <w:szCs w:val="18"/>
              </w:rPr>
              <w:t>V4.0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2016/9/20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2017SR043164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智尔配方煎药智能管理系统软件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2017/3/21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2017SR298378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7" w:right="0"/>
              <w:jc w:val="left"/>
              <w:rPr>
                <w:rFonts w:ascii="Times New Roman" w:hAnsi="Times New Roman" w:cs="Times New Roman" w:eastAsia="Times New Roman" w:hint="default"/>
                <w:sz w:val="18"/>
                <w:szCs w:val="18"/>
              </w:rPr>
            </w:pPr>
            <w:r>
              <w:rPr>
                <w:rFonts w:ascii="Times New Roman"/>
                <w:sz w:val="18"/>
              </w:rPr>
              <w:t>96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智尔智慧医护手表系统软件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2017/3/21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2017SR319317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智尔移动医学影像信息系统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2017/3/21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2017SR319331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智尔移动临床管理系统软件</w:t>
            </w:r>
            <w:r>
              <w:rPr>
                <w:rFonts w:ascii="Times New Roman" w:hAnsi="Times New Roman" w:cs="Times New Roman" w:eastAsia="Times New Roman" w:hint="default"/>
                <w:sz w:val="18"/>
                <w:szCs w:val="18"/>
              </w:rPr>
              <w:t>V5.0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2017/3/21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2017SR334367</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7" w:right="0"/>
              <w:jc w:val="left"/>
              <w:rPr>
                <w:rFonts w:ascii="Times New Roman" w:hAnsi="Times New Roman" w:cs="Times New Roman" w:eastAsia="Times New Roman" w:hint="default"/>
                <w:sz w:val="18"/>
                <w:szCs w:val="18"/>
              </w:rPr>
            </w:pPr>
            <w:r>
              <w:rPr>
                <w:rFonts w:ascii="Times New Roman"/>
                <w:sz w:val="18"/>
              </w:rPr>
              <w:t>99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智尔区域消毒供应中心管理平台</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2017SR664636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智尔医疗垃圾追踪系统软件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2017SR664646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智尔医生行为管理系统软件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2017SR664738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1" w:right="0"/>
              <w:jc w:val="left"/>
              <w:rPr>
                <w:rFonts w:ascii="Times New Roman" w:hAnsi="Times New Roman" w:cs="Times New Roman" w:eastAsia="Times New Roman" w:hint="default"/>
                <w:sz w:val="18"/>
                <w:szCs w:val="18"/>
              </w:rPr>
            </w:pPr>
            <w:r>
              <w:rPr>
                <w:rFonts w:ascii="Times New Roman"/>
                <w:sz w:val="18"/>
              </w:rPr>
              <w:t>102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智尔病房监护系统软件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2017/12/4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2017SR664754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智尔医院室内导航系统软件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2017SR665466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智尔护理文书系统软件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2017SR665703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105</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智尔区域门急诊输液管理系统软件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z w:val="18"/>
              </w:rPr>
              <w:t>2017/12/5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2017SR666244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西安银江互联网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交通大数据系统软件</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2017/8/4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2017SR424616</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西安银江设备运维管理系统软件</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2017/8/4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2017SR424725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1" w:right="0"/>
              <w:jc w:val="left"/>
              <w:rPr>
                <w:rFonts w:ascii="Times New Roman" w:hAnsi="Times New Roman" w:cs="Times New Roman" w:eastAsia="Times New Roman" w:hint="default"/>
                <w:sz w:val="18"/>
                <w:szCs w:val="18"/>
              </w:rPr>
            </w:pPr>
            <w:r>
              <w:rPr>
                <w:rFonts w:ascii="Times New Roman"/>
                <w:sz w:val="18"/>
              </w:rPr>
              <w:t>108</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西安银江动态交通管控信息发布系统软件</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2017/8/4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Times New Roman" w:hAnsi="Times New Roman" w:cs="Times New Roman" w:eastAsia="Times New Roman" w:hint="default"/>
                <w:sz w:val="18"/>
                <w:szCs w:val="18"/>
              </w:rPr>
            </w:pPr>
            <w:r>
              <w:rPr>
                <w:rFonts w:ascii="Times New Roman"/>
                <w:sz w:val="18"/>
              </w:rPr>
              <w:t>2017SR424728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109</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西安银江综合应急指挥处置系统软件</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2017SR427724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r>
      <w:tr>
        <w:trPr>
          <w:trHeight w:val="659"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110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西安银江基于大数据的交通综合管控平台系统软件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2017/8/8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2017SR431021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111</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动力环境监控系统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2017/10/13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2017SR566610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安徽银江智慧城市技术有限公司</w:t>
            </w:r>
          </w:p>
        </w:tc>
      </w:tr>
      <w:tr>
        <w:trPr>
          <w:trHeight w:val="347"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112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道路交通路口监控管理系统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2017/10/13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2017SR566618</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安徽银江智慧城市技术有限公司</w:t>
            </w:r>
          </w:p>
        </w:tc>
      </w:tr>
      <w:tr>
        <w:trPr>
          <w:trHeight w:val="348" w:hRule="exact"/>
        </w:trPr>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113</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高架桥匝道限高架控制系统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z w:val="18"/>
              </w:rPr>
              <w:t>2017/10/16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2017SR566393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安徽银江智慧城市技术有限公司</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945"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8"/>
        <w:jc w:val="both"/>
      </w:pPr>
      <w:r>
        <w:rPr>
          <w:rFonts w:ascii="Times New Roman" w:hAnsi="Times New Roman" w:cs="Times New Roman" w:eastAsia="Times New Roman" w:hint="default"/>
          <w:spacing w:val="-2"/>
        </w:rPr>
        <w:t>2017</w:t>
      </w:r>
      <w:r>
        <w:rPr>
          <w:spacing w:val="-2"/>
        </w:rPr>
        <w:t>年公司围绕年度经营目标，全国市场大跨步发展，进一步释放了转型升级驱动力。作为国内最早提出</w:t>
      </w:r>
      <w:r>
        <w:rPr>
          <w:rFonts w:ascii="Times New Roman" w:hAnsi="Times New Roman" w:cs="Times New Roman" w:eastAsia="Times New Roman" w:hint="default"/>
          <w:spacing w:val="-2"/>
        </w:rPr>
        <w:t>“</w:t>
      </w:r>
      <w:r>
        <w:rPr>
          <w:spacing w:val="-2"/>
        </w:rPr>
        <w:t>智慧城市</w:t>
      </w:r>
      <w:r>
        <w:rPr>
          <w:rFonts w:ascii="Times New Roman" w:hAnsi="Times New Roman" w:cs="Times New Roman" w:eastAsia="Times New Roman" w:hint="default"/>
          <w:spacing w:val="-2"/>
        </w:rPr>
        <w:t>”</w:t>
      </w:r>
      <w:r>
        <w:rPr>
          <w:spacing w:val="-2"/>
        </w:rPr>
        <w:t>理念并</w:t>
      </w:r>
      <w:r>
        <w:rPr>
          <w:spacing w:val="-39"/>
        </w:rPr>
        <w:t> </w:t>
      </w:r>
      <w:r>
        <w:rPr/>
        <w:t>成功应用实践的企业，</w:t>
      </w:r>
      <w:r>
        <w:rPr>
          <w:rFonts w:ascii="Times New Roman" w:hAnsi="Times New Roman" w:cs="Times New Roman" w:eastAsia="Times New Roman" w:hint="default"/>
        </w:rPr>
        <w:t>2017</w:t>
      </w:r>
      <w:r>
        <w:rPr/>
        <w:t>年公司积极响应</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国家战略部署，致力于智慧城市大脑建设运营和服务；公司以</w:t>
      </w:r>
      <w:r>
        <w:rPr>
          <w:rFonts w:ascii="Times New Roman" w:hAnsi="Times New Roman" w:cs="Times New Roman" w:eastAsia="Times New Roman" w:hint="default"/>
        </w:rPr>
        <w:t>“</w:t>
      </w:r>
      <w:r>
        <w:rPr/>
        <w:t>推动</w:t>
      </w:r>
      <w:r>
        <w:rPr>
          <w:spacing w:val="-55"/>
        </w:rPr>
        <w:t> </w:t>
      </w:r>
      <w:r>
        <w:rPr/>
        <w:t>城市进步，保障百姓安康</w:t>
      </w:r>
      <w:r>
        <w:rPr>
          <w:rFonts w:ascii="Times New Roman" w:hAnsi="Times New Roman" w:cs="Times New Roman" w:eastAsia="Times New Roman" w:hint="default"/>
        </w:rPr>
        <w:t>”</w:t>
      </w:r>
      <w:r>
        <w:rPr/>
        <w:t>为己任，通过物联网、云计算、大数据、人工智能和区块链等技术的行业应用，为城市管理和民</w:t>
      </w:r>
      <w:r>
        <w:rPr>
          <w:spacing w:val="-77"/>
        </w:rPr>
        <w:t> </w:t>
      </w:r>
      <w:r>
        <w:rPr>
          <w:spacing w:val="-77"/>
        </w:rPr>
      </w:r>
      <w:r>
        <w:rPr>
          <w:spacing w:val="-2"/>
        </w:rPr>
        <w:t>生服务打造跨领域、跨区域的智慧城市大脑数据资源交换和共享平台，推动城市文明发展的新浪潮。报告期内，公司实现营</w:t>
      </w:r>
      <w:r>
        <w:rPr>
          <w:spacing w:val="-65"/>
        </w:rPr>
        <w:t> </w:t>
      </w:r>
      <w:r>
        <w:rPr>
          <w:spacing w:val="-65"/>
        </w:rPr>
      </w:r>
      <w:r>
        <w:rPr>
          <w:spacing w:val="-2"/>
        </w:rPr>
        <w:t>业收入</w:t>
      </w:r>
      <w:r>
        <w:rPr>
          <w:rFonts w:ascii="宋体" w:hAnsi="宋体" w:cs="宋体" w:eastAsia="宋体" w:hint="default"/>
          <w:spacing w:val="-2"/>
        </w:rPr>
        <w:t>194,222.12</w:t>
      </w:r>
      <w:r>
        <w:rPr>
          <w:spacing w:val="-2"/>
        </w:rPr>
        <w:t>万元，同比增长</w:t>
      </w:r>
      <w:r>
        <w:rPr>
          <w:rFonts w:ascii="宋体" w:hAnsi="宋体" w:cs="宋体" w:eastAsia="宋体" w:hint="default"/>
          <w:spacing w:val="-2"/>
        </w:rPr>
        <w:t>17.33%</w:t>
      </w:r>
      <w:r>
        <w:rPr>
          <w:spacing w:val="-2"/>
        </w:rPr>
        <w:t>，归属于上市公司股东的净利润</w:t>
      </w:r>
      <w:r>
        <w:rPr>
          <w:rFonts w:ascii="宋体" w:hAnsi="宋体" w:cs="宋体" w:eastAsia="宋体" w:hint="default"/>
          <w:spacing w:val="-2"/>
        </w:rPr>
        <w:t>13,865.42</w:t>
      </w:r>
      <w:r>
        <w:rPr>
          <w:spacing w:val="-2"/>
        </w:rPr>
        <w:t>万元，同比下降</w:t>
      </w:r>
      <w:r>
        <w:rPr>
          <w:rFonts w:ascii="宋体" w:hAnsi="宋体" w:cs="宋体" w:eastAsia="宋体" w:hint="default"/>
          <w:spacing w:val="-2"/>
        </w:rPr>
        <w:t>9.60%</w:t>
      </w:r>
      <w:r>
        <w:rPr>
          <w:spacing w:val="-2"/>
        </w:rPr>
        <w:t>，归属于上市公司</w:t>
      </w:r>
      <w:r>
        <w:rPr>
          <w:spacing w:val="-37"/>
        </w:rPr>
        <w:t> </w:t>
      </w:r>
      <w:r>
        <w:rPr>
          <w:spacing w:val="-37"/>
        </w:rPr>
      </w:r>
      <w:r>
        <w:rPr/>
        <w:t>股东的扣除非经常损益净利润</w:t>
      </w:r>
      <w:r>
        <w:rPr>
          <w:rFonts w:ascii="宋体" w:hAnsi="宋体" w:cs="宋体" w:eastAsia="宋体" w:hint="default"/>
        </w:rPr>
        <w:t>7,988.91</w:t>
      </w:r>
      <w:r>
        <w:rPr/>
        <w:t>万元，同比增长</w:t>
      </w:r>
      <w:r>
        <w:rPr>
          <w:rFonts w:ascii="宋体" w:hAnsi="宋体" w:cs="宋体" w:eastAsia="宋体" w:hint="default"/>
        </w:rPr>
        <w:t>1,412.08%</w:t>
      </w:r>
      <w:r>
        <w:rPr/>
        <w:t>。</w:t>
      </w:r>
    </w:p>
    <w:p>
      <w:pPr>
        <w:pStyle w:val="BodyText"/>
        <w:spacing w:line="240" w:lineRule="auto" w:before="26"/>
        <w:ind w:right="0"/>
        <w:jc w:val="left"/>
      </w:pPr>
      <w:r>
        <w:rPr/>
        <w:t>（一）业务经营情况</w:t>
      </w:r>
    </w:p>
    <w:p>
      <w:pPr>
        <w:pStyle w:val="BodyText"/>
        <w:spacing w:line="307" w:lineRule="auto" w:before="76"/>
        <w:ind w:right="1040"/>
        <w:jc w:val="left"/>
      </w:pPr>
      <w:r>
        <w:rPr>
          <w:rFonts w:ascii="Times New Roman" w:hAnsi="Times New Roman" w:cs="Times New Roman" w:eastAsia="Times New Roman" w:hint="default"/>
        </w:rPr>
        <w:t>1</w:t>
      </w:r>
      <w:r>
        <w:rPr/>
        <w:t>、市场布局和产业结构 </w:t>
      </w:r>
      <w:r>
        <w:rPr>
          <w:spacing w:val="-2"/>
        </w:rPr>
        <w:t>截止本报告期末，公司累计已与</w:t>
      </w:r>
      <w:r>
        <w:rPr>
          <w:rFonts w:ascii="Times New Roman" w:hAnsi="Times New Roman" w:cs="Times New Roman" w:eastAsia="Times New Roman" w:hint="default"/>
          <w:spacing w:val="-2"/>
        </w:rPr>
        <w:t>33</w:t>
      </w:r>
      <w:r>
        <w:rPr>
          <w:spacing w:val="-2"/>
        </w:rPr>
        <w:t>个城市签订智慧城市框架合作协议，部分项目已经进入深化设计和实施阶段。公司业务模</w:t>
      </w:r>
      <w:r>
        <w:rPr>
          <w:spacing w:val="-64"/>
        </w:rPr>
        <w:t> </w:t>
      </w:r>
      <w:r>
        <w:rPr>
          <w:spacing w:val="-64"/>
        </w:rPr>
      </w:r>
      <w:r>
        <w:rPr/>
        <w:t>式以招投标项目为主，</w:t>
      </w:r>
      <w:r>
        <w:rPr>
          <w:rFonts w:ascii="Times New Roman" w:hAnsi="Times New Roman" w:cs="Times New Roman" w:eastAsia="Times New Roman" w:hint="default"/>
        </w:rPr>
        <w:t>PPP</w:t>
      </w:r>
      <w:r>
        <w:rPr/>
        <w:t>等项目模式为辅。报告期内，公司订单大幅增长，新增订单（含中标但未签合同订单，不含智慧 城市框架协议）共计</w:t>
      </w:r>
      <w:r>
        <w:rPr>
          <w:rFonts w:ascii="Times New Roman" w:hAnsi="Times New Roman" w:cs="Times New Roman" w:eastAsia="Times New Roman" w:hint="default"/>
        </w:rPr>
        <w:t>323,407.89</w:t>
      </w:r>
      <w:r>
        <w:rPr/>
        <w:t>万元，其中交通业务</w:t>
      </w:r>
      <w:r>
        <w:rPr>
          <w:rFonts w:ascii="Times New Roman" w:hAnsi="Times New Roman" w:cs="Times New Roman" w:eastAsia="Times New Roman" w:hint="default"/>
        </w:rPr>
        <w:t>134,732.90</w:t>
      </w:r>
      <w:r>
        <w:rPr/>
        <w:t>万元，医疗业务</w:t>
      </w:r>
      <w:r>
        <w:rPr>
          <w:rFonts w:ascii="Times New Roman" w:hAnsi="Times New Roman" w:cs="Times New Roman" w:eastAsia="Times New Roman" w:hint="default"/>
        </w:rPr>
        <w:t>46,907.84</w:t>
      </w:r>
      <w:r>
        <w:rPr/>
        <w:t>万元，城市业务</w:t>
      </w:r>
      <w:r>
        <w:rPr>
          <w:rFonts w:ascii="Times New Roman" w:hAnsi="Times New Roman" w:cs="Times New Roman" w:eastAsia="Times New Roman" w:hint="default"/>
        </w:rPr>
        <w:t>141,767.15</w:t>
      </w:r>
      <w:r>
        <w:rPr/>
        <w:t>万元。按 区域划分：华东地区新增订单</w:t>
      </w:r>
      <w:r>
        <w:rPr>
          <w:rFonts w:ascii="Times New Roman" w:hAnsi="Times New Roman" w:cs="Times New Roman" w:eastAsia="Times New Roman" w:hint="default"/>
        </w:rPr>
        <w:t>102,628.04</w:t>
      </w:r>
      <w:r>
        <w:rPr/>
        <w:t>万元，华南地区新增订单</w:t>
      </w:r>
      <w:r>
        <w:rPr>
          <w:rFonts w:ascii="Times New Roman" w:hAnsi="Times New Roman" w:cs="Times New Roman" w:eastAsia="Times New Roman" w:hint="default"/>
        </w:rPr>
        <w:t>80,649.91</w:t>
      </w:r>
      <w:r>
        <w:rPr/>
        <w:t>万元，华西地区新增订单</w:t>
      </w:r>
      <w:r>
        <w:rPr>
          <w:rFonts w:ascii="Times New Roman" w:hAnsi="Times New Roman" w:cs="Times New Roman" w:eastAsia="Times New Roman" w:hint="default"/>
        </w:rPr>
        <w:t>20,281.35</w:t>
      </w:r>
      <w:r>
        <w:rPr/>
        <w:t>万元，华北地 区新增订单</w:t>
      </w:r>
      <w:r>
        <w:rPr>
          <w:rFonts w:ascii="Times New Roman" w:hAnsi="Times New Roman" w:cs="Times New Roman" w:eastAsia="Times New Roman" w:hint="default"/>
        </w:rPr>
        <w:t>55,103.99</w:t>
      </w:r>
      <w:r>
        <w:rPr/>
        <w:t>万元，华中地区新增订单</w:t>
      </w:r>
      <w:r>
        <w:rPr>
          <w:rFonts w:ascii="Times New Roman" w:hAnsi="Times New Roman" w:cs="Times New Roman" w:eastAsia="Times New Roman" w:hint="default"/>
        </w:rPr>
        <w:t>64,744.60</w:t>
      </w:r>
      <w:r>
        <w:rPr/>
        <w:t>万元。 </w:t>
      </w:r>
      <w:r>
        <w:rPr>
          <w:spacing w:val="-2"/>
        </w:rPr>
        <w:t>公司主要产品包括城市级交通指挥中心管控平台及各应用子系统、城市级区域医疗健康信息平台及各应用子系统、城市级司</w:t>
      </w:r>
      <w:r>
        <w:rPr>
          <w:spacing w:val="-64"/>
        </w:rPr>
        <w:t> </w:t>
      </w:r>
      <w:r>
        <w:rPr>
          <w:spacing w:val="-64"/>
        </w:rPr>
      </w:r>
      <w:r>
        <w:rPr/>
        <w:t>法行政电子政务平台及各应用子系统，以及运用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打造的城市级民生服务大数据平台及各应用子系统，这</w:t>
      </w:r>
      <w:r>
        <w:rPr>
          <w:spacing w:val="-77"/>
        </w:rPr>
        <w:t> </w:t>
      </w:r>
      <w:r>
        <w:rPr>
          <w:spacing w:val="-77"/>
        </w:rPr>
      </w:r>
      <w:r>
        <w:rPr>
          <w:spacing w:val="-2"/>
        </w:rPr>
        <w:t>些产品分别面向城市中不同管理和应用场景中的不同对象，通过数据的挖掘、分析、应用、运营，为政府和第三方提供数据</w:t>
      </w:r>
      <w:r>
        <w:rPr>
          <w:spacing w:val="-65"/>
        </w:rPr>
        <w:t> </w:t>
      </w:r>
      <w:r>
        <w:rPr>
          <w:spacing w:val="-65"/>
        </w:rPr>
      </w:r>
      <w:r>
        <w:rPr/>
        <w:t>运营服务，实现覆盖智慧城市重点领域的平台系统及各应用子系统。 报告期内，公司提出</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战略，在智慧交通领域推出了交通超能计算平台、城市级智慧停车云平台、交通宝</w:t>
      </w:r>
      <w:r>
        <w:rPr>
          <w:spacing w:val="-78"/>
        </w:rPr>
        <w:t> </w:t>
      </w:r>
      <w:r>
        <w:rPr>
          <w:spacing w:val="-78"/>
        </w:rPr>
      </w:r>
      <w:r>
        <w:rPr/>
        <w:t>一站式车生活服务平台等三大平台及</w:t>
      </w:r>
      <w:r>
        <w:rPr>
          <w:rFonts w:ascii="Times New Roman" w:hAnsi="Times New Roman" w:cs="Times New Roman" w:eastAsia="Times New Roman" w:hint="default"/>
        </w:rPr>
        <w:t>“</w:t>
      </w:r>
      <w:r>
        <w:rPr/>
        <w:t>警察机器人</w:t>
      </w:r>
      <w:r>
        <w:rPr>
          <w:rFonts w:ascii="Times New Roman" w:hAnsi="Times New Roman" w:cs="Times New Roman" w:eastAsia="Times New Roman" w:hint="default"/>
        </w:rPr>
        <w:t>”</w:t>
      </w:r>
      <w:r>
        <w:rPr/>
        <w:t>等智能终端产品。报告期内，公司与杭州市公安局交通警察局合作成立警 </w:t>
      </w:r>
      <w:r>
        <w:rPr>
          <w:spacing w:val="-2"/>
        </w:rPr>
        <w:t>企联合实验室，致力于共同破解城市交通面临的困难问题，推动杭州市智慧交通发展。报告期内，公司与阿里云计算有限公</w:t>
      </w:r>
      <w:r>
        <w:rPr>
          <w:spacing w:val="-66"/>
        </w:rPr>
        <w:t> </w:t>
      </w:r>
      <w:r>
        <w:rPr>
          <w:spacing w:val="-66"/>
        </w:rPr>
      </w:r>
      <w:r>
        <w:rPr>
          <w:spacing w:val="-4"/>
        </w:rPr>
        <w:t>司签署了框架合作协议，将在智慧交通及城市大脑领域拓展至基于阿里云计算平台、云产品及业务的多方面密切合作。目前，</w:t>
      </w:r>
      <w:r>
        <w:rPr>
          <w:spacing w:val="-44"/>
        </w:rPr>
        <w:t> </w:t>
      </w:r>
      <w:r>
        <w:rPr>
          <w:spacing w:val="-44"/>
        </w:rPr>
      </w:r>
      <w:r>
        <w:rPr/>
        <w:t>该项目已完成了一期试点工作，并获得三千多万元的订单，后续将逐步在杭州市各区域、南昌、沈阳等城市拓展应用。 </w:t>
      </w:r>
      <w:r>
        <w:rPr>
          <w:spacing w:val="-4"/>
        </w:rPr>
        <w:t>报告期内，公司与华为签订智慧城市战略合作协议，双方将围绕客户的需求持续创新，致力于为全球政府及公共事业、能源、</w:t>
      </w:r>
      <w:r>
        <w:rPr>
          <w:spacing w:val="-46"/>
        </w:rPr>
        <w:t> </w:t>
      </w:r>
      <w:r>
        <w:rPr>
          <w:spacing w:val="-46"/>
        </w:rPr>
      </w:r>
      <w:r>
        <w:rPr/>
        <w:t>金融、交通、电力、教育、医疗等行业、企业客户提供全面、高效的</w:t>
      </w:r>
      <w:r>
        <w:rPr>
          <w:rFonts w:ascii="Times New Roman" w:hAnsi="Times New Roman" w:cs="Times New Roman" w:eastAsia="Times New Roman" w:hint="default"/>
        </w:rPr>
        <w:t>ICT</w:t>
      </w:r>
      <w:r>
        <w:rPr/>
        <w:t>解决方案和服务，并在全国范围内就智慧城市建设 </w:t>
      </w:r>
      <w:r>
        <w:rPr>
          <w:spacing w:val="-2"/>
        </w:rPr>
        <w:t>各领域展开市场战略、市场拓展、解决方案、专业技术的全方位交流合作，共同推动智慧城市业务发展。同时，华为联合银</w:t>
      </w:r>
      <w:r>
        <w:rPr>
          <w:spacing w:val="-67"/>
        </w:rPr>
        <w:t> </w:t>
      </w:r>
      <w:r>
        <w:rPr>
          <w:spacing w:val="-67"/>
        </w:rPr>
      </w:r>
      <w:r>
        <w:rPr/>
        <w:t>江医疗等多家优秀的生态合作企业共同组建了物联网生态联盟，将携手构建开放的医疗物联网生态。 </w:t>
      </w:r>
      <w:r>
        <w:rPr>
          <w:rFonts w:ascii="Times New Roman" w:hAnsi="Times New Roman" w:cs="Times New Roman" w:eastAsia="Times New Roman" w:hint="default"/>
        </w:rPr>
        <w:t>2</w:t>
      </w:r>
      <w:r>
        <w:rPr/>
        <w:t>、营销网络和服务体系 公司聚焦智慧交通、智慧医疗等行业，通过在全国各地设立区域服务公司构建了覆盖全国的完整市场营销网络，通过</w:t>
      </w:r>
      <w:r>
        <w:rPr>
          <w:rFonts w:ascii="Times New Roman" w:hAnsi="Times New Roman" w:cs="Times New Roman" w:eastAsia="Times New Roman" w:hint="default"/>
        </w:rPr>
        <w:t>“</w:t>
      </w:r>
      <w:r>
        <w:rPr/>
        <w:t>系统</w:t>
      </w:r>
      <w:r>
        <w:rPr>
          <w:spacing w:val="-76"/>
        </w:rPr>
        <w:t> </w:t>
      </w:r>
      <w:r>
        <w:rPr/>
        <w:t>建设、软件交付、运营服务</w:t>
      </w:r>
      <w:r>
        <w:rPr>
          <w:rFonts w:ascii="Times New Roman" w:hAnsi="Times New Roman" w:cs="Times New Roman" w:eastAsia="Times New Roman" w:hint="default"/>
        </w:rPr>
        <w:t>”</w:t>
      </w:r>
      <w:r>
        <w:rPr/>
        <w:t>落实三位一体的企业发展战略和经营策略，通过市场平台和产业资本的深度融合构建产业链的</w:t>
      </w:r>
      <w:r>
        <w:rPr>
          <w:spacing w:val="-76"/>
        </w:rPr>
        <w:t> </w:t>
      </w:r>
      <w:r>
        <w:rPr>
          <w:spacing w:val="-76"/>
        </w:rPr>
      </w:r>
      <w:r>
        <w:rPr/>
        <w:t>开放生态系统。报告期内，公司智慧交通应用系统覆盖了</w:t>
      </w:r>
      <w:r>
        <w:rPr>
          <w:rFonts w:ascii="Times New Roman" w:hAnsi="Times New Roman" w:cs="Times New Roman" w:eastAsia="Times New Roman" w:hint="default"/>
        </w:rPr>
        <w:t>29</w:t>
      </w:r>
      <w:r>
        <w:rPr/>
        <w:t>个省市自治区（包括</w:t>
      </w:r>
      <w:r>
        <w:rPr>
          <w:rFonts w:ascii="Times New Roman" w:hAnsi="Times New Roman" w:cs="Times New Roman" w:eastAsia="Times New Roman" w:hint="default"/>
        </w:rPr>
        <w:t>21</w:t>
      </w:r>
      <w:r>
        <w:rPr/>
        <w:t>个省、</w:t>
      </w:r>
      <w:r>
        <w:rPr>
          <w:rFonts w:ascii="Times New Roman" w:hAnsi="Times New Roman" w:cs="Times New Roman" w:eastAsia="Times New Roman" w:hint="default"/>
        </w:rPr>
        <w:t>4</w:t>
      </w:r>
      <w:r>
        <w:rPr/>
        <w:t>个自治区、</w:t>
      </w:r>
      <w:r>
        <w:rPr>
          <w:rFonts w:ascii="Times New Roman" w:hAnsi="Times New Roman" w:cs="Times New Roman" w:eastAsia="Times New Roman" w:hint="default"/>
        </w:rPr>
        <w:t>4</w:t>
      </w:r>
      <w:r>
        <w:rPr/>
        <w:t>个直辖市）的</w:t>
      </w:r>
      <w:r>
        <w:rPr>
          <w:rFonts w:ascii="Times New Roman" w:hAnsi="Times New Roman" w:cs="Times New Roman" w:eastAsia="Times New Roman" w:hint="default"/>
        </w:rPr>
        <w:t>147</w:t>
      </w:r>
      <w:r>
        <w:rPr/>
        <w:t>个</w:t>
      </w:r>
      <w:r>
        <w:rPr>
          <w:spacing w:val="-83"/>
        </w:rPr>
        <w:t> </w:t>
      </w:r>
      <w:r>
        <w:rPr/>
        <w:t>城市（包括</w:t>
      </w:r>
      <w:r>
        <w:rPr>
          <w:rFonts w:ascii="Times New Roman" w:hAnsi="Times New Roman" w:cs="Times New Roman" w:eastAsia="Times New Roman" w:hint="default"/>
        </w:rPr>
        <w:t>29</w:t>
      </w:r>
      <w:r>
        <w:rPr/>
        <w:t>个省会城市和直辖市、</w:t>
      </w:r>
      <w:r>
        <w:rPr>
          <w:rFonts w:ascii="Times New Roman" w:hAnsi="Times New Roman" w:cs="Times New Roman" w:eastAsia="Times New Roman" w:hint="default"/>
        </w:rPr>
        <w:t>64</w:t>
      </w:r>
      <w:r>
        <w:rPr/>
        <w:t>个地级城市、</w:t>
      </w:r>
      <w:r>
        <w:rPr>
          <w:rFonts w:ascii="Times New Roman" w:hAnsi="Times New Roman" w:cs="Times New Roman" w:eastAsia="Times New Roman" w:hint="default"/>
        </w:rPr>
        <w:t>54</w:t>
      </w:r>
      <w:r>
        <w:rPr/>
        <w:t>个县级城市）；智慧医疗应用系统已进入</w:t>
      </w:r>
      <w:r>
        <w:rPr>
          <w:rFonts w:ascii="Times New Roman" w:hAnsi="Times New Roman" w:cs="Times New Roman" w:eastAsia="Times New Roman" w:hint="default"/>
        </w:rPr>
        <w:t>1800</w:t>
      </w:r>
      <w:r>
        <w:rPr/>
        <w:t>余家大医院。 </w:t>
      </w:r>
      <w:r>
        <w:rPr>
          <w:spacing w:val="-2"/>
        </w:rPr>
        <w:t>公司以智慧城市大脑为推进主体，深耕交通大脑和健康大脑的行业应用，率先开拓司法大脑的行业创新应用，通过线上与线</w:t>
      </w:r>
      <w:r>
        <w:rPr>
          <w:spacing w:val="-66"/>
        </w:rPr>
        <w:t> </w:t>
      </w:r>
      <w:r>
        <w:rPr>
          <w:spacing w:val="-66"/>
        </w:rPr>
      </w:r>
      <w:r>
        <w:rPr>
          <w:spacing w:val="-2"/>
        </w:rPr>
        <w:t>下相结合做全行业应用做深行业技术，通过系统建设与运营服务业务同步发展实现公司主营业务的新发展。报告期内，公司</w:t>
      </w:r>
      <w:r>
        <w:rPr>
          <w:spacing w:val="-66"/>
        </w:rPr>
        <w:t> </w:t>
      </w:r>
      <w:r>
        <w:rPr>
          <w:spacing w:val="-66"/>
        </w:rPr>
      </w:r>
      <w:r>
        <w:rPr>
          <w:spacing w:val="-2"/>
        </w:rPr>
        <w:t>已在杭州、沈阳、上海初步完成了样板城市的交通大脑、健康大脑、司法大脑的创新项目建设，后续将逐步开展运营及创新</w:t>
      </w:r>
      <w:r>
        <w:rPr>
          <w:spacing w:val="-66"/>
        </w:rPr>
        <w:t> </w:t>
      </w:r>
      <w:r>
        <w:rPr>
          <w:spacing w:val="-66"/>
        </w:rPr>
      </w:r>
      <w:r>
        <w:rPr/>
        <w:t>应用服务。</w:t>
      </w:r>
    </w:p>
    <w:p>
      <w:pPr>
        <w:pStyle w:val="BodyText"/>
        <w:spacing w:line="309" w:lineRule="auto" w:before="26"/>
        <w:ind w:left="1134" w:right="1122"/>
        <w:jc w:val="left"/>
      </w:pPr>
      <w:r>
        <w:rPr>
          <w:rFonts w:ascii="Times New Roman" w:hAnsi="Times New Roman" w:cs="Times New Roman" w:eastAsia="Times New Roman" w:hint="default"/>
        </w:rPr>
        <w:t>3</w:t>
      </w:r>
      <w:r>
        <w:rPr/>
        <w:t>、资本运作和产业整合 </w:t>
      </w:r>
      <w:r>
        <w:rPr>
          <w:spacing w:val="-2"/>
        </w:rPr>
        <w:t>报告期内，公司继续推进智慧城市产业生态圈建设，公司及产业基金对外投资了亿邦股份（区块链领域）、万朋教育（智慧</w:t>
      </w:r>
      <w:r>
        <w:rPr>
          <w:spacing w:val="-68"/>
        </w:rPr>
        <w:t> </w:t>
      </w:r>
      <w:r>
        <w:rPr>
          <w:spacing w:val="-68"/>
        </w:rPr>
      </w:r>
      <w:r>
        <w:rPr/>
        <w:t>教育领域）、亦童科技（智慧医疗领域）等</w:t>
      </w:r>
      <w:r>
        <w:rPr>
          <w:rFonts w:ascii="Times New Roman" w:hAnsi="Times New Roman" w:cs="Times New Roman" w:eastAsia="Times New Roman" w:hint="default"/>
        </w:rPr>
        <w:t>3</w:t>
      </w:r>
      <w:r>
        <w:rPr/>
        <w:t>个项目。报告期内，公司、全资子公司以及产业基金已有</w:t>
      </w:r>
      <w:r>
        <w:rPr>
          <w:rFonts w:ascii="Times New Roman" w:hAnsi="Times New Roman" w:cs="Times New Roman" w:eastAsia="Times New Roman" w:hint="default"/>
        </w:rPr>
        <w:t>10</w:t>
      </w:r>
      <w:r>
        <w:rPr/>
        <w:t>家参股公司挂牌全</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19"/>
        <w:jc w:val="both"/>
      </w:pPr>
      <w:r>
        <w:rPr/>
        <w:t>国中小企业股份转让系统，部分参股企业准备</w:t>
      </w:r>
      <w:r>
        <w:rPr>
          <w:rFonts w:ascii="Times New Roman" w:hAnsi="Times New Roman" w:cs="Times New Roman" w:eastAsia="Times New Roman" w:hint="default"/>
        </w:rPr>
        <w:t>IPO</w:t>
      </w:r>
      <w:r>
        <w:rPr/>
        <w:t>。同时，公司与被投资企业在实际业务合作中促进了双方的了解与融合， </w:t>
      </w:r>
      <w:r>
        <w:rPr>
          <w:spacing w:val="-2"/>
        </w:rPr>
        <w:t>为公司未来的进一步投资并购提供了众多优质标的。报告期内，公司全资子公司杭州银江智慧城市技术集团有限公司将持有</w:t>
      </w:r>
      <w:r>
        <w:rPr>
          <w:spacing w:val="-63"/>
        </w:rPr>
        <w:t> </w:t>
      </w:r>
      <w:r>
        <w:rPr>
          <w:spacing w:val="-63"/>
        </w:rPr>
      </w:r>
      <w:r>
        <w:rPr>
          <w:spacing w:val="-2"/>
        </w:rPr>
        <w:t>的广州创显科教股份有限公司部分股份分别转让给杭州复恒创业投资合伙企业（有限公司）和宁波思美复聚股权投资合伙企</w:t>
      </w:r>
      <w:r>
        <w:rPr>
          <w:spacing w:val="-63"/>
        </w:rPr>
        <w:t> </w:t>
      </w:r>
      <w:r>
        <w:rPr>
          <w:spacing w:val="-63"/>
        </w:rPr>
      </w:r>
      <w:r>
        <w:rPr/>
        <w:t>业（有限公司），转让价格为人民币</w:t>
      </w:r>
      <w:r>
        <w:rPr>
          <w:rFonts w:ascii="Times New Roman" w:hAnsi="Times New Roman" w:cs="Times New Roman" w:eastAsia="Times New Roman" w:hint="default"/>
        </w:rPr>
        <w:t>16.5</w:t>
      </w:r>
      <w:r>
        <w:rPr/>
        <w:t>元</w:t>
      </w:r>
      <w:r>
        <w:rPr>
          <w:rFonts w:ascii="Times New Roman" w:hAnsi="Times New Roman" w:cs="Times New Roman" w:eastAsia="Times New Roman" w:hint="default"/>
        </w:rPr>
        <w:t>/</w:t>
      </w:r>
      <w:r>
        <w:rPr/>
        <w:t>股，共计转让了</w:t>
      </w:r>
      <w:r>
        <w:rPr>
          <w:rFonts w:ascii="Times New Roman" w:hAnsi="Times New Roman" w:cs="Times New Roman" w:eastAsia="Times New Roman" w:hint="default"/>
        </w:rPr>
        <w:t>358</w:t>
      </w:r>
      <w:r>
        <w:rPr/>
        <w:t>万股，并通过全国中小企业股份转让系统完成上述股份转让 </w:t>
      </w:r>
      <w:r>
        <w:rPr>
          <w:spacing w:val="-2"/>
        </w:rPr>
        <w:t>和对价支付。上述股份转让完成后，公司全资子公司杭州银江智慧城市技术集团有限公司还持有广州创显科教股份有限公司</w:t>
      </w:r>
      <w:r>
        <w:rPr>
          <w:spacing w:val="-64"/>
        </w:rPr>
        <w:t> </w:t>
      </w:r>
      <w:r>
        <w:rPr>
          <w:spacing w:val="-64"/>
        </w:rPr>
      </w:r>
      <w:r>
        <w:rPr>
          <w:rFonts w:ascii="Times New Roman" w:hAnsi="Times New Roman" w:cs="Times New Roman" w:eastAsia="Times New Roman" w:hint="default"/>
        </w:rPr>
        <w:t>179</w:t>
      </w:r>
      <w:r>
        <w:rPr/>
        <w:t>万股股份。公司已基本建立了智慧城市建设</w:t>
      </w:r>
      <w:r>
        <w:rPr>
          <w:rFonts w:ascii="Times New Roman" w:hAnsi="Times New Roman" w:cs="Times New Roman" w:eastAsia="Times New Roman" w:hint="default"/>
        </w:rPr>
        <w:t>+</w:t>
      </w:r>
      <w:r>
        <w:rPr/>
        <w:t>运营的立体式信息服务与运营体系，为智慧城市产业生态整合奠定坚实基</w:t>
      </w:r>
      <w:r>
        <w:rPr>
          <w:spacing w:val="-17"/>
        </w:rPr>
        <w:t> </w:t>
      </w:r>
      <w:r>
        <w:rPr>
          <w:spacing w:val="-17"/>
        </w:rPr>
      </w:r>
      <w:r>
        <w:rPr/>
        <w:t>础。报告期内，公司公开发行公司债券获得中国证监会核准批复，目前正在积极推进发行工作。</w:t>
      </w:r>
    </w:p>
    <w:p>
      <w:pPr>
        <w:pStyle w:val="BodyText"/>
        <w:spacing w:line="309" w:lineRule="auto" w:before="24"/>
        <w:ind w:right="1118"/>
        <w:jc w:val="left"/>
      </w:pPr>
      <w:r>
        <w:rPr/>
        <w:t>（二）技术创新情况 </w:t>
      </w:r>
      <w:r>
        <w:rPr>
          <w:spacing w:val="-2"/>
        </w:rPr>
        <w:t>报告期内，公司重视自主研发和技术创新，强调产品研发与市场需求的紧密结合，需求来源于客户，产品又服务于客户，研</w:t>
      </w:r>
      <w:r>
        <w:rPr>
          <w:spacing w:val="-66"/>
        </w:rPr>
        <w:t> </w:t>
      </w:r>
      <w:r>
        <w:rPr>
          <w:spacing w:val="-66"/>
        </w:rPr>
      </w:r>
      <w:r>
        <w:rPr>
          <w:spacing w:val="-2"/>
        </w:rPr>
        <w:t>发与市场形成了良好互动和相互促进。在技术研究、产品开发、技术平台建设、产学研合作等方面取得了系列化成果；公司</w:t>
      </w:r>
      <w:r>
        <w:rPr>
          <w:spacing w:val="-66"/>
        </w:rPr>
        <w:t> </w:t>
      </w:r>
      <w:r>
        <w:rPr>
          <w:spacing w:val="-66"/>
        </w:rPr>
      </w:r>
      <w:r>
        <w:rPr>
          <w:spacing w:val="-2"/>
        </w:rPr>
        <w:t>继续为世界互联网大会等国际顶级会议提供了技术、产品、服务和保障，得到了举办方高度评价，产生了良好的社会和行业</w:t>
      </w:r>
      <w:r>
        <w:rPr>
          <w:spacing w:val="-66"/>
        </w:rPr>
        <w:t> </w:t>
      </w:r>
      <w:r>
        <w:rPr>
          <w:spacing w:val="-66"/>
        </w:rPr>
      </w:r>
      <w:r>
        <w:rPr/>
        <w:t>影响力。</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月，公司正式成立</w:t>
      </w:r>
      <w:r>
        <w:rPr>
          <w:rFonts w:ascii="Times New Roman" w:hAnsi="Times New Roman" w:cs="Times New Roman" w:eastAsia="Times New Roman" w:hint="default"/>
        </w:rPr>
        <w:t>“</w:t>
      </w:r>
      <w:r>
        <w:rPr/>
        <w:t>未来城市与交通大脑研究中心</w:t>
      </w:r>
      <w:r>
        <w:rPr>
          <w:rFonts w:ascii="Times New Roman" w:hAnsi="Times New Roman" w:cs="Times New Roman" w:eastAsia="Times New Roman" w:hint="default"/>
        </w:rPr>
        <w:t>”</w:t>
      </w:r>
      <w:r>
        <w:rPr/>
        <w:t>，研究中心下属设立</w:t>
      </w:r>
      <w:r>
        <w:rPr>
          <w:rFonts w:ascii="Times New Roman" w:hAnsi="Times New Roman" w:cs="Times New Roman" w:eastAsia="Times New Roman" w:hint="default"/>
        </w:rPr>
        <w:t>“</w:t>
      </w:r>
      <w:r>
        <w:rPr/>
        <w:t>政企联合实验室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企业生态联</w:t>
      </w:r>
      <w:r>
        <w:rPr>
          <w:spacing w:val="-45"/>
        </w:rPr>
        <w:t> </w:t>
      </w:r>
      <w:r>
        <w:rPr>
          <w:spacing w:val="-45"/>
        </w:rPr>
      </w:r>
      <w:r>
        <w:rPr/>
        <w:t>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校企联合研究所</w:t>
      </w:r>
      <w:r>
        <w:rPr>
          <w:rFonts w:ascii="Times New Roman" w:hAnsi="Times New Roman" w:cs="Times New Roman" w:eastAsia="Times New Roman" w:hint="default"/>
        </w:rPr>
        <w:t>”</w:t>
      </w:r>
      <w:r>
        <w:rPr/>
        <w:t>三个机构，整合政府、企业、高校优质资源及银江优势，通过科技创新，来改变未来城市和交通的</w:t>
      </w:r>
      <w:r>
        <w:rPr>
          <w:spacing w:val="-59"/>
        </w:rPr>
        <w:t> </w:t>
      </w:r>
      <w:r>
        <w:rPr>
          <w:spacing w:val="-59"/>
        </w:rPr>
      </w:r>
      <w:r>
        <w:rPr/>
        <w:t>管理模式及公众出行方式。未来，研究中心将在机器学习、计算机视觉、自然语言处理、</w:t>
      </w:r>
      <w:r>
        <w:rPr>
          <w:rFonts w:ascii="Times New Roman" w:hAnsi="Times New Roman" w:cs="Times New Roman" w:eastAsia="Times New Roman" w:hint="default"/>
        </w:rPr>
        <w:t>5G</w:t>
      </w:r>
      <w:r>
        <w:rPr/>
        <w:t>等前沿基础技术中不断深入挖</w:t>
      </w:r>
      <w:r>
        <w:rPr>
          <w:spacing w:val="-43"/>
        </w:rPr>
        <w:t> </w:t>
      </w:r>
      <w:r>
        <w:rPr>
          <w:spacing w:val="-43"/>
        </w:rPr>
      </w:r>
      <w:r>
        <w:rPr/>
        <w:t>掘，应用在无人驾驶、车联网、车路协同、车辆共享、交通机器人等方面，提供全新的交通服务。 </w:t>
      </w:r>
      <w:r>
        <w:rPr>
          <w:spacing w:val="-2"/>
        </w:rPr>
        <w:t>报告期内，公司成功申报了</w:t>
      </w:r>
      <w:r>
        <w:rPr>
          <w:rFonts w:ascii="Times New Roman" w:hAnsi="Times New Roman" w:cs="Times New Roman" w:eastAsia="Times New Roman" w:hint="default"/>
          <w:spacing w:val="-2"/>
        </w:rPr>
        <w:t>2</w:t>
      </w:r>
      <w:r>
        <w:rPr>
          <w:spacing w:val="-2"/>
        </w:rPr>
        <w:t>个省级重大课题和</w:t>
      </w:r>
      <w:r>
        <w:rPr>
          <w:rFonts w:ascii="Times New Roman" w:hAnsi="Times New Roman" w:cs="Times New Roman" w:eastAsia="Times New Roman" w:hint="default"/>
          <w:spacing w:val="-2"/>
        </w:rPr>
        <w:t>1</w:t>
      </w:r>
      <w:r>
        <w:rPr>
          <w:spacing w:val="-2"/>
        </w:rPr>
        <w:t>个市级重大课题申报，成功入选</w:t>
      </w:r>
      <w:r>
        <w:rPr>
          <w:rFonts w:ascii="Times New Roman" w:hAnsi="Times New Roman" w:cs="Times New Roman" w:eastAsia="Times New Roman" w:hint="default"/>
          <w:spacing w:val="-2"/>
        </w:rPr>
        <w:t>2017</w:t>
      </w:r>
      <w:r>
        <w:rPr>
          <w:spacing w:val="-2"/>
        </w:rPr>
        <w:t>年度国家知识产权优势企业。截止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2"/>
        </w:rPr>
        <w:t> </w:t>
      </w:r>
      <w:r>
        <w:rPr>
          <w:spacing w:val="-2"/>
        </w:rPr>
        <w:t>年末，公司及其控股子公司合计拥有</w:t>
      </w:r>
      <w:r>
        <w:rPr>
          <w:rFonts w:ascii="Times New Roman" w:hAnsi="Times New Roman" w:cs="Times New Roman" w:eastAsia="Times New Roman" w:hint="default"/>
          <w:spacing w:val="-2"/>
        </w:rPr>
        <w:t>56</w:t>
      </w:r>
      <w:r>
        <w:rPr>
          <w:spacing w:val="-2"/>
        </w:rPr>
        <w:t>项资质证书、</w:t>
      </w:r>
      <w:r>
        <w:rPr>
          <w:rFonts w:ascii="Times New Roman" w:hAnsi="Times New Roman" w:cs="Times New Roman" w:eastAsia="Times New Roman" w:hint="default"/>
          <w:spacing w:val="-2"/>
        </w:rPr>
        <w:t>144</w:t>
      </w:r>
      <w:r>
        <w:rPr>
          <w:spacing w:val="-2"/>
        </w:rPr>
        <w:t>项授权专利、</w:t>
      </w:r>
      <w:r>
        <w:rPr>
          <w:rFonts w:ascii="Times New Roman" w:hAnsi="Times New Roman" w:cs="Times New Roman" w:eastAsia="Times New Roman" w:hint="default"/>
          <w:spacing w:val="-2"/>
        </w:rPr>
        <w:t>86</w:t>
      </w:r>
      <w:r>
        <w:rPr>
          <w:spacing w:val="-2"/>
        </w:rPr>
        <w:t>项软件产品、</w:t>
      </w:r>
      <w:r>
        <w:rPr>
          <w:rFonts w:ascii="Times New Roman" w:hAnsi="Times New Roman" w:cs="Times New Roman" w:eastAsia="Times New Roman" w:hint="default"/>
          <w:spacing w:val="-2"/>
        </w:rPr>
        <w:t>690</w:t>
      </w:r>
      <w:r>
        <w:rPr>
          <w:spacing w:val="-2"/>
        </w:rPr>
        <w:t>项著作权、受理专利申请</w:t>
      </w:r>
      <w:r>
        <w:rPr>
          <w:rFonts w:ascii="Times New Roman" w:hAnsi="Times New Roman" w:cs="Times New Roman" w:eastAsia="Times New Roman" w:hint="default"/>
          <w:spacing w:val="-2"/>
        </w:rPr>
        <w:t>70</w:t>
      </w:r>
      <w:r>
        <w:rPr>
          <w:spacing w:val="-2"/>
        </w:rPr>
        <w:t>项，成</w:t>
      </w:r>
      <w:r>
        <w:rPr>
          <w:spacing w:val="-54"/>
        </w:rPr>
        <w:t> </w:t>
      </w:r>
      <w:r>
        <w:rPr>
          <w:spacing w:val="-54"/>
        </w:rPr>
      </w:r>
      <w:r>
        <w:rPr/>
        <w:t>果丰硕。</w:t>
      </w:r>
    </w:p>
    <w:p>
      <w:pPr>
        <w:pStyle w:val="BodyText"/>
        <w:spacing w:line="307" w:lineRule="auto" w:before="24"/>
        <w:ind w:right="1073"/>
        <w:jc w:val="left"/>
      </w:pPr>
      <w:r>
        <w:rPr/>
        <w:t>（三）公司管理体系和品牌文化建设情况 报告期内，公司通过多种形式引进外部人才激励内部人才，并推出了</w:t>
      </w:r>
      <w:r>
        <w:rPr>
          <w:rFonts w:ascii="Times New Roman" w:hAnsi="Times New Roman" w:cs="Times New Roman" w:eastAsia="Times New Roman" w:hint="default"/>
        </w:rPr>
        <w:t>2017</w:t>
      </w:r>
      <w:r>
        <w:rPr/>
        <w:t>年股票期权激励计划，秉承</w:t>
      </w:r>
      <w:r>
        <w:rPr>
          <w:rFonts w:ascii="Times New Roman" w:hAnsi="Times New Roman" w:cs="Times New Roman" w:eastAsia="Times New Roman" w:hint="default"/>
        </w:rPr>
        <w:t>“</w:t>
      </w:r>
      <w:r>
        <w:rPr/>
        <w:t>共创、共享、共赢</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企业理念，定期组织丰富多样文化活动，增强员工凝聚力，增进员工沟通与协作。 报告期内，公司获得了</w:t>
      </w:r>
      <w:r>
        <w:rPr>
          <w:rFonts w:ascii="Times New Roman" w:hAnsi="Times New Roman" w:cs="Times New Roman" w:eastAsia="Times New Roman" w:hint="default"/>
        </w:rPr>
        <w:t>“2017</w:t>
      </w:r>
      <w:r>
        <w:rPr/>
        <w:t>中国软件和信息技术服务综合竞争力百强企业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年第五届中国智能交通建设推荐品牌</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“2017</w:t>
      </w:r>
      <w:r>
        <w:rPr>
          <w:spacing w:val="2"/>
        </w:rPr>
        <w:t>年浙江省软件业</w:t>
      </w:r>
      <w:r>
        <w:rPr>
          <w:rFonts w:ascii="Times New Roman" w:hAnsi="Times New Roman" w:cs="Times New Roman" w:eastAsia="Times New Roman" w:hint="default"/>
          <w:spacing w:val="2"/>
        </w:rPr>
        <w:t>20</w:t>
      </w:r>
      <w:r>
        <w:rPr>
          <w:spacing w:val="2"/>
        </w:rPr>
        <w:t>家重点企业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“2017</w:t>
      </w:r>
      <w:r>
        <w:rPr>
          <w:spacing w:val="2"/>
        </w:rPr>
        <w:t>年度信息系统集成及服务大型一级企业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“2017</w:t>
      </w:r>
      <w:r>
        <w:rPr>
          <w:spacing w:val="2"/>
        </w:rPr>
        <w:t>中国智慧城市领军企业奖</w:t>
      </w:r>
      <w:r>
        <w:rPr>
          <w:rFonts w:ascii="Times New Roman" w:hAnsi="Times New Roman" w:cs="Times New Roman" w:eastAsia="Times New Roman" w:hint="default"/>
          <w:spacing w:val="2"/>
        </w:rPr>
        <w:t>”</w:t>
      </w:r>
      <w:r>
        <w:rPr>
          <w:spacing w:val="2"/>
        </w:rPr>
        <w:t>、</w:t>
      </w:r>
      <w:r>
        <w:rPr>
          <w:spacing w:val="-75"/>
        </w:rPr>
        <w:t> </w:t>
      </w:r>
      <w:r>
        <w:rPr>
          <w:rFonts w:ascii="Times New Roman" w:hAnsi="Times New Roman" w:cs="Times New Roman" w:eastAsia="Times New Roman" w:hint="default"/>
        </w:rPr>
        <w:t>“2017</w:t>
      </w:r>
      <w:r>
        <w:rPr/>
        <w:t>中国智慧城市行业领先应用奖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年浙江省信息经济龙头骨干企业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中国</w:t>
      </w:r>
      <w:r>
        <w:rPr>
          <w:rFonts w:ascii="Times New Roman" w:hAnsi="Times New Roman" w:cs="Times New Roman" w:eastAsia="Times New Roman" w:hint="default"/>
        </w:rPr>
        <w:t>IT</w:t>
      </w:r>
      <w:r>
        <w:rPr/>
        <w:t>服务优秀应用案例</w:t>
      </w:r>
      <w:r>
        <w:rPr>
          <w:rFonts w:ascii="Times New Roman" w:hAnsi="Times New Roman" w:cs="Times New Roman" w:eastAsia="Times New Roman" w:hint="default"/>
        </w:rPr>
        <w:t>”</w:t>
      </w:r>
      <w:r>
        <w:rPr/>
        <w:t>等荣誉。 报告期内，公司通过了国际</w:t>
      </w:r>
      <w:r>
        <w:rPr>
          <w:rFonts w:ascii="Times New Roman" w:hAnsi="Times New Roman" w:cs="Times New Roman" w:eastAsia="Times New Roman" w:hint="default"/>
        </w:rPr>
        <w:t>CMMI5</w:t>
      </w:r>
      <w:r>
        <w:rPr/>
        <w:t>级评估认证复评、</w:t>
      </w:r>
      <w:r>
        <w:rPr>
          <w:rFonts w:ascii="Times New Roman" w:hAnsi="Times New Roman" w:cs="Times New Roman" w:eastAsia="Times New Roman" w:hint="default"/>
        </w:rPr>
        <w:t>“ITSS</w:t>
      </w:r>
      <w:r>
        <w:rPr/>
        <w:t>信息技术服务运行维护服务能力成熟度一级</w:t>
      </w:r>
      <w:r>
        <w:rPr>
          <w:rFonts w:ascii="Times New Roman" w:hAnsi="Times New Roman" w:cs="Times New Roman" w:eastAsia="Times New Roman" w:hint="default"/>
        </w:rPr>
        <w:t>”</w:t>
      </w:r>
      <w:r>
        <w:rPr/>
        <w:t>认证、再次被认定</w:t>
      </w:r>
      <w:r>
        <w:rPr>
          <w:spacing w:val="-43"/>
        </w:rPr>
        <w:t> </w:t>
      </w:r>
      <w:r>
        <w:rPr>
          <w:spacing w:val="-43"/>
        </w:rPr>
      </w:r>
      <w:r>
        <w:rPr>
          <w:spacing w:val="-2"/>
        </w:rPr>
        <w:t>为国家高新技术企业。公司全资子公司浙江银江智慧交通集团有限公司、浙江银江交通技术有限公司再次被认定为国家高新</w:t>
      </w:r>
      <w:r>
        <w:rPr>
          <w:spacing w:val="-64"/>
        </w:rPr>
        <w:t> </w:t>
      </w:r>
      <w:r>
        <w:rPr>
          <w:spacing w:val="-64"/>
        </w:rPr>
      </w:r>
      <w:r>
        <w:rPr>
          <w:spacing w:val="-2"/>
        </w:rPr>
        <w:t>技术企业。控股子公司浙江智尔信息技术有限公司、浙江银江云计算技术有限公司、西安银江智慧城市技术有限公司首次被</w:t>
      </w:r>
      <w:r>
        <w:rPr>
          <w:spacing w:val="-66"/>
        </w:rPr>
        <w:t> </w:t>
      </w:r>
      <w:r>
        <w:rPr>
          <w:spacing w:val="-66"/>
        </w:rPr>
      </w:r>
      <w:r>
        <w:rPr/>
        <w:t>认定为国家高新技术企业。</w:t>
      </w:r>
    </w:p>
    <w:p>
      <w:pPr>
        <w:pStyle w:val="BodyText"/>
        <w:spacing w:line="312" w:lineRule="auto" w:before="26"/>
        <w:ind w:right="0"/>
        <w:jc w:val="left"/>
      </w:pPr>
      <w:r>
        <w:rPr/>
        <w:t>（四）员工队伍建设情况 </w:t>
      </w:r>
      <w:r>
        <w:rPr>
          <w:spacing w:val="-2"/>
        </w:rPr>
        <w:t>报告期内，公司通过内部公开竞聘，选拔优秀人员，提拔任用青年人才，为业务持续发展提供保障。通过股权激励等方式对</w:t>
      </w:r>
      <w:r>
        <w:rPr>
          <w:spacing w:val="-66"/>
        </w:rPr>
        <w:t> </w:t>
      </w:r>
      <w:r>
        <w:rPr>
          <w:spacing w:val="-66"/>
        </w:rPr>
      </w:r>
      <w:r>
        <w:rPr>
          <w:spacing w:val="-2"/>
        </w:rPr>
        <w:t>公司董监高及中层管理人员、主要骨干等予以激励，搭建利益分享平台。此外，公司坚定推行</w:t>
      </w:r>
      <w:r>
        <w:rPr>
          <w:rFonts w:ascii="Times New Roman" w:hAnsi="Times New Roman" w:cs="Times New Roman" w:eastAsia="Times New Roman" w:hint="default"/>
          <w:spacing w:val="-2"/>
        </w:rPr>
        <w:t>“</w:t>
      </w:r>
      <w:r>
        <w:rPr>
          <w:spacing w:val="-2"/>
        </w:rPr>
        <w:t>银江合伙人</w:t>
      </w:r>
      <w:r>
        <w:rPr>
          <w:rFonts w:ascii="Times New Roman" w:hAnsi="Times New Roman" w:cs="Times New Roman" w:eastAsia="Times New Roman" w:hint="default"/>
          <w:spacing w:val="-2"/>
        </w:rPr>
        <w:t>”</w:t>
      </w:r>
      <w:r>
        <w:rPr>
          <w:spacing w:val="-2"/>
        </w:rPr>
        <w:t>计划，构建企业</w:t>
      </w:r>
      <w:r>
        <w:rPr>
          <w:spacing w:val="-47"/>
        </w:rPr>
        <w:t> </w:t>
      </w:r>
      <w:r>
        <w:rPr>
          <w:spacing w:val="-47"/>
        </w:rPr>
      </w:r>
      <w:r>
        <w:rPr/>
        <w:t>命运共同体，激励全体银江人通过银江大平台实现梦想，成就新价值。</w:t>
      </w:r>
    </w:p>
    <w:p>
      <w:pPr>
        <w:pStyle w:val="BodyText"/>
        <w:spacing w:line="316" w:lineRule="auto" w:before="22"/>
        <w:ind w:right="1118"/>
        <w:jc w:val="left"/>
      </w:pPr>
      <w:r>
        <w:rPr/>
        <w:t>（五）公司治理及投资者关系管理情况 </w:t>
      </w:r>
      <w:r>
        <w:rPr>
          <w:spacing w:val="-2"/>
        </w:rPr>
        <w:t>公司一贯重视公司治理及投资者关系工作。报告期内，公司股东大会、董事会及董事会专门委员会、监事会按相关法律法规</w:t>
      </w:r>
      <w:r>
        <w:rPr>
          <w:spacing w:val="-66"/>
        </w:rPr>
        <w:t> </w:t>
      </w:r>
      <w:r>
        <w:rPr>
          <w:spacing w:val="-66"/>
        </w:rPr>
      </w:r>
      <w:r>
        <w:rPr>
          <w:spacing w:val="-2"/>
        </w:rPr>
        <w:t>和《公司章程》有效运行，重点加强风险控制及内部管理。公司高度重视投资者关系管理工作，将投资者关系管理作为工作</w:t>
      </w:r>
      <w:r>
        <w:rPr>
          <w:spacing w:val="-66"/>
        </w:rPr>
        <w:t> </w:t>
      </w:r>
      <w:r>
        <w:rPr>
          <w:spacing w:val="-66"/>
        </w:rPr>
      </w:r>
      <w:r>
        <w:rPr>
          <w:spacing w:val="-2"/>
        </w:rPr>
        <w:t>重点，不断完善投资者关系管理工作，充分利用投资者热线、互动易平台、网上业绩说明会、现场调研等形式与投资者保持</w:t>
      </w:r>
      <w:r>
        <w:rPr>
          <w:spacing w:val="-66"/>
        </w:rPr>
        <w:t> </w:t>
      </w:r>
      <w:r>
        <w:rPr>
          <w:spacing w:val="-66"/>
        </w:rPr>
      </w:r>
      <w:r>
        <w:rPr>
          <w:spacing w:val="-2"/>
        </w:rPr>
        <w:t>良好的沟通交流，促进公司与投资者之间的良性互动，加深了投资者对公司的了解和认同，努力树立公司在资本市场良好形</w:t>
      </w:r>
      <w:r>
        <w:rPr>
          <w:spacing w:val="-66"/>
        </w:rPr>
        <w:t> </w:t>
      </w:r>
      <w:r>
        <w:rPr>
          <w:spacing w:val="-66"/>
        </w:rPr>
      </w:r>
      <w:r>
        <w:rPr/>
        <w:t>象。</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338" w:lineRule="auto" w:before="29"/>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7"/>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left="1134"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1,942,221,214.28</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1,655,303,898.15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1,942,221,214.28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1,655,303,898.15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898,859,977.97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694,663,331.06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272,105,192.12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231,135,748.75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755,718,274.48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711,922,062.15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15,537,769.71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17,582,756.19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120,029,271.04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36,085,624.98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322,020,277.33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327,584,641.44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1,061,035,449.36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923,990,635.95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177,713,241.11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42,541,310.18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70,891,074.32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74,985,266.59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101,966,613.75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98,656,112.33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88,565,287.37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151,460,306.68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57" w:lineRule="auto" w:before="44"/>
        <w:ind w:right="-19"/>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1,942,221,214.28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1,421,238,000.04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898,859,977.97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630,745,424.42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272,105,192.12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182,913,330.61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755,718,274.48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602,320,664.42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322,020,277.33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229,956,308.41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1,061,035,449.36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790,634,699.42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1,421,238,000.04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1,226,669,301.94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15.86%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630,745,424.42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528,121,894.60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182,913,330.61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155,355,602.35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602,320,664.42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532,657,121.92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5,258,580.60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10,534,683.07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-50.08%</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月，公司新设全资子公司湖北银江智慧城市技术有限公司，从该公司设立之日起，将其纳入合并报表范围。</w:t>
      </w:r>
    </w:p>
    <w:p>
      <w:pPr>
        <w:pStyle w:val="BodyText"/>
        <w:spacing w:line="240" w:lineRule="auto" w:before="102"/>
        <w:ind w:left="113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月，公司新设子公司济南银江信息技术有限公司，从该公司设立之日起，将其纳入合并报表范围。</w:t>
      </w:r>
    </w:p>
    <w:p>
      <w:pPr>
        <w:pStyle w:val="BodyText"/>
        <w:spacing w:line="240" w:lineRule="auto" w:before="103"/>
        <w:ind w:left="113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月，公司新设子公司沈阳智享大健康信息科技有限公司，从该公司设立之日起，将其纳入合并报表范围。</w:t>
      </w:r>
    </w:p>
    <w:p>
      <w:pPr>
        <w:pStyle w:val="BodyText"/>
        <w:spacing w:line="240" w:lineRule="auto" w:before="102"/>
        <w:ind w:left="1134" w:right="0"/>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月，公司新设全资子公司浙江银江智慧医疗研究院有限公司，从该公司设立之日起，将其纳入合并报表范围。</w:t>
      </w:r>
    </w:p>
    <w:p>
      <w:pPr>
        <w:pStyle w:val="BodyText"/>
        <w:spacing w:line="302" w:lineRule="auto" w:before="101"/>
        <w:ind w:right="1118"/>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月，公司新设全资子公司浙江银江智慧交通工程技术研究院有限公司，从该公司设立之日起，将其纳入合并 报表范围。</w:t>
      </w:r>
    </w:p>
    <w:p>
      <w:pPr>
        <w:pStyle w:val="BodyText"/>
        <w:spacing w:line="302" w:lineRule="auto" w:before="69"/>
        <w:ind w:right="1118"/>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月，公司新设全资子公司浙江银江智慧城市信息技术研究院有限公司，从该公司设立之日起，将其纳入合并 报表范围。</w:t>
      </w:r>
    </w:p>
    <w:p>
      <w:pPr>
        <w:pStyle w:val="BodyText"/>
        <w:spacing w:line="240" w:lineRule="auto" w:before="69"/>
        <w:ind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月，公司将杭州清普信息技术有限公司的股权退回，从丧失控制权时点起，将其不纳入合并报表范围。</w:t>
      </w:r>
    </w:p>
    <w:p>
      <w:pPr>
        <w:pStyle w:val="BodyText"/>
        <w:spacing w:line="302" w:lineRule="auto" w:before="101"/>
        <w:ind w:right="1118"/>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月，因杭州银江医联网技术股份有限公司其他股东增资稀释，从丧失控制权时点起，将其不纳入合并报表范 围。</w:t>
      </w:r>
    </w:p>
    <w:p>
      <w:pPr>
        <w:pStyle w:val="BodyText"/>
        <w:spacing w:line="302" w:lineRule="auto" w:before="69"/>
        <w:ind w:right="1118"/>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月，公司处置北京亚太安讯科技有限责任公司、北京亚太安讯通讯技术有限公司、北京城城速通网络信息技 术有限公司的股权，从丧失控制权时点起，将其不纳入合并报表范围。</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272,550,910.46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75,242,132.82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55,264,660.75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50,410,779.86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47,999,487.77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43,633,849.26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272,550,910.46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14.03%</w:t>
            </w:r>
          </w:p>
        </w:tc>
      </w:tr>
    </w:tbl>
    <w:p>
      <w:pPr>
        <w:pStyle w:val="BodyText"/>
        <w:spacing w:line="240" w:lineRule="auto" w:before="51"/>
        <w:ind w:left="1134" w:right="0"/>
        <w:jc w:val="left"/>
      </w:pPr>
      <w:r>
        <w:rPr/>
        <w:t>主要客户其他情况说明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261,981,487.25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98,469,158.26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48,797,881.55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41,274,865.43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33,439,582.01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261,981,487.25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53,674,378.70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53,808,278.44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221,260,196.70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6" w:right="0"/>
              <w:jc w:val="left"/>
              <w:rPr>
                <w:rFonts w:ascii="Times New Roman" w:hAnsi="Times New Roman" w:cs="Times New Roman" w:eastAsia="Times New Roman" w:hint="default"/>
                <w:sz w:val="18"/>
                <w:szCs w:val="18"/>
              </w:rPr>
            </w:pPr>
            <w:r>
              <w:rPr>
                <w:rFonts w:ascii="Times New Roman"/>
                <w:sz w:val="18"/>
              </w:rPr>
              <w:t>197,511,338.29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28,335,502.00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17,711,101.40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59.99%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本期订单增多，前期项目投入较大， 公司借款增加导致财务费用增加</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2017</w:t>
      </w:r>
      <w:r>
        <w:rPr>
          <w:spacing w:val="-2"/>
        </w:rPr>
        <w:t>年度，公司持续加大研发投入，积极将更多已完成的技术研发成果自主知识产权和技术专利等转化为能进一步提升公司</w:t>
      </w:r>
      <w:r>
        <w:rPr>
          <w:spacing w:val="-60"/>
        </w:rPr>
        <w:t> </w:t>
      </w:r>
      <w:r>
        <w:rPr>
          <w:spacing w:val="-60"/>
        </w:rPr>
      </w:r>
      <w:r>
        <w:rPr/>
        <w:t>核心竞争能力的无形资产，报告期内研发投入总额</w:t>
      </w:r>
      <w:r>
        <w:rPr>
          <w:rFonts w:ascii="宋体" w:hAnsi="宋体" w:cs="宋体" w:eastAsia="宋体" w:hint="default"/>
        </w:rPr>
        <w:t>117,122,125.75</w:t>
      </w:r>
      <w:r>
        <w:rPr/>
        <w:t>元。</w:t>
      </w:r>
    </w:p>
    <w:p>
      <w:pPr>
        <w:pStyle w:val="BodyText"/>
        <w:spacing w:line="307" w:lineRule="auto" w:before="17"/>
        <w:ind w:right="0"/>
        <w:jc w:val="left"/>
      </w:pPr>
      <w:r>
        <w:rPr>
          <w:rFonts w:ascii="Times New Roman" w:hAnsi="Times New Roman" w:cs="Times New Roman" w:eastAsia="Times New Roman" w:hint="default"/>
        </w:rPr>
        <w:t>1</w:t>
      </w:r>
      <w:r>
        <w:rPr/>
        <w:t>、城市级交通信号云控制关键技术研发与应用 </w:t>
      </w:r>
      <w:r>
        <w:rPr>
          <w:spacing w:val="-3"/>
        </w:rPr>
        <w:t>城市级交通信号云控制平台，来源于杭州</w:t>
      </w:r>
      <w:r>
        <w:rPr>
          <w:rFonts w:ascii="Times New Roman" w:hAnsi="Times New Roman" w:cs="Times New Roman" w:eastAsia="Times New Roman" w:hint="default"/>
          <w:spacing w:val="-3"/>
        </w:rPr>
        <w:t>“</w:t>
      </w:r>
      <w:r>
        <w:rPr>
          <w:spacing w:val="-3"/>
        </w:rPr>
        <w:t>城市大脑</w:t>
      </w:r>
      <w:r>
        <w:rPr>
          <w:rFonts w:ascii="Times New Roman" w:hAnsi="Times New Roman" w:cs="Times New Roman" w:eastAsia="Times New Roman" w:hint="default"/>
          <w:spacing w:val="-3"/>
        </w:rPr>
        <w:t>”</w:t>
      </w:r>
      <w:r>
        <w:rPr>
          <w:spacing w:val="-3"/>
        </w:rPr>
        <w:t>计划，以及公司与杭州交警支队共建的</w:t>
      </w:r>
      <w:r>
        <w:rPr>
          <w:rFonts w:ascii="Times New Roman" w:hAnsi="Times New Roman" w:cs="Times New Roman" w:eastAsia="Times New Roman" w:hint="default"/>
          <w:spacing w:val="-3"/>
        </w:rPr>
        <w:t>“</w:t>
      </w:r>
      <w:r>
        <w:rPr>
          <w:spacing w:val="-3"/>
        </w:rPr>
        <w:t>交通信号优化警企联合实验室</w:t>
      </w:r>
      <w:r>
        <w:rPr>
          <w:rFonts w:ascii="Times New Roman" w:hAnsi="Times New Roman" w:cs="Times New Roman" w:eastAsia="Times New Roman" w:hint="default"/>
          <w:spacing w:val="-3"/>
        </w:rPr>
        <w:t>”</w:t>
      </w:r>
      <w:r>
        <w:rPr>
          <w:spacing w:val="-3"/>
        </w:rPr>
        <w:t>。</w:t>
      </w:r>
      <w:r>
        <w:rPr>
          <w:spacing w:val="-53"/>
        </w:rPr>
        <w:t> </w:t>
      </w:r>
      <w:r>
        <w:rPr/>
        <w:t>以</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信号灯</w:t>
      </w:r>
      <w:r>
        <w:rPr>
          <w:rFonts w:ascii="Times New Roman" w:hAnsi="Times New Roman" w:cs="Times New Roman" w:eastAsia="Times New Roman" w:hint="default"/>
        </w:rPr>
        <w:t>”</w:t>
      </w:r>
      <w:r>
        <w:rPr/>
        <w:t>为核心技术，围绕</w:t>
      </w:r>
      <w:r>
        <w:rPr>
          <w:rFonts w:ascii="Times New Roman" w:hAnsi="Times New Roman" w:cs="Times New Roman" w:eastAsia="Times New Roman" w:hint="default"/>
        </w:rPr>
        <w:t>“</w:t>
      </w:r>
      <w:r>
        <w:rPr/>
        <w:t>区域交通信号优化与联网控制</w:t>
      </w:r>
      <w:r>
        <w:rPr>
          <w:rFonts w:ascii="Times New Roman" w:hAnsi="Times New Roman" w:cs="Times New Roman" w:eastAsia="Times New Roman" w:hint="default"/>
        </w:rPr>
        <w:t>”</w:t>
      </w:r>
      <w:r>
        <w:rPr/>
        <w:t>这一重大难题开展的智能交通领域的深度技 </w:t>
      </w:r>
      <w:r>
        <w:rPr>
          <w:spacing w:val="-2"/>
        </w:rPr>
        <w:t>术创新应用。该平台充分利用了传统交通传感器数据和互联网数据，实现了城市级交通信号的数据汇聚、预处理、标准化与</w:t>
      </w:r>
      <w:r>
        <w:rPr>
          <w:spacing w:val="-66"/>
        </w:rPr>
        <w:t> </w:t>
      </w:r>
      <w:r>
        <w:rPr>
          <w:spacing w:val="-66"/>
        </w:rPr>
      </w:r>
      <w:r>
        <w:rPr>
          <w:spacing w:val="-2"/>
        </w:rPr>
        <w:t>数据交换，并采用人工智能技术，构建了基于机器学习的混合交通自组织信号控制算法体系，以及城市级交通信号云计算优</w:t>
      </w:r>
      <w:r>
        <w:rPr>
          <w:spacing w:val="-66"/>
        </w:rPr>
        <w:t> </w:t>
      </w:r>
      <w:r>
        <w:rPr>
          <w:spacing w:val="-66"/>
        </w:rPr>
      </w:r>
      <w:r>
        <w:rPr>
          <w:spacing w:val="2"/>
        </w:rPr>
        <w:t>化及控制效果评价，实现不同交通运行模式下信号配时优化及区域联网控制，推动了城市交通从</w:t>
      </w:r>
      <w:r>
        <w:rPr>
          <w:rFonts w:ascii="Times New Roman" w:hAnsi="Times New Roman" w:cs="Times New Roman" w:eastAsia="Times New Roman" w:hint="default"/>
          <w:spacing w:val="2"/>
        </w:rPr>
        <w:t>“</w:t>
      </w:r>
      <w:r>
        <w:rPr>
          <w:spacing w:val="2"/>
        </w:rPr>
        <w:t>末端管理</w:t>
      </w:r>
      <w:r>
        <w:rPr>
          <w:rFonts w:ascii="Times New Roman" w:hAnsi="Times New Roman" w:cs="Times New Roman" w:eastAsia="Times New Roman" w:hint="default"/>
          <w:spacing w:val="2"/>
        </w:rPr>
        <w:t>”</w:t>
      </w:r>
      <w:r>
        <w:rPr>
          <w:spacing w:val="2"/>
        </w:rPr>
        <w:t>向</w:t>
      </w:r>
      <w:r>
        <w:rPr>
          <w:rFonts w:ascii="Times New Roman" w:hAnsi="Times New Roman" w:cs="Times New Roman" w:eastAsia="Times New Roman" w:hint="default"/>
          <w:spacing w:val="2"/>
        </w:rPr>
        <w:t>“</w:t>
      </w:r>
      <w:r>
        <w:rPr>
          <w:spacing w:val="2"/>
        </w:rPr>
        <w:t>前端治理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1"/>
        </w:rPr>
        <w:t> </w:t>
      </w:r>
      <w:r>
        <w:rPr/>
        <w:t>延伸，适应了新形势下城市智能交通业务纵向精细化、横向协同化的发展需求。 </w:t>
      </w:r>
      <w:r>
        <w:rPr>
          <w:spacing w:val="-2"/>
        </w:rPr>
        <w:t>本平台产品突破了现有交通信号控制仅能围绕单个路口以及几个路口进行配时协调的局限，实现了面向城市级全路网交叉口</w:t>
      </w:r>
    </w:p>
    <w:p>
      <w:pPr>
        <w:spacing w:after="0" w:line="30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进行统一信号配时优化，属于革新性产品，市场上尚无此类平台型产品。目前，该平台产品已在杭州进行试点应用，并计划</w:t>
      </w:r>
      <w:r>
        <w:rPr>
          <w:spacing w:val="-66"/>
        </w:rPr>
        <w:t> </w:t>
      </w:r>
      <w:r>
        <w:rPr>
          <w:spacing w:val="-66"/>
        </w:rPr>
      </w:r>
      <w:r>
        <w:rPr/>
        <w:t>向全国其他城市推广。</w:t>
      </w:r>
    </w:p>
    <w:p>
      <w:pPr>
        <w:pStyle w:val="BodyText"/>
        <w:spacing w:line="314" w:lineRule="auto" w:before="19"/>
        <w:ind w:left="1134" w:right="0"/>
        <w:jc w:val="left"/>
      </w:pPr>
      <w:r>
        <w:rPr>
          <w:rFonts w:ascii="Times New Roman" w:hAnsi="Times New Roman" w:cs="Times New Roman" w:eastAsia="Times New Roman" w:hint="default"/>
        </w:rPr>
        <w:t>2</w:t>
      </w:r>
      <w:r>
        <w:rPr/>
        <w:t>、银江城市公共信息服务平台 </w:t>
      </w:r>
      <w:r>
        <w:rPr>
          <w:spacing w:val="-2"/>
        </w:rPr>
        <w:t>银江城市公共信息服务平台是城市的综合服务平台，是一个城市的服务入口。平台以智慧城市公众服务为基准，以保障城市</w:t>
      </w:r>
      <w:r>
        <w:rPr>
          <w:spacing w:val="-66"/>
        </w:rPr>
        <w:t> </w:t>
      </w:r>
      <w:r>
        <w:rPr>
          <w:spacing w:val="-66"/>
        </w:rPr>
      </w:r>
      <w:r>
        <w:rPr>
          <w:spacing w:val="-2"/>
        </w:rPr>
        <w:t>的健康可持续发展为目标，整合构建面向市民的信息化公众服务体系，为市民、企业和政府提供通畅的双向、多向信息沟通</w:t>
      </w:r>
      <w:r>
        <w:rPr>
          <w:spacing w:val="-66"/>
        </w:rPr>
        <w:t> </w:t>
      </w:r>
      <w:r>
        <w:rPr>
          <w:spacing w:val="-66"/>
        </w:rPr>
      </w:r>
      <w:r>
        <w:rPr>
          <w:spacing w:val="-2"/>
        </w:rPr>
        <w:t>机制和便捷的服务渠道，以灵活多样的形式为本地政府、企业、百姓提供准确的信息服务，截止目前已实现了涵盖政务、民</w:t>
      </w:r>
      <w:r>
        <w:rPr>
          <w:spacing w:val="-66"/>
        </w:rPr>
        <w:t> </w:t>
      </w:r>
      <w:r>
        <w:rPr>
          <w:spacing w:val="-66"/>
        </w:rPr>
      </w:r>
      <w:r>
        <w:rPr>
          <w:spacing w:val="-2"/>
        </w:rPr>
        <w:t>生、社交、支付四大领域服务功能。该城市公共信息服务平台促进了市民、企业、政府三方之间的和谐互动，平台之于政府</w:t>
      </w:r>
      <w:r>
        <w:rPr>
          <w:spacing w:val="-69"/>
        </w:rPr>
        <w:t> </w:t>
      </w:r>
      <w:r>
        <w:rPr>
          <w:spacing w:val="-69"/>
        </w:rPr>
      </w:r>
      <w:r>
        <w:rPr>
          <w:spacing w:val="-2"/>
        </w:rPr>
        <w:t>能够优化政务流程、提高政府工作透明度、降低管理成本，形成公众广泛参与的全新的服务型政府职能模式；平台之于企业</w:t>
      </w:r>
      <w:r>
        <w:rPr>
          <w:spacing w:val="-66"/>
        </w:rPr>
        <w:t> </w:t>
      </w:r>
      <w:r>
        <w:rPr>
          <w:spacing w:val="-66"/>
        </w:rPr>
      </w:r>
      <w:r>
        <w:rPr>
          <w:spacing w:val="-2"/>
        </w:rPr>
        <w:t>能够提高企业的工作效率和质量，推动企业的技术创新、管理创新和经营创新；平台之于市民能够使其享受到更便捷的、泛</w:t>
      </w:r>
      <w:r>
        <w:rPr>
          <w:spacing w:val="-66"/>
        </w:rPr>
        <w:t> </w:t>
      </w:r>
      <w:r>
        <w:rPr>
          <w:spacing w:val="-66"/>
        </w:rPr>
      </w:r>
      <w:r>
        <w:rPr/>
        <w:t>在的、高品质的城市服务。</w:t>
      </w:r>
    </w:p>
    <w:p>
      <w:pPr>
        <w:pStyle w:val="BodyText"/>
        <w:spacing w:line="312" w:lineRule="auto" w:before="20"/>
        <w:ind w:right="1118"/>
        <w:jc w:val="left"/>
      </w:pPr>
      <w:r>
        <w:rPr>
          <w:rFonts w:ascii="Times New Roman" w:hAnsi="Times New Roman" w:cs="Times New Roman" w:eastAsia="Times New Roman" w:hint="default"/>
        </w:rPr>
        <w:t>3</w:t>
      </w:r>
      <w:r>
        <w:rPr/>
        <w:t>、指挥通 </w:t>
      </w:r>
      <w:r>
        <w:rPr>
          <w:spacing w:val="-2"/>
        </w:rPr>
        <w:t>指挥通是公司在智慧公益领域的创新应用，运用移动互联网、云计算、地理信息等技术，打造志愿服务一站式云平台，优化</w:t>
      </w:r>
      <w:r>
        <w:rPr>
          <w:spacing w:val="-66"/>
        </w:rPr>
        <w:t> </w:t>
      </w:r>
      <w:r>
        <w:rPr>
          <w:spacing w:val="-66"/>
        </w:rPr>
      </w:r>
      <w:r>
        <w:rPr>
          <w:spacing w:val="-2"/>
        </w:rPr>
        <w:t>志愿服务工作流程，对志愿者服务时间、服务地点、服务内容等工作进行实时动态管理和数据统计，进而实现志愿服务指挥</w:t>
      </w:r>
      <w:r>
        <w:rPr>
          <w:spacing w:val="-66"/>
        </w:rPr>
        <w:t> </w:t>
      </w:r>
      <w:r>
        <w:rPr>
          <w:spacing w:val="-66"/>
        </w:rPr>
      </w:r>
      <w:r>
        <w:rPr>
          <w:spacing w:val="-2"/>
        </w:rPr>
        <w:t>调度可视化、服务工作数据化，建设一套完整、高效、性能优良的志愿服务智能指挥系统，提升管理决策、组织建设、项目</w:t>
      </w:r>
      <w:r>
        <w:rPr>
          <w:spacing w:val="-72"/>
        </w:rPr>
        <w:t> </w:t>
      </w:r>
      <w:r>
        <w:rPr>
          <w:spacing w:val="-72"/>
        </w:rPr>
      </w:r>
      <w:r>
        <w:rPr>
          <w:spacing w:val="-1"/>
        </w:rPr>
        <w:t>实施的科学化水平。该产品顺利完成第十三届全国学生运动会志愿服务指挥工作智能化支持，及杭州</w:t>
      </w:r>
      <w:r>
        <w:rPr>
          <w:rFonts w:ascii="Times New Roman" w:hAnsi="Times New Roman" w:cs="Times New Roman" w:eastAsia="Times New Roman" w:hint="default"/>
          <w:spacing w:val="-1"/>
        </w:rPr>
        <w:t>G20</w:t>
      </w:r>
      <w:r>
        <w:rPr>
          <w:spacing w:val="-1"/>
        </w:rPr>
        <w:t>峰会、三次世界互</w:t>
      </w:r>
      <w:r>
        <w:rPr>
          <w:spacing w:val="-69"/>
        </w:rPr>
        <w:t> </w:t>
      </w:r>
      <w:r>
        <w:rPr>
          <w:spacing w:val="-69"/>
        </w:rPr>
      </w:r>
      <w:r>
        <w:rPr>
          <w:spacing w:val="-2"/>
        </w:rPr>
        <w:t>联网大会等大型会务活动。产品在志愿服务领域应用逐渐成熟并拓展深入，在该领域积累了较强的实力和优势，为公司在智</w:t>
      </w:r>
      <w:r>
        <w:rPr>
          <w:spacing w:val="-66"/>
        </w:rPr>
        <w:t> </w:t>
      </w:r>
      <w:r>
        <w:rPr>
          <w:spacing w:val="-66"/>
        </w:rPr>
      </w:r>
      <w:r>
        <w:rPr/>
        <w:t>慧公益领域发展开启新的篇章，提升了我司在智慧产业领域的地位。</w:t>
      </w:r>
    </w:p>
    <w:p>
      <w:pPr>
        <w:pStyle w:val="BodyText"/>
        <w:spacing w:line="309" w:lineRule="auto" w:before="22"/>
        <w:ind w:right="1040"/>
        <w:jc w:val="left"/>
      </w:pPr>
      <w:r>
        <w:rPr>
          <w:rFonts w:ascii="Times New Roman" w:hAnsi="Times New Roman" w:cs="Times New Roman" w:eastAsia="Times New Roman" w:hint="default"/>
        </w:rPr>
        <w:t>4</w:t>
      </w:r>
      <w:r>
        <w:rPr/>
        <w:t>、交通宝 </w:t>
      </w:r>
      <w:r>
        <w:rPr>
          <w:spacing w:val="-2"/>
        </w:rPr>
        <w:t>交通宝基于银江在交通指挥调度与信息服务方面十多年的产品研发与项目实施经验，针对公众对交通出行的迫切需求，从服</w:t>
      </w:r>
      <w:r>
        <w:rPr>
          <w:spacing w:val="-64"/>
        </w:rPr>
        <w:t> </w:t>
      </w:r>
      <w:r>
        <w:rPr>
          <w:spacing w:val="-64"/>
        </w:rPr>
      </w:r>
      <w:r>
        <w:rPr>
          <w:spacing w:val="-2"/>
        </w:rPr>
        <w:t>务模式创新、产品创新和运营服务三个层次着手，研发打造的一款面向公众交通出行需求与行为管理的移动互联网产品。项</w:t>
      </w:r>
      <w:r>
        <w:rPr>
          <w:spacing w:val="-66"/>
        </w:rPr>
        <w:t> </w:t>
      </w:r>
      <w:r>
        <w:rPr>
          <w:spacing w:val="-66"/>
        </w:rPr>
      </w:r>
      <w:r>
        <w:rPr>
          <w:spacing w:val="-2"/>
        </w:rPr>
        <w:t>目以移动互联、物联网和云计算技术为支撑，以提升交管服务能力以及公众出行品质为核心，提供事故快速处理、违章查询</w:t>
      </w:r>
      <w:r>
        <w:rPr>
          <w:spacing w:val="-66"/>
        </w:rPr>
        <w:t> </w:t>
      </w:r>
      <w:r>
        <w:rPr>
          <w:spacing w:val="-66"/>
        </w:rPr>
      </w:r>
      <w:r>
        <w:rPr>
          <w:spacing w:val="-4"/>
        </w:rPr>
        <w:t>与处理、移车服务、路况信息、违法举报、文明圈、车驾管业务、车务服务、地方性特色服务（摇号、限号限行、旅游交通、</w:t>
      </w:r>
      <w:r>
        <w:rPr>
          <w:spacing w:val="-42"/>
        </w:rPr>
        <w:t> </w:t>
      </w:r>
      <w:r>
        <w:rPr>
          <w:spacing w:val="-42"/>
        </w:rPr>
      </w:r>
      <w:r>
        <w:rPr>
          <w:spacing w:val="-2"/>
        </w:rPr>
        <w:t>综合交通服务等）、天气与新闻、停车诱导等最受百姓关心和最实用的交通服务，推出交通宝一站式车生活服务平台，并开</w:t>
      </w:r>
      <w:r>
        <w:rPr>
          <w:spacing w:val="-66"/>
        </w:rPr>
        <w:t> </w:t>
      </w:r>
      <w:r>
        <w:rPr>
          <w:spacing w:val="-66"/>
        </w:rPr>
      </w:r>
      <w:r>
        <w:rPr>
          <w:spacing w:val="-2"/>
        </w:rPr>
        <w:t>展产品的应用示范和推广，探索运营服务模式，推动交通信息服务新业态，提升城市生活功能。本产品在今年进行了全新改</w:t>
      </w:r>
      <w:r>
        <w:rPr>
          <w:spacing w:val="-66"/>
        </w:rPr>
        <w:t> </w:t>
      </w:r>
      <w:r>
        <w:rPr>
          <w:spacing w:val="-66"/>
        </w:rPr>
      </w:r>
      <w:r>
        <w:rPr/>
        <w:t>版，产品功能全面覆盖</w:t>
      </w:r>
      <w:r>
        <w:rPr>
          <w:rFonts w:ascii="Times New Roman" w:hAnsi="Times New Roman" w:cs="Times New Roman" w:eastAsia="Times New Roman" w:hint="default"/>
        </w:rPr>
        <w:t>APP</w:t>
      </w:r>
      <w:r>
        <w:rPr/>
        <w:t>（</w:t>
      </w:r>
      <w:r>
        <w:rPr>
          <w:rFonts w:ascii="Times New Roman" w:hAnsi="Times New Roman" w:cs="Times New Roman" w:eastAsia="Times New Roman" w:hint="default"/>
        </w:rPr>
        <w:t>iOS/Android</w:t>
      </w:r>
      <w:r>
        <w:rPr/>
        <w:t>）、</w:t>
      </w:r>
      <w:r>
        <w:rPr>
          <w:rFonts w:ascii="Times New Roman" w:hAnsi="Times New Roman" w:cs="Times New Roman" w:eastAsia="Times New Roman" w:hint="default"/>
        </w:rPr>
        <w:t>HTML5</w:t>
      </w:r>
      <w:r>
        <w:rPr/>
        <w:t>、微信公众号、支付宝生活号、微信小程序、微信卡包等流量平台。 </w:t>
      </w:r>
      <w:r>
        <w:rPr>
          <w:rFonts w:ascii="Times New Roman" w:hAnsi="Times New Roman" w:cs="Times New Roman" w:eastAsia="Times New Roman" w:hint="default"/>
        </w:rPr>
        <w:t>5</w:t>
      </w:r>
      <w:r>
        <w:rPr/>
        <w:t>、</w:t>
      </w:r>
      <w:r>
        <w:rPr>
          <w:rFonts w:ascii="Times New Roman" w:hAnsi="Times New Roman" w:cs="Times New Roman" w:eastAsia="Times New Roman" w:hint="default"/>
        </w:rPr>
        <w:t>Enloop</w:t>
      </w:r>
      <w:r>
        <w:rPr/>
        <w:t>大数据共性技术平台 </w:t>
      </w:r>
      <w:r>
        <w:rPr>
          <w:rFonts w:ascii="Times New Roman" w:hAnsi="Times New Roman" w:cs="Times New Roman" w:eastAsia="Times New Roman" w:hint="default"/>
        </w:rPr>
        <w:t>Enloop</w:t>
      </w:r>
      <w:r>
        <w:rPr/>
        <w:t>大数据共性技术平台是公司面向智慧城市大数据应用服务布局的公共技术开发平台，支持面向交通、医疗、司法、旅 </w:t>
      </w:r>
      <w:r>
        <w:rPr>
          <w:spacing w:val="-4"/>
        </w:rPr>
        <w:t>游、教育、水务等各类大数据应用的快速开发、实施，并为公司的数据运营服务战略提供技术基础。平台包括两大核心组件：</w:t>
      </w:r>
      <w:r>
        <w:rPr>
          <w:spacing w:val="-43"/>
        </w:rPr>
        <w:t> </w:t>
      </w:r>
      <w:r>
        <w:rPr>
          <w:spacing w:val="-43"/>
        </w:rPr>
      </w:r>
      <w:r>
        <w:rPr>
          <w:rFonts w:ascii="Times New Roman" w:hAnsi="Times New Roman" w:cs="Times New Roman" w:eastAsia="Times New Roman" w:hint="default"/>
        </w:rPr>
        <w:t>Enloop-hub</w:t>
      </w:r>
      <w:r>
        <w:rPr/>
        <w:t>信息交换服务子平台和</w:t>
      </w:r>
      <w:r>
        <w:rPr>
          <w:rFonts w:ascii="Times New Roman" w:hAnsi="Times New Roman" w:cs="Times New Roman" w:eastAsia="Times New Roman" w:hint="default"/>
        </w:rPr>
        <w:t>Enloop-analysis</w:t>
      </w:r>
      <w:r>
        <w:rPr/>
        <w:t>大数据智能分析子平台，前者为打通信息孤岛提供连接管道、数据汇聚和</w:t>
      </w:r>
      <w:r>
        <w:rPr>
          <w:spacing w:val="-35"/>
        </w:rPr>
        <w:t> </w:t>
      </w:r>
      <w:r>
        <w:rPr>
          <w:spacing w:val="-35"/>
        </w:rPr>
      </w:r>
      <w:r>
        <w:rPr/>
        <w:t>交换模型，后者支持数据的开发和价值利用。在前期研发的基础上，新增</w:t>
      </w:r>
      <w:r>
        <w:rPr>
          <w:rFonts w:ascii="Times New Roman" w:hAnsi="Times New Roman" w:cs="Times New Roman" w:eastAsia="Times New Roman" w:hint="default"/>
        </w:rPr>
        <w:t>DI</w:t>
      </w:r>
      <w:r>
        <w:rPr/>
        <w:t>设计器、数据资源库和交换服务平台功能。 </w:t>
      </w:r>
      <w:r>
        <w:rPr>
          <w:rFonts w:ascii="Times New Roman" w:hAnsi="Times New Roman" w:cs="Times New Roman" w:eastAsia="Times New Roman" w:hint="default"/>
        </w:rPr>
        <w:t>DI</w:t>
      </w:r>
      <w:r>
        <w:rPr/>
        <w:t>设计器，利用</w:t>
      </w:r>
      <w:r>
        <w:rPr>
          <w:rFonts w:ascii="Times New Roman" w:hAnsi="Times New Roman" w:cs="Times New Roman" w:eastAsia="Times New Roman" w:hint="default"/>
        </w:rPr>
        <w:t>“</w:t>
      </w:r>
      <w:r>
        <w:rPr/>
        <w:t>无需编写代码，拖拽实现操作</w:t>
      </w:r>
      <w:r>
        <w:rPr>
          <w:rFonts w:ascii="Times New Roman" w:hAnsi="Times New Roman" w:cs="Times New Roman" w:eastAsia="Times New Roman" w:hint="default"/>
        </w:rPr>
        <w:t>”</w:t>
      </w:r>
      <w:r>
        <w:rPr/>
        <w:t>的方式实现数据资源的同步、转换和汇聚。适应交通、医疗、司法、旅游、 教育、水务等各类大数据应用快速开发的需要，采用</w:t>
      </w:r>
      <w:r>
        <w:rPr>
          <w:rFonts w:ascii="Times New Roman" w:hAnsi="Times New Roman" w:cs="Times New Roman" w:eastAsia="Times New Roman" w:hint="default"/>
        </w:rPr>
        <w:t>Web</w:t>
      </w:r>
      <w:r>
        <w:rPr/>
        <w:t>图形化页面方式，用户通过点击图形化页面操作，实现各种数据交 换同步</w:t>
      </w:r>
      <w:r>
        <w:rPr>
          <w:rFonts w:ascii="Times New Roman" w:hAnsi="Times New Roman" w:cs="Times New Roman" w:eastAsia="Times New Roman" w:hint="default"/>
        </w:rPr>
        <w:t>/</w:t>
      </w:r>
      <w:r>
        <w:rPr/>
        <w:t>整合的应用场景的调度任务设计。 数据资源库，利用</w:t>
      </w:r>
      <w:r>
        <w:rPr>
          <w:rFonts w:ascii="Times New Roman" w:hAnsi="Times New Roman" w:cs="Times New Roman" w:eastAsia="Times New Roman" w:hint="default"/>
        </w:rPr>
        <w:t>DI</w:t>
      </w:r>
      <w:r>
        <w:rPr/>
        <w:t>设计器同步、转换和汇聚的数据，按照主题对数据进行管理，形成高度一致的权威性的中心信息资源</w:t>
      </w:r>
      <w:r>
        <w:rPr>
          <w:spacing w:val="-19"/>
        </w:rPr>
        <w:t> </w:t>
      </w:r>
      <w:r>
        <w:rPr>
          <w:spacing w:val="-19"/>
        </w:rPr>
      </w:r>
      <w:r>
        <w:rPr/>
        <w:t>库，对外提供统一的数据访问，并提供统一的对外访问窗口，实现数据资源的管理、查询和统计。 交换服务平台，是以消除</w:t>
      </w:r>
      <w:r>
        <w:rPr>
          <w:rFonts w:ascii="Times New Roman" w:hAnsi="Times New Roman" w:cs="Times New Roman" w:eastAsia="Times New Roman" w:hint="default"/>
        </w:rPr>
        <w:t>“</w:t>
      </w:r>
      <w:r>
        <w:rPr/>
        <w:t>信息孤岛</w:t>
      </w:r>
      <w:r>
        <w:rPr>
          <w:rFonts w:ascii="Times New Roman" w:hAnsi="Times New Roman" w:cs="Times New Roman" w:eastAsia="Times New Roman" w:hint="default"/>
        </w:rPr>
        <w:t>”</w:t>
      </w:r>
      <w:r>
        <w:rPr/>
        <w:t>为目的，使得分布异构系统之间进行信息</w:t>
      </w:r>
      <w:r>
        <w:rPr>
          <w:rFonts w:ascii="Times New Roman" w:hAnsi="Times New Roman" w:cs="Times New Roman" w:eastAsia="Times New Roman" w:hint="default"/>
        </w:rPr>
        <w:t>/</w:t>
      </w:r>
      <w:r>
        <w:rPr/>
        <w:t>数据传输及共享，提高信息资源的利用率，</w:t>
      </w:r>
      <w:r>
        <w:rPr>
          <w:spacing w:val="-36"/>
        </w:rPr>
        <w:t> </w:t>
      </w:r>
      <w:r>
        <w:rPr>
          <w:spacing w:val="-36"/>
        </w:rPr>
      </w:r>
      <w:r>
        <w:rPr/>
        <w:t>加强业务系统协作的产品。包含资源目录和交换系统两个部分，资源目录主要负责资源重新组织和资源定位，解决</w:t>
      </w:r>
      <w:r>
        <w:rPr>
          <w:rFonts w:ascii="Times New Roman" w:hAnsi="Times New Roman" w:cs="Times New Roman" w:eastAsia="Times New Roman" w:hint="default"/>
        </w:rPr>
        <w:t>“</w:t>
      </w:r>
      <w:r>
        <w:rPr/>
        <w:t>找资源</w:t>
      </w:r>
      <w:r>
        <w:rPr>
          <w:rFonts w:ascii="Times New Roman" w:hAnsi="Times New Roman" w:cs="Times New Roman" w:eastAsia="Times New Roman" w:hint="default"/>
        </w:rPr>
        <w:t>/ </w:t>
      </w:r>
      <w:r>
        <w:rPr/>
        <w:t>数据</w:t>
      </w:r>
      <w:r>
        <w:rPr>
          <w:rFonts w:ascii="Times New Roman" w:hAnsi="Times New Roman" w:cs="Times New Roman" w:eastAsia="Times New Roman" w:hint="default"/>
        </w:rPr>
        <w:t>”</w:t>
      </w:r>
      <w:r>
        <w:rPr/>
        <w:t>的问题；交换系统主要负责解决协议、结构、标准以及存储等差异，最终完成数据的共享与交换。 </w:t>
      </w:r>
      <w:r>
        <w:rPr>
          <w:rFonts w:ascii="Times New Roman" w:hAnsi="Times New Roman" w:cs="Times New Roman" w:eastAsia="Times New Roman" w:hint="default"/>
        </w:rPr>
        <w:t>6</w:t>
      </w:r>
      <w:r>
        <w:rPr/>
        <w:t>、司法行政智能辅助解决方案 </w:t>
      </w:r>
      <w:r>
        <w:rPr>
          <w:spacing w:val="-2"/>
        </w:rPr>
        <w:t>司法行政智能辅助解决方案，是公司面向智慧司法领域研发的系列解决方案，旨在通过融合大数据、人工智能、深度机器学</w:t>
      </w:r>
      <w:r>
        <w:rPr>
          <w:spacing w:val="-66"/>
        </w:rPr>
        <w:t> </w:t>
      </w:r>
      <w:r>
        <w:rPr>
          <w:spacing w:val="-66"/>
        </w:rPr>
      </w:r>
      <w:r>
        <w:rPr/>
        <w:t>习、数据加密保护等先进技术，有效提升司法行政对社会矛盾智能感知，辅助分析决策，加强司法行政执法效率和公平性。 </w:t>
      </w:r>
      <w:r>
        <w:rPr>
          <w:spacing w:val="-2"/>
        </w:rPr>
        <w:t>司法行政智能辅助解决方案包括：社会矛盾风险智能感控平台、同案同调智能辅助系统、公共法律服务知识图谱、司法行政</w:t>
      </w:r>
      <w:r>
        <w:rPr>
          <w:spacing w:val="-66"/>
        </w:rPr>
        <w:t> </w:t>
      </w:r>
      <w:r>
        <w:rPr>
          <w:spacing w:val="-66"/>
        </w:rPr>
      </w:r>
      <w:r>
        <w:rPr/>
        <w:t>大数据服务网等系列产品。 </w:t>
      </w:r>
      <w:r>
        <w:rPr>
          <w:spacing w:val="-2"/>
        </w:rPr>
        <w:t>社会矛盾风险智能感控平台，融合了监狱、戒毒、矫正、人民调解、司法鉴定、公证、法律援助等多种数据源，并且能够支</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left="1134" w:right="1122"/>
        <w:jc w:val="left"/>
      </w:pPr>
      <w:r>
        <w:rPr/>
        <w:t>持公安、检察院、法院、工商等外部数据接入，通过对数据统一清洗、分析，归集成人物、事件、地方、组织、物品等</w:t>
      </w:r>
      <w:r>
        <w:rPr>
          <w:rFonts w:ascii="Times New Roman" w:hAnsi="Times New Roman" w:cs="Times New Roman" w:eastAsia="Times New Roman" w:hint="default"/>
        </w:rPr>
        <w:t>7</w:t>
      </w:r>
      <w:r>
        <w:rPr/>
        <w:t>类</w:t>
      </w:r>
      <w:r>
        <w:rPr>
          <w:spacing w:val="-83"/>
        </w:rPr>
        <w:t> </w:t>
      </w:r>
      <w:r>
        <w:rPr>
          <w:spacing w:val="-2"/>
        </w:rPr>
        <w:t>归一化的数据资源。同时，通过对业务进行建模，构建了司法执行风险、二次犯罪风险、群体性事件风险等三十余项风险模</w:t>
      </w:r>
      <w:r>
        <w:rPr>
          <w:spacing w:val="-66"/>
        </w:rPr>
        <w:t> </w:t>
      </w:r>
      <w:r>
        <w:rPr>
          <w:spacing w:val="-66"/>
        </w:rPr>
      </w:r>
      <w:r>
        <w:rPr/>
        <w:t>型，使得平台能够有效的对各类社会矛盾风险进行有效的预测、预警、预防。 </w:t>
      </w:r>
      <w:r>
        <w:rPr>
          <w:spacing w:val="-2"/>
        </w:rPr>
        <w:t>同案同调智能辅助系统，是一款面向基层调解人员的办公辅助系统，通过构建庞大的案例库，以及语义级搜索技术，能够快</w:t>
      </w:r>
      <w:r>
        <w:rPr>
          <w:spacing w:val="-66"/>
        </w:rPr>
        <w:t> </w:t>
      </w:r>
      <w:r>
        <w:rPr>
          <w:spacing w:val="-66"/>
        </w:rPr>
      </w:r>
      <w:r>
        <w:rPr/>
        <w:t>速搜索相似案例，并智能推荐调解方案和相关法律，真正做到相同案件、相同调解。 </w:t>
      </w:r>
      <w:r>
        <w:rPr>
          <w:spacing w:val="-2"/>
        </w:rPr>
        <w:t>公共法律服务知识图谱通过新一代的搜索引擎技术，突破了上一代搜索引擎通过关键字搜索的局限，能够最大限度的提供与</w:t>
      </w:r>
      <w:r>
        <w:rPr>
          <w:spacing w:val="-64"/>
        </w:rPr>
        <w:t> </w:t>
      </w:r>
      <w:r>
        <w:rPr>
          <w:spacing w:val="-64"/>
        </w:rPr>
      </w:r>
      <w:r>
        <w:rPr>
          <w:spacing w:val="-2"/>
        </w:rPr>
        <w:t>之相关的知识。公共法律服务知识图谱不仅包含大量高质量的常识性知识，还能及时发现并添加新的知识。通过从各类法律</w:t>
      </w:r>
      <w:r>
        <w:rPr>
          <w:spacing w:val="-66"/>
        </w:rPr>
        <w:t> </w:t>
      </w:r>
      <w:r>
        <w:rPr>
          <w:spacing w:val="-66"/>
        </w:rPr>
      </w:r>
      <w:r>
        <w:rPr/>
        <w:t>服务网站的半结构化数据（形如</w:t>
      </w:r>
      <w:r>
        <w:rPr>
          <w:rFonts w:ascii="Times New Roman" w:hAnsi="Times New Roman" w:cs="Times New Roman" w:eastAsia="Times New Roman" w:hint="default"/>
        </w:rPr>
        <w:t>HTML</w:t>
      </w:r>
      <w:r>
        <w:rPr/>
        <w:t>表格），发现新的实体或新的实体属性从而不断扩展知识图谱的覆盖率。 </w:t>
      </w:r>
      <w:r>
        <w:rPr>
          <w:spacing w:val="-2"/>
        </w:rPr>
        <w:t>司法行政大数据服务网是一款面向专业领域的数据开放服务网，服务网能够有效的检测行业敏感信息，并根据需求进行脱敏</w:t>
      </w:r>
      <w:r>
        <w:rPr>
          <w:spacing w:val="-64"/>
        </w:rPr>
        <w:t> </w:t>
      </w:r>
      <w:r>
        <w:rPr>
          <w:spacing w:val="-64"/>
        </w:rPr>
      </w:r>
      <w:r>
        <w:rPr/>
        <w:t>处理，有效的避免了数据隐私风险。目前项目已经在上海市司法局试运行。</w:t>
      </w:r>
    </w:p>
    <w:p>
      <w:pPr>
        <w:pStyle w:val="BodyText"/>
        <w:spacing w:line="312" w:lineRule="auto" w:before="20"/>
        <w:ind w:right="1033"/>
        <w:jc w:val="left"/>
      </w:pPr>
      <w:r>
        <w:rPr>
          <w:rFonts w:ascii="Times New Roman" w:hAnsi="Times New Roman" w:cs="Times New Roman" w:eastAsia="Times New Roman" w:hint="default"/>
        </w:rPr>
        <w:t>7</w:t>
      </w:r>
      <w:r>
        <w:rPr/>
        <w:t>、基于医疗信息智能挖掘与服务的云计算软件 针对医疗信息不对称、医疗信息利用率低、服务效率差等问题，以医生、患者、疾病和药品等维度入手，对医疗物联数据、 </w:t>
      </w:r>
      <w:r>
        <w:rPr>
          <w:spacing w:val="-2"/>
        </w:rPr>
        <w:t>医疗诊断数据、药品处方数据、医疗知识数据和医生患者全体数据等医疗信息进行整合与智能挖掘，研发面向医生、个人与</w:t>
      </w:r>
      <w:r>
        <w:rPr>
          <w:spacing w:val="-66"/>
        </w:rPr>
        <w:t> </w:t>
      </w:r>
      <w:r>
        <w:rPr>
          <w:spacing w:val="-66"/>
        </w:rPr>
      </w:r>
      <w:r>
        <w:rPr>
          <w:spacing w:val="-2"/>
        </w:rPr>
        <w:t>公共疾病的数据融合和智能挖掘技术，构建一系列数据价值驱动的医疗应用，深化数据互联与利用，形成医疗数据推荐与深</w:t>
      </w:r>
      <w:r>
        <w:rPr>
          <w:spacing w:val="-65"/>
        </w:rPr>
        <w:t> </w:t>
      </w:r>
      <w:r>
        <w:rPr>
          <w:spacing w:val="-65"/>
        </w:rPr>
      </w:r>
      <w:r>
        <w:rPr/>
        <w:t>度服务的通用解决方案。 </w:t>
      </w:r>
      <w:r>
        <w:rPr>
          <w:spacing w:val="-2"/>
        </w:rPr>
        <w:t>主要的项目内容包括：（</w:t>
      </w:r>
      <w:r>
        <w:rPr>
          <w:rFonts w:ascii="Times New Roman" w:hAnsi="Times New Roman" w:cs="Times New Roman" w:eastAsia="Times New Roman" w:hint="default"/>
          <w:spacing w:val="-2"/>
        </w:rPr>
        <w:t>1</w:t>
      </w:r>
      <w:r>
        <w:rPr>
          <w:spacing w:val="-2"/>
        </w:rPr>
        <w:t>）面向医疗信息及相关大数据的云服务平台，支撑大数据（含关系型数据、医疗文本和医学影像）</w:t>
      </w:r>
      <w:r>
        <w:rPr>
          <w:spacing w:val="-64"/>
        </w:rPr>
        <w:t> </w:t>
      </w:r>
      <w:r>
        <w:rPr>
          <w:spacing w:val="-64"/>
        </w:rPr>
      </w:r>
      <w:r>
        <w:rPr/>
        <w:t>存储与管理、安全控制等；（</w:t>
      </w:r>
      <w:r>
        <w:rPr>
          <w:rFonts w:ascii="Times New Roman" w:hAnsi="Times New Roman" w:cs="Times New Roman" w:eastAsia="Times New Roman" w:hint="default"/>
        </w:rPr>
        <w:t>2</w:t>
      </w:r>
      <w:r>
        <w:rPr/>
        <w:t>）构建医疗数据</w:t>
      </w:r>
      <w:r>
        <w:rPr>
          <w:rFonts w:ascii="Times New Roman" w:hAnsi="Times New Roman" w:cs="Times New Roman" w:eastAsia="Times New Roman" w:hint="default"/>
        </w:rPr>
        <w:t>PaaS</w:t>
      </w:r>
      <w:r>
        <w:rPr/>
        <w:t>平台软件，实现医疗大数据管理支撑子平台和医疗大数据分析挖掘子平</w:t>
      </w:r>
      <w:r>
        <w:rPr>
          <w:spacing w:val="-83"/>
        </w:rPr>
        <w:t> </w:t>
      </w:r>
      <w:r>
        <w:rPr>
          <w:spacing w:val="-83"/>
        </w:rPr>
      </w:r>
      <w:r>
        <w:rPr/>
        <w:t>台；（</w:t>
      </w:r>
      <w:r>
        <w:rPr>
          <w:rFonts w:ascii="Times New Roman" w:hAnsi="Times New Roman" w:cs="Times New Roman" w:eastAsia="Times New Roman" w:hint="default"/>
        </w:rPr>
        <w:t>3</w:t>
      </w:r>
      <w:r>
        <w:rPr/>
        <w:t>）研究依托医疗信息智能挖掘和数据主动服务和推荐能力的云计算软件，包括面向医生的辅助诊疗与决策支持等软</w:t>
      </w:r>
      <w:r>
        <w:rPr>
          <w:spacing w:val="-83"/>
        </w:rPr>
        <w:t> </w:t>
      </w:r>
      <w:r>
        <w:rPr>
          <w:spacing w:val="-83"/>
        </w:rPr>
      </w:r>
      <w:r>
        <w:rPr/>
        <w:t>件，面向患者的自助式医疗健康管理软件，以及面向公共疾病动态监测预警控制应急系统及示范应用。 </w:t>
      </w:r>
      <w:r>
        <w:rPr>
          <w:rFonts w:ascii="Times New Roman" w:hAnsi="Times New Roman" w:cs="Times New Roman" w:eastAsia="Times New Roman" w:hint="default"/>
        </w:rPr>
        <w:t>8</w:t>
      </w:r>
      <w:r>
        <w:rPr/>
        <w:t>、智慧医疗大数据分析平台 </w:t>
      </w:r>
      <w:r>
        <w:rPr>
          <w:spacing w:val="-2"/>
        </w:rPr>
        <w:t>智慧医疗大数据分析平台，是公司面向智慧医疗领域研发的一款大数据分析平台。平台内置自主研发的数据采集工具，支持</w:t>
      </w:r>
      <w:r>
        <w:rPr>
          <w:spacing w:val="-66"/>
        </w:rPr>
        <w:t> </w:t>
      </w:r>
      <w:r>
        <w:rPr>
          <w:spacing w:val="-66"/>
        </w:rPr>
      </w:r>
      <w:r>
        <w:rPr/>
        <w:t>市面上各类主流数据库，并且能够实现全量、增量等多种采集方式。 平台目前实现了舆情监测、患者监管、疾病监管、就诊量监管、医疗资源与质量监管等</w:t>
      </w:r>
      <w:r>
        <w:rPr>
          <w:rFonts w:ascii="Times New Roman" w:hAnsi="Times New Roman" w:cs="Times New Roman" w:eastAsia="Times New Roman" w:hint="default"/>
        </w:rPr>
        <w:t>5</w:t>
      </w:r>
      <w:r>
        <w:rPr/>
        <w:t>个不同方面的监管，能够使得用户</w:t>
      </w:r>
      <w:r>
        <w:rPr>
          <w:spacing w:val="-82"/>
        </w:rPr>
        <w:t> </w:t>
      </w:r>
      <w:r>
        <w:rPr>
          <w:spacing w:val="-82"/>
        </w:rPr>
      </w:r>
      <w:r>
        <w:rPr/>
        <w:t>可视化的实时了解各项数据以及数据的变化情况。 </w:t>
      </w:r>
      <w:r>
        <w:rPr>
          <w:spacing w:val="-2"/>
        </w:rPr>
        <w:t>同时平台内嵌药品分析和费用分析两个专题分析模块，对各个医院用药情况和费用情况进行建模，实时检测用药异常和费用</w:t>
      </w:r>
      <w:r>
        <w:rPr>
          <w:spacing w:val="-64"/>
        </w:rPr>
        <w:t> </w:t>
      </w:r>
      <w:r>
        <w:rPr>
          <w:spacing w:val="-64"/>
        </w:rPr>
      </w:r>
      <w:r>
        <w:rPr/>
        <w:t>异常情况，深入挖掘医疗过程中可能存在的违规行为，有效的提升了医疗监管的效率和质量。</w:t>
      </w:r>
    </w:p>
    <w:p>
      <w:pPr>
        <w:pStyle w:val="BodyText"/>
        <w:spacing w:line="307" w:lineRule="auto" w:before="22"/>
        <w:ind w:right="1040"/>
        <w:jc w:val="left"/>
      </w:pPr>
      <w:r>
        <w:rPr>
          <w:rFonts w:ascii="Times New Roman" w:hAnsi="Times New Roman" w:cs="Times New Roman" w:eastAsia="Times New Roman" w:hint="default"/>
        </w:rPr>
        <w:t>9</w:t>
      </w:r>
      <w:r>
        <w:rPr/>
        <w:t>、物联网</w:t>
      </w:r>
      <w:r>
        <w:rPr>
          <w:rFonts w:ascii="Times New Roman" w:hAnsi="Times New Roman" w:cs="Times New Roman" w:eastAsia="Times New Roman" w:hint="default"/>
        </w:rPr>
        <w:t>AP</w:t>
      </w:r>
      <w:r>
        <w:rPr>
          <w:rFonts w:ascii="Times New Roman" w:hAnsi="Times New Roman" w:cs="Times New Roman" w:eastAsia="Times New Roman" w:hint="default"/>
          <w:spacing w:val="-1"/>
          <w:w w:val="99"/>
        </w:rPr>
        <w:t> </w:t>
      </w:r>
      <w:r>
        <w:rPr/>
        <w:t>物联网</w:t>
      </w:r>
      <w:r>
        <w:rPr>
          <w:rFonts w:ascii="Times New Roman" w:hAnsi="Times New Roman" w:cs="Times New Roman" w:eastAsia="Times New Roman" w:hint="default"/>
        </w:rPr>
        <w:t>AP</w:t>
      </w:r>
      <w:r>
        <w:rPr/>
        <w:t>产品为我司与华为就医院信息化推进工作共同研发的新一代</w:t>
      </w:r>
      <w:r>
        <w:rPr>
          <w:rFonts w:ascii="Times New Roman" w:hAnsi="Times New Roman" w:cs="Times New Roman" w:eastAsia="Times New Roman" w:hint="default"/>
        </w:rPr>
        <w:t>AP</w:t>
      </w:r>
      <w:r>
        <w:rPr/>
        <w:t>，已于</w:t>
      </w:r>
      <w:r>
        <w:rPr>
          <w:rFonts w:ascii="Times New Roman" w:hAnsi="Times New Roman" w:cs="Times New Roman" w:eastAsia="Times New Roman" w:hint="default"/>
        </w:rPr>
        <w:t>2017</w:t>
      </w:r>
      <w:r>
        <w:rPr/>
        <w:t>年进入华为供应商临时编码（正式编码 处于审核阶段）。该产品集无线网接入点和</w:t>
      </w:r>
      <w:r>
        <w:rPr>
          <w:rFonts w:ascii="Times New Roman" w:hAnsi="Times New Roman" w:cs="Times New Roman" w:eastAsia="Times New Roman" w:hint="default"/>
        </w:rPr>
        <w:t>RFID</w:t>
      </w:r>
      <w:r>
        <w:rPr/>
        <w:t>接入点为一体的智能信息接收和发送设备，可以同时接收和发送</w:t>
      </w:r>
      <w:r>
        <w:rPr>
          <w:rFonts w:ascii="Times New Roman" w:hAnsi="Times New Roman" w:cs="Times New Roman" w:eastAsia="Times New Roman" w:hint="default"/>
        </w:rPr>
        <w:t>WIFI</w:t>
      </w:r>
      <w:r>
        <w:rPr/>
        <w:t>信号</w:t>
      </w:r>
      <w:r>
        <w:rPr>
          <w:spacing w:val="-75"/>
        </w:rPr>
        <w:t> </w:t>
      </w:r>
      <w:r>
        <w:rPr/>
        <w:t>和</w:t>
      </w:r>
      <w:r>
        <w:rPr>
          <w:rFonts w:ascii="Times New Roman" w:hAnsi="Times New Roman" w:cs="Times New Roman" w:eastAsia="Times New Roman" w:hint="default"/>
        </w:rPr>
        <w:t>RFID</w:t>
      </w:r>
      <w:r>
        <w:rPr/>
        <w:t>信号。在物联网、云计算、移动互联等新技术大革命的背景下，物联网应用的市场化进程不断加快，物联网</w:t>
      </w:r>
      <w:r>
        <w:rPr>
          <w:rFonts w:ascii="Times New Roman" w:hAnsi="Times New Roman" w:cs="Times New Roman" w:eastAsia="Times New Roman" w:hint="default"/>
        </w:rPr>
        <w:t>AP</w:t>
      </w:r>
      <w:r>
        <w:rPr/>
        <w:t>应运 而生，该产品将企业有线网络、无线网络和</w:t>
      </w:r>
      <w:r>
        <w:rPr>
          <w:rFonts w:ascii="Times New Roman" w:hAnsi="Times New Roman" w:cs="Times New Roman" w:eastAsia="Times New Roman" w:hint="default"/>
        </w:rPr>
        <w:t>RFID(</w:t>
      </w:r>
      <w:r>
        <w:rPr/>
        <w:t>传感器</w:t>
      </w:r>
      <w:r>
        <w:rPr>
          <w:rFonts w:ascii="Times New Roman" w:hAnsi="Times New Roman" w:cs="Times New Roman" w:eastAsia="Times New Roman" w:hint="default"/>
        </w:rPr>
        <w:t>)</w:t>
      </w:r>
      <w:r>
        <w:rPr/>
        <w:t>网络有效的进行融合</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提供高可靠的网络传输和连接。通过物联网 </w:t>
      </w:r>
      <w:r>
        <w:rPr>
          <w:rFonts w:ascii="Times New Roman" w:hAnsi="Times New Roman" w:cs="Times New Roman" w:eastAsia="Times New Roman" w:hint="default"/>
        </w:rPr>
        <w:t>AP</w:t>
      </w:r>
      <w:r>
        <w:rPr/>
        <w:t>内置的</w:t>
      </w:r>
      <w:r>
        <w:rPr>
          <w:rFonts w:ascii="Times New Roman" w:hAnsi="Times New Roman" w:cs="Times New Roman" w:eastAsia="Times New Roman" w:hint="default"/>
        </w:rPr>
        <w:t>RFID</w:t>
      </w:r>
      <w:r>
        <w:rPr/>
        <w:t>技术和先进的中间件技术，协助应用系统平台完成对物理实体的信息采集，为企业设施最终实现智能的物与 人、物与物的控制和信息交互，提供高标准，符合标准协议和规范的网络基础平台。 </w:t>
      </w:r>
      <w:r>
        <w:rPr>
          <w:rFonts w:ascii="Times New Roman" w:hAnsi="Times New Roman" w:cs="Times New Roman" w:eastAsia="Times New Roman" w:hint="default"/>
        </w:rPr>
        <w:t>10</w:t>
      </w:r>
      <w:r>
        <w:rPr/>
        <w:t>、智慧水务物联网应用及大数据服务平台 </w:t>
      </w:r>
      <w:r>
        <w:rPr>
          <w:rFonts w:ascii="Times New Roman" w:hAnsi="Times New Roman" w:cs="Times New Roman" w:eastAsia="Times New Roman" w:hint="default"/>
        </w:rPr>
        <w:t>“</w:t>
      </w:r>
      <w:r>
        <w:rPr/>
        <w:t>智慧水务物联网应用及大数据服务平台</w:t>
      </w:r>
      <w:r>
        <w:rPr>
          <w:rFonts w:ascii="Times New Roman" w:hAnsi="Times New Roman" w:cs="Times New Roman" w:eastAsia="Times New Roman" w:hint="default"/>
        </w:rPr>
        <w:t>”</w:t>
      </w:r>
      <w:r>
        <w:rPr/>
        <w:t>是公司智慧水务领域又一个项重要应用。研发内容包括智慧水务基础支撑平台、智 </w:t>
      </w:r>
      <w:r>
        <w:rPr>
          <w:spacing w:val="-2"/>
        </w:rPr>
        <w:t>慧水务综合管理平台、水务大数据及人工智能分析应用模型及应用平台、水务云服务平台和水务物联网终端。平台通过采用</w:t>
      </w:r>
      <w:r>
        <w:rPr>
          <w:spacing w:val="-66"/>
        </w:rPr>
        <w:t> </w:t>
      </w:r>
      <w:r>
        <w:rPr>
          <w:spacing w:val="-66"/>
        </w:rPr>
      </w:r>
      <w:r>
        <w:rPr>
          <w:spacing w:val="-4"/>
        </w:rPr>
        <w:t>物联网、云计算、大数据、人工智能、移动互联网等先进信息化技术，获得、处理并公开水务信息，建立水务综合应用模型，</w:t>
      </w:r>
      <w:r>
        <w:rPr>
          <w:spacing w:val="-48"/>
        </w:rPr>
        <w:t> </w:t>
      </w:r>
      <w:r>
        <w:rPr>
          <w:spacing w:val="-48"/>
        </w:rPr>
      </w:r>
      <w:r>
        <w:rPr>
          <w:spacing w:val="-2"/>
        </w:rPr>
        <w:t>再造水务业务（事务）流程。以低碳节能、运行安全、资源高效利用为目标，有效地管理供水、用水、耗水、排水、污水收</w:t>
      </w:r>
      <w:r>
        <w:rPr>
          <w:spacing w:val="-71"/>
        </w:rPr>
        <w:t> </w:t>
      </w:r>
      <w:r>
        <w:rPr>
          <w:spacing w:val="-71"/>
        </w:rPr>
      </w:r>
      <w:r>
        <w:rPr>
          <w:spacing w:val="-2"/>
        </w:rPr>
        <w:t>集处理、再生水综合利用等过程，实现水资源循环全生命周期的管控，全程感知，深度互联，将高度复杂的水环境系统构建</w:t>
      </w:r>
      <w:r>
        <w:rPr>
          <w:spacing w:val="-66"/>
        </w:rPr>
        <w:t> </w:t>
      </w:r>
      <w:r>
        <w:rPr>
          <w:spacing w:val="-66"/>
        </w:rPr>
      </w:r>
      <w:r>
        <w:rPr/>
        <w:t>成智慧的有机体，为水务企业提供智慧水务综合管理整体解决方案。</w:t>
      </w:r>
    </w:p>
    <w:p>
      <w:pPr>
        <w:pStyle w:val="BodyText"/>
        <w:spacing w:line="240" w:lineRule="auto" w:before="67"/>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117,122,125.75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61,077,132.52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117,401,098.50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21,638,653.22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22,969,878.27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10,626,448.51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2,365,681,271.54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1,800,104,967.23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2,581,053,496.78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1,937,239,713.58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-215,372,225.24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-137,134,746.35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222,476,639.04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68,383,575.91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158,903,302.75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413,801,456.67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63,573,336.29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-345,417,880.76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1,486,239,179.63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1,107,822,723.79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1,193,267,272.49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820,263,682.90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292,971,907.14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287,559,040.89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141,173,018.19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-194,949,642.22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172.42%</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、经营活动现金流量增加，主要是本期收入增加所致。</w:t>
      </w:r>
    </w:p>
    <w:p>
      <w:pPr>
        <w:pStyle w:val="BodyText"/>
        <w:spacing w:line="240" w:lineRule="auto" w:before="63"/>
        <w:ind w:left="1134" w:right="0"/>
        <w:jc w:val="left"/>
      </w:pPr>
      <w:r>
        <w:rPr>
          <w:rFonts w:ascii="Times New Roman" w:hAnsi="Times New Roman" w:cs="Times New Roman" w:eastAsia="Times New Roman" w:hint="default"/>
        </w:rPr>
        <w:t>2</w:t>
      </w:r>
      <w:r>
        <w:rPr/>
        <w:t>、经营活动现金流出增加，主要是本期收入增加，项目投入增加所致。</w:t>
      </w:r>
    </w:p>
    <w:p>
      <w:pPr>
        <w:pStyle w:val="BodyText"/>
        <w:spacing w:line="240" w:lineRule="auto" w:before="63"/>
        <w:ind w:right="0"/>
        <w:jc w:val="left"/>
      </w:pPr>
      <w:r>
        <w:rPr>
          <w:rFonts w:ascii="Times New Roman" w:hAnsi="Times New Roman" w:cs="Times New Roman" w:eastAsia="Times New Roman" w:hint="default"/>
        </w:rPr>
        <w:t>3</w:t>
      </w:r>
      <w:r>
        <w:rPr/>
        <w:t>、投资活动现金流入增加，主要是本期处置子公司股权所致，</w:t>
      </w:r>
    </w:p>
    <w:p>
      <w:pPr>
        <w:pStyle w:val="BodyText"/>
        <w:spacing w:line="240" w:lineRule="auto" w:before="63"/>
        <w:ind w:left="1134" w:right="0"/>
        <w:jc w:val="left"/>
      </w:pPr>
      <w:r>
        <w:rPr>
          <w:rFonts w:ascii="Times New Roman" w:hAnsi="Times New Roman" w:cs="Times New Roman" w:eastAsia="Times New Roman" w:hint="default"/>
        </w:rPr>
        <w:t>4</w:t>
      </w:r>
      <w:r>
        <w:rPr/>
        <w:t>、投资活动现金流出减少，主要是本期投资减少所致。</w:t>
      </w:r>
    </w:p>
    <w:p>
      <w:pPr>
        <w:pStyle w:val="BodyText"/>
        <w:spacing w:line="240" w:lineRule="auto" w:before="63"/>
        <w:ind w:left="1134" w:right="0"/>
        <w:jc w:val="left"/>
      </w:pPr>
      <w:r>
        <w:rPr>
          <w:rFonts w:ascii="Times New Roman" w:hAnsi="Times New Roman" w:cs="Times New Roman" w:eastAsia="Times New Roman" w:hint="default"/>
        </w:rPr>
        <w:t>5</w:t>
      </w:r>
      <w:r>
        <w:rPr/>
        <w:t>、筹资活动现金流入增加，主要是本期再融资增加所致。</w:t>
      </w:r>
    </w:p>
    <w:p>
      <w:pPr>
        <w:pStyle w:val="BodyText"/>
        <w:spacing w:line="240" w:lineRule="auto" w:before="63"/>
        <w:ind w:left="1134" w:right="0"/>
        <w:jc w:val="left"/>
      </w:pPr>
      <w:r>
        <w:rPr>
          <w:rFonts w:ascii="Times New Roman" w:hAnsi="Times New Roman" w:cs="Times New Roman" w:eastAsia="Times New Roman" w:hint="default"/>
        </w:rPr>
        <w:t>6</w:t>
      </w:r>
      <w:r>
        <w:rPr/>
        <w:t>、筹资活动现金流出增加，主要是本期再融资偿还借款所致。</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48,091,279.47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30.33%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主要是处置可供出售金融 资产所致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1,206,397,843.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1,071,407,340.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1,031,784,339.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1,268,832,142.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北京亚太安讯科技有限责任公司、杭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州清普信息技术有限公司及杭州银 江医联网技术股份有限公司不纳入 合并导致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1,559,772,276.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1,166,657,213.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5.47%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在建项目增加所致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424,368,812.5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373,971,092.47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6.84%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对外投资增加所致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175,093,773.2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202,702,579.87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北京亚太安讯科技有限责任公司、杭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州清普信息技术有限公司及杭州银 江医联网技术股份有限公司不纳入 合并导致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388,932.35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475,517,440.00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本期订单增多，前期项目投入较大， 公司借款增加导致财务费用增加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475"/>
        <w:gridCol w:w="1161"/>
        <w:gridCol w:w="1149"/>
        <w:gridCol w:w="1154"/>
        <w:gridCol w:w="1148"/>
        <w:gridCol w:w="1161"/>
        <w:gridCol w:w="1153"/>
        <w:gridCol w:w="1154"/>
      </w:tblGrid>
      <w:tr>
        <w:trPr>
          <w:trHeight w:val="161" w:hRule="exact"/>
        </w:trPr>
        <w:tc>
          <w:tcPr>
            <w:tcW w:w="1475" w:type="dxa"/>
            <w:vMerge w:val="restart"/>
            <w:tcBorders>
              <w:top w:val="single" w:sz="4" w:space="0" w:color="000000"/>
              <w:left w:val="single" w:sz="4" w:space="0" w:color="000000"/>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75" w:type="dxa"/>
            <w:vMerge/>
            <w:tcBorders>
              <w:left w:val="single" w:sz="4" w:space="0" w:color="000000"/>
              <w:bottom w:val="nil" w:sz="6" w:space="0" w:color="auto"/>
              <w:right w:val="single" w:sz="4" w:space="0" w:color="000000"/>
            </w:tcBorders>
            <w:shd w:val="clear" w:color="auto" w:fill="D2D2D2"/>
          </w:tcPr>
          <w:p>
            <w:pPr/>
          </w:p>
        </w:tc>
        <w:tc>
          <w:tcPr>
            <w:tcW w:w="1161"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75" w:type="dxa"/>
            <w:vMerge w:val="restart"/>
            <w:tcBorders>
              <w:top w:val="nil" w:sz="6" w:space="0" w:color="auto"/>
              <w:left w:val="single" w:sz="4" w:space="0" w:color="000000"/>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75" w:type="dxa"/>
            <w:vMerge/>
            <w:tcBorders>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1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356,437,325.9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172,171,759.4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4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9" w:space="0" w:color="D2D2D2"/>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356,437,325.9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1149" w:type="dxa"/>
            <w:vMerge w:val="restart"/>
            <w:tcBorders>
              <w:top w:val="single" w:sz="4" w:space="0" w:color="000000"/>
              <w:left w:val="single" w:sz="4" w:space="0" w:color="000000"/>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172,171,759.4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148" w:type="dxa"/>
            <w:vMerge w:val="restart"/>
            <w:tcBorders>
              <w:top w:val="single" w:sz="4" w:space="0" w:color="000000"/>
              <w:left w:val="single" w:sz="4" w:space="0" w:color="000000"/>
              <w:right w:val="single" w:sz="4" w:space="0" w:color="000000"/>
            </w:tcBorders>
          </w:tcPr>
          <w:p>
            <w:pPr/>
          </w:p>
        </w:tc>
        <w:tc>
          <w:tcPr>
            <w:tcW w:w="1161" w:type="dxa"/>
            <w:vMerge w:val="restart"/>
            <w:tcBorders>
              <w:top w:val="single" w:sz="4" w:space="0" w:color="000000"/>
              <w:left w:val="single" w:sz="4" w:space="0" w:color="000000"/>
              <w:right w:val="single" w:sz="4" w:space="0" w:color="000000"/>
            </w:tcBorders>
          </w:tcPr>
          <w:p>
            <w:pPr/>
          </w:p>
        </w:tc>
        <w:tc>
          <w:tcPr>
            <w:tcW w:w="1153" w:type="dxa"/>
            <w:vMerge w:val="restart"/>
            <w:tcBorders>
              <w:top w:val="single" w:sz="4" w:space="0" w:color="000000"/>
              <w:left w:val="single" w:sz="4" w:space="0" w:color="000000"/>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4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1" w:type="dxa"/>
            <w:vMerge/>
            <w:tcBorders>
              <w:left w:val="single" w:sz="9" w:space="0" w:color="D2D2D2"/>
              <w:right w:val="single" w:sz="4" w:space="0" w:color="000000"/>
            </w:tcBorders>
          </w:tcPr>
          <w:p>
            <w:pPr/>
          </w:p>
        </w:tc>
        <w:tc>
          <w:tcPr>
            <w:tcW w:w="1149"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161" w:type="dxa"/>
            <w:vMerge/>
            <w:tcBorders>
              <w:left w:val="single" w:sz="4" w:space="0" w:color="000000"/>
              <w:right w:val="single" w:sz="4" w:space="0" w:color="000000"/>
            </w:tcBorders>
          </w:tcPr>
          <w:p>
            <w:pPr/>
          </w:p>
        </w:tc>
        <w:tc>
          <w:tcPr>
            <w:tcW w:w="1153"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r>
      <w:tr>
        <w:trPr>
          <w:trHeight w:val="161" w:hRule="exact"/>
        </w:trPr>
        <w:tc>
          <w:tcPr>
            <w:tcW w:w="14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9" w:space="0" w:color="D2D2D2"/>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161" w:type="dxa"/>
            <w:vMerge/>
            <w:tcBorders>
              <w:left w:val="single" w:sz="4" w:space="0" w:color="000000"/>
              <w:bottom w:val="single" w:sz="4" w:space="0" w:color="000000"/>
              <w:right w:val="single" w:sz="4" w:space="0" w:color="000000"/>
            </w:tcBorders>
          </w:tcPr>
          <w:p>
            <w:pPr/>
          </w:p>
        </w:tc>
        <w:tc>
          <w:tcPr>
            <w:tcW w:w="1153"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866"/>
        <w:gridCol w:w="2064"/>
        <w:gridCol w:w="4284"/>
      </w:tblGrid>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宋体" w:hAnsi="宋体" w:cs="宋体" w:eastAsia="宋体" w:hint="default"/>
                <w:sz w:val="18"/>
                <w:szCs w:val="18"/>
              </w:rPr>
              <w:t>年末账面价值（元）</w:t>
            </w:r>
          </w:p>
        </w:tc>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77,746,106.35</w:t>
            </w:r>
          </w:p>
        </w:tc>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承兑汇票、银行保函、农民工保证金</w:t>
            </w:r>
          </w:p>
        </w:tc>
      </w:tr>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38,743,866.20</w:t>
            </w:r>
          </w:p>
        </w:tc>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应收账款质押借款</w:t>
            </w:r>
          </w:p>
        </w:tc>
      </w:tr>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116,489,972.55</w:t>
            </w:r>
          </w:p>
        </w:tc>
        <w:tc>
          <w:tcPr>
            <w:tcW w:w="42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left="1134"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269,306,000.00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486,811,035.96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4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浙江银 江金服 控股有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实业投 </w:t>
            </w:r>
            <w:r>
              <w:rPr>
                <w:rFonts w:ascii="宋体" w:hAnsi="宋体" w:cs="宋体" w:eastAsia="宋体" w:hint="default"/>
                <w:spacing w:val="-21"/>
                <w:sz w:val="18"/>
                <w:szCs w:val="18"/>
              </w:rPr>
              <w:t>资、投资</w:t>
            </w:r>
            <w:r>
              <w:rPr>
                <w:rFonts w:ascii="宋体" w:hAnsi="宋体" w:cs="宋体" w:eastAsia="宋体" w:hint="default"/>
                <w:sz w:val="18"/>
                <w:szCs w:val="18"/>
              </w:rPr>
              <w:t> 管理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银江科 技集团 有限公 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-434,733</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浙江亿 邦通信 科技股 份有限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数据通 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其他</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firstLine="90"/>
              <w:jc w:val="left"/>
              <w:rPr>
                <w:rFonts w:ascii="宋体" w:hAnsi="宋体" w:cs="宋体" w:eastAsia="宋体" w:hint="default"/>
                <w:sz w:val="18"/>
                <w:szCs w:val="18"/>
              </w:rPr>
            </w:pPr>
            <w:r>
              <w:rPr>
                <w:rFonts w:ascii="宋体" w:hAnsi="宋体" w:cs="宋体" w:eastAsia="宋体" w:hint="default"/>
                <w:sz w:val="18"/>
                <w:szCs w:val="18"/>
              </w:rPr>
              <w:t>浙江万 朋教育 科技股 份有限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在线教 育</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其他</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80,188,</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170,188</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-434,733</w:t>
            </w:r>
          </w:p>
          <w:p>
            <w:pPr>
              <w:pStyle w:val="TableParagraph"/>
              <w:spacing w:line="240" w:lineRule="auto" w:before="106"/>
              <w:ind w:left="481" w:right="0"/>
              <w:jc w:val="left"/>
              <w:rPr>
                <w:rFonts w:ascii="Times New Roman" w:hAnsi="Times New Roman" w:cs="Times New Roman" w:eastAsia="Times New Roman" w:hint="default"/>
                <w:sz w:val="18"/>
                <w:szCs w:val="18"/>
              </w:rPr>
            </w:pPr>
            <w:r>
              <w:rPr>
                <w:rFonts w:ascii="Times New Roman"/>
                <w:sz w:val="18"/>
              </w:rPr>
              <w:t>.42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172,171,759.4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326,451,759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股权置换</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172,171,759.4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326,451,759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1、募集资金使用情况-首次公开发行股票募集资金" w:id="49"/>
      <w:bookmarkEnd w:id="49"/>
      <w:r>
        <w:rPr>
          <w:b w:val="0"/>
          <w:bCs w:val="0"/>
        </w:rPr>
      </w:r>
      <w:r>
        <w:rPr>
          <w:rFonts w:ascii="Times New Roman" w:hAnsi="Times New Roman" w:cs="Times New Roman" w:eastAsia="Times New Roman" w:hint="default"/>
        </w:rPr>
        <w:t>5.1</w:t>
      </w:r>
      <w:r>
        <w:rPr/>
        <w:t>、募集资金使用情况</w:t>
      </w:r>
      <w:r>
        <w:rPr>
          <w:rFonts w:ascii="Times New Roman" w:hAnsi="Times New Roman" w:cs="Times New Roman" w:eastAsia="Times New Roman" w:hint="default"/>
        </w:rPr>
        <w:t>-</w:t>
      </w:r>
      <w:r>
        <w:rPr/>
        <w:t>首次公开发行股票募集资金</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补充营运资金和扩大 公司智能化系统工程 总包业务项目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数字化医疗关键技术 开发及产业化项目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4,124.09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城市智能交通全集成 控制系统开发及产业 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城市快速公交营运系 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1,675.87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pacing w:val="-3"/>
                <w:sz w:val="18"/>
              </w:rPr>
              <w:t>111.58%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1,356.05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17,396.14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5,623.95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银江（北京）物联网技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术有限公司建设项目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区域营销中心建设项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4,477.14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智慧交通、智慧医疗等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领域投资与并购项目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-1,280.15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5,132.47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101.83%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19,411.88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3,187.51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36,808.02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w w:val="95"/>
                <w:sz w:val="18"/>
              </w:rPr>
              <w:t>8,811.46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25"/>
              <w:jc w:val="both"/>
              <w:rPr>
                <w:rFonts w:ascii="宋体" w:hAnsi="宋体" w:cs="宋体" w:eastAsia="宋体" w:hint="default"/>
                <w:sz w:val="18"/>
                <w:szCs w:val="18"/>
              </w:rPr>
            </w:pPr>
            <w:r>
              <w:rPr>
                <w:rFonts w:ascii="宋体" w:hAnsi="宋体" w:cs="宋体" w:eastAsia="宋体" w:hint="default"/>
                <w:sz w:val="18"/>
                <w:szCs w:val="18"/>
              </w:rPr>
              <w:t>用于银江（北京）物联网技术有限公司建设项目的超募资金累计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万元，公司正逐步向互联 网转型，且产品技术性能研发不断在优化升级，盈利预期的实现需要一定周期。用于交通、医疗等 领域投资与并购项目的超募资金累计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8,463.13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万元。智慧交通集团及其下属子公司已在客户中树立 了良好形象，已经实现了较好的盈利效益；同时部分需要使用股份公司资质的项目收入及效益未体 现在智慧交通集团报表中。智慧医疗集团尚未实现盈利，但已取得软件企业资质，并单独承接医疗 信息化项目；同时部分需要使用股份公司资质的项目收入及效益未体现在智慧医疗集团报表中。</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47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2、募集资金使用情况-资产重组配套募集" w:id="53"/>
      <w:bookmarkEnd w:id="53"/>
      <w:r>
        <w:rPr>
          <w:b w:val="0"/>
          <w:bCs w:val="0"/>
        </w:rPr>
      </w:r>
      <w:r>
        <w:rPr>
          <w:rFonts w:ascii="Times New Roman" w:hAnsi="Times New Roman" w:cs="Times New Roman" w:eastAsia="Times New Roman" w:hint="default"/>
        </w:rPr>
        <w:t>5.2</w:t>
      </w:r>
      <w:r>
        <w:rPr/>
        <w:t>、募集资金使用情况</w:t>
      </w:r>
      <w:r>
        <w:rPr>
          <w:rFonts w:ascii="Times New Roman" w:hAnsi="Times New Roman" w:cs="Times New Roman" w:eastAsia="Times New Roman" w:hint="default"/>
        </w:rPr>
        <w:t>-</w:t>
      </w:r>
      <w:r>
        <w:rPr/>
        <w:t>资产重组配套募集</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1）募集资金总体使用情况" w:id="54"/>
      <w:bookmarkEnd w:id="5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资产重组 配套募集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9" w:right="0"/>
              <w:jc w:val="center"/>
              <w:rPr>
                <w:rFonts w:ascii="Arial Narrow" w:hAnsi="Arial Narrow" w:cs="Arial Narrow" w:eastAsia="Arial Narrow" w:hint="default"/>
                <w:sz w:val="20"/>
                <w:szCs w:val="20"/>
              </w:rPr>
            </w:pPr>
            <w:r>
              <w:rPr>
                <w:rFonts w:ascii="Arial Narrow"/>
                <w:sz w:val="20"/>
              </w:rPr>
              <w:t>19,305.00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19,311.52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left="78" w:right="0"/>
              <w:jc w:val="center"/>
              <w:rPr>
                <w:rFonts w:ascii="Arial Narrow" w:hAnsi="Arial Narrow" w:cs="Arial Narrow" w:eastAsia="Arial Narrow" w:hint="default"/>
                <w:sz w:val="20"/>
                <w:szCs w:val="20"/>
              </w:rPr>
            </w:pPr>
            <w:r>
              <w:rPr>
                <w:rFonts w:ascii="Arial Narrow"/>
                <w:sz w:val="20"/>
              </w:rPr>
              <w:t>19,305.00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19,311.52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5"/>
      <w:bookmarkEnd w:id="5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543" w:type="dxa"/>
        <w:tblLayout w:type="fixed"/>
        <w:tblCellMar>
          <w:top w:w="0" w:type="dxa"/>
          <w:left w:w="0" w:type="dxa"/>
          <w:bottom w:w="0" w:type="dxa"/>
          <w:right w:w="0" w:type="dxa"/>
        </w:tblCellMar>
        <w:tblLook w:val="01E0"/>
      </w:tblPr>
      <w:tblGrid>
        <w:gridCol w:w="1148"/>
        <w:gridCol w:w="992"/>
        <w:gridCol w:w="992"/>
        <w:gridCol w:w="992"/>
        <w:gridCol w:w="992"/>
        <w:gridCol w:w="994"/>
        <w:gridCol w:w="850"/>
        <w:gridCol w:w="851"/>
        <w:gridCol w:w="992"/>
        <w:gridCol w:w="992"/>
        <w:gridCol w:w="1006"/>
      </w:tblGrid>
      <w:tr>
        <w:trPr>
          <w:trHeight w:val="1962"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85" w:lineRule="auto"/>
              <w:ind w:left="163" w:right="166"/>
              <w:jc w:val="center"/>
              <w:rPr>
                <w:rFonts w:ascii="宋体" w:hAnsi="宋体" w:cs="宋体" w:eastAsia="宋体" w:hint="default"/>
                <w:sz w:val="20"/>
                <w:szCs w:val="20"/>
              </w:rPr>
            </w:pPr>
            <w:r>
              <w:rPr>
                <w:rFonts w:ascii="宋体" w:hAnsi="宋体" w:cs="宋体" w:eastAsia="宋体" w:hint="default"/>
                <w:sz w:val="20"/>
                <w:szCs w:val="20"/>
              </w:rPr>
              <w:t>承诺投资</w:t>
            </w:r>
            <w:r>
              <w:rPr>
                <w:rFonts w:ascii="宋体" w:hAnsi="宋体" w:cs="宋体" w:eastAsia="宋体" w:hint="default"/>
                <w:w w:val="100"/>
                <w:sz w:val="20"/>
                <w:szCs w:val="20"/>
              </w:rPr>
              <w:t> </w:t>
            </w:r>
            <w:r>
              <w:rPr>
                <w:rFonts w:ascii="宋体" w:hAnsi="宋体" w:cs="宋体" w:eastAsia="宋体" w:hint="default"/>
                <w:sz w:val="20"/>
                <w:szCs w:val="20"/>
              </w:rPr>
              <w:t>项目和超</w:t>
            </w:r>
            <w:r>
              <w:rPr>
                <w:rFonts w:ascii="宋体" w:hAnsi="宋体" w:cs="宋体" w:eastAsia="宋体" w:hint="default"/>
                <w:w w:val="100"/>
                <w:sz w:val="20"/>
                <w:szCs w:val="20"/>
              </w:rPr>
              <w:t> </w:t>
            </w:r>
            <w:r>
              <w:rPr>
                <w:rFonts w:ascii="宋体" w:hAnsi="宋体" w:cs="宋体" w:eastAsia="宋体" w:hint="default"/>
                <w:sz w:val="20"/>
                <w:szCs w:val="20"/>
              </w:rPr>
              <w:t>募资金投</w:t>
            </w:r>
            <w:r>
              <w:rPr>
                <w:rFonts w:ascii="宋体" w:hAnsi="宋体" w:cs="宋体" w:eastAsia="宋体" w:hint="default"/>
                <w:w w:val="100"/>
                <w:sz w:val="20"/>
                <w:szCs w:val="20"/>
              </w:rPr>
              <w:t> </w:t>
            </w:r>
            <w:r>
              <w:rPr>
                <w:rFonts w:ascii="宋体" w:hAnsi="宋体" w:cs="宋体" w:eastAsia="宋体" w:hint="default"/>
                <w:sz w:val="20"/>
                <w:szCs w:val="20"/>
              </w:rPr>
              <w:t>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85" w:lineRule="auto"/>
              <w:ind w:left="103" w:right="77" w:hanging="22"/>
              <w:jc w:val="center"/>
              <w:rPr>
                <w:rFonts w:ascii="宋体" w:hAnsi="宋体" w:cs="宋体" w:eastAsia="宋体" w:hint="default"/>
                <w:sz w:val="20"/>
                <w:szCs w:val="20"/>
              </w:rPr>
            </w:pPr>
            <w:r>
              <w:rPr>
                <w:rFonts w:ascii="宋体" w:hAnsi="宋体" w:cs="宋体" w:eastAsia="宋体" w:hint="default"/>
                <w:sz w:val="20"/>
                <w:szCs w:val="20"/>
              </w:rPr>
              <w:t>是否已</w:t>
            </w:r>
            <w:r>
              <w:rPr>
                <w:rFonts w:ascii="宋体" w:hAnsi="宋体" w:cs="宋体" w:eastAsia="宋体" w:hint="default"/>
                <w:w w:val="100"/>
                <w:sz w:val="20"/>
                <w:szCs w:val="20"/>
              </w:rPr>
              <w:t> </w:t>
            </w:r>
            <w:r>
              <w:rPr>
                <w:rFonts w:ascii="宋体" w:hAnsi="宋体" w:cs="宋体" w:eastAsia="宋体" w:hint="default"/>
                <w:sz w:val="20"/>
                <w:szCs w:val="20"/>
              </w:rPr>
              <w:t>变更项</w:t>
            </w:r>
            <w:r>
              <w:rPr>
                <w:rFonts w:ascii="宋体" w:hAnsi="宋体" w:cs="宋体" w:eastAsia="宋体" w:hint="default"/>
                <w:w w:val="100"/>
                <w:sz w:val="20"/>
                <w:szCs w:val="20"/>
              </w:rPr>
              <w:t> </w:t>
            </w:r>
            <w:r>
              <w:rPr>
                <w:rFonts w:ascii="宋体" w:hAnsi="宋体" w:cs="宋体" w:eastAsia="宋体" w:hint="default"/>
                <w:spacing w:val="-7"/>
                <w:sz w:val="20"/>
                <w:szCs w:val="20"/>
              </w:rPr>
              <w:t>目（含部</w:t>
            </w:r>
            <w:r>
              <w:rPr>
                <w:rFonts w:ascii="宋体" w:hAnsi="宋体" w:cs="宋体" w:eastAsia="宋体" w:hint="default"/>
                <w:w w:val="100"/>
                <w:sz w:val="20"/>
                <w:szCs w:val="20"/>
              </w:rPr>
              <w:t> </w:t>
            </w:r>
            <w:r>
              <w:rPr>
                <w:rFonts w:ascii="宋体" w:hAnsi="宋体" w:cs="宋体" w:eastAsia="宋体" w:hint="default"/>
                <w:sz w:val="20"/>
                <w:szCs w:val="20"/>
              </w:rPr>
              <w:t>分变更）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85" w:lineRule="auto"/>
              <w:ind w:left="190" w:right="188"/>
              <w:jc w:val="center"/>
              <w:rPr>
                <w:rFonts w:ascii="宋体" w:hAnsi="宋体" w:cs="宋体" w:eastAsia="宋体" w:hint="default"/>
                <w:sz w:val="20"/>
                <w:szCs w:val="20"/>
              </w:rPr>
            </w:pPr>
            <w:r>
              <w:rPr>
                <w:rFonts w:ascii="宋体" w:hAnsi="宋体" w:cs="宋体" w:eastAsia="宋体" w:hint="default"/>
                <w:sz w:val="20"/>
                <w:szCs w:val="20"/>
              </w:rPr>
              <w:t>募集资</w:t>
            </w:r>
            <w:r>
              <w:rPr>
                <w:rFonts w:ascii="宋体" w:hAnsi="宋体" w:cs="宋体" w:eastAsia="宋体" w:hint="default"/>
                <w:w w:val="100"/>
                <w:sz w:val="20"/>
                <w:szCs w:val="20"/>
              </w:rPr>
              <w:t> </w:t>
            </w:r>
            <w:r>
              <w:rPr>
                <w:rFonts w:ascii="宋体" w:hAnsi="宋体" w:cs="宋体" w:eastAsia="宋体" w:hint="default"/>
                <w:sz w:val="20"/>
                <w:szCs w:val="20"/>
              </w:rPr>
              <w:t>金承诺</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190" w:right="188"/>
              <w:jc w:val="both"/>
              <w:rPr>
                <w:rFonts w:ascii="Arial Narrow" w:hAnsi="Arial Narrow" w:cs="Arial Narrow" w:eastAsia="Arial Narrow" w:hint="default"/>
                <w:sz w:val="20"/>
                <w:szCs w:val="20"/>
              </w:rPr>
            </w:pPr>
            <w:r>
              <w:rPr>
                <w:rFonts w:ascii="宋体" w:hAnsi="宋体" w:cs="宋体" w:eastAsia="宋体" w:hint="default"/>
                <w:sz w:val="20"/>
                <w:szCs w:val="20"/>
              </w:rPr>
              <w:t>调整后</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r>
              <w:rPr>
                <w:rFonts w:ascii="Arial Narrow" w:hAnsi="Arial Narrow" w:cs="Arial Narrow" w:eastAsia="Arial Narrow" w:hint="default"/>
                <w:sz w:val="20"/>
                <w:szCs w:val="20"/>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190" w:right="188"/>
              <w:jc w:val="center"/>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投入金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85" w:lineRule="auto"/>
              <w:ind w:left="191" w:right="188"/>
              <w:jc w:val="both"/>
              <w:rPr>
                <w:rFonts w:ascii="Arial Narrow" w:hAnsi="Arial Narrow" w:cs="Arial Narrow" w:eastAsia="Arial Narrow"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末累计</w:t>
            </w:r>
            <w:r>
              <w:rPr>
                <w:rFonts w:ascii="宋体" w:hAnsi="宋体" w:cs="宋体" w:eastAsia="宋体" w:hint="default"/>
                <w:w w:val="100"/>
                <w:sz w:val="20"/>
                <w:szCs w:val="20"/>
              </w:rPr>
              <w:t> </w:t>
            </w:r>
            <w:r>
              <w:rPr>
                <w:rFonts w:ascii="宋体" w:hAnsi="宋体" w:cs="宋体" w:eastAsia="宋体" w:hint="default"/>
                <w:sz w:val="20"/>
                <w:szCs w:val="20"/>
              </w:rPr>
              <w:t>投入金</w:t>
            </w:r>
            <w:r>
              <w:rPr>
                <w:rFonts w:ascii="宋体" w:hAnsi="宋体" w:cs="宋体" w:eastAsia="宋体" w:hint="default"/>
                <w:w w:val="100"/>
                <w:sz w:val="20"/>
                <w:szCs w:val="20"/>
              </w:rPr>
              <w:t> </w:t>
            </w:r>
            <w:r>
              <w:rPr>
                <w:rFonts w:ascii="宋体" w:hAnsi="宋体" w:cs="宋体" w:eastAsia="宋体" w:hint="default"/>
                <w:sz w:val="20"/>
                <w:szCs w:val="20"/>
              </w:rPr>
              <w:t>额</w:t>
            </w:r>
            <w:r>
              <w:rPr>
                <w:rFonts w:ascii="Arial Narrow" w:hAnsi="Arial Narrow" w:cs="Arial Narrow" w:eastAsia="Arial Narrow" w:hint="default"/>
                <w:sz w:val="20"/>
                <w:szCs w:val="20"/>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19" w:right="116"/>
              <w:jc w:val="both"/>
              <w:rPr>
                <w:rFonts w:ascii="宋体" w:hAnsi="宋体" w:cs="宋体" w:eastAsia="宋体"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末投资</w:t>
            </w:r>
            <w:r>
              <w:rPr>
                <w:rFonts w:ascii="宋体" w:hAnsi="宋体" w:cs="宋体" w:eastAsia="宋体" w:hint="default"/>
                <w:w w:val="100"/>
                <w:sz w:val="20"/>
                <w:szCs w:val="20"/>
              </w:rPr>
              <w:t> </w:t>
            </w:r>
            <w:r>
              <w:rPr>
                <w:rFonts w:ascii="宋体" w:hAnsi="宋体" w:cs="宋体" w:eastAsia="宋体" w:hint="default"/>
                <w:sz w:val="20"/>
                <w:szCs w:val="20"/>
              </w:rPr>
              <w:t>进度</w:t>
            </w:r>
          </w:p>
          <w:p>
            <w:pPr>
              <w:pStyle w:val="TableParagraph"/>
              <w:spacing w:line="292" w:lineRule="auto" w:before="12"/>
              <w:ind w:left="196" w:right="146" w:hanging="51"/>
              <w:jc w:val="left"/>
              <w:rPr>
                <w:rFonts w:ascii="Arial Narrow" w:hAnsi="Arial Narrow" w:cs="Arial Narrow" w:eastAsia="Arial Narrow" w:hint="default"/>
                <w:sz w:val="20"/>
                <w:szCs w:val="20"/>
              </w:rPr>
            </w:pP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宋体" w:hAnsi="宋体" w:cs="宋体" w:eastAsia="宋体" w:hint="default"/>
                <w:w w:val="100"/>
                <w:sz w:val="20"/>
                <w:szCs w:val="20"/>
              </w:rPr>
              <w:t> </w:t>
            </w:r>
            <w:r>
              <w:rPr>
                <w:rFonts w:ascii="Arial Narrow" w:hAnsi="Arial Narrow" w:cs="Arial Narrow" w:eastAsia="Arial Narrow" w:hint="default"/>
                <w:sz w:val="20"/>
                <w:szCs w:val="20"/>
              </w:rPr>
              <w:t>(3)</w:t>
            </w:r>
            <w:r>
              <w:rPr>
                <w:rFonts w:ascii="宋体" w:hAnsi="宋体" w:cs="宋体" w:eastAsia="宋体" w:hint="default"/>
                <w:sz w:val="20"/>
                <w:szCs w:val="20"/>
              </w:rPr>
              <w:t>＝</w:t>
            </w:r>
            <w:r>
              <w:rPr>
                <w:rFonts w:ascii="宋体" w:hAnsi="宋体" w:cs="宋体" w:eastAsia="宋体" w:hint="default"/>
                <w:w w:val="100"/>
                <w:sz w:val="20"/>
                <w:szCs w:val="20"/>
              </w:rPr>
              <w:t> </w:t>
            </w:r>
            <w:r>
              <w:rPr>
                <w:rFonts w:ascii="Arial Narrow" w:hAnsi="Arial Narrow" w:cs="Arial Narrow" w:eastAsia="Arial Narrow" w:hint="default"/>
                <w:sz w:val="20"/>
                <w:szCs w:val="20"/>
              </w:rPr>
              <w:t>(2)/(1)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120" w:right="118"/>
              <w:jc w:val="center"/>
              <w:rPr>
                <w:rFonts w:ascii="宋体" w:hAnsi="宋体" w:cs="宋体" w:eastAsia="宋体" w:hint="default"/>
                <w:sz w:val="20"/>
                <w:szCs w:val="20"/>
              </w:rPr>
            </w:pPr>
            <w:r>
              <w:rPr>
                <w:rFonts w:ascii="宋体" w:hAnsi="宋体" w:cs="宋体" w:eastAsia="宋体" w:hint="default"/>
                <w:sz w:val="20"/>
                <w:szCs w:val="20"/>
              </w:rPr>
              <w:t>项目达</w:t>
            </w:r>
            <w:r>
              <w:rPr>
                <w:rFonts w:ascii="宋体" w:hAnsi="宋体" w:cs="宋体" w:eastAsia="宋体" w:hint="default"/>
                <w:w w:val="100"/>
                <w:sz w:val="20"/>
                <w:szCs w:val="20"/>
              </w:rPr>
              <w:t> </w:t>
            </w:r>
            <w:r>
              <w:rPr>
                <w:rFonts w:ascii="宋体" w:hAnsi="宋体" w:cs="宋体" w:eastAsia="宋体" w:hint="default"/>
                <w:sz w:val="20"/>
                <w:szCs w:val="20"/>
              </w:rPr>
              <w:t>到预定</w:t>
            </w:r>
            <w:r>
              <w:rPr>
                <w:rFonts w:ascii="宋体" w:hAnsi="宋体" w:cs="宋体" w:eastAsia="宋体" w:hint="default"/>
                <w:w w:val="100"/>
                <w:sz w:val="20"/>
                <w:szCs w:val="20"/>
              </w:rPr>
              <w:t> </w:t>
            </w:r>
            <w:r>
              <w:rPr>
                <w:rFonts w:ascii="宋体" w:hAnsi="宋体" w:cs="宋体" w:eastAsia="宋体" w:hint="default"/>
                <w:sz w:val="20"/>
                <w:szCs w:val="20"/>
              </w:rPr>
              <w:t>可使用</w:t>
            </w:r>
            <w:r>
              <w:rPr>
                <w:rFonts w:ascii="宋体" w:hAnsi="宋体" w:cs="宋体" w:eastAsia="宋体" w:hint="default"/>
                <w:w w:val="100"/>
                <w:sz w:val="20"/>
                <w:szCs w:val="20"/>
              </w:rPr>
              <w:t> </w:t>
            </w:r>
            <w:r>
              <w:rPr>
                <w:rFonts w:ascii="宋体" w:hAnsi="宋体" w:cs="宋体" w:eastAsia="宋体" w:hint="default"/>
                <w:sz w:val="20"/>
                <w:szCs w:val="20"/>
              </w:rPr>
              <w:t>状态日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190" w:right="188"/>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实现的</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190" w:right="188"/>
              <w:jc w:val="both"/>
              <w:rPr>
                <w:rFonts w:ascii="宋体" w:hAnsi="宋体" w:cs="宋体" w:eastAsia="宋体" w:hint="default"/>
                <w:sz w:val="20"/>
                <w:szCs w:val="20"/>
              </w:rPr>
            </w:pPr>
            <w:r>
              <w:rPr>
                <w:rFonts w:ascii="宋体" w:hAnsi="宋体" w:cs="宋体" w:eastAsia="宋体" w:hint="default"/>
                <w:sz w:val="20"/>
                <w:szCs w:val="20"/>
              </w:rPr>
              <w:t>是否达</w:t>
            </w:r>
            <w:r>
              <w:rPr>
                <w:rFonts w:ascii="宋体" w:hAnsi="宋体" w:cs="宋体" w:eastAsia="宋体" w:hint="default"/>
                <w:w w:val="100"/>
                <w:sz w:val="20"/>
                <w:szCs w:val="20"/>
              </w:rPr>
              <w:t> </w:t>
            </w:r>
            <w:r>
              <w:rPr>
                <w:rFonts w:ascii="宋体" w:hAnsi="宋体" w:cs="宋体" w:eastAsia="宋体" w:hint="default"/>
                <w:sz w:val="20"/>
                <w:szCs w:val="20"/>
              </w:rPr>
              <w:t>到预计</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10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196" w:right="191"/>
              <w:jc w:val="center"/>
              <w:rPr>
                <w:rFonts w:ascii="宋体" w:hAnsi="宋体" w:cs="宋体" w:eastAsia="宋体" w:hint="default"/>
                <w:sz w:val="20"/>
                <w:szCs w:val="20"/>
              </w:rPr>
            </w:pPr>
            <w:r>
              <w:rPr>
                <w:rFonts w:ascii="宋体" w:hAnsi="宋体" w:cs="宋体" w:eastAsia="宋体" w:hint="default"/>
                <w:sz w:val="20"/>
                <w:szCs w:val="20"/>
              </w:rPr>
              <w:t>项目可</w:t>
            </w:r>
            <w:r>
              <w:rPr>
                <w:rFonts w:ascii="宋体" w:hAnsi="宋体" w:cs="宋体" w:eastAsia="宋体" w:hint="default"/>
                <w:w w:val="100"/>
                <w:sz w:val="20"/>
                <w:szCs w:val="20"/>
              </w:rPr>
              <w:t> </w:t>
            </w:r>
            <w:r>
              <w:rPr>
                <w:rFonts w:ascii="宋体" w:hAnsi="宋体" w:cs="宋体" w:eastAsia="宋体" w:hint="default"/>
                <w:sz w:val="20"/>
                <w:szCs w:val="20"/>
              </w:rPr>
              <w:t>行性是</w:t>
            </w:r>
            <w:r>
              <w:rPr>
                <w:rFonts w:ascii="宋体" w:hAnsi="宋体" w:cs="宋体" w:eastAsia="宋体" w:hint="default"/>
                <w:w w:val="100"/>
                <w:sz w:val="20"/>
                <w:szCs w:val="20"/>
              </w:rPr>
              <w:t> </w:t>
            </w:r>
            <w:r>
              <w:rPr>
                <w:rFonts w:ascii="宋体" w:hAnsi="宋体" w:cs="宋体" w:eastAsia="宋体" w:hint="default"/>
                <w:sz w:val="20"/>
                <w:szCs w:val="20"/>
              </w:rPr>
              <w:t>否发生</w:t>
            </w:r>
            <w:r>
              <w:rPr>
                <w:rFonts w:ascii="宋体" w:hAnsi="宋体" w:cs="宋体" w:eastAsia="宋体" w:hint="default"/>
                <w:w w:val="100"/>
                <w:sz w:val="20"/>
                <w:szCs w:val="20"/>
              </w:rPr>
              <w:t> </w:t>
            </w:r>
            <w:r>
              <w:rPr>
                <w:rFonts w:ascii="宋体" w:hAnsi="宋体" w:cs="宋体" w:eastAsia="宋体" w:hint="default"/>
                <w:sz w:val="20"/>
                <w:szCs w:val="20"/>
              </w:rPr>
              <w:t>重大变</w:t>
            </w:r>
            <w:r>
              <w:rPr>
                <w:rFonts w:ascii="宋体" w:hAnsi="宋体" w:cs="宋体" w:eastAsia="宋体" w:hint="default"/>
                <w:w w:val="100"/>
                <w:sz w:val="20"/>
                <w:szCs w:val="20"/>
              </w:rPr>
              <w:t> </w:t>
            </w:r>
            <w:r>
              <w:rPr>
                <w:rFonts w:ascii="宋体" w:hAnsi="宋体" w:cs="宋体" w:eastAsia="宋体" w:hint="default"/>
                <w:sz w:val="20"/>
                <w:szCs w:val="20"/>
              </w:rPr>
              <w:t>化</w:t>
            </w:r>
          </w:p>
        </w:tc>
      </w:tr>
      <w:tr>
        <w:trPr>
          <w:trHeight w:val="714"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6"/>
              <w:ind w:left="98" w:right="230"/>
              <w:jc w:val="left"/>
              <w:rPr>
                <w:rFonts w:ascii="宋体" w:hAnsi="宋体" w:cs="宋体" w:eastAsia="宋体" w:hint="default"/>
                <w:sz w:val="20"/>
                <w:szCs w:val="20"/>
              </w:rPr>
            </w:pPr>
            <w:r>
              <w:rPr>
                <w:rFonts w:ascii="宋体" w:hAnsi="宋体" w:cs="宋体" w:eastAsia="宋体" w:hint="default"/>
                <w:b/>
                <w:bCs/>
                <w:sz w:val="20"/>
                <w:szCs w:val="20"/>
              </w:rPr>
              <w:t>承诺投资</w:t>
            </w:r>
            <w:r>
              <w:rPr>
                <w:rFonts w:ascii="宋体" w:hAnsi="宋体" w:cs="宋体" w:eastAsia="宋体" w:hint="default"/>
                <w:b/>
                <w:bCs/>
                <w:w w:val="99"/>
                <w:sz w:val="20"/>
                <w:szCs w:val="20"/>
              </w:rPr>
              <w:t> </w:t>
            </w:r>
            <w:r>
              <w:rPr>
                <w:rFonts w:ascii="宋体" w:hAnsi="宋体" w:cs="宋体" w:eastAsia="宋体" w:hint="default"/>
                <w:b/>
                <w:bCs/>
                <w:sz w:val="20"/>
                <w:szCs w:val="20"/>
              </w:rPr>
              <w:t>项目</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8" w:space="0" w:color="000000"/>
            </w:tcBorders>
          </w:tcPr>
          <w:p>
            <w:pPr/>
          </w:p>
        </w:tc>
      </w:tr>
      <w:tr>
        <w:trPr>
          <w:trHeight w:val="2274"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6"/>
              <w:ind w:left="98" w:right="131"/>
              <w:jc w:val="both"/>
              <w:rPr>
                <w:rFonts w:ascii="宋体" w:hAnsi="宋体" w:cs="宋体" w:eastAsia="宋体" w:hint="default"/>
                <w:sz w:val="20"/>
                <w:szCs w:val="20"/>
              </w:rPr>
            </w:pPr>
            <w:r>
              <w:rPr>
                <w:rFonts w:ascii="宋体" w:hAnsi="宋体" w:cs="宋体" w:eastAsia="宋体" w:hint="default"/>
                <w:sz w:val="20"/>
                <w:szCs w:val="20"/>
              </w:rPr>
              <w:t>购买北京</w:t>
            </w:r>
            <w:r>
              <w:rPr>
                <w:rFonts w:ascii="宋体" w:hAnsi="宋体" w:cs="宋体" w:eastAsia="宋体" w:hint="default"/>
                <w:w w:val="100"/>
                <w:sz w:val="20"/>
                <w:szCs w:val="20"/>
              </w:rPr>
              <w:t> </w:t>
            </w:r>
            <w:r>
              <w:rPr>
                <w:rFonts w:ascii="宋体" w:hAnsi="宋体" w:cs="宋体" w:eastAsia="宋体" w:hint="default"/>
                <w:sz w:val="20"/>
                <w:szCs w:val="20"/>
              </w:rPr>
              <w:t>亚太安讯</w:t>
            </w:r>
            <w:r>
              <w:rPr>
                <w:rFonts w:ascii="宋体" w:hAnsi="宋体" w:cs="宋体" w:eastAsia="宋体" w:hint="default"/>
                <w:w w:val="100"/>
                <w:sz w:val="20"/>
                <w:szCs w:val="20"/>
              </w:rPr>
              <w:t> </w:t>
            </w:r>
            <w:r>
              <w:rPr>
                <w:rFonts w:ascii="宋体" w:hAnsi="宋体" w:cs="宋体" w:eastAsia="宋体" w:hint="default"/>
                <w:sz w:val="20"/>
                <w:szCs w:val="20"/>
              </w:rPr>
              <w:t>科技股份</w:t>
            </w:r>
            <w:r>
              <w:rPr>
                <w:rFonts w:ascii="宋体" w:hAnsi="宋体" w:cs="宋体" w:eastAsia="宋体" w:hint="default"/>
                <w:w w:val="100"/>
                <w:sz w:val="20"/>
                <w:szCs w:val="20"/>
              </w:rPr>
              <w:t> </w:t>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z w:val="20"/>
                <w:szCs w:val="20"/>
              </w:rPr>
              <w:t>100.00%</w:t>
            </w:r>
            <w:r>
              <w:rPr>
                <w:rFonts w:ascii="宋体" w:hAnsi="宋体" w:cs="宋体" w:eastAsia="宋体" w:hint="default"/>
                <w:sz w:val="20"/>
                <w:szCs w:val="20"/>
              </w:rPr>
              <w:t>股</w:t>
            </w:r>
          </w:p>
          <w:p>
            <w:pPr>
              <w:pStyle w:val="TableParagraph"/>
              <w:spacing w:line="288" w:lineRule="auto" w:before="12"/>
              <w:ind w:left="98" w:right="231"/>
              <w:jc w:val="both"/>
              <w:rPr>
                <w:rFonts w:ascii="宋体" w:hAnsi="宋体" w:cs="宋体" w:eastAsia="宋体" w:hint="default"/>
                <w:sz w:val="20"/>
                <w:szCs w:val="20"/>
              </w:rPr>
            </w:pPr>
            <w:r>
              <w:rPr>
                <w:rFonts w:ascii="宋体" w:hAnsi="宋体" w:cs="宋体" w:eastAsia="宋体" w:hint="default"/>
                <w:sz w:val="20"/>
                <w:szCs w:val="20"/>
              </w:rPr>
              <w:t>权现金支</w:t>
            </w:r>
            <w:r>
              <w:rPr>
                <w:rFonts w:ascii="宋体" w:hAnsi="宋体" w:cs="宋体" w:eastAsia="宋体" w:hint="default"/>
                <w:w w:val="100"/>
                <w:sz w:val="20"/>
                <w:szCs w:val="20"/>
              </w:rPr>
              <w:t> </w:t>
            </w:r>
            <w:r>
              <w:rPr>
                <w:rFonts w:ascii="宋体" w:hAnsi="宋体" w:cs="宋体" w:eastAsia="宋体" w:hint="default"/>
                <w:sz w:val="20"/>
                <w:szCs w:val="20"/>
              </w:rPr>
              <w:t>付部分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6" w:right="0"/>
              <w:jc w:val="left"/>
              <w:rPr>
                <w:rFonts w:ascii="Arial Narrow" w:hAnsi="Arial Narrow" w:cs="Arial Narrow" w:eastAsia="Arial Narrow" w:hint="default"/>
                <w:sz w:val="20"/>
                <w:szCs w:val="20"/>
              </w:rPr>
            </w:pPr>
            <w:r>
              <w:rPr>
                <w:rFonts w:ascii="Arial Narrow"/>
                <w:sz w:val="20"/>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Arial Narrow" w:hAnsi="Arial Narrow" w:cs="Arial Narrow" w:eastAsia="Arial Narrow" w:hint="default"/>
                <w:sz w:val="20"/>
                <w:szCs w:val="20"/>
              </w:rPr>
              <w:t>2014</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p>
            <w:pPr>
              <w:pStyle w:val="TableParagraph"/>
              <w:spacing w:line="240" w:lineRule="auto" w:before="36"/>
              <w:ind w:right="0"/>
              <w:jc w:val="center"/>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43"/>
              <w:jc w:val="right"/>
              <w:rPr>
                <w:rFonts w:ascii="Arial Narrow" w:hAnsi="Arial Narrow" w:cs="Arial Narrow" w:eastAsia="Arial Narrow" w:hint="default"/>
                <w:sz w:val="20"/>
                <w:szCs w:val="20"/>
              </w:rPr>
            </w:pPr>
            <w:r>
              <w:rPr>
                <w:rFonts w:ascii="Arial Narrow"/>
                <w:spacing w:val="-1"/>
                <w:sz w:val="20"/>
              </w:rPr>
              <w:t>-1,611.15</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0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026"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231"/>
              <w:jc w:val="both"/>
              <w:rPr>
                <w:rFonts w:ascii="宋体" w:hAnsi="宋体" w:cs="宋体" w:eastAsia="宋体" w:hint="default"/>
                <w:sz w:val="20"/>
                <w:szCs w:val="20"/>
              </w:rPr>
            </w:pPr>
            <w:r>
              <w:rPr>
                <w:rFonts w:ascii="宋体" w:hAnsi="宋体" w:cs="宋体" w:eastAsia="宋体" w:hint="default"/>
                <w:sz w:val="20"/>
                <w:szCs w:val="20"/>
              </w:rPr>
              <w:t>补充上市</w:t>
            </w:r>
            <w:r>
              <w:rPr>
                <w:rFonts w:ascii="宋体" w:hAnsi="宋体" w:cs="宋体" w:eastAsia="宋体" w:hint="default"/>
                <w:w w:val="100"/>
                <w:sz w:val="20"/>
                <w:szCs w:val="20"/>
              </w:rPr>
              <w:t> </w:t>
            </w:r>
            <w:r>
              <w:rPr>
                <w:rFonts w:ascii="宋体" w:hAnsi="宋体" w:cs="宋体" w:eastAsia="宋体" w:hint="default"/>
                <w:sz w:val="20"/>
                <w:szCs w:val="20"/>
              </w:rPr>
              <w:t>公司运营</w:t>
            </w:r>
            <w:r>
              <w:rPr>
                <w:rFonts w:ascii="宋体" w:hAnsi="宋体" w:cs="宋体" w:eastAsia="宋体" w:hint="default"/>
                <w:w w:val="100"/>
                <w:sz w:val="20"/>
                <w:szCs w:val="20"/>
              </w:rPr>
              <w:t> </w:t>
            </w:r>
            <w:r>
              <w:rPr>
                <w:rFonts w:ascii="宋体" w:hAnsi="宋体" w:cs="宋体" w:eastAsia="宋体" w:hint="default"/>
                <w:sz w:val="20"/>
                <w:szCs w:val="20"/>
              </w:rPr>
              <w:t>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71" w:right="0"/>
              <w:jc w:val="left"/>
              <w:rPr>
                <w:rFonts w:ascii="Arial Narrow" w:hAnsi="Arial Narrow" w:cs="Arial Narrow" w:eastAsia="Arial Narrow" w:hint="default"/>
                <w:sz w:val="20"/>
                <w:szCs w:val="20"/>
              </w:rPr>
            </w:pPr>
            <w:r>
              <w:rPr>
                <w:rFonts w:ascii="Arial Narrow"/>
                <w:sz w:val="20"/>
              </w:rPr>
              <w:t>9,305.00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9,311.52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9,311.52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pacing w:val="-1"/>
                <w:sz w:val="20"/>
                <w:szCs w:val="20"/>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9"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0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center"/>
        <w:rPr>
          <w:rFonts w:ascii="宋体" w:hAnsi="宋体" w:cs="宋体" w:eastAsia="宋体" w:hint="default"/>
          <w:sz w:val="20"/>
          <w:szCs w:val="20"/>
        </w:rPr>
        <w:sectPr>
          <w:pgSz w:w="11910" w:h="16840"/>
          <w:pgMar w:header="747" w:footer="979" w:top="1060" w:bottom="1160" w:left="0" w:right="0"/>
        </w:sectPr>
      </w:pPr>
    </w:p>
    <w:p>
      <w:pPr>
        <w:spacing w:line="240" w:lineRule="auto" w:before="10"/>
        <w:rPr>
          <w:rFonts w:ascii="宋体" w:hAnsi="宋体" w:cs="宋体" w:eastAsia="宋体" w:hint="default"/>
          <w:sz w:val="27"/>
          <w:szCs w:val="27"/>
        </w:rPr>
      </w:pPr>
    </w:p>
    <w:tbl>
      <w:tblPr>
        <w:tblW w:w="0" w:type="auto"/>
        <w:jc w:val="left"/>
        <w:tblInd w:w="543" w:type="dxa"/>
        <w:tblLayout w:type="fixed"/>
        <w:tblCellMar>
          <w:top w:w="0" w:type="dxa"/>
          <w:left w:w="0" w:type="dxa"/>
          <w:bottom w:w="0" w:type="dxa"/>
          <w:right w:w="0" w:type="dxa"/>
        </w:tblCellMar>
        <w:tblLook w:val="01E0"/>
      </w:tblPr>
      <w:tblGrid>
        <w:gridCol w:w="1148"/>
        <w:gridCol w:w="992"/>
        <w:gridCol w:w="992"/>
        <w:gridCol w:w="992"/>
        <w:gridCol w:w="992"/>
        <w:gridCol w:w="994"/>
        <w:gridCol w:w="850"/>
        <w:gridCol w:w="851"/>
        <w:gridCol w:w="992"/>
        <w:gridCol w:w="992"/>
        <w:gridCol w:w="1006"/>
      </w:tblGrid>
      <w:tr>
        <w:trPr>
          <w:trHeight w:val="709" w:hRule="exact"/>
        </w:trPr>
        <w:tc>
          <w:tcPr>
            <w:tcW w:w="1148" w:type="dxa"/>
            <w:tcBorders>
              <w:top w:val="nil" w:sz="6" w:space="0" w:color="auto"/>
              <w:left w:val="single" w:sz="8" w:space="0" w:color="000000"/>
              <w:bottom w:val="single" w:sz="4" w:space="0" w:color="000000"/>
              <w:right w:val="single" w:sz="4" w:space="0" w:color="000000"/>
            </w:tcBorders>
          </w:tcPr>
          <w:p>
            <w:pPr>
              <w:pStyle w:val="TableParagraph"/>
              <w:spacing w:line="285" w:lineRule="auto" w:before="35"/>
              <w:ind w:left="98" w:right="230"/>
              <w:jc w:val="left"/>
              <w:rPr>
                <w:rFonts w:ascii="宋体" w:hAnsi="宋体" w:cs="宋体" w:eastAsia="宋体" w:hint="default"/>
                <w:sz w:val="20"/>
                <w:szCs w:val="20"/>
              </w:rPr>
            </w:pPr>
            <w:r>
              <w:rPr>
                <w:rFonts w:ascii="宋体" w:hAnsi="宋体" w:cs="宋体" w:eastAsia="宋体" w:hint="default"/>
                <w:b/>
                <w:bCs/>
                <w:sz w:val="20"/>
                <w:szCs w:val="20"/>
              </w:rPr>
              <w:t>承诺投资</w:t>
            </w:r>
            <w:r>
              <w:rPr>
                <w:rFonts w:ascii="宋体" w:hAnsi="宋体" w:cs="宋体" w:eastAsia="宋体" w:hint="default"/>
                <w:b/>
                <w:bCs/>
                <w:w w:val="99"/>
                <w:sz w:val="20"/>
                <w:szCs w:val="20"/>
              </w:rPr>
              <w:t> </w:t>
            </w:r>
            <w:r>
              <w:rPr>
                <w:rFonts w:ascii="宋体" w:hAnsi="宋体" w:cs="宋体" w:eastAsia="宋体" w:hint="default"/>
                <w:b/>
                <w:bCs/>
                <w:sz w:val="20"/>
                <w:szCs w:val="20"/>
              </w:rPr>
              <w:t>项目小计</w:t>
            </w:r>
            <w:r>
              <w:rPr>
                <w:rFonts w:ascii="宋体" w:hAnsi="宋体" w:cs="宋体" w:eastAsia="宋体" w:hint="default"/>
                <w:sz w:val="20"/>
                <w:szCs w:val="20"/>
              </w:rPr>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26" w:right="0"/>
              <w:jc w:val="left"/>
              <w:rPr>
                <w:rFonts w:ascii="Arial Narrow" w:hAnsi="Arial Narrow" w:cs="Arial Narrow" w:eastAsia="Arial Narrow" w:hint="default"/>
                <w:sz w:val="20"/>
                <w:szCs w:val="20"/>
              </w:rPr>
            </w:pPr>
            <w:r>
              <w:rPr>
                <w:rFonts w:ascii="Arial Narrow"/>
                <w:b/>
                <w:sz w:val="20"/>
              </w:rPr>
              <w:t>19,305.00</w:t>
            </w:r>
            <w:r>
              <w:rPr>
                <w:rFonts w:ascii="Arial Narrow"/>
                <w:sz w:val="20"/>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25"/>
              <w:jc w:val="right"/>
              <w:rPr>
                <w:rFonts w:ascii="Arial Narrow" w:hAnsi="Arial Narrow" w:cs="Arial Narrow" w:eastAsia="Arial Narrow" w:hint="default"/>
                <w:sz w:val="20"/>
                <w:szCs w:val="20"/>
              </w:rPr>
            </w:pPr>
            <w:r>
              <w:rPr>
                <w:rFonts w:ascii="Arial Narrow"/>
                <w:b/>
                <w:spacing w:val="-1"/>
                <w:sz w:val="20"/>
              </w:rPr>
              <w:t>19,311.52</w:t>
            </w:r>
            <w:r>
              <w:rPr>
                <w:rFonts w:ascii="Arial Narrow"/>
                <w:sz w:val="20"/>
              </w:rPr>
            </w: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25"/>
              <w:jc w:val="right"/>
              <w:rPr>
                <w:rFonts w:ascii="Arial Narrow" w:hAnsi="Arial Narrow" w:cs="Arial Narrow" w:eastAsia="Arial Narrow" w:hint="default"/>
                <w:sz w:val="20"/>
                <w:szCs w:val="20"/>
              </w:rPr>
            </w:pPr>
            <w:r>
              <w:rPr>
                <w:rFonts w:ascii="Arial Narrow"/>
                <w:b/>
                <w:spacing w:val="-1"/>
                <w:sz w:val="20"/>
              </w:rPr>
              <w:t>19,311.52</w:t>
            </w:r>
            <w:r>
              <w:rPr>
                <w:rFonts w:ascii="Arial Narrow"/>
                <w:sz w:val="20"/>
              </w:rPr>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6"/>
              <w:jc w:val="right"/>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43" w:right="0"/>
              <w:jc w:val="left"/>
              <w:rPr>
                <w:rFonts w:ascii="Arial Narrow" w:hAnsi="Arial Narrow" w:cs="Arial Narrow" w:eastAsia="Arial Narrow" w:hint="default"/>
                <w:sz w:val="20"/>
                <w:szCs w:val="20"/>
              </w:rPr>
            </w:pPr>
            <w:r>
              <w:rPr>
                <w:rFonts w:ascii="Arial Narrow"/>
                <w:b/>
                <w:sz w:val="20"/>
              </w:rPr>
              <w:t>-1,611.15</w:t>
            </w:r>
            <w:r>
              <w:rPr>
                <w:rFonts w:ascii="Arial Narrow"/>
                <w:sz w:val="20"/>
              </w:rPr>
            </w:r>
          </w:p>
        </w:tc>
        <w:tc>
          <w:tcPr>
            <w:tcW w:w="992"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8" w:space="0" w:color="000000"/>
            </w:tcBorders>
          </w:tcPr>
          <w:p>
            <w:pPr/>
          </w:p>
        </w:tc>
      </w:tr>
      <w:tr>
        <w:trPr>
          <w:trHeight w:val="714"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230"/>
              <w:jc w:val="left"/>
              <w:rPr>
                <w:rFonts w:ascii="宋体" w:hAnsi="宋体" w:cs="宋体" w:eastAsia="宋体" w:hint="default"/>
                <w:sz w:val="20"/>
                <w:szCs w:val="20"/>
              </w:rPr>
            </w:pPr>
            <w:r>
              <w:rPr>
                <w:rFonts w:ascii="宋体" w:hAnsi="宋体" w:cs="宋体" w:eastAsia="宋体" w:hint="default"/>
                <w:b/>
                <w:bCs/>
                <w:sz w:val="20"/>
                <w:szCs w:val="20"/>
              </w:rPr>
              <w:t>超募资金</w:t>
            </w:r>
            <w:r>
              <w:rPr>
                <w:rFonts w:ascii="宋体" w:hAnsi="宋体" w:cs="宋体" w:eastAsia="宋体" w:hint="default"/>
                <w:b/>
                <w:bCs/>
                <w:w w:val="99"/>
                <w:sz w:val="20"/>
                <w:szCs w:val="20"/>
              </w:rPr>
              <w:t> </w:t>
            </w:r>
            <w:r>
              <w:rPr>
                <w:rFonts w:ascii="宋体" w:hAnsi="宋体" w:cs="宋体" w:eastAsia="宋体" w:hint="default"/>
                <w:b/>
                <w:bCs/>
                <w:sz w:val="20"/>
                <w:szCs w:val="20"/>
              </w:rPr>
              <w:t>投向</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8" w:space="0" w:color="000000"/>
            </w:tcBorders>
          </w:tcPr>
          <w:p>
            <w:pPr/>
          </w:p>
        </w:tc>
      </w:tr>
      <w:tr>
        <w:trPr>
          <w:trHeight w:val="714"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230"/>
              <w:jc w:val="left"/>
              <w:rPr>
                <w:rFonts w:ascii="宋体" w:hAnsi="宋体" w:cs="宋体" w:eastAsia="宋体" w:hint="default"/>
                <w:sz w:val="20"/>
                <w:szCs w:val="20"/>
              </w:rPr>
            </w:pPr>
            <w:r>
              <w:rPr>
                <w:rFonts w:ascii="宋体" w:hAnsi="宋体" w:cs="宋体" w:eastAsia="宋体" w:hint="default"/>
                <w:b/>
                <w:bCs/>
                <w:sz w:val="20"/>
                <w:szCs w:val="20"/>
              </w:rPr>
              <w:t>超募资金</w:t>
            </w:r>
            <w:r>
              <w:rPr>
                <w:rFonts w:ascii="宋体" w:hAnsi="宋体" w:cs="宋体" w:eastAsia="宋体" w:hint="default"/>
                <w:b/>
                <w:bCs/>
                <w:w w:val="99"/>
                <w:sz w:val="20"/>
                <w:szCs w:val="20"/>
              </w:rPr>
              <w:t> </w:t>
            </w:r>
            <w:r>
              <w:rPr>
                <w:rFonts w:ascii="宋体" w:hAnsi="宋体" w:cs="宋体" w:eastAsia="宋体" w:hint="default"/>
                <w:b/>
                <w:bCs/>
                <w:sz w:val="20"/>
                <w:szCs w:val="20"/>
              </w:rPr>
              <w:t>投向小计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8" w:space="0" w:color="000000"/>
            </w:tcBorders>
          </w:tcPr>
          <w:p>
            <w:pPr/>
          </w:p>
        </w:tc>
      </w:tr>
      <w:tr>
        <w:trPr>
          <w:trHeight w:val="714" w:hRule="exact"/>
        </w:trPr>
        <w:tc>
          <w:tcPr>
            <w:tcW w:w="11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26" w:right="0"/>
              <w:jc w:val="left"/>
              <w:rPr>
                <w:rFonts w:ascii="Arial Narrow" w:hAnsi="Arial Narrow" w:cs="Arial Narrow" w:eastAsia="Arial Narrow" w:hint="default"/>
                <w:sz w:val="20"/>
                <w:szCs w:val="20"/>
              </w:rPr>
            </w:pPr>
            <w:r>
              <w:rPr>
                <w:rFonts w:ascii="Arial Narrow"/>
                <w:b/>
                <w:sz w:val="20"/>
              </w:rPr>
              <w:t>19,305.00</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25"/>
              <w:jc w:val="right"/>
              <w:rPr>
                <w:rFonts w:ascii="Arial Narrow" w:hAnsi="Arial Narrow" w:cs="Arial Narrow" w:eastAsia="Arial Narrow" w:hint="default"/>
                <w:sz w:val="20"/>
                <w:szCs w:val="20"/>
              </w:rPr>
            </w:pPr>
            <w:r>
              <w:rPr>
                <w:rFonts w:ascii="Arial Narrow"/>
                <w:b/>
                <w:spacing w:val="-1"/>
                <w:sz w:val="20"/>
              </w:rPr>
              <w:t>19,311.52</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25"/>
              <w:jc w:val="right"/>
              <w:rPr>
                <w:rFonts w:ascii="Arial Narrow" w:hAnsi="Arial Narrow" w:cs="Arial Narrow" w:eastAsia="Arial Narrow" w:hint="default"/>
                <w:sz w:val="20"/>
                <w:szCs w:val="20"/>
              </w:rPr>
            </w:pPr>
            <w:r>
              <w:rPr>
                <w:rFonts w:ascii="Arial Narrow"/>
                <w:b/>
                <w:spacing w:val="-1"/>
                <w:sz w:val="20"/>
              </w:rPr>
              <w:t>19,311.52</w:t>
            </w:r>
            <w:r>
              <w:rPr>
                <w:rFonts w:ascii="Arial Narrow"/>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6"/>
              <w:jc w:val="right"/>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43" w:right="0"/>
              <w:jc w:val="left"/>
              <w:rPr>
                <w:rFonts w:ascii="Arial Narrow" w:hAnsi="Arial Narrow" w:cs="Arial Narrow" w:eastAsia="Arial Narrow" w:hint="default"/>
                <w:sz w:val="20"/>
                <w:szCs w:val="20"/>
              </w:rPr>
            </w:pPr>
            <w:r>
              <w:rPr>
                <w:rFonts w:ascii="Arial Narrow"/>
                <w:b/>
                <w:sz w:val="20"/>
              </w:rPr>
              <w:t>-1,611.15</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8" w:space="0" w:color="000000"/>
            </w:tcBorders>
          </w:tcPr>
          <w:p>
            <w:pPr/>
          </w:p>
        </w:tc>
      </w:tr>
      <w:tr>
        <w:trPr>
          <w:trHeight w:val="1338"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未达到计划进度或预计收益的情况和原因</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76" w:lineRule="auto" w:before="35"/>
              <w:ind w:left="102" w:right="95"/>
              <w:jc w:val="left"/>
              <w:rPr>
                <w:rFonts w:ascii="宋体" w:hAnsi="宋体" w:cs="宋体" w:eastAsia="宋体" w:hint="default"/>
                <w:sz w:val="20"/>
                <w:szCs w:val="20"/>
              </w:rPr>
            </w:pPr>
            <w:r>
              <w:rPr>
                <w:rFonts w:ascii="Arial" w:hAnsi="Arial" w:cs="Arial" w:eastAsia="Arial" w:hint="default"/>
                <w:spacing w:val="-3"/>
                <w:sz w:val="20"/>
                <w:szCs w:val="20"/>
              </w:rPr>
              <w:t>1</w:t>
            </w:r>
            <w:r>
              <w:rPr>
                <w:rFonts w:ascii="宋体" w:hAnsi="宋体" w:cs="宋体" w:eastAsia="宋体" w:hint="default"/>
                <w:spacing w:val="-3"/>
                <w:sz w:val="20"/>
                <w:szCs w:val="20"/>
              </w:rPr>
              <w:t>、亚太安讯原轨道交通业务主要分布于北京地区市场，报告期内，全国市</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场开拓受阻，导致公司轨道交通业务的业绩未达到预期。</w:t>
            </w:r>
            <w:r>
              <w:rPr>
                <w:rFonts w:ascii="宋体" w:hAnsi="宋体" w:cs="宋体" w:eastAsia="宋体" w:hint="default"/>
                <w:w w:val="100"/>
                <w:sz w:val="20"/>
                <w:szCs w:val="20"/>
              </w:rPr>
              <w:t> </w:t>
            </w:r>
            <w:r>
              <w:rPr>
                <w:rFonts w:ascii="Arial" w:hAnsi="Arial" w:cs="Arial" w:eastAsia="Arial" w:hint="default"/>
                <w:spacing w:val="-3"/>
                <w:sz w:val="20"/>
                <w:szCs w:val="20"/>
              </w:rPr>
              <w:t>2</w:t>
            </w:r>
            <w:r>
              <w:rPr>
                <w:rFonts w:ascii="宋体" w:hAnsi="宋体" w:cs="宋体" w:eastAsia="宋体" w:hint="default"/>
                <w:spacing w:val="-3"/>
                <w:sz w:val="20"/>
                <w:szCs w:val="20"/>
              </w:rPr>
              <w:t>、亚太安讯项目收入大部分是按照验收后一次性确认收入，报告期内，大</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部分项目仍处于建设施工阶段，未达到验收条件。</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超募资金的金额、用途及使用进展情况</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1"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募集资金投资项目先期投入及置换情况</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1"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用闲置募集资金暂时补充流动资金情况</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项目实施出现募集资金结余的金额及原因</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125"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6677"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720" w:hRule="exact"/>
        </w:trPr>
        <w:tc>
          <w:tcPr>
            <w:tcW w:w="4125" w:type="dxa"/>
            <w:gridSpan w:val="4"/>
            <w:tcBorders>
              <w:top w:val="single" w:sz="4" w:space="0" w:color="000000"/>
              <w:left w:val="single" w:sz="8" w:space="0" w:color="000000"/>
              <w:bottom w:val="single" w:sz="8" w:space="0" w:color="000000"/>
              <w:right w:val="single" w:sz="4" w:space="0" w:color="000000"/>
            </w:tcBorders>
          </w:tcPr>
          <w:p>
            <w:pPr>
              <w:pStyle w:val="TableParagraph"/>
              <w:spacing w:line="285" w:lineRule="auto" w:before="36"/>
              <w:ind w:left="98" w:right="209"/>
              <w:jc w:val="left"/>
              <w:rPr>
                <w:rFonts w:ascii="宋体" w:hAnsi="宋体" w:cs="宋体" w:eastAsia="宋体" w:hint="default"/>
                <w:sz w:val="20"/>
                <w:szCs w:val="20"/>
              </w:rPr>
            </w:pPr>
            <w:r>
              <w:rPr>
                <w:rFonts w:ascii="宋体" w:hAnsi="宋体" w:cs="宋体" w:eastAsia="宋体" w:hint="default"/>
                <w:sz w:val="20"/>
                <w:szCs w:val="20"/>
              </w:rPr>
              <w:t>募集资金使用及披露中存在的问题或其他情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6677" w:type="dxa"/>
            <w:gridSpan w:val="7"/>
            <w:tcBorders>
              <w:top w:val="single" w:sz="4"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100"/>
                <w:sz w:val="20"/>
                <w:szCs w:val="20"/>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募集资金变更项目情况" w:id="56"/>
      <w:bookmarkEnd w:id="5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3、募集资金使用情况-非公开发行股票募集" w:id="57"/>
      <w:bookmarkEnd w:id="57"/>
      <w:r>
        <w:rPr>
          <w:b w:val="0"/>
          <w:bCs w:val="0"/>
        </w:rPr>
      </w:r>
      <w:r>
        <w:rPr>
          <w:rFonts w:ascii="Times New Roman" w:hAnsi="Times New Roman" w:cs="Times New Roman" w:eastAsia="Times New Roman" w:hint="default"/>
        </w:rPr>
        <w:t>5.3</w:t>
      </w:r>
      <w:r>
        <w:rPr/>
        <w:t>、募集资金使用情况</w:t>
      </w:r>
      <w:r>
        <w:rPr>
          <w:rFonts w:ascii="Times New Roman" w:hAnsi="Times New Roman" w:cs="Times New Roman" w:eastAsia="Times New Roman" w:hint="default"/>
        </w:rPr>
        <w:t>-</w:t>
      </w:r>
      <w:r>
        <w:rPr/>
        <w:t>非公开发行股票募集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8"/>
      <w:bookmarkEnd w:id="5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57"/>
      </w:tblGrid>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9" w:right="69"/>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8" w:right="68"/>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0"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8" w:right="57"/>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67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8" w:right="68" w:hanging="90"/>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Arial Narrow" w:hAnsi="Arial Narrow" w:cs="Arial Narrow" w:eastAsia="Arial Narrow" w:hint="default"/>
                <w:sz w:val="20"/>
                <w:szCs w:val="20"/>
              </w:rPr>
            </w:pPr>
            <w:r>
              <w:rPr>
                <w:rFonts w:ascii="Arial Narrow"/>
                <w:sz w:val="20"/>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13,558.25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52,963.17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46,937.69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0"/>
              <w:jc w:val="center"/>
              <w:rPr>
                <w:rFonts w:ascii="Arial Narrow" w:hAnsi="Arial Narrow" w:cs="Arial Narrow" w:eastAsia="Arial Narrow" w:hint="default"/>
                <w:sz w:val="20"/>
                <w:szCs w:val="20"/>
              </w:rPr>
            </w:pPr>
            <w:r>
              <w:rPr>
                <w:rFonts w:ascii="Arial Narrow"/>
                <w:sz w:val="20"/>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13,558.25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52,963.17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46,937.69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9"/>
      <w:bookmarkEnd w:id="5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244" w:type="dxa"/>
        <w:tblLayout w:type="fixed"/>
        <w:tblCellMar>
          <w:top w:w="0" w:type="dxa"/>
          <w:left w:w="0" w:type="dxa"/>
          <w:bottom w:w="0" w:type="dxa"/>
          <w:right w:w="0" w:type="dxa"/>
        </w:tblCellMar>
        <w:tblLook w:val="01E0"/>
      </w:tblPr>
      <w:tblGrid>
        <w:gridCol w:w="1858"/>
        <w:gridCol w:w="992"/>
        <w:gridCol w:w="992"/>
        <w:gridCol w:w="993"/>
        <w:gridCol w:w="992"/>
        <w:gridCol w:w="991"/>
        <w:gridCol w:w="851"/>
        <w:gridCol w:w="851"/>
        <w:gridCol w:w="992"/>
        <w:gridCol w:w="992"/>
        <w:gridCol w:w="892"/>
      </w:tblGrid>
      <w:tr>
        <w:trPr>
          <w:trHeight w:val="1962"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5"/>
              <w:ind w:left="418" w:right="122" w:hanging="300"/>
              <w:jc w:val="left"/>
              <w:rPr>
                <w:rFonts w:ascii="宋体" w:hAnsi="宋体" w:cs="宋体" w:eastAsia="宋体" w:hint="default"/>
                <w:sz w:val="20"/>
                <w:szCs w:val="20"/>
              </w:rPr>
            </w:pPr>
            <w:r>
              <w:rPr>
                <w:rFonts w:ascii="宋体" w:hAnsi="宋体" w:cs="宋体" w:eastAsia="宋体" w:hint="default"/>
                <w:sz w:val="20"/>
                <w:szCs w:val="20"/>
              </w:rPr>
              <w:t>承诺投资项目和超</w:t>
            </w:r>
            <w:r>
              <w:rPr>
                <w:rFonts w:ascii="宋体" w:hAnsi="宋体" w:cs="宋体" w:eastAsia="宋体" w:hint="default"/>
                <w:w w:val="100"/>
                <w:sz w:val="20"/>
                <w:szCs w:val="20"/>
              </w:rPr>
              <w:t> </w:t>
            </w:r>
            <w:r>
              <w:rPr>
                <w:rFonts w:ascii="宋体" w:hAnsi="宋体" w:cs="宋体" w:eastAsia="宋体" w:hint="default"/>
                <w:sz w:val="20"/>
                <w:szCs w:val="20"/>
              </w:rPr>
              <w:t>募资金投向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85" w:lineRule="auto"/>
              <w:ind w:left="103" w:right="77" w:hanging="26"/>
              <w:jc w:val="center"/>
              <w:rPr>
                <w:rFonts w:ascii="宋体" w:hAnsi="宋体" w:cs="宋体" w:eastAsia="宋体" w:hint="default"/>
                <w:sz w:val="20"/>
                <w:szCs w:val="20"/>
              </w:rPr>
            </w:pPr>
            <w:r>
              <w:rPr>
                <w:rFonts w:ascii="宋体" w:hAnsi="宋体" w:cs="宋体" w:eastAsia="宋体" w:hint="default"/>
                <w:sz w:val="20"/>
                <w:szCs w:val="20"/>
              </w:rPr>
              <w:t>是否已</w:t>
            </w:r>
            <w:r>
              <w:rPr>
                <w:rFonts w:ascii="宋体" w:hAnsi="宋体" w:cs="宋体" w:eastAsia="宋体" w:hint="default"/>
                <w:w w:val="100"/>
                <w:sz w:val="20"/>
                <w:szCs w:val="20"/>
              </w:rPr>
              <w:t> </w:t>
            </w:r>
            <w:r>
              <w:rPr>
                <w:rFonts w:ascii="宋体" w:hAnsi="宋体" w:cs="宋体" w:eastAsia="宋体" w:hint="default"/>
                <w:sz w:val="20"/>
                <w:szCs w:val="20"/>
              </w:rPr>
              <w:t>变更项</w:t>
            </w:r>
            <w:r>
              <w:rPr>
                <w:rFonts w:ascii="宋体" w:hAnsi="宋体" w:cs="宋体" w:eastAsia="宋体" w:hint="default"/>
                <w:w w:val="100"/>
                <w:sz w:val="20"/>
                <w:szCs w:val="20"/>
              </w:rPr>
              <w:t> </w:t>
            </w:r>
            <w:r>
              <w:rPr>
                <w:rFonts w:ascii="宋体" w:hAnsi="宋体" w:cs="宋体" w:eastAsia="宋体" w:hint="default"/>
                <w:spacing w:val="-7"/>
                <w:sz w:val="20"/>
                <w:szCs w:val="20"/>
              </w:rPr>
              <w:t>目（含部</w:t>
            </w:r>
            <w:r>
              <w:rPr>
                <w:rFonts w:ascii="宋体" w:hAnsi="宋体" w:cs="宋体" w:eastAsia="宋体" w:hint="default"/>
                <w:w w:val="100"/>
                <w:sz w:val="20"/>
                <w:szCs w:val="20"/>
              </w:rPr>
              <w:t> </w:t>
            </w:r>
            <w:r>
              <w:rPr>
                <w:rFonts w:ascii="宋体" w:hAnsi="宋体" w:cs="宋体" w:eastAsia="宋体" w:hint="default"/>
                <w:sz w:val="20"/>
                <w:szCs w:val="20"/>
              </w:rPr>
              <w:t>分变更）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85" w:lineRule="auto"/>
              <w:ind w:left="191" w:right="187"/>
              <w:jc w:val="center"/>
              <w:rPr>
                <w:rFonts w:ascii="宋体" w:hAnsi="宋体" w:cs="宋体" w:eastAsia="宋体" w:hint="default"/>
                <w:sz w:val="20"/>
                <w:szCs w:val="20"/>
              </w:rPr>
            </w:pPr>
            <w:r>
              <w:rPr>
                <w:rFonts w:ascii="宋体" w:hAnsi="宋体" w:cs="宋体" w:eastAsia="宋体" w:hint="default"/>
                <w:sz w:val="20"/>
                <w:szCs w:val="20"/>
              </w:rPr>
              <w:t>募集资</w:t>
            </w:r>
            <w:r>
              <w:rPr>
                <w:rFonts w:ascii="宋体" w:hAnsi="宋体" w:cs="宋体" w:eastAsia="宋体" w:hint="default"/>
                <w:w w:val="100"/>
                <w:sz w:val="20"/>
                <w:szCs w:val="20"/>
              </w:rPr>
              <w:t> </w:t>
            </w:r>
            <w:r>
              <w:rPr>
                <w:rFonts w:ascii="宋体" w:hAnsi="宋体" w:cs="宋体" w:eastAsia="宋体" w:hint="default"/>
                <w:sz w:val="20"/>
                <w:szCs w:val="20"/>
              </w:rPr>
              <w:t>金承诺</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190" w:right="189"/>
              <w:jc w:val="both"/>
              <w:rPr>
                <w:rFonts w:ascii="Arial Narrow" w:hAnsi="Arial Narrow" w:cs="Arial Narrow" w:eastAsia="Arial Narrow" w:hint="default"/>
                <w:sz w:val="20"/>
                <w:szCs w:val="20"/>
              </w:rPr>
            </w:pPr>
            <w:r>
              <w:rPr>
                <w:rFonts w:ascii="宋体" w:hAnsi="宋体" w:cs="宋体" w:eastAsia="宋体" w:hint="default"/>
                <w:sz w:val="20"/>
                <w:szCs w:val="20"/>
              </w:rPr>
              <w:t>调整后</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r>
              <w:rPr>
                <w:rFonts w:ascii="Arial Narrow" w:hAnsi="Arial Narrow" w:cs="Arial Narrow" w:eastAsia="Arial Narrow" w:hint="default"/>
                <w:sz w:val="20"/>
                <w:szCs w:val="20"/>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190" w:right="188"/>
              <w:jc w:val="center"/>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投入金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85" w:lineRule="auto"/>
              <w:ind w:left="189" w:right="188"/>
              <w:jc w:val="both"/>
              <w:rPr>
                <w:rFonts w:ascii="Arial Narrow" w:hAnsi="Arial Narrow" w:cs="Arial Narrow" w:eastAsia="Arial Narrow"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末累计</w:t>
            </w:r>
            <w:r>
              <w:rPr>
                <w:rFonts w:ascii="宋体" w:hAnsi="宋体" w:cs="宋体" w:eastAsia="宋体" w:hint="default"/>
                <w:w w:val="100"/>
                <w:sz w:val="20"/>
                <w:szCs w:val="20"/>
              </w:rPr>
              <w:t> </w:t>
            </w:r>
            <w:r>
              <w:rPr>
                <w:rFonts w:ascii="宋体" w:hAnsi="宋体" w:cs="宋体" w:eastAsia="宋体" w:hint="default"/>
                <w:sz w:val="20"/>
                <w:szCs w:val="20"/>
              </w:rPr>
              <w:t>投入金</w:t>
            </w:r>
            <w:r>
              <w:rPr>
                <w:rFonts w:ascii="宋体" w:hAnsi="宋体" w:cs="宋体" w:eastAsia="宋体" w:hint="default"/>
                <w:w w:val="100"/>
                <w:sz w:val="20"/>
                <w:szCs w:val="20"/>
              </w:rPr>
              <w:t> </w:t>
            </w:r>
            <w:r>
              <w:rPr>
                <w:rFonts w:ascii="宋体" w:hAnsi="宋体" w:cs="宋体" w:eastAsia="宋体" w:hint="default"/>
                <w:sz w:val="20"/>
                <w:szCs w:val="20"/>
              </w:rPr>
              <w:t>额</w:t>
            </w:r>
            <w:r>
              <w:rPr>
                <w:rFonts w:ascii="Arial Narrow" w:hAnsi="Arial Narrow" w:cs="Arial Narrow" w:eastAsia="Arial Narrow" w:hint="default"/>
                <w:sz w:val="20"/>
                <w:szCs w:val="20"/>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20" w:right="119"/>
              <w:jc w:val="both"/>
              <w:rPr>
                <w:rFonts w:ascii="宋体" w:hAnsi="宋体" w:cs="宋体" w:eastAsia="宋体"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末投资</w:t>
            </w:r>
            <w:r>
              <w:rPr>
                <w:rFonts w:ascii="宋体" w:hAnsi="宋体" w:cs="宋体" w:eastAsia="宋体" w:hint="default"/>
                <w:w w:val="100"/>
                <w:sz w:val="20"/>
                <w:szCs w:val="20"/>
              </w:rPr>
              <w:t> </w:t>
            </w:r>
            <w:r>
              <w:rPr>
                <w:rFonts w:ascii="宋体" w:hAnsi="宋体" w:cs="宋体" w:eastAsia="宋体" w:hint="default"/>
                <w:sz w:val="20"/>
                <w:szCs w:val="20"/>
              </w:rPr>
              <w:t>进度</w:t>
            </w:r>
          </w:p>
          <w:p>
            <w:pPr>
              <w:pStyle w:val="TableParagraph"/>
              <w:spacing w:line="292" w:lineRule="auto" w:before="12"/>
              <w:ind w:left="147" w:right="146"/>
              <w:jc w:val="center"/>
              <w:rPr>
                <w:rFonts w:ascii="Arial Narrow" w:hAnsi="Arial Narrow" w:cs="Arial Narrow" w:eastAsia="Arial Narrow" w:hint="default"/>
                <w:sz w:val="20"/>
                <w:szCs w:val="20"/>
              </w:rPr>
            </w:pP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宋体" w:hAnsi="宋体" w:cs="宋体" w:eastAsia="宋体" w:hint="default"/>
                <w:w w:val="100"/>
                <w:sz w:val="20"/>
                <w:szCs w:val="20"/>
              </w:rPr>
              <w:t> </w:t>
            </w:r>
            <w:r>
              <w:rPr>
                <w:rFonts w:ascii="Arial Narrow" w:hAnsi="Arial Narrow" w:cs="Arial Narrow" w:eastAsia="Arial Narrow" w:hint="default"/>
                <w:sz w:val="20"/>
                <w:szCs w:val="20"/>
              </w:rPr>
              <w:t>(3)</w:t>
            </w:r>
            <w:r>
              <w:rPr>
                <w:rFonts w:ascii="宋体" w:hAnsi="宋体" w:cs="宋体" w:eastAsia="宋体" w:hint="default"/>
                <w:sz w:val="20"/>
                <w:szCs w:val="20"/>
              </w:rPr>
              <w:t>＝</w:t>
            </w:r>
            <w:r>
              <w:rPr>
                <w:rFonts w:ascii="宋体" w:hAnsi="宋体" w:cs="宋体" w:eastAsia="宋体" w:hint="default"/>
                <w:w w:val="100"/>
                <w:sz w:val="20"/>
                <w:szCs w:val="20"/>
              </w:rPr>
              <w:t> </w:t>
            </w:r>
            <w:r>
              <w:rPr>
                <w:rFonts w:ascii="Arial Narrow" w:hAnsi="Arial Narrow" w:cs="Arial Narrow" w:eastAsia="Arial Narrow" w:hint="default"/>
                <w:sz w:val="20"/>
                <w:szCs w:val="20"/>
              </w:rPr>
              <w:t>(2)/(1)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119" w:right="118"/>
              <w:jc w:val="center"/>
              <w:rPr>
                <w:rFonts w:ascii="宋体" w:hAnsi="宋体" w:cs="宋体" w:eastAsia="宋体" w:hint="default"/>
                <w:sz w:val="20"/>
                <w:szCs w:val="20"/>
              </w:rPr>
            </w:pPr>
            <w:r>
              <w:rPr>
                <w:rFonts w:ascii="宋体" w:hAnsi="宋体" w:cs="宋体" w:eastAsia="宋体" w:hint="default"/>
                <w:sz w:val="20"/>
                <w:szCs w:val="20"/>
              </w:rPr>
              <w:t>项目达</w:t>
            </w:r>
            <w:r>
              <w:rPr>
                <w:rFonts w:ascii="宋体" w:hAnsi="宋体" w:cs="宋体" w:eastAsia="宋体" w:hint="default"/>
                <w:w w:val="100"/>
                <w:sz w:val="20"/>
                <w:szCs w:val="20"/>
              </w:rPr>
              <w:t> </w:t>
            </w:r>
            <w:r>
              <w:rPr>
                <w:rFonts w:ascii="宋体" w:hAnsi="宋体" w:cs="宋体" w:eastAsia="宋体" w:hint="default"/>
                <w:sz w:val="20"/>
                <w:szCs w:val="20"/>
              </w:rPr>
              <w:t>到预定</w:t>
            </w:r>
            <w:r>
              <w:rPr>
                <w:rFonts w:ascii="宋体" w:hAnsi="宋体" w:cs="宋体" w:eastAsia="宋体" w:hint="default"/>
                <w:w w:val="100"/>
                <w:sz w:val="20"/>
                <w:szCs w:val="20"/>
              </w:rPr>
              <w:t> </w:t>
            </w:r>
            <w:r>
              <w:rPr>
                <w:rFonts w:ascii="宋体" w:hAnsi="宋体" w:cs="宋体" w:eastAsia="宋体" w:hint="default"/>
                <w:sz w:val="20"/>
                <w:szCs w:val="20"/>
              </w:rPr>
              <w:t>可使用</w:t>
            </w:r>
            <w:r>
              <w:rPr>
                <w:rFonts w:ascii="宋体" w:hAnsi="宋体" w:cs="宋体" w:eastAsia="宋体" w:hint="default"/>
                <w:w w:val="100"/>
                <w:sz w:val="20"/>
                <w:szCs w:val="20"/>
              </w:rPr>
              <w:t> </w:t>
            </w:r>
            <w:r>
              <w:rPr>
                <w:rFonts w:ascii="宋体" w:hAnsi="宋体" w:cs="宋体" w:eastAsia="宋体" w:hint="default"/>
                <w:sz w:val="20"/>
                <w:szCs w:val="20"/>
              </w:rPr>
              <w:t>状态日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191" w:right="187"/>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实现的</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190" w:right="188"/>
              <w:jc w:val="both"/>
              <w:rPr>
                <w:rFonts w:ascii="宋体" w:hAnsi="宋体" w:cs="宋体" w:eastAsia="宋体" w:hint="default"/>
                <w:sz w:val="20"/>
                <w:szCs w:val="20"/>
              </w:rPr>
            </w:pPr>
            <w:r>
              <w:rPr>
                <w:rFonts w:ascii="宋体" w:hAnsi="宋体" w:cs="宋体" w:eastAsia="宋体" w:hint="default"/>
                <w:sz w:val="20"/>
                <w:szCs w:val="20"/>
              </w:rPr>
              <w:t>是否达</w:t>
            </w:r>
            <w:r>
              <w:rPr>
                <w:rFonts w:ascii="宋体" w:hAnsi="宋体" w:cs="宋体" w:eastAsia="宋体" w:hint="default"/>
                <w:w w:val="100"/>
                <w:sz w:val="20"/>
                <w:szCs w:val="20"/>
              </w:rPr>
              <w:t> </w:t>
            </w:r>
            <w:r>
              <w:rPr>
                <w:rFonts w:ascii="宋体" w:hAnsi="宋体" w:cs="宋体" w:eastAsia="宋体" w:hint="default"/>
                <w:sz w:val="20"/>
                <w:szCs w:val="20"/>
              </w:rPr>
              <w:t>到预计</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89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140" w:right="135"/>
              <w:jc w:val="center"/>
              <w:rPr>
                <w:rFonts w:ascii="宋体" w:hAnsi="宋体" w:cs="宋体" w:eastAsia="宋体" w:hint="default"/>
                <w:sz w:val="20"/>
                <w:szCs w:val="20"/>
              </w:rPr>
            </w:pPr>
            <w:r>
              <w:rPr>
                <w:rFonts w:ascii="宋体" w:hAnsi="宋体" w:cs="宋体" w:eastAsia="宋体" w:hint="default"/>
                <w:sz w:val="20"/>
                <w:szCs w:val="20"/>
              </w:rPr>
              <w:t>项目可</w:t>
            </w:r>
            <w:r>
              <w:rPr>
                <w:rFonts w:ascii="宋体" w:hAnsi="宋体" w:cs="宋体" w:eastAsia="宋体" w:hint="default"/>
                <w:w w:val="100"/>
                <w:sz w:val="20"/>
                <w:szCs w:val="20"/>
              </w:rPr>
              <w:t> </w:t>
            </w:r>
            <w:r>
              <w:rPr>
                <w:rFonts w:ascii="宋体" w:hAnsi="宋体" w:cs="宋体" w:eastAsia="宋体" w:hint="default"/>
                <w:sz w:val="20"/>
                <w:szCs w:val="20"/>
              </w:rPr>
              <w:t>行性是</w:t>
            </w:r>
            <w:r>
              <w:rPr>
                <w:rFonts w:ascii="宋体" w:hAnsi="宋体" w:cs="宋体" w:eastAsia="宋体" w:hint="default"/>
                <w:w w:val="100"/>
                <w:sz w:val="20"/>
                <w:szCs w:val="20"/>
              </w:rPr>
              <w:t> </w:t>
            </w:r>
            <w:r>
              <w:rPr>
                <w:rFonts w:ascii="宋体" w:hAnsi="宋体" w:cs="宋体" w:eastAsia="宋体" w:hint="default"/>
                <w:sz w:val="20"/>
                <w:szCs w:val="20"/>
              </w:rPr>
              <w:t>否发生</w:t>
            </w:r>
            <w:r>
              <w:rPr>
                <w:rFonts w:ascii="宋体" w:hAnsi="宋体" w:cs="宋体" w:eastAsia="宋体" w:hint="default"/>
                <w:w w:val="100"/>
                <w:sz w:val="20"/>
                <w:szCs w:val="20"/>
              </w:rPr>
              <w:t> </w:t>
            </w:r>
            <w:r>
              <w:rPr>
                <w:rFonts w:ascii="宋体" w:hAnsi="宋体" w:cs="宋体" w:eastAsia="宋体" w:hint="default"/>
                <w:sz w:val="20"/>
                <w:szCs w:val="20"/>
              </w:rPr>
              <w:t>重大变</w:t>
            </w:r>
            <w:r>
              <w:rPr>
                <w:rFonts w:ascii="宋体" w:hAnsi="宋体" w:cs="宋体" w:eastAsia="宋体" w:hint="default"/>
                <w:w w:val="100"/>
                <w:sz w:val="20"/>
                <w:szCs w:val="20"/>
              </w:rPr>
              <w:t> </w:t>
            </w:r>
            <w:r>
              <w:rPr>
                <w:rFonts w:ascii="宋体" w:hAnsi="宋体" w:cs="宋体" w:eastAsia="宋体" w:hint="default"/>
                <w:sz w:val="20"/>
                <w:szCs w:val="20"/>
              </w:rPr>
              <w:t>化</w:t>
            </w:r>
          </w:p>
        </w:tc>
      </w:tr>
      <w:tr>
        <w:trPr>
          <w:trHeight w:val="460"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承诺投资项目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8" w:space="0" w:color="000000"/>
            </w:tcBorders>
          </w:tcPr>
          <w:p>
            <w:pPr/>
          </w:p>
        </w:tc>
      </w:tr>
      <w:tr>
        <w:trPr>
          <w:trHeight w:val="1026"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100"/>
              <w:jc w:val="both"/>
              <w:rPr>
                <w:rFonts w:ascii="宋体" w:hAnsi="宋体" w:cs="宋体" w:eastAsia="宋体" w:hint="default"/>
                <w:sz w:val="20"/>
                <w:szCs w:val="20"/>
              </w:rPr>
            </w:pPr>
            <w:r>
              <w:rPr>
                <w:rFonts w:ascii="宋体" w:hAnsi="宋体" w:cs="宋体" w:eastAsia="宋体" w:hint="default"/>
                <w:spacing w:val="-7"/>
                <w:sz w:val="20"/>
                <w:szCs w:val="20"/>
              </w:rPr>
              <w:t>1</w:t>
            </w:r>
            <w:r>
              <w:rPr>
                <w:rFonts w:ascii="宋体" w:hAnsi="宋体" w:cs="宋体" w:eastAsia="宋体" w:hint="default"/>
                <w:spacing w:val="-7"/>
                <w:sz w:val="20"/>
                <w:szCs w:val="20"/>
              </w:rPr>
              <w:t>、智慧城市基地化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建设及应用服务项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4"/>
              <w:jc w:val="right"/>
              <w:rPr>
                <w:rFonts w:ascii="Arial Narrow" w:hAnsi="Arial Narrow" w:cs="Arial Narrow" w:eastAsia="Arial Narrow" w:hint="default"/>
                <w:sz w:val="20"/>
                <w:szCs w:val="20"/>
              </w:rPr>
            </w:pPr>
            <w:r>
              <w:rPr>
                <w:rFonts w:ascii="Arial Narrow"/>
                <w:spacing w:val="-1"/>
                <w:sz w:val="20"/>
              </w:rPr>
              <w:t>60,000.00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5" w:right="0"/>
              <w:jc w:val="left"/>
              <w:rPr>
                <w:rFonts w:ascii="Arial Narrow" w:hAnsi="Arial Narrow" w:cs="Arial Narrow" w:eastAsia="Arial Narrow" w:hint="default"/>
                <w:sz w:val="20"/>
                <w:szCs w:val="20"/>
              </w:rPr>
            </w:pPr>
            <w:r>
              <w:rPr>
                <w:rFonts w:ascii="Arial Narrow"/>
                <w:sz w:val="20"/>
              </w:rPr>
              <w:t>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12,822.02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27,319.65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45.53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8" w:lineRule="auto"/>
              <w:ind w:left="219" w:right="168" w:firstLine="50"/>
              <w:jc w:val="left"/>
              <w:rPr>
                <w:rFonts w:ascii="宋体" w:hAnsi="宋体" w:cs="宋体" w:eastAsia="宋体" w:hint="default"/>
                <w:sz w:val="20"/>
                <w:szCs w:val="20"/>
              </w:rPr>
            </w:pPr>
            <w:r>
              <w:rPr>
                <w:rFonts w:ascii="宋体" w:hAnsi="宋体" w:cs="宋体" w:eastAsia="宋体" w:hint="default"/>
                <w:sz w:val="20"/>
                <w:szCs w:val="20"/>
              </w:rPr>
              <w:t>正常</w:t>
            </w:r>
            <w:r>
              <w:rPr>
                <w:rFonts w:ascii="宋体" w:hAnsi="宋体" w:cs="宋体" w:eastAsia="宋体" w:hint="default"/>
                <w:w w:val="100"/>
                <w:sz w:val="20"/>
                <w:szCs w:val="20"/>
              </w:rPr>
              <w:t> </w:t>
            </w:r>
            <w:r>
              <w:rPr>
                <w:rFonts w:ascii="宋体" w:hAnsi="宋体" w:cs="宋体" w:eastAsia="宋体" w:hint="default"/>
                <w:sz w:val="20"/>
                <w:szCs w:val="20"/>
              </w:rPr>
              <w:t>执行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1" w:right="0"/>
              <w:jc w:val="left"/>
              <w:rPr>
                <w:rFonts w:ascii="Arial Narrow" w:hAnsi="Arial Narrow" w:cs="Arial Narrow" w:eastAsia="Arial Narrow" w:hint="default"/>
                <w:sz w:val="20"/>
                <w:szCs w:val="20"/>
              </w:rPr>
            </w:pPr>
            <w:r>
              <w:rPr>
                <w:rFonts w:ascii="Arial Narrow"/>
                <w:sz w:val="20"/>
              </w:rPr>
              <w:t>876.72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pacing w:val="-1"/>
                <w:sz w:val="20"/>
                <w:szCs w:val="20"/>
              </w:rPr>
              <w:t>不适用</w:t>
            </w:r>
          </w:p>
        </w:tc>
        <w:tc>
          <w:tcPr>
            <w:tcW w:w="89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14"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88" w:lineRule="auto" w:before="35"/>
              <w:ind w:left="98" w:right="100"/>
              <w:jc w:val="left"/>
              <w:rPr>
                <w:rFonts w:ascii="宋体" w:hAnsi="宋体" w:cs="宋体" w:eastAsia="宋体" w:hint="default"/>
                <w:sz w:val="20"/>
                <w:szCs w:val="20"/>
              </w:rPr>
            </w:pPr>
            <w:r>
              <w:rPr>
                <w:rFonts w:ascii="宋体" w:hAnsi="宋体" w:cs="宋体" w:eastAsia="宋体" w:hint="default"/>
                <w:spacing w:val="-7"/>
                <w:sz w:val="20"/>
                <w:szCs w:val="20"/>
              </w:rPr>
              <w:t>2</w:t>
            </w:r>
            <w:r>
              <w:rPr>
                <w:rFonts w:ascii="宋体" w:hAnsi="宋体" w:cs="宋体" w:eastAsia="宋体" w:hint="default"/>
                <w:spacing w:val="-7"/>
                <w:sz w:val="20"/>
                <w:szCs w:val="20"/>
              </w:rPr>
              <w:t>、企业技术中心研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发升级项目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69"/>
              <w:jc w:val="right"/>
              <w:rPr>
                <w:rFonts w:ascii="Arial Narrow" w:hAnsi="Arial Narrow" w:cs="Arial Narrow" w:eastAsia="Arial Narrow" w:hint="default"/>
                <w:sz w:val="20"/>
                <w:szCs w:val="20"/>
              </w:rPr>
            </w:pPr>
            <w:r>
              <w:rPr>
                <w:rFonts w:ascii="Arial Narrow"/>
                <w:spacing w:val="-1"/>
                <w:sz w:val="20"/>
              </w:rPr>
              <w:t>9,975.00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71" w:right="0"/>
              <w:jc w:val="left"/>
              <w:rPr>
                <w:rFonts w:ascii="Arial Narrow" w:hAnsi="Arial Narrow" w:cs="Arial Narrow" w:eastAsia="Arial Narrow" w:hint="default"/>
                <w:sz w:val="20"/>
                <w:szCs w:val="20"/>
              </w:rPr>
            </w:pPr>
            <w:r>
              <w:rPr>
                <w:rFonts w:ascii="Arial Narrow"/>
                <w:sz w:val="20"/>
              </w:rPr>
              <w:t>9,975.00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Arial Narrow" w:hAnsi="Arial Narrow" w:cs="Arial Narrow" w:eastAsia="Arial Narrow" w:hint="default"/>
                <w:sz w:val="20"/>
                <w:szCs w:val="20"/>
              </w:rPr>
            </w:pPr>
            <w:r>
              <w:rPr>
                <w:rFonts w:ascii="Arial Narrow"/>
                <w:sz w:val="20"/>
              </w:rPr>
              <w:t>426.19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Arial Narrow" w:hAnsi="Arial Narrow" w:cs="Arial Narrow" w:eastAsia="Arial Narrow" w:hint="default"/>
                <w:sz w:val="20"/>
                <w:szCs w:val="20"/>
              </w:rPr>
            </w:pPr>
            <w:r>
              <w:rPr>
                <w:rFonts w:ascii="Arial Narrow"/>
                <w:sz w:val="20"/>
              </w:rPr>
              <w:t>1,547.59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Arial Narrow" w:hAnsi="Arial Narrow" w:cs="Arial Narrow" w:eastAsia="Arial Narrow" w:hint="default"/>
                <w:sz w:val="20"/>
                <w:szCs w:val="20"/>
              </w:rPr>
            </w:pPr>
            <w:r>
              <w:rPr>
                <w:rFonts w:ascii="Arial Narrow"/>
                <w:sz w:val="20"/>
              </w:rPr>
              <w:t>15.51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319" w:right="168" w:hanging="50"/>
              <w:jc w:val="left"/>
              <w:rPr>
                <w:rFonts w:ascii="宋体" w:hAnsi="宋体" w:cs="宋体" w:eastAsia="宋体" w:hint="default"/>
                <w:sz w:val="20"/>
                <w:szCs w:val="20"/>
              </w:rPr>
            </w:pPr>
            <w:r>
              <w:rPr>
                <w:rFonts w:ascii="宋体" w:hAnsi="宋体" w:cs="宋体" w:eastAsia="宋体" w:hint="default"/>
                <w:sz w:val="20"/>
                <w:szCs w:val="20"/>
              </w:rPr>
              <w:t>未完</w:t>
            </w:r>
            <w:r>
              <w:rPr>
                <w:rFonts w:ascii="宋体" w:hAnsi="宋体" w:cs="宋体" w:eastAsia="宋体" w:hint="default"/>
                <w:w w:val="100"/>
                <w:sz w:val="20"/>
                <w:szCs w:val="20"/>
              </w:rPr>
              <w:t> </w:t>
            </w:r>
            <w:r>
              <w:rPr>
                <w:rFonts w:ascii="宋体" w:hAnsi="宋体" w:cs="宋体" w:eastAsia="宋体" w:hint="default"/>
                <w:sz w:val="20"/>
                <w:szCs w:val="20"/>
              </w:rPr>
              <w:t>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pacing w:val="-1"/>
                <w:sz w:val="20"/>
                <w:szCs w:val="20"/>
              </w:rPr>
              <w:t>不适用</w:t>
            </w:r>
          </w:p>
        </w:tc>
        <w:tc>
          <w:tcPr>
            <w:tcW w:w="89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026"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100"/>
              <w:jc w:val="both"/>
              <w:rPr>
                <w:rFonts w:ascii="宋体" w:hAnsi="宋体" w:cs="宋体" w:eastAsia="宋体" w:hint="default"/>
                <w:sz w:val="20"/>
                <w:szCs w:val="20"/>
              </w:rPr>
            </w:pPr>
            <w:r>
              <w:rPr>
                <w:rFonts w:ascii="宋体" w:hAnsi="宋体" w:cs="宋体" w:eastAsia="宋体" w:hint="default"/>
                <w:spacing w:val="-7"/>
                <w:sz w:val="20"/>
                <w:szCs w:val="20"/>
              </w:rPr>
              <w:t>3</w:t>
            </w:r>
            <w:r>
              <w:rPr>
                <w:rFonts w:ascii="宋体" w:hAnsi="宋体" w:cs="宋体" w:eastAsia="宋体" w:hint="default"/>
                <w:spacing w:val="-7"/>
                <w:sz w:val="20"/>
                <w:szCs w:val="20"/>
              </w:rPr>
              <w:t>、智慧城市信息服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务平台开发及产业</w:t>
            </w:r>
            <w:r>
              <w:rPr>
                <w:rFonts w:ascii="宋体" w:hAnsi="宋体" w:cs="宋体" w:eastAsia="宋体" w:hint="default"/>
                <w:w w:val="100"/>
                <w:sz w:val="20"/>
                <w:szCs w:val="20"/>
              </w:rPr>
              <w:t> </w:t>
            </w:r>
            <w:r>
              <w:rPr>
                <w:rFonts w:ascii="宋体" w:hAnsi="宋体" w:cs="宋体" w:eastAsia="宋体" w:hint="default"/>
                <w:sz w:val="20"/>
                <w:szCs w:val="20"/>
              </w:rPr>
              <w:t>化项目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69"/>
              <w:jc w:val="right"/>
              <w:rPr>
                <w:rFonts w:ascii="Arial Narrow" w:hAnsi="Arial Narrow" w:cs="Arial Narrow" w:eastAsia="Arial Narrow" w:hint="default"/>
                <w:sz w:val="20"/>
                <w:szCs w:val="20"/>
              </w:rPr>
            </w:pPr>
            <w:r>
              <w:rPr>
                <w:rFonts w:ascii="Arial Narrow"/>
                <w:spacing w:val="-1"/>
                <w:sz w:val="20"/>
              </w:rPr>
              <w:t>9,825.00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71" w:right="0"/>
              <w:jc w:val="left"/>
              <w:rPr>
                <w:rFonts w:ascii="Arial Narrow" w:hAnsi="Arial Narrow" w:cs="Arial Narrow" w:eastAsia="Arial Narrow" w:hint="default"/>
                <w:sz w:val="20"/>
                <w:szCs w:val="20"/>
              </w:rPr>
            </w:pPr>
            <w:r>
              <w:rPr>
                <w:rFonts w:ascii="Arial Narrow"/>
                <w:sz w:val="20"/>
              </w:rPr>
              <w:t>9,825.00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282.57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4,066.16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41.39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8" w:lineRule="auto"/>
              <w:ind w:left="319" w:right="168" w:hanging="50"/>
              <w:jc w:val="left"/>
              <w:rPr>
                <w:rFonts w:ascii="宋体" w:hAnsi="宋体" w:cs="宋体" w:eastAsia="宋体" w:hint="default"/>
                <w:sz w:val="20"/>
                <w:szCs w:val="20"/>
              </w:rPr>
            </w:pPr>
            <w:r>
              <w:rPr>
                <w:rFonts w:ascii="宋体" w:hAnsi="宋体" w:cs="宋体" w:eastAsia="宋体" w:hint="default"/>
                <w:sz w:val="20"/>
                <w:szCs w:val="20"/>
              </w:rPr>
              <w:t>未完</w:t>
            </w:r>
            <w:r>
              <w:rPr>
                <w:rFonts w:ascii="宋体" w:hAnsi="宋体" w:cs="宋体" w:eastAsia="宋体" w:hint="default"/>
                <w:w w:val="100"/>
                <w:sz w:val="20"/>
                <w:szCs w:val="20"/>
              </w:rPr>
              <w:t> </w:t>
            </w:r>
            <w:r>
              <w:rPr>
                <w:rFonts w:ascii="宋体" w:hAnsi="宋体" w:cs="宋体" w:eastAsia="宋体" w:hint="default"/>
                <w:sz w:val="20"/>
                <w:szCs w:val="20"/>
              </w:rPr>
              <w:t>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pacing w:val="-1"/>
                <w:sz w:val="20"/>
                <w:szCs w:val="20"/>
              </w:rPr>
              <w:t>不适用</w:t>
            </w:r>
          </w:p>
        </w:tc>
        <w:tc>
          <w:tcPr>
            <w:tcW w:w="89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14"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、补充流动资金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8"/>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24"/>
              <w:jc w:val="right"/>
              <w:rPr>
                <w:rFonts w:ascii="Arial Narrow" w:hAnsi="Arial Narrow" w:cs="Arial Narrow" w:eastAsia="Arial Narrow" w:hint="default"/>
                <w:sz w:val="20"/>
                <w:szCs w:val="20"/>
              </w:rPr>
            </w:pPr>
            <w:r>
              <w:rPr>
                <w:rFonts w:ascii="Arial Narrow"/>
                <w:spacing w:val="-1"/>
                <w:sz w:val="20"/>
              </w:rPr>
              <w:t>20,000.00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25" w:right="0"/>
              <w:jc w:val="left"/>
              <w:rPr>
                <w:rFonts w:ascii="Arial Narrow" w:hAnsi="Arial Narrow" w:cs="Arial Narrow" w:eastAsia="Arial Narrow" w:hint="default"/>
                <w:sz w:val="20"/>
                <w:szCs w:val="20"/>
              </w:rPr>
            </w:pPr>
            <w:r>
              <w:rPr>
                <w:rFonts w:ascii="Arial Narrow"/>
                <w:sz w:val="20"/>
              </w:rPr>
              <w:t>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Arial Narrow" w:hAnsi="Arial Narrow" w:cs="Arial Narrow" w:eastAsia="Arial Narrow" w:hint="default"/>
                <w:sz w:val="20"/>
                <w:szCs w:val="20"/>
              </w:rPr>
            </w:pPr>
            <w:r>
              <w:rPr>
                <w:rFonts w:ascii="Arial Narrow"/>
                <w:sz w:val="20"/>
              </w:rPr>
              <w:t>27.47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Arial Narrow" w:hAnsi="Arial Narrow" w:cs="Arial Narrow" w:eastAsia="Arial Narrow" w:hint="default"/>
                <w:sz w:val="20"/>
                <w:szCs w:val="20"/>
              </w:rPr>
            </w:pPr>
            <w:r>
              <w:rPr>
                <w:rFonts w:ascii="Arial Narrow"/>
                <w:sz w:val="20"/>
              </w:rPr>
              <w:t>20,029.77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Arial Narrow" w:hAnsi="Arial Narrow" w:cs="Arial Narrow" w:eastAsia="Arial Narrow" w:hint="default"/>
                <w:sz w:val="20"/>
                <w:szCs w:val="20"/>
              </w:rPr>
            </w:pPr>
            <w:r>
              <w:rPr>
                <w:rFonts w:ascii="Arial Narrow"/>
                <w:sz w:val="20"/>
              </w:rPr>
              <w:t>100.15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319" w:right="168" w:hanging="50"/>
              <w:jc w:val="left"/>
              <w:rPr>
                <w:rFonts w:ascii="宋体" w:hAnsi="宋体" w:cs="宋体" w:eastAsia="宋体" w:hint="default"/>
                <w:sz w:val="20"/>
                <w:szCs w:val="20"/>
              </w:rPr>
            </w:pPr>
            <w:r>
              <w:rPr>
                <w:rFonts w:ascii="宋体" w:hAnsi="宋体" w:cs="宋体" w:eastAsia="宋体" w:hint="default"/>
                <w:sz w:val="20"/>
                <w:szCs w:val="20"/>
              </w:rPr>
              <w:t>不适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pacing w:val="-1"/>
                <w:sz w:val="20"/>
                <w:szCs w:val="20"/>
              </w:rPr>
              <w:t>不适用</w:t>
            </w:r>
          </w:p>
        </w:tc>
        <w:tc>
          <w:tcPr>
            <w:tcW w:w="89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14"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b/>
                <w:bCs/>
                <w:sz w:val="20"/>
                <w:szCs w:val="20"/>
              </w:rPr>
              <w:t>承诺投资项目小计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24"/>
              <w:jc w:val="right"/>
              <w:rPr>
                <w:rFonts w:ascii="Arial Narrow" w:hAnsi="Arial Narrow" w:cs="Arial Narrow" w:eastAsia="Arial Narrow" w:hint="default"/>
                <w:sz w:val="20"/>
                <w:szCs w:val="20"/>
              </w:rPr>
            </w:pPr>
            <w:r>
              <w:rPr>
                <w:rFonts w:ascii="Arial Narrow"/>
                <w:b/>
                <w:spacing w:val="-1"/>
                <w:sz w:val="20"/>
              </w:rPr>
              <w:t>99,800.00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25" w:right="0"/>
              <w:jc w:val="left"/>
              <w:rPr>
                <w:rFonts w:ascii="Arial Narrow" w:hAnsi="Arial Narrow" w:cs="Arial Narrow" w:eastAsia="Arial Narrow" w:hint="default"/>
                <w:sz w:val="20"/>
                <w:szCs w:val="20"/>
              </w:rPr>
            </w:pPr>
            <w:r>
              <w:rPr>
                <w:rFonts w:ascii="Arial Narrow"/>
                <w:b/>
                <w:sz w:val="20"/>
              </w:rPr>
              <w:t>99,800.00</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Arial Narrow" w:hAnsi="Arial Narrow" w:cs="Arial Narrow" w:eastAsia="Arial Narrow" w:hint="default"/>
                <w:sz w:val="20"/>
                <w:szCs w:val="20"/>
              </w:rPr>
            </w:pPr>
            <w:r>
              <w:rPr>
                <w:rFonts w:ascii="Arial Narrow"/>
                <w:b/>
                <w:sz w:val="20"/>
              </w:rPr>
              <w:t>13,558.25</w:t>
            </w:r>
            <w:r>
              <w:rPr>
                <w:rFonts w:ascii="Arial Narrow"/>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Arial Narrow" w:hAnsi="Arial Narrow" w:cs="Arial Narrow" w:eastAsia="Arial Narrow" w:hint="default"/>
                <w:sz w:val="20"/>
                <w:szCs w:val="20"/>
              </w:rPr>
            </w:pPr>
            <w:r>
              <w:rPr>
                <w:rFonts w:ascii="Arial Narrow"/>
                <w:b/>
                <w:sz w:val="20"/>
              </w:rPr>
              <w:t>52,963.17</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41" w:right="0"/>
              <w:jc w:val="left"/>
              <w:rPr>
                <w:rFonts w:ascii="Arial Narrow" w:hAnsi="Arial Narrow" w:cs="Arial Narrow" w:eastAsia="Arial Narrow" w:hint="default"/>
                <w:sz w:val="20"/>
                <w:szCs w:val="20"/>
              </w:rPr>
            </w:pPr>
            <w:r>
              <w:rPr>
                <w:rFonts w:ascii="Arial Narrow"/>
                <w:b/>
                <w:sz w:val="20"/>
              </w:rPr>
              <w:t>876.72</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8" w:space="0" w:color="000000"/>
            </w:tcBorders>
          </w:tcPr>
          <w:p>
            <w:pPr/>
          </w:p>
        </w:tc>
      </w:tr>
      <w:tr>
        <w:trPr>
          <w:trHeight w:val="460"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超募资金投向</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8" w:space="0" w:color="000000"/>
            </w:tcBorders>
          </w:tcPr>
          <w:p>
            <w:pPr/>
          </w:p>
        </w:tc>
      </w:tr>
      <w:tr>
        <w:trPr>
          <w:trHeight w:val="461"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b/>
                <w:bCs/>
                <w:sz w:val="20"/>
                <w:szCs w:val="20"/>
              </w:rPr>
              <w:t>超募资金投向小计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8" w:space="0" w:color="000000"/>
            </w:tcBorders>
          </w:tcPr>
          <w:p>
            <w:pPr/>
          </w:p>
        </w:tc>
      </w:tr>
      <w:tr>
        <w:trPr>
          <w:trHeight w:val="714" w:hRule="exact"/>
        </w:trPr>
        <w:tc>
          <w:tcPr>
            <w:tcW w:w="18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24"/>
              <w:jc w:val="right"/>
              <w:rPr>
                <w:rFonts w:ascii="Arial Narrow" w:hAnsi="Arial Narrow" w:cs="Arial Narrow" w:eastAsia="Arial Narrow" w:hint="default"/>
                <w:sz w:val="20"/>
                <w:szCs w:val="20"/>
              </w:rPr>
            </w:pPr>
            <w:r>
              <w:rPr>
                <w:rFonts w:ascii="Arial Narrow"/>
                <w:b/>
                <w:spacing w:val="-1"/>
                <w:sz w:val="20"/>
              </w:rPr>
              <w:t>99,800.00</w:t>
            </w:r>
            <w:r>
              <w:rPr>
                <w:rFonts w:ascii="Arial Narrow"/>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25" w:right="0"/>
              <w:jc w:val="left"/>
              <w:rPr>
                <w:rFonts w:ascii="Arial Narrow" w:hAnsi="Arial Narrow" w:cs="Arial Narrow" w:eastAsia="Arial Narrow" w:hint="default"/>
                <w:sz w:val="20"/>
                <w:szCs w:val="20"/>
              </w:rPr>
            </w:pPr>
            <w:r>
              <w:rPr>
                <w:rFonts w:ascii="Arial Narrow"/>
                <w:b/>
                <w:sz w:val="20"/>
              </w:rPr>
              <w:t>99,800.00</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
              <w:jc w:val="center"/>
              <w:rPr>
                <w:rFonts w:ascii="Arial Narrow" w:hAnsi="Arial Narrow" w:cs="Arial Narrow" w:eastAsia="Arial Narrow" w:hint="default"/>
                <w:sz w:val="20"/>
                <w:szCs w:val="20"/>
              </w:rPr>
            </w:pPr>
            <w:r>
              <w:rPr>
                <w:rFonts w:ascii="Arial Narrow"/>
                <w:b/>
                <w:sz w:val="20"/>
              </w:rPr>
              <w:t>13,558.25</w:t>
            </w:r>
            <w:r>
              <w:rPr>
                <w:rFonts w:ascii="Arial Narrow"/>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Arial Narrow" w:hAnsi="Arial Narrow" w:cs="Arial Narrow" w:eastAsia="Arial Narrow" w:hint="default"/>
                <w:sz w:val="20"/>
                <w:szCs w:val="20"/>
              </w:rPr>
            </w:pPr>
            <w:r>
              <w:rPr>
                <w:rFonts w:ascii="Arial Narrow"/>
                <w:b/>
                <w:sz w:val="20"/>
              </w:rPr>
              <w:t>52,963.17</w:t>
            </w:r>
            <w:r>
              <w:rPr>
                <w:rFonts w:ascii="Arial Narrow"/>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Arial Narrow" w:hAnsi="Arial Narrow" w:cs="Arial Narrow" w:eastAsia="Arial Narrow" w:hint="default"/>
                <w:sz w:val="20"/>
                <w:szCs w:val="20"/>
              </w:rPr>
            </w:pPr>
            <w:r>
              <w:rPr>
                <w:rFonts w:ascii="Arial Narrow" w:hAnsi="Arial Narrow" w:cs="Arial Narrow" w:eastAsia="Arial Narrow" w:hint="default"/>
                <w:b/>
                <w:bCs/>
                <w:w w:val="100"/>
                <w:sz w:val="20"/>
                <w:szCs w:val="20"/>
              </w:rPr>
              <w:t>—</w:t>
            </w:r>
            <w:r>
              <w:rPr>
                <w:rFonts w:ascii="Arial Narrow" w:hAnsi="Arial Narrow" w:cs="Arial Narrow" w:eastAsia="Arial Narrow" w:hint="default"/>
                <w:w w:val="100"/>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41" w:right="0"/>
              <w:jc w:val="left"/>
              <w:rPr>
                <w:rFonts w:ascii="Arial Narrow" w:hAnsi="Arial Narrow" w:cs="Arial Narrow" w:eastAsia="Arial Narrow" w:hint="default"/>
                <w:sz w:val="20"/>
                <w:szCs w:val="20"/>
              </w:rPr>
            </w:pPr>
            <w:r>
              <w:rPr>
                <w:rFonts w:ascii="Arial Narrow"/>
                <w:b/>
                <w:sz w:val="20"/>
              </w:rPr>
              <w:t>876.72</w:t>
            </w:r>
            <w:r>
              <w:rPr>
                <w:rFonts w:ascii="Arial Narrow"/>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36" w:type="dxa"/>
            <w:gridSpan w:val="4"/>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120"/>
              <w:jc w:val="left"/>
              <w:rPr>
                <w:rFonts w:ascii="宋体" w:hAnsi="宋体" w:cs="宋体" w:eastAsia="宋体" w:hint="default"/>
                <w:sz w:val="20"/>
                <w:szCs w:val="20"/>
              </w:rPr>
            </w:pPr>
            <w:r>
              <w:rPr>
                <w:rFonts w:ascii="宋体" w:hAnsi="宋体" w:cs="宋体" w:eastAsia="宋体" w:hint="default"/>
                <w:sz w:val="20"/>
                <w:szCs w:val="20"/>
              </w:rPr>
              <w:t>未达到计划进度或预计收益的情况和原因【分具体募</w:t>
            </w:r>
            <w:r>
              <w:rPr>
                <w:rFonts w:ascii="宋体" w:hAnsi="宋体" w:cs="宋体" w:eastAsia="宋体" w:hint="default"/>
                <w:w w:val="100"/>
                <w:sz w:val="20"/>
                <w:szCs w:val="20"/>
              </w:rPr>
              <w:t> </w:t>
            </w:r>
            <w:r>
              <w:rPr>
                <w:rFonts w:ascii="宋体" w:hAnsi="宋体" w:cs="宋体" w:eastAsia="宋体" w:hint="default"/>
                <w:sz w:val="20"/>
                <w:szCs w:val="20"/>
              </w:rPr>
              <w:t>投项目】</w:t>
            </w:r>
          </w:p>
        </w:tc>
        <w:tc>
          <w:tcPr>
            <w:tcW w:w="6562" w:type="dxa"/>
            <w:gridSpan w:val="7"/>
            <w:tcBorders>
              <w:top w:val="single" w:sz="4" w:space="0" w:color="000000"/>
              <w:left w:val="single" w:sz="4" w:space="0" w:color="000000"/>
              <w:bottom w:val="single" w:sz="4" w:space="0" w:color="000000"/>
              <w:right w:val="single" w:sz="8" w:space="0" w:color="000000"/>
            </w:tcBorders>
          </w:tcPr>
          <w:p>
            <w:pPr>
              <w:pStyle w:val="TableParagraph"/>
              <w:spacing w:line="285" w:lineRule="auto" w:before="35"/>
              <w:ind w:left="103" w:right="95"/>
              <w:jc w:val="left"/>
              <w:rPr>
                <w:rFonts w:ascii="宋体" w:hAnsi="宋体" w:cs="宋体" w:eastAsia="宋体" w:hint="default"/>
                <w:sz w:val="20"/>
                <w:szCs w:val="20"/>
              </w:rPr>
            </w:pPr>
            <w:r>
              <w:rPr>
                <w:rFonts w:ascii="宋体" w:hAnsi="宋体" w:cs="宋体" w:eastAsia="宋体" w:hint="default"/>
                <w:spacing w:val="-3"/>
                <w:sz w:val="20"/>
                <w:szCs w:val="20"/>
              </w:rPr>
              <w:t>非公开发行股票对应募投项目尚未完全达到预定可使用状态，本期暂无法</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对上述募投项目效益实现情况进行评价。</w:t>
            </w:r>
          </w:p>
        </w:tc>
      </w:tr>
    </w:tbl>
    <w:p>
      <w:pPr>
        <w:spacing w:after="0" w:line="285"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244" w:type="dxa"/>
        <w:tblLayout w:type="fixed"/>
        <w:tblCellMar>
          <w:top w:w="0" w:type="dxa"/>
          <w:left w:w="0" w:type="dxa"/>
          <w:bottom w:w="0" w:type="dxa"/>
          <w:right w:w="0" w:type="dxa"/>
        </w:tblCellMar>
        <w:tblLook w:val="01E0"/>
      </w:tblPr>
      <w:tblGrid>
        <w:gridCol w:w="4836"/>
        <w:gridCol w:w="6562"/>
      </w:tblGrid>
      <w:tr>
        <w:trPr>
          <w:trHeight w:val="460"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1"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1962"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80" w:lineRule="auto" w:before="35"/>
              <w:ind w:left="103" w:right="64"/>
              <w:jc w:val="left"/>
              <w:rPr>
                <w:rFonts w:ascii="宋体" w:hAnsi="宋体" w:cs="宋体" w:eastAsia="宋体" w:hint="default"/>
                <w:sz w:val="20"/>
                <w:szCs w:val="20"/>
              </w:rPr>
            </w:pPr>
            <w:r>
              <w:rPr>
                <w:rFonts w:ascii="宋体" w:hAnsi="宋体" w:cs="宋体" w:eastAsia="宋体" w:hint="default"/>
                <w:spacing w:val="-3"/>
                <w:sz w:val="20"/>
                <w:szCs w:val="20"/>
              </w:rPr>
              <w:t>为提高非公开发行股票募集资金投资项目的实施效率，公司扩大募集资金</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1"/>
                <w:sz w:val="20"/>
                <w:szCs w:val="20"/>
              </w:rPr>
              <w:t>投资项目</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智慧城市基地化建设及应用服务项目</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的实施范围，实施主体、</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pacing w:val="-3"/>
                <w:sz w:val="20"/>
                <w:szCs w:val="20"/>
              </w:rPr>
              <w:t>实施方式等均不发生变化。上述扩大募集资金实施范围的议案《关于扩大</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3"/>
                <w:sz w:val="20"/>
                <w:szCs w:val="20"/>
              </w:rPr>
              <w:t>部分募集资金投资项目实施范围的议案》业经公司第四届董事会第四次会</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议、第四届监事会第三次会议审议通过，并经公司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年第二次临时股</w:t>
            </w:r>
            <w:r>
              <w:rPr>
                <w:rFonts w:ascii="宋体" w:hAnsi="宋体" w:cs="宋体" w:eastAsia="宋体" w:hint="default"/>
                <w:w w:val="100"/>
                <w:sz w:val="20"/>
                <w:szCs w:val="20"/>
              </w:rPr>
              <w:t> </w:t>
            </w:r>
            <w:r>
              <w:rPr>
                <w:rFonts w:ascii="宋体" w:hAnsi="宋体" w:cs="宋体" w:eastAsia="宋体" w:hint="default"/>
                <w:sz w:val="20"/>
                <w:szCs w:val="20"/>
              </w:rPr>
              <w:t>东大会审议通过。</w:t>
            </w:r>
          </w:p>
        </w:tc>
      </w:tr>
      <w:tr>
        <w:trPr>
          <w:trHeight w:val="460"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1962"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募集资金投资项目先期投入及置换情况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before="35"/>
              <w:ind w:left="103" w:right="95"/>
              <w:jc w:val="left"/>
              <w:rPr>
                <w:rFonts w:ascii="宋体" w:hAnsi="宋体" w:cs="宋体" w:eastAsia="宋体" w:hint="default"/>
                <w:sz w:val="20"/>
                <w:szCs w:val="20"/>
              </w:rPr>
            </w:pPr>
            <w:r>
              <w:rPr>
                <w:rFonts w:ascii="宋体" w:hAnsi="宋体" w:cs="宋体" w:eastAsia="宋体" w:hint="default"/>
                <w:sz w:val="20"/>
                <w:szCs w:val="20"/>
              </w:rPr>
              <w:t>本次非公开发行股票募集资金投资项目经公司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年度第二次临时股东</w:t>
            </w:r>
            <w:r>
              <w:rPr>
                <w:rFonts w:ascii="宋体" w:hAnsi="宋体" w:cs="宋体" w:eastAsia="宋体" w:hint="default"/>
                <w:w w:val="100"/>
                <w:sz w:val="20"/>
                <w:szCs w:val="20"/>
              </w:rPr>
              <w:t> </w:t>
            </w:r>
            <w:r>
              <w:rPr>
                <w:rFonts w:ascii="宋体" w:hAnsi="宋体" w:cs="宋体" w:eastAsia="宋体" w:hint="default"/>
                <w:spacing w:val="-3"/>
                <w:sz w:val="20"/>
                <w:szCs w:val="20"/>
              </w:rPr>
              <w:t>大会审议通过利用募集资金投资计划。部分募集资金投资项目在募集资金</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实际到位之前已由公司自筹资金先行投入，</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年度公司置换自筹资金</w:t>
            </w:r>
            <w:r>
              <w:rPr>
                <w:rFonts w:ascii="宋体" w:hAnsi="宋体" w:cs="宋体" w:eastAsia="宋体" w:hint="default"/>
                <w:w w:val="100"/>
                <w:sz w:val="20"/>
                <w:szCs w:val="20"/>
              </w:rPr>
              <w:t> </w:t>
            </w:r>
            <w:r>
              <w:rPr>
                <w:rFonts w:ascii="宋体" w:hAnsi="宋体" w:cs="宋体" w:eastAsia="宋体" w:hint="default"/>
                <w:sz w:val="20"/>
                <w:szCs w:val="20"/>
              </w:rPr>
              <w:t>预先投入募投项目的款项金额为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79,519,318.64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元，上述募集资金置换事</w:t>
            </w:r>
            <w:r>
              <w:rPr>
                <w:rFonts w:ascii="宋体" w:hAnsi="宋体" w:cs="宋体" w:eastAsia="宋体" w:hint="default"/>
                <w:w w:val="100"/>
                <w:sz w:val="20"/>
                <w:szCs w:val="20"/>
              </w:rPr>
              <w:t> </w:t>
            </w:r>
            <w:r>
              <w:rPr>
                <w:rFonts w:ascii="宋体" w:hAnsi="宋体" w:cs="宋体" w:eastAsia="宋体" w:hint="default"/>
                <w:spacing w:val="-6"/>
                <w:sz w:val="20"/>
                <w:szCs w:val="20"/>
              </w:rPr>
              <w:t>项业经立信会计师事务所（特殊普通合伙）审核，并出具信会师报字</w:t>
            </w:r>
            <w:r>
              <w:rPr>
                <w:rFonts w:ascii="Times New Roman" w:hAnsi="Times New Roman" w:cs="Times New Roman" w:eastAsia="Times New Roman" w:hint="default"/>
                <w:spacing w:val="-6"/>
                <w:sz w:val="20"/>
                <w:szCs w:val="20"/>
              </w:rPr>
              <w:t>[2015]</w:t>
            </w:r>
            <w:r>
              <w:rPr>
                <w:rFonts w:ascii="Times New Roman" w:hAnsi="Times New Roman" w:cs="Times New Roman" w:eastAsia="Times New Roman" w:hint="default"/>
                <w:spacing w:val="-28"/>
                <w:sz w:val="20"/>
                <w:szCs w:val="20"/>
              </w:rPr>
              <w:t> </w:t>
            </w:r>
            <w:r>
              <w:rPr>
                <w:rFonts w:ascii="Times New Roman" w:hAnsi="Times New Roman" w:cs="Times New Roman" w:eastAsia="Times New Roman" w:hint="default"/>
                <w:spacing w:val="-28"/>
                <w:sz w:val="20"/>
                <w:szCs w:val="20"/>
              </w:rPr>
            </w:r>
            <w:r>
              <w:rPr>
                <w:rFonts w:ascii="宋体" w:hAnsi="宋体" w:cs="宋体" w:eastAsia="宋体" w:hint="default"/>
                <w:sz w:val="20"/>
                <w:szCs w:val="20"/>
              </w:rPr>
              <w:t>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610600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号鉴证报告。</w:t>
            </w:r>
          </w:p>
        </w:tc>
      </w:tr>
      <w:tr>
        <w:trPr>
          <w:trHeight w:val="2898"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用闲置募集资金暂时补充流动资金情况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83" w:lineRule="auto" w:before="35"/>
              <w:ind w:left="103" w:right="95"/>
              <w:jc w:val="left"/>
              <w:rPr>
                <w:rFonts w:ascii="宋体" w:hAnsi="宋体" w:cs="宋体" w:eastAsia="宋体" w:hint="default"/>
                <w:sz w:val="20"/>
                <w:szCs w:val="20"/>
              </w:rPr>
            </w:pPr>
            <w:r>
              <w:rPr>
                <w:rFonts w:ascii="宋体" w:hAnsi="宋体" w:cs="宋体" w:eastAsia="宋体" w:hint="default"/>
                <w:spacing w:val="-3"/>
                <w:sz w:val="20"/>
                <w:szCs w:val="20"/>
              </w:rPr>
              <w:t>为满足公司日常经营资金需求，提高公司募集资金使用效率，在保证募集</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pacing w:val="-3"/>
                <w:sz w:val="20"/>
                <w:szCs w:val="20"/>
              </w:rPr>
              <w:t>资金投资项目的资金需求以及募集资金使用计划正常进行的前提下，结合</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公司目前生产经营情况以及财务状况，拟使用部分闲置募集资金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20,000</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万元用于暂时补充流动资金，使用期限自董事会审议通过之日起不超过</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个月，到期将归还至募集资金专户。上述使用闲置募集资金暂时补充</w:t>
            </w:r>
          </w:p>
          <w:p>
            <w:pPr>
              <w:pStyle w:val="TableParagraph"/>
              <w:spacing w:line="285" w:lineRule="auto"/>
              <w:ind w:left="103" w:right="42"/>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流动资金的议案《关于使用部分闲置募集资金暂时补充流动资金的议案》</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业经公司第四届董事会第十二次会议、第四届监事会第十次会议于</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2017</w:t>
            </w:r>
          </w:p>
          <w:p>
            <w:pPr>
              <w:pStyle w:val="TableParagraph"/>
              <w:spacing w:line="270" w:lineRule="exact"/>
              <w:ind w:left="103"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日审议通过。截至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日，公司已经使用闲置募</w:t>
            </w:r>
          </w:p>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集资金暂时补充流动资金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r>
      <w:tr>
        <w:trPr>
          <w:trHeight w:val="460"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项目实施出现募集资金结余的金额及原因</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1"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460" w:hRule="exact"/>
        </w:trPr>
        <w:tc>
          <w:tcPr>
            <w:tcW w:w="48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募集资金使用及披露中存在的问题或其他情况</w:t>
            </w:r>
          </w:p>
        </w:tc>
        <w:tc>
          <w:tcPr>
            <w:tcW w:w="65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left="317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募集资金变更项目情况" w:id="60"/>
      <w:bookmarkEnd w:id="6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61"/>
      <w:bookmarkEnd w:id="6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62"/>
      <w:bookmarkEnd w:id="6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出售重大股权情况" w:id="63"/>
      <w:bookmarkEnd w:id="6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北京银 泰瑞和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7"/>
              <w:jc w:val="both"/>
              <w:rPr>
                <w:rFonts w:ascii="宋体" w:hAnsi="宋体" w:cs="宋体" w:eastAsia="宋体" w:hint="default"/>
                <w:sz w:val="18"/>
                <w:szCs w:val="18"/>
              </w:rPr>
            </w:pPr>
            <w:r>
              <w:rPr>
                <w:rFonts w:ascii="宋体" w:hAnsi="宋体" w:cs="宋体" w:eastAsia="宋体" w:hint="default"/>
                <w:sz w:val="18"/>
                <w:szCs w:val="18"/>
              </w:rPr>
              <w:t>北京亚 太安讯 科技有 限责任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27,000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积极影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7.67%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市场评 估价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七、主要控股参股公司分析" w:id="64"/>
      <w:bookmarkEnd w:id="6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19610000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30,116,627.3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25,192,496.7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967,381.76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-2,382,656.3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-2,384,350.1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11110000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7,126,702.67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-3,498.59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1,222,553.59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-2,147,134.4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-2,148,336.2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江西银江智 慧城市信息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7,706,763.35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-2,794,697.7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5,206,404.24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-2,018,143.5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-2,018,143.5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西安银江智 慧城市技术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11110000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13,761,757.8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9,709,041.21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6,707,172.43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88,490.11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96,539.16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3,027,367.93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2,641,311.48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-1,836,718.0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-1,836,718.0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2,187,785.75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1,377,710.66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951,564.41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-334,344.75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-375,624.80</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浙江银江云 计算技术有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软件技术开 发服务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11,735,096.2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-642,822.10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9,291,226.42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1,817,257.47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1,955,638.81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医疗咨询服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6278000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877,800.30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61,113.36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-252,737.98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-250,904.58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浙江交通宝 互联网技术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37,409,859.7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-1,447,679.3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11120000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7,414,575.96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2,778,919.85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4,596,491.21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-761,570.22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-717,870.22</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物联网技术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25952800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23,002,286.5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15,673,938.6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-1,338,449.8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-1,334,928.5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9,960,971.92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9,952,797.72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136800000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136,684,984.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136,645,268.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湖北银江智慧城市技术有限公司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浙江银江智慧医疗研究院有限公司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浙江银江智慧交通工程技术研究院有限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浙江银江智慧城市信息技术研究院有限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65"/>
      <w:bookmarkEnd w:id="6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6"/>
      <w:bookmarkEnd w:id="6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3"/>
        <w:jc w:val="left"/>
      </w:pPr>
      <w:r>
        <w:rPr/>
        <w:t>（一）公司所处的行业发展趋势 </w:t>
      </w:r>
      <w:r>
        <w:rPr>
          <w:spacing w:val="-2"/>
        </w:rPr>
        <w:t>智慧城市是城市发展与技术进步的结合，技术的持续进步将有助于城市各项活动的不断改造与持续优化，从而推动智慧城市</w:t>
      </w:r>
      <w:r>
        <w:rPr>
          <w:spacing w:val="-64"/>
        </w:rPr>
        <w:t> </w:t>
      </w:r>
      <w:r>
        <w:rPr>
          <w:spacing w:val="-64"/>
        </w:rPr>
      </w:r>
      <w:r>
        <w:rPr>
          <w:spacing w:val="-2"/>
        </w:rPr>
        <w:t>的建设不断发展。智慧城市以物联网、云计算、大数据、空间地理信息集成等新一代信息技术为基础，通过感知、分析、整</w:t>
      </w:r>
      <w:r>
        <w:rPr>
          <w:spacing w:val="-70"/>
        </w:rPr>
        <w:t> </w:t>
      </w:r>
      <w:r>
        <w:rPr>
          <w:spacing w:val="-70"/>
        </w:rPr>
      </w:r>
      <w:r>
        <w:rPr>
          <w:spacing w:val="-2"/>
        </w:rPr>
        <w:t>合城市运行核心系统的各项关键信息，对城市服务、公共安全、环保、民生、工商业活动在内的各种需求做出智能响应，实</w:t>
      </w:r>
      <w:r>
        <w:rPr>
          <w:spacing w:val="-68"/>
        </w:rPr>
        <w:t> </w:t>
      </w:r>
      <w:r>
        <w:rPr>
          <w:spacing w:val="-68"/>
        </w:rPr>
      </w:r>
      <w:r>
        <w:rPr>
          <w:spacing w:val="-2"/>
        </w:rPr>
        <w:t>现城市规划管理信息化、基础设施智能化、公共服务便捷化。中国的城市化进程、独特的信息技术环境和决策机制为智慧城</w:t>
      </w:r>
      <w:r>
        <w:rPr>
          <w:spacing w:val="-66"/>
        </w:rPr>
        <w:t> </w:t>
      </w:r>
      <w:r>
        <w:rPr>
          <w:spacing w:val="-66"/>
        </w:rPr>
      </w:r>
      <w:r>
        <w:rPr/>
        <w:t>市的发展营造了巨大的想象空间。 在互联网</w:t>
      </w:r>
      <w:r>
        <w:rPr>
          <w:rFonts w:ascii="Times New Roman" w:hAnsi="Times New Roman" w:cs="Times New Roman" w:eastAsia="Times New Roman" w:hint="default"/>
        </w:rPr>
        <w:t>+</w:t>
      </w:r>
      <w:r>
        <w:rPr/>
        <w:t>时代下，智慧城市建设已迈入新阶段，通过发展新一代人工智能技术，深度融合数字经济，推动新型城市建设步 入智慧</w:t>
      </w:r>
      <w:r>
        <w:rPr>
          <w:rFonts w:ascii="Times New Roman" w:hAnsi="Times New Roman" w:cs="Times New Roman" w:eastAsia="Times New Roman" w:hint="default"/>
        </w:rPr>
        <w:t>2.0</w:t>
      </w:r>
      <w:r>
        <w:rPr/>
        <w:t>时代。李克强总理在</w:t>
      </w:r>
      <w:r>
        <w:rPr>
          <w:rFonts w:ascii="Times New Roman" w:hAnsi="Times New Roman" w:cs="Times New Roman" w:eastAsia="Times New Roman" w:hint="default"/>
        </w:rPr>
        <w:t>2017</w:t>
      </w:r>
      <w:r>
        <w:rPr/>
        <w:t>年《政府工作报告》中明确指出：</w:t>
      </w:r>
      <w:r>
        <w:rPr>
          <w:rFonts w:ascii="Times New Roman" w:hAnsi="Times New Roman" w:cs="Times New Roman" w:eastAsia="Times New Roman" w:hint="default"/>
        </w:rPr>
        <w:t>“</w:t>
      </w:r>
      <w:r>
        <w:rPr/>
        <w:t>全面实施战略性新兴产业发展规划，加快新材料、人 工智能、集成电路、生物制药、第五代移动通信等技术研发和转化</w:t>
      </w:r>
      <w:r>
        <w:rPr>
          <w:rFonts w:ascii="Times New Roman" w:hAnsi="Times New Roman" w:cs="Times New Roman" w:eastAsia="Times New Roman" w:hint="default"/>
        </w:rPr>
        <w:t>,</w:t>
      </w:r>
      <w:r>
        <w:rPr/>
        <w:t>做大做强产业集群。</w:t>
      </w:r>
      <w:r>
        <w:rPr>
          <w:rFonts w:ascii="Times New Roman" w:hAnsi="Times New Roman" w:cs="Times New Roman" w:eastAsia="Times New Roman" w:hint="default"/>
        </w:rPr>
        <w:t>”</w:t>
      </w:r>
      <w:r>
        <w:rPr/>
        <w:t>这是</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这一表述第一次进 入政府工作报告。 </w:t>
      </w:r>
      <w:r>
        <w:rPr>
          <w:spacing w:val="-2"/>
        </w:rPr>
        <w:t>如今，人工智能直接作用于城市开始进入人们的视野，</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，便是其中的一种尝试。城市大脑的目标是让数据帮助城</w:t>
      </w:r>
      <w:r>
        <w:rPr>
          <w:spacing w:val="-43"/>
        </w:rPr>
        <w:t> </w:t>
      </w:r>
      <w:r>
        <w:rPr>
          <w:spacing w:val="-43"/>
        </w:rPr>
      </w:r>
      <w:r>
        <w:rPr>
          <w:spacing w:val="-2"/>
        </w:rPr>
        <w:t>市来做思考和决策，将城市打造成一个能够自我调节、与人类良性互动的空间，而城市大脑的内核将进化成为能够治理城市</w:t>
      </w:r>
      <w:r>
        <w:rPr>
          <w:spacing w:val="-66"/>
        </w:rPr>
        <w:t> </w:t>
      </w:r>
      <w:r>
        <w:rPr>
          <w:spacing w:val="-66"/>
        </w:rPr>
      </w:r>
      <w:r>
        <w:rPr>
          <w:spacing w:val="-2"/>
        </w:rPr>
        <w:t>的超级人工智能。在</w:t>
      </w:r>
      <w:r>
        <w:rPr>
          <w:rFonts w:ascii="Times New Roman" w:hAnsi="Times New Roman" w:cs="Times New Roman" w:eastAsia="Times New Roman" w:hint="default"/>
          <w:spacing w:val="-2"/>
        </w:rPr>
        <w:t>2016</w:t>
      </w:r>
      <w:r>
        <w:rPr>
          <w:spacing w:val="-2"/>
        </w:rPr>
        <w:t>年云栖大会上，杭州城市数据大脑（简称</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）项目正式启动。随着新型智慧城市概念的提</w:t>
      </w:r>
      <w:r>
        <w:rPr>
          <w:spacing w:val="-44"/>
        </w:rPr>
        <w:t> </w:t>
      </w:r>
      <w:r>
        <w:rPr>
          <w:spacing w:val="-44"/>
        </w:rPr>
      </w:r>
      <w:r>
        <w:rPr>
          <w:spacing w:val="-2"/>
        </w:rPr>
        <w:t>出，智慧城市建设更为注重的是城市各类信息的共享、城市大数据的挖掘和利用以及城市安全的构建和保障。智慧城市的下</w:t>
      </w:r>
      <w:r>
        <w:rPr>
          <w:spacing w:val="-66"/>
        </w:rPr>
        <w:t> </w:t>
      </w:r>
      <w:r>
        <w:rPr>
          <w:spacing w:val="-66"/>
        </w:rPr>
      </w:r>
      <w:r>
        <w:rPr/>
        <w:t>一步就是要加强对城市数据的挖掘，搭配数据的合理配比，理顺数据的流动方向，做好数据的更新，利用数据的巨大价值， 开发数据的广泛应用，有效发挥大数据在</w:t>
      </w:r>
      <w:r>
        <w:rPr>
          <w:rFonts w:ascii="Times New Roman" w:hAnsi="Times New Roman" w:cs="Times New Roman" w:eastAsia="Times New Roman" w:hint="default"/>
        </w:rPr>
        <w:t>“</w:t>
      </w:r>
      <w:r>
        <w:rPr/>
        <w:t>善政、惠民、兴业</w:t>
      </w:r>
      <w:r>
        <w:rPr>
          <w:rFonts w:ascii="Times New Roman" w:hAnsi="Times New Roman" w:cs="Times New Roman" w:eastAsia="Times New Roman" w:hint="default"/>
        </w:rPr>
        <w:t>”</w:t>
      </w:r>
      <w:r>
        <w:rPr/>
        <w:t>等方面的作用。</w:t>
      </w:r>
    </w:p>
    <w:p>
      <w:pPr>
        <w:pStyle w:val="BodyText"/>
        <w:spacing w:line="240" w:lineRule="auto" w:before="3"/>
        <w:ind w:right="0"/>
        <w:jc w:val="left"/>
      </w:pPr>
      <w:r>
        <w:rPr/>
        <w:t>（二）公司未来发展战略及</w:t>
      </w:r>
      <w:r>
        <w:rPr>
          <w:rFonts w:ascii="Times New Roman" w:hAnsi="Times New Roman" w:cs="Times New Roman" w:eastAsia="Times New Roman" w:hint="default"/>
        </w:rPr>
        <w:t>2018</w:t>
      </w:r>
      <w:r>
        <w:rPr/>
        <w:t>年经营计划</w:t>
      </w:r>
    </w:p>
    <w:p>
      <w:pPr>
        <w:pStyle w:val="BodyText"/>
        <w:spacing w:line="304" w:lineRule="auto" w:before="63"/>
        <w:ind w:right="0"/>
        <w:jc w:val="left"/>
      </w:pPr>
      <w:r>
        <w:rPr>
          <w:rFonts w:ascii="Times New Roman" w:hAnsi="Times New Roman" w:cs="Times New Roman" w:eastAsia="Times New Roman" w:hint="default"/>
        </w:rPr>
        <w:t>1</w:t>
      </w:r>
      <w:r>
        <w:rPr/>
        <w:t>、公司未来发展战略 </w:t>
      </w:r>
      <w:r>
        <w:rPr>
          <w:spacing w:val="-3"/>
        </w:rPr>
        <w:t>公司作为智慧城市大脑建设运营服务商，始终秉承</w:t>
      </w:r>
      <w:r>
        <w:rPr>
          <w:rFonts w:ascii="Times New Roman" w:hAnsi="Times New Roman" w:cs="Times New Roman" w:eastAsia="Times New Roman" w:hint="default"/>
          <w:spacing w:val="-3"/>
        </w:rPr>
        <w:t>“</w:t>
      </w:r>
      <w:r>
        <w:rPr>
          <w:spacing w:val="-3"/>
        </w:rPr>
        <w:t>共创、共享、共赢</w:t>
      </w:r>
      <w:r>
        <w:rPr>
          <w:rFonts w:ascii="Times New Roman" w:hAnsi="Times New Roman" w:cs="Times New Roman" w:eastAsia="Times New Roman" w:hint="default"/>
          <w:spacing w:val="-3"/>
        </w:rPr>
        <w:t>”</w:t>
      </w:r>
      <w:r>
        <w:rPr>
          <w:spacing w:val="-3"/>
        </w:rPr>
        <w:t>的企业理念，努力推进智慧经济发展，让城市更美丽，</w:t>
      </w:r>
      <w:r>
        <w:rPr>
          <w:spacing w:val="-78"/>
        </w:rPr>
        <w:t> </w:t>
      </w:r>
      <w:r>
        <w:rPr>
          <w:spacing w:val="-78"/>
        </w:rPr>
      </w:r>
      <w:r>
        <w:rPr/>
        <w:t>让生活更美好。公司将继续围绕</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的核心战略，继续贯彻执行平台战略、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城市</w:t>
      </w:r>
      <w:r>
        <w:rPr>
          <w:rFonts w:ascii="Times New Roman" w:hAnsi="Times New Roman" w:cs="Times New Roman" w:eastAsia="Times New Roman" w:hint="default"/>
        </w:rPr>
        <w:t>”</w:t>
      </w:r>
      <w:r>
        <w:rPr/>
        <w:t>战略，构建平台型 </w:t>
      </w:r>
      <w:r>
        <w:rPr>
          <w:spacing w:val="-2"/>
        </w:rPr>
        <w:t>生态企业体系，完善并深化智慧城市整体解决方案，提升公司在系统建设、软件交付、运营服务方面的核心竞争力，促进公</w:t>
      </w:r>
      <w:r>
        <w:rPr>
          <w:spacing w:val="-66"/>
        </w:rPr>
        <w:t> </w:t>
      </w:r>
      <w:r>
        <w:rPr>
          <w:spacing w:val="-66"/>
        </w:rPr>
      </w:r>
      <w:r>
        <w:rPr/>
        <w:t>司核心价值、核心能力、核心技术、核心客户、核心案例的全面提升。</w:t>
      </w:r>
    </w:p>
    <w:p>
      <w:pPr>
        <w:pStyle w:val="BodyText"/>
        <w:spacing w:line="300" w:lineRule="auto" w:before="28"/>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年经营计划 根据公司的战略规划，</w:t>
      </w:r>
      <w:r>
        <w:rPr>
          <w:rFonts w:ascii="Times New Roman" w:hAnsi="Times New Roman" w:cs="Times New Roman" w:eastAsia="Times New Roman" w:hint="default"/>
        </w:rPr>
        <w:t>2018</w:t>
      </w:r>
      <w:r>
        <w:rPr/>
        <w:t>年公司总体经营思路是巩固现有业务，继续开拓新领域新产品业务，围绕</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w:t>
      </w:r>
      <w:r>
        <w:rPr>
          <w:spacing w:val="-74"/>
        </w:rPr>
        <w:t> </w:t>
      </w:r>
      <w:r>
        <w:rPr/>
        <w:t>核心战略，实现智慧城市建设、维护、运营和服务全过程发展，持续提升公司综合竞争力。</w:t>
      </w:r>
      <w:r>
        <w:rPr>
          <w:rFonts w:ascii="Times New Roman" w:hAnsi="Times New Roman" w:cs="Times New Roman" w:eastAsia="Times New Roman" w:hint="default"/>
        </w:rPr>
        <w:t>2018</w:t>
      </w:r>
      <w:r>
        <w:rPr/>
        <w:t>年度重点工作计划如下：</w:t>
      </w:r>
    </w:p>
    <w:p>
      <w:pPr>
        <w:pStyle w:val="BodyText"/>
        <w:spacing w:line="314" w:lineRule="auto" w:before="13"/>
        <w:ind w:left="1134" w:right="1032"/>
        <w:jc w:val="left"/>
      </w:pPr>
      <w:r>
        <w:rPr/>
        <w:t>（</w:t>
      </w:r>
      <w:r>
        <w:rPr>
          <w:rFonts w:ascii="Times New Roman" w:hAnsi="Times New Roman" w:cs="Times New Roman" w:eastAsia="Times New Roman" w:hint="default"/>
        </w:rPr>
        <w:t>1</w:t>
      </w:r>
      <w:r>
        <w:rPr/>
        <w:t>）巩固现有业务，大力开拓新业务 </w:t>
      </w:r>
      <w:r>
        <w:rPr>
          <w:spacing w:val="-2"/>
        </w:rPr>
        <w:t>公司及各控股子公司将在巩固现有业务的基础上，不断加强新领域市场拓展和新产品开发力度，努力提升各领域的市场地位</w:t>
      </w:r>
      <w:r>
        <w:rPr>
          <w:spacing w:val="-64"/>
        </w:rPr>
        <w:t> </w:t>
      </w:r>
      <w:r>
        <w:rPr>
          <w:spacing w:val="-64"/>
        </w:rPr>
      </w:r>
      <w:r>
        <w:rPr>
          <w:spacing w:val="-4"/>
        </w:rPr>
        <w:t>和影响力；同时公司将统筹各方面资源，根据各业务发展需要提供必要支持，力争旗下产业链各子公司均能实现持续、健康、</w:t>
      </w:r>
      <w:r>
        <w:rPr>
          <w:spacing w:val="-46"/>
        </w:rPr>
        <w:t> </w:t>
      </w:r>
      <w:r>
        <w:rPr>
          <w:spacing w:val="-46"/>
        </w:rPr>
      </w:r>
      <w:r>
        <w:rPr/>
        <w:t>稳定发展，从而带动公司整体效益的进一步提升。公司以智慧城市大脑为推进主体，深耕交通大脑和健康大脑的行业应用， </w:t>
      </w:r>
      <w:r>
        <w:rPr>
          <w:spacing w:val="-2"/>
        </w:rPr>
        <w:t>开拓司法大脑等行业创新应用，通过线上与线下相结合做全行业应用做深行业技术，通过系统建设与运营服务业务同步发展</w:t>
      </w:r>
      <w:r>
        <w:rPr>
          <w:spacing w:val="-64"/>
        </w:rPr>
        <w:t> </w:t>
      </w:r>
      <w:r>
        <w:rPr>
          <w:spacing w:val="-64"/>
        </w:rPr>
      </w:r>
      <w:r>
        <w:rPr/>
        <w:t>实现公司主营业务的新发展。</w:t>
      </w:r>
    </w:p>
    <w:p>
      <w:pPr>
        <w:pStyle w:val="BodyText"/>
        <w:spacing w:line="314" w:lineRule="auto" w:before="20"/>
        <w:ind w:left="1134" w:right="0"/>
        <w:jc w:val="left"/>
      </w:pPr>
      <w:r>
        <w:rPr/>
        <w:t>（</w:t>
      </w:r>
      <w:r>
        <w:rPr>
          <w:rFonts w:ascii="Times New Roman" w:hAnsi="Times New Roman" w:cs="Times New Roman" w:eastAsia="Times New Roman" w:hint="default"/>
        </w:rPr>
        <w:t>2</w:t>
      </w:r>
      <w:r>
        <w:rPr/>
        <w:t>）推动产业整合，构建平台化体系 </w:t>
      </w:r>
      <w:r>
        <w:rPr>
          <w:spacing w:val="-2"/>
        </w:rPr>
        <w:t>在基本实现了智慧城市生态圈全产业链布局后，公司未来将着力加强整合工作。由于投资并购纳入公司旗下的各子公司整合</w:t>
      </w:r>
      <w:r>
        <w:rPr>
          <w:spacing w:val="-64"/>
        </w:rPr>
        <w:t> </w:t>
      </w:r>
      <w:r>
        <w:rPr>
          <w:spacing w:val="-64"/>
        </w:rPr>
      </w:r>
      <w:r>
        <w:rPr>
          <w:spacing w:val="-2"/>
        </w:rPr>
        <w:t>时间较短，与公司在企业文化、管理方式、发展规划等方面都需要加强融合。公司一方面将在内部管理方面全面提升以适应</w:t>
      </w:r>
      <w:r>
        <w:rPr>
          <w:spacing w:val="-66"/>
        </w:rPr>
        <w:t> </w:t>
      </w:r>
      <w:r>
        <w:rPr>
          <w:spacing w:val="-66"/>
        </w:rPr>
      </w:r>
      <w:r>
        <w:rPr>
          <w:spacing w:val="-2"/>
        </w:rPr>
        <w:t>未来平台化运作的要求，另一方面也将加强对各子公司的规范化治理和一体化方向指导，加强业务协同，减少重复投资，降</w:t>
      </w:r>
      <w:r>
        <w:rPr>
          <w:spacing w:val="-66"/>
        </w:rPr>
        <w:t> </w:t>
      </w:r>
      <w:r>
        <w:rPr>
          <w:spacing w:val="-66"/>
        </w:rPr>
      </w:r>
      <w:r>
        <w:rPr>
          <w:spacing w:val="-2"/>
        </w:rPr>
        <w:t>低运营成本，提升对公司及各子公司资源的利用效率，为充分发挥协同效应创造良好条件。如产业整合不佳，公司也会适时</w:t>
      </w:r>
      <w:r>
        <w:rPr>
          <w:spacing w:val="-66"/>
        </w:rPr>
        <w:t> </w:t>
      </w:r>
      <w:r>
        <w:rPr>
          <w:spacing w:val="-66"/>
        </w:rPr>
      </w:r>
      <w:r>
        <w:rPr>
          <w:spacing w:val="-2"/>
        </w:rPr>
        <w:t>考虑退出机制。同时，公司仍然重视外延式发展，根据产业发展动态和公司业务发展情况，利用上市公司资本市场平台，结</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合自身优势资源，不断探索行业内外可持续发展的新机会，继续通过投资与辅导、收购与兼并、子公司新三板挂牌等多种方</w:t>
      </w:r>
      <w:r>
        <w:rPr>
          <w:spacing w:val="-66"/>
        </w:rPr>
        <w:t> </w:t>
      </w:r>
      <w:r>
        <w:rPr>
          <w:spacing w:val="-66"/>
        </w:rPr>
      </w:r>
      <w:r>
        <w:rPr/>
        <w:t>式，充分整合上下游资源，进一步完善产业布局，全面提升盈利模式和盈利水平。</w:t>
      </w:r>
    </w:p>
    <w:p>
      <w:pPr>
        <w:pStyle w:val="BodyText"/>
        <w:spacing w:line="314" w:lineRule="auto" w:before="19"/>
        <w:ind w:left="1134" w:right="1032"/>
        <w:jc w:val="left"/>
      </w:pPr>
      <w:r>
        <w:rPr/>
        <w:t>（</w:t>
      </w:r>
      <w:r>
        <w:rPr>
          <w:rFonts w:ascii="Times New Roman" w:hAnsi="Times New Roman" w:cs="Times New Roman" w:eastAsia="Times New Roman" w:hint="default"/>
        </w:rPr>
        <w:t>3</w:t>
      </w:r>
      <w:r>
        <w:rPr/>
        <w:t>）注重科技创新，加速科技成果转化 公司研发团队将与各业务部门紧密联系，以市场为导向，结合行业发展趋势及客户新需求，充分借助国家级企业技术中心、 </w:t>
      </w:r>
      <w:r>
        <w:rPr>
          <w:spacing w:val="-2"/>
        </w:rPr>
        <w:t>院士专家工作站和国家级企业博士后工作站等技术平台，与国内著名高等院校、科研院所和行业专家学者紧密合作，推进科</w:t>
      </w:r>
      <w:r>
        <w:rPr>
          <w:spacing w:val="-66"/>
        </w:rPr>
        <w:t> </w:t>
      </w:r>
      <w:r>
        <w:rPr>
          <w:spacing w:val="-66"/>
        </w:rPr>
      </w:r>
      <w:r>
        <w:rPr>
          <w:spacing w:val="-2"/>
        </w:rPr>
        <w:t>技成果转化，运用人工智能、大数据、云计算等技术，重点打造面向城市民生服务和城市管理的城市大数据资源共享技术支</w:t>
      </w:r>
      <w:r>
        <w:rPr>
          <w:spacing w:val="-66"/>
        </w:rPr>
        <w:t> </w:t>
      </w:r>
      <w:r>
        <w:rPr>
          <w:spacing w:val="-66"/>
        </w:rPr>
      </w:r>
      <w:r>
        <w:rPr/>
        <w:t>撑平台和规模化市场应用，为公司的业务升级和发展提供强大的技术和产品支撑能力。</w:t>
      </w:r>
    </w:p>
    <w:p>
      <w:pPr>
        <w:pStyle w:val="BodyText"/>
        <w:spacing w:line="312" w:lineRule="auto" w:before="20"/>
        <w:ind w:left="1134" w:right="1032"/>
        <w:jc w:val="left"/>
      </w:pPr>
      <w:r>
        <w:rPr/>
        <w:t>（</w:t>
      </w:r>
      <w:r>
        <w:rPr>
          <w:rFonts w:ascii="Times New Roman" w:hAnsi="Times New Roman" w:cs="Times New Roman" w:eastAsia="Times New Roman" w:hint="default"/>
        </w:rPr>
        <w:t>4</w:t>
      </w:r>
      <w:r>
        <w:rPr/>
        <w:t>）优化中高层次人才队伍，推动企业文化建设 当前是公司在战略转型升级和长足发展的关键时期，新的业务领域需要更多优秀的中高层次人才，特别是技术方面的人才。 </w:t>
      </w:r>
      <w:r>
        <w:rPr>
          <w:spacing w:val="-2"/>
        </w:rPr>
        <w:t>公司继续推进</w:t>
      </w:r>
      <w:r>
        <w:rPr>
          <w:rFonts w:ascii="Times New Roman" w:hAnsi="Times New Roman" w:cs="Times New Roman" w:eastAsia="Times New Roman" w:hint="default"/>
          <w:spacing w:val="-2"/>
        </w:rPr>
        <w:t>“</w:t>
      </w:r>
      <w:r>
        <w:rPr>
          <w:spacing w:val="-2"/>
        </w:rPr>
        <w:t>银江合伙人计划</w:t>
      </w:r>
      <w:r>
        <w:rPr>
          <w:rFonts w:ascii="Times New Roman" w:hAnsi="Times New Roman" w:cs="Times New Roman" w:eastAsia="Times New Roman" w:hint="default"/>
          <w:spacing w:val="-2"/>
        </w:rPr>
        <w:t>”</w:t>
      </w:r>
      <w:r>
        <w:rPr>
          <w:spacing w:val="-2"/>
        </w:rPr>
        <w:t>，使股东、管理层、骨干员工的利益进一步趋同，为公司的持续发展提供制度性和政策性的</w:t>
      </w:r>
      <w:r>
        <w:rPr>
          <w:spacing w:val="-44"/>
        </w:rPr>
        <w:t> </w:t>
      </w:r>
      <w:r>
        <w:rPr>
          <w:spacing w:val="-44"/>
        </w:rPr>
      </w:r>
      <w:r>
        <w:rPr/>
        <w:t>保障环境。 </w:t>
      </w:r>
      <w:r>
        <w:rPr>
          <w:spacing w:val="-2"/>
        </w:rPr>
        <w:t>此外，公司还将持续推进企业文化建设，营造积极向上的文化氛围，增强员工凝聚力，不断提升员工的归属感认同感，充分</w:t>
      </w:r>
      <w:r>
        <w:rPr>
          <w:spacing w:val="-66"/>
        </w:rPr>
        <w:t> </w:t>
      </w:r>
      <w:r>
        <w:rPr>
          <w:spacing w:val="-66"/>
        </w:rPr>
      </w:r>
      <w:r>
        <w:rPr/>
        <w:t>体现公司的核心价值观。</w:t>
      </w:r>
    </w:p>
    <w:p>
      <w:pPr>
        <w:pStyle w:val="BodyText"/>
        <w:spacing w:line="240" w:lineRule="auto" w:before="22"/>
        <w:ind w:left="1134" w:right="0"/>
        <w:jc w:val="left"/>
      </w:pPr>
      <w:r>
        <w:rPr/>
        <w:t>（三）风险因素</w:t>
      </w:r>
    </w:p>
    <w:p>
      <w:pPr>
        <w:pStyle w:val="BodyText"/>
        <w:spacing w:line="314" w:lineRule="auto" w:before="76"/>
        <w:ind w:right="1118"/>
        <w:jc w:val="left"/>
      </w:pPr>
      <w:r>
        <w:rPr>
          <w:rFonts w:ascii="Times New Roman" w:hAnsi="Times New Roman" w:cs="Times New Roman" w:eastAsia="Times New Roman" w:hint="default"/>
        </w:rPr>
        <w:t>1</w:t>
      </w:r>
      <w:r>
        <w:rPr/>
        <w:t>、政策性风险 </w:t>
      </w:r>
      <w:r>
        <w:rPr>
          <w:spacing w:val="-2"/>
        </w:rPr>
        <w:t>公司所处智慧城市建设相关行业与国家宏观经济运行状况密切，公司的发展与国民经济运行状况呈正相关性，公司的多数客</w:t>
      </w:r>
      <w:r>
        <w:rPr>
          <w:spacing w:val="-64"/>
        </w:rPr>
        <w:t> </w:t>
      </w:r>
      <w:r>
        <w:rPr>
          <w:spacing w:val="-64"/>
        </w:rPr>
      </w:r>
      <w:r>
        <w:rPr/>
        <w:t>户为政府客户，所以国家宏观调控政策的力度、经济复苏振兴政策的力度都直接和间接影响公司主营业务和公司客户。 </w:t>
      </w:r>
      <w:r>
        <w:rPr>
          <w:spacing w:val="-2"/>
        </w:rPr>
        <w:t>应对措施：为减少因行业集中形成的风险，公司更积极增加各相关细分行业的投入，筛选优质客户，并选择信誉好、财政充</w:t>
      </w:r>
      <w:r>
        <w:rPr>
          <w:spacing w:val="-66"/>
        </w:rPr>
        <w:t> </w:t>
      </w:r>
      <w:r>
        <w:rPr>
          <w:spacing w:val="-66"/>
        </w:rPr>
      </w:r>
      <w:r>
        <w:rPr/>
        <w:t>足的客户共同合作，规避客户风险。</w:t>
      </w:r>
    </w:p>
    <w:p>
      <w:pPr>
        <w:pStyle w:val="BodyText"/>
        <w:spacing w:line="312" w:lineRule="auto" w:before="20"/>
        <w:ind w:right="0"/>
        <w:jc w:val="left"/>
      </w:pPr>
      <w:r>
        <w:rPr>
          <w:rFonts w:ascii="Times New Roman" w:hAnsi="Times New Roman" w:cs="Times New Roman" w:eastAsia="Times New Roman" w:hint="default"/>
        </w:rPr>
        <w:t>2</w:t>
      </w:r>
      <w:r>
        <w:rPr/>
        <w:t>、核心人员流失风险 </w:t>
      </w:r>
      <w:r>
        <w:rPr>
          <w:spacing w:val="-2"/>
        </w:rPr>
        <w:t>行业技术变革日新月异和市场竞争的不断加剧，特别是大数据和互联网的产业兴起，对公司的市场开拓、技术储备和人才储</w:t>
      </w:r>
      <w:r>
        <w:rPr>
          <w:spacing w:val="-66"/>
        </w:rPr>
        <w:t> </w:t>
      </w:r>
      <w:r>
        <w:rPr>
          <w:spacing w:val="-66"/>
        </w:rPr>
      </w:r>
      <w:r>
        <w:rPr>
          <w:spacing w:val="-2"/>
        </w:rPr>
        <w:t>备带来一定的挑战。如果公司不能有效保持和完善核心人员的激励机制，将会影响到核心人员积极性、创造性的发挥，也会</w:t>
      </w:r>
      <w:r>
        <w:rPr>
          <w:spacing w:val="-66"/>
        </w:rPr>
        <w:t> </w:t>
      </w:r>
      <w:r>
        <w:rPr>
          <w:spacing w:val="-66"/>
        </w:rPr>
      </w:r>
      <w:r>
        <w:rPr/>
        <w:t>影响到核心团队后备力量的建设，造成人才流失，从而给公司的生产经营造成不利影响。 </w:t>
      </w:r>
      <w:r>
        <w:rPr>
          <w:spacing w:val="-2"/>
        </w:rPr>
        <w:t>应对措施：人才资源是公司核心竞争力，公司把对外部高端人才的引进和对内部骨干及后备人才的培养提到了战略高度，建</w:t>
      </w:r>
      <w:r>
        <w:rPr>
          <w:spacing w:val="-66"/>
        </w:rPr>
        <w:t> </w:t>
      </w:r>
      <w:r>
        <w:rPr>
          <w:spacing w:val="-66"/>
        </w:rPr>
      </w:r>
      <w:r>
        <w:rPr>
          <w:spacing w:val="-3"/>
        </w:rPr>
        <w:t>立了完善的人才聘用及管理、激励制度，并通过股权激励、员工持股计划、子公司改制来稳定核心技术人才队伍。公司的</w:t>
      </w:r>
      <w:r>
        <w:rPr>
          <w:rFonts w:ascii="Times New Roman" w:hAnsi="Times New Roman" w:cs="Times New Roman" w:eastAsia="Times New Roman" w:hint="default"/>
          <w:spacing w:val="-3"/>
        </w:rPr>
        <w:t>“</w:t>
      </w:r>
      <w:r>
        <w:rPr>
          <w:spacing w:val="-3"/>
        </w:rPr>
        <w:t>银</w:t>
      </w:r>
      <w:r>
        <w:rPr/>
        <w:t> </w:t>
      </w:r>
      <w:r>
        <w:rPr>
          <w:spacing w:val="-2"/>
        </w:rPr>
        <w:t>江合伙人计划</w:t>
      </w:r>
      <w:r>
        <w:rPr>
          <w:rFonts w:ascii="Times New Roman" w:hAnsi="Times New Roman" w:cs="Times New Roman" w:eastAsia="Times New Roman" w:hint="default"/>
          <w:spacing w:val="-2"/>
        </w:rPr>
        <w:t>”</w:t>
      </w:r>
      <w:r>
        <w:rPr>
          <w:spacing w:val="-2"/>
        </w:rPr>
        <w:t>通过选择合适的全资和控股子公司股权改造，实现子公司经营管理层持有其所经营的子公司适当比例的股权，</w:t>
      </w:r>
      <w:r>
        <w:rPr>
          <w:spacing w:val="-52"/>
        </w:rPr>
        <w:t> </w:t>
      </w:r>
      <w:r>
        <w:rPr>
          <w:spacing w:val="-52"/>
        </w:rPr>
      </w:r>
      <w:r>
        <w:rPr>
          <w:spacing w:val="-2"/>
        </w:rPr>
        <w:t>使股东、管理层、骨干员工的利益进一步趋同，为公司的持续发展提供制度性和政策性的保障环境。公司自上市以来，核心</w:t>
      </w:r>
      <w:r>
        <w:rPr>
          <w:spacing w:val="-66"/>
        </w:rPr>
        <w:t> </w:t>
      </w:r>
      <w:r>
        <w:rPr>
          <w:spacing w:val="-66"/>
        </w:rPr>
      </w:r>
      <w:r>
        <w:rPr/>
        <w:t>人员稳定，流失风险较小。</w:t>
      </w:r>
    </w:p>
    <w:p>
      <w:pPr>
        <w:pStyle w:val="BodyText"/>
        <w:spacing w:line="314" w:lineRule="auto" w:before="22"/>
        <w:ind w:right="0"/>
        <w:jc w:val="left"/>
      </w:pPr>
      <w:r>
        <w:rPr>
          <w:rFonts w:ascii="Times New Roman" w:hAnsi="Times New Roman" w:cs="Times New Roman" w:eastAsia="Times New Roman" w:hint="default"/>
        </w:rPr>
        <w:t>3</w:t>
      </w:r>
      <w:r>
        <w:rPr/>
        <w:t>、智慧城市业务模式的风险 </w:t>
      </w:r>
      <w:r>
        <w:rPr>
          <w:spacing w:val="-2"/>
        </w:rPr>
        <w:t>智慧城市建设主导者是城市管理者即地方政府或政府有关部门，而受益者则是城市的主体即城市中的企业和市民。由于智慧</w:t>
      </w:r>
      <w:r>
        <w:rPr>
          <w:spacing w:val="-64"/>
        </w:rPr>
        <w:t> </w:t>
      </w:r>
      <w:r>
        <w:rPr>
          <w:spacing w:val="-64"/>
        </w:rPr>
      </w:r>
      <w:r>
        <w:rPr>
          <w:spacing w:val="-2"/>
        </w:rPr>
        <w:t>城市总包项目投资总金额大、项目建设周期长、项目所涉及的地方政府下属部门或分支机构较多、智慧城市总包合同仅为较</w:t>
      </w:r>
      <w:r>
        <w:rPr>
          <w:spacing w:val="-66"/>
        </w:rPr>
        <w:t> </w:t>
      </w:r>
      <w:r>
        <w:rPr>
          <w:spacing w:val="-66"/>
        </w:rPr>
      </w:r>
      <w:r>
        <w:rPr>
          <w:spacing w:val="-2"/>
        </w:rPr>
        <w:t>笼统的框架性协议，因此智慧城市总包业务模式存在政府换届或国家政策调整变化、地方政府财政紧张导致投入延迟或无法</w:t>
      </w:r>
      <w:r>
        <w:rPr>
          <w:spacing w:val="-64"/>
        </w:rPr>
        <w:t> </w:t>
      </w:r>
      <w:r>
        <w:rPr>
          <w:spacing w:val="-64"/>
        </w:rPr>
      </w:r>
      <w:r>
        <w:rPr/>
        <w:t>持续投入、费用控制不力、公司现金流压力和回款压力等因素造成项目部分或全部无法实施或延期的风险。 </w:t>
      </w:r>
      <w:r>
        <w:rPr>
          <w:spacing w:val="-2"/>
        </w:rPr>
        <w:t>应对措施：公司会持续密切关注国家政策和相关法律法规规章制度在智慧城市建设方面的变化，选择地方财政和信誉情况较</w:t>
      </w:r>
      <w:r>
        <w:rPr>
          <w:spacing w:val="-64"/>
        </w:rPr>
        <w:t> </w:t>
      </w:r>
      <w:r>
        <w:rPr>
          <w:spacing w:val="-64"/>
        </w:rPr>
      </w:r>
      <w:r>
        <w:rPr>
          <w:spacing w:val="-2"/>
        </w:rPr>
        <w:t>好的地区开拓业务市场，由专门的工作小组跟进总包业务项目，及时向公司管理层反馈项目进展情况，按照项目计划严格控</w:t>
      </w:r>
      <w:r>
        <w:rPr>
          <w:spacing w:val="-66"/>
        </w:rPr>
        <w:t> </w:t>
      </w:r>
      <w:r>
        <w:rPr>
          <w:spacing w:val="-66"/>
        </w:rPr>
      </w:r>
      <w:r>
        <w:rPr/>
        <w:t>制项目费用和成本投入，并以</w:t>
      </w:r>
      <w:r>
        <w:rPr>
          <w:rFonts w:ascii="Times New Roman" w:hAnsi="Times New Roman" w:cs="Times New Roman" w:eastAsia="Times New Roman" w:hint="default"/>
        </w:rPr>
        <w:t>“</w:t>
      </w:r>
      <w:r>
        <w:rPr/>
        <w:t>质量优先、风险为上</w:t>
      </w:r>
      <w:r>
        <w:rPr>
          <w:rFonts w:ascii="Times New Roman" w:hAnsi="Times New Roman" w:cs="Times New Roman" w:eastAsia="Times New Roman" w:hint="default"/>
        </w:rPr>
        <w:t>”</w:t>
      </w:r>
      <w:r>
        <w:rPr/>
        <w:t>为指导原则，对于风险可能较大的总包业务项目采取</w:t>
      </w:r>
      <w:r>
        <w:rPr>
          <w:rFonts w:ascii="Times New Roman" w:hAnsi="Times New Roman" w:cs="Times New Roman" w:eastAsia="Times New Roman" w:hint="default"/>
        </w:rPr>
        <w:t>“</w:t>
      </w:r>
      <w:r>
        <w:rPr/>
        <w:t>宁可暂缓、宁可</w:t>
      </w:r>
      <w:r>
        <w:rPr>
          <w:spacing w:val="-54"/>
        </w:rPr>
        <w:t> </w:t>
      </w:r>
      <w:r>
        <w:rPr>
          <w:spacing w:val="-54"/>
        </w:rPr>
      </w:r>
      <w:r>
        <w:rPr/>
        <w:t>放弃、不可强求</w:t>
      </w:r>
      <w:r>
        <w:rPr>
          <w:rFonts w:ascii="Times New Roman" w:hAnsi="Times New Roman" w:cs="Times New Roman" w:eastAsia="Times New Roman" w:hint="default"/>
        </w:rPr>
        <w:t>”</w:t>
      </w:r>
      <w:r>
        <w:rPr/>
        <w:t>的执行原则，降低总包业务风险。</w:t>
      </w:r>
    </w:p>
    <w:p>
      <w:pPr>
        <w:pStyle w:val="BodyText"/>
        <w:spacing w:line="314" w:lineRule="auto" w:before="1"/>
        <w:ind w:left="1134" w:right="1032"/>
        <w:jc w:val="left"/>
      </w:pPr>
      <w:r>
        <w:rPr>
          <w:rFonts w:ascii="Times New Roman" w:hAnsi="Times New Roman" w:cs="Times New Roman" w:eastAsia="Times New Roman" w:hint="default"/>
        </w:rPr>
        <w:t>4</w:t>
      </w:r>
      <w:r>
        <w:rPr/>
        <w:t>、投资并购及管理风险 </w:t>
      </w:r>
      <w:r>
        <w:rPr>
          <w:spacing w:val="-2"/>
        </w:rPr>
        <w:t>为了公司发展战略及规划的需要，公司及公司全资子公司或产业基金于相继完成多个公司的股权投资和并购，但投资并购本</w:t>
      </w:r>
      <w:r>
        <w:rPr>
          <w:spacing w:val="-64"/>
        </w:rPr>
        <w:t> </w:t>
      </w:r>
      <w:r>
        <w:rPr>
          <w:spacing w:val="-64"/>
        </w:rPr>
      </w:r>
      <w:r>
        <w:rPr/>
        <w:t>身就是一种风险较高的商业活动。随着投资并购项目的不断增多，公司与被投资并购的企业之间存在业务模式、管理制度、 </w:t>
      </w:r>
      <w:r>
        <w:rPr>
          <w:spacing w:val="-2"/>
        </w:rPr>
        <w:t>企业文化上的差异，异地管理带来的管控风险、团队的稳定性风险等因素都给公司管理带来新的挑战。同时，公司对外投资</w:t>
      </w:r>
      <w:r>
        <w:rPr>
          <w:spacing w:val="-66"/>
        </w:rPr>
        <w:t> </w:t>
      </w:r>
      <w:r>
        <w:rPr>
          <w:spacing w:val="-66"/>
        </w:rPr>
      </w:r>
      <w:r>
        <w:rPr>
          <w:spacing w:val="-2"/>
        </w:rPr>
        <w:t>并购时，存在项目本身承诺利润能否实现、商誉减值、市场政策变化及法律等方面的风险因素。若因宏观经济环境的恶化或</w:t>
      </w:r>
      <w:r>
        <w:rPr>
          <w:spacing w:val="-66"/>
        </w:rPr>
        <w:t> </w:t>
      </w:r>
      <w:r>
        <w:rPr>
          <w:spacing w:val="-66"/>
        </w:rPr>
      </w:r>
      <w:r>
        <w:rPr>
          <w:spacing w:val="-2"/>
        </w:rPr>
        <w:t>被收购公司的经营出现风险，相关收购形成的商誉将对公司年度经营业绩产生不利影响。应对措施：公司在投资并购方面采</w:t>
      </w:r>
      <w:r>
        <w:rPr>
          <w:spacing w:val="-66"/>
        </w:rPr>
        <w:t> </w:t>
      </w:r>
      <w:r>
        <w:rPr>
          <w:spacing w:val="-66"/>
        </w:rPr>
      </w:r>
      <w:r>
        <w:rPr>
          <w:spacing w:val="-2"/>
        </w:rPr>
        <w:t>取较为稳健的投资策略，审慎选择投资标的，投前做好市场以及收购对象的尽职调查工作，并完善投资并购协议以减少法律</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风险，投后发挥协同效应实现其价值，从而不断提升公司盈利能力和市场规模。对于尚未实现盈利的子公司，公司已充分意</w:t>
      </w:r>
      <w:r>
        <w:rPr>
          <w:spacing w:val="-66"/>
        </w:rPr>
        <w:t> </w:t>
      </w:r>
      <w:r>
        <w:rPr>
          <w:spacing w:val="-66"/>
        </w:rPr>
      </w:r>
      <w:r>
        <w:rPr>
          <w:spacing w:val="-2"/>
        </w:rPr>
        <w:t>识到潜在的商誉减值风险，将从收购源头开始控制风险，最大限度地降低可能的商誉减值风险。同时，公司将加强内部控制</w:t>
      </w:r>
      <w:r>
        <w:rPr>
          <w:spacing w:val="-66"/>
        </w:rPr>
        <w:t> </w:t>
      </w:r>
      <w:r>
        <w:rPr>
          <w:spacing w:val="-66"/>
        </w:rPr>
      </w:r>
      <w:r>
        <w:rPr/>
        <w:t>尤其是风险控制体系建设，以面对公司规模扩大后所带来的管理风险。</w:t>
      </w:r>
    </w:p>
    <w:p>
      <w:pPr>
        <w:pStyle w:val="BodyText"/>
        <w:spacing w:line="309" w:lineRule="auto" w:before="19"/>
        <w:ind w:left="1134" w:right="0"/>
        <w:jc w:val="left"/>
      </w:pPr>
      <w:r>
        <w:rPr>
          <w:rFonts w:ascii="Times New Roman" w:hAnsi="Times New Roman" w:cs="Times New Roman" w:eastAsia="Times New Roman" w:hint="default"/>
        </w:rPr>
        <w:t>5</w:t>
      </w:r>
      <w:r>
        <w:rPr/>
        <w:t>、商业模式创新风险 凡是创新就一定具有不确定性，就一定存在风险。目前公司业务采用的是智慧城市项目建设</w:t>
      </w:r>
      <w:r>
        <w:rPr>
          <w:rFonts w:ascii="Times New Roman" w:hAnsi="Times New Roman" w:cs="Times New Roman" w:eastAsia="Times New Roman" w:hint="default"/>
        </w:rPr>
        <w:t>+</w:t>
      </w:r>
      <w:r>
        <w:rPr/>
        <w:t>业务总包</w:t>
      </w:r>
      <w:r>
        <w:rPr>
          <w:rFonts w:ascii="Times New Roman" w:hAnsi="Times New Roman" w:cs="Times New Roman" w:eastAsia="Times New Roman" w:hint="default"/>
        </w:rPr>
        <w:t>+</w:t>
      </w:r>
      <w:r>
        <w:rPr/>
        <w:t>数据运营服务三结</w:t>
      </w:r>
      <w:r>
        <w:rPr>
          <w:spacing w:val="-24"/>
        </w:rPr>
        <w:t> </w:t>
      </w:r>
      <w:r>
        <w:rPr>
          <w:spacing w:val="-24"/>
        </w:rPr>
      </w:r>
      <w:r>
        <w:rPr>
          <w:spacing w:val="-2"/>
        </w:rPr>
        <w:t>合的商业模式，无论是政府出资企业建设模式，或政府和企业共同出资建设模式，或政府规划第三方建设和运营模式，均存</w:t>
      </w:r>
      <w:r>
        <w:rPr>
          <w:spacing w:val="-66"/>
        </w:rPr>
        <w:t> </w:t>
      </w:r>
      <w:r>
        <w:rPr>
          <w:spacing w:val="-66"/>
        </w:rPr>
      </w:r>
      <w:r>
        <w:rPr>
          <w:spacing w:val="-2"/>
        </w:rPr>
        <w:t>在不同利弊和风险。同时，智慧城市的运营和服务是智慧城市推进面临的最大挑战之一，是全行业企业都需要探索的新业务</w:t>
      </w:r>
      <w:r>
        <w:rPr>
          <w:spacing w:val="-66"/>
        </w:rPr>
        <w:t> </w:t>
      </w:r>
      <w:r>
        <w:rPr>
          <w:spacing w:val="-66"/>
        </w:rPr>
      </w:r>
      <w:r>
        <w:rPr/>
        <w:t>和新模式，存在大量的不确定性。</w:t>
      </w:r>
    </w:p>
    <w:p>
      <w:pPr>
        <w:pStyle w:val="BodyText"/>
        <w:spacing w:line="307" w:lineRule="auto" w:before="24"/>
        <w:ind w:right="1114"/>
        <w:jc w:val="left"/>
      </w:pPr>
      <w:r>
        <w:rPr/>
        <w:t>应对措施： </w:t>
      </w:r>
      <w:r>
        <w:rPr>
          <w:spacing w:val="-2"/>
        </w:rPr>
        <w:t>公司会密切关注与行业相关的国家政策法规的跟踪与研究，在现有智慧城市项目商业模式的基础上，根据市场和行业发展需</w:t>
      </w:r>
      <w:r>
        <w:rPr>
          <w:spacing w:val="-64"/>
        </w:rPr>
        <w:t> </w:t>
      </w:r>
      <w:r>
        <w:rPr>
          <w:spacing w:val="-64"/>
        </w:rPr>
      </w:r>
      <w:r>
        <w:rPr/>
        <w:t>求，采取</w:t>
      </w:r>
      <w:r>
        <w:rPr>
          <w:rFonts w:ascii="Times New Roman" w:hAnsi="Times New Roman" w:cs="Times New Roman" w:eastAsia="Times New Roman" w:hint="default"/>
        </w:rPr>
        <w:t>“</w:t>
      </w:r>
      <w:r>
        <w:rPr/>
        <w:t>存量</w:t>
      </w:r>
      <w:r>
        <w:rPr>
          <w:rFonts w:ascii="Times New Roman" w:hAnsi="Times New Roman" w:cs="Times New Roman" w:eastAsia="Times New Roman" w:hint="default"/>
        </w:rPr>
        <w:t>”</w:t>
      </w:r>
      <w:r>
        <w:rPr/>
        <w:t>业务和</w:t>
      </w:r>
      <w:r>
        <w:rPr>
          <w:rFonts w:ascii="Times New Roman" w:hAnsi="Times New Roman" w:cs="Times New Roman" w:eastAsia="Times New Roman" w:hint="default"/>
        </w:rPr>
        <w:t>“</w:t>
      </w:r>
      <w:r>
        <w:rPr/>
        <w:t>增量</w:t>
      </w:r>
      <w:r>
        <w:rPr>
          <w:rFonts w:ascii="Times New Roman" w:hAnsi="Times New Roman" w:cs="Times New Roman" w:eastAsia="Times New Roman" w:hint="default"/>
        </w:rPr>
        <w:t>”</w:t>
      </w:r>
      <w:r>
        <w:rPr/>
        <w:t>业务并重且比例优化的经营方式，在保证</w:t>
      </w:r>
      <w:r>
        <w:rPr>
          <w:rFonts w:ascii="Times New Roman" w:hAnsi="Times New Roman" w:cs="Times New Roman" w:eastAsia="Times New Roman" w:hint="default"/>
        </w:rPr>
        <w:t>“</w:t>
      </w:r>
      <w:r>
        <w:rPr/>
        <w:t>存量</w:t>
      </w:r>
      <w:r>
        <w:rPr>
          <w:rFonts w:ascii="Times New Roman" w:hAnsi="Times New Roman" w:cs="Times New Roman" w:eastAsia="Times New Roman" w:hint="default"/>
        </w:rPr>
        <w:t>”</w:t>
      </w:r>
      <w:r>
        <w:rPr/>
        <w:t>业务体量的基础上，逐步提升</w:t>
      </w:r>
      <w:r>
        <w:rPr>
          <w:rFonts w:ascii="Times New Roman" w:hAnsi="Times New Roman" w:cs="Times New Roman" w:eastAsia="Times New Roman" w:hint="default"/>
        </w:rPr>
        <w:t>“</w:t>
      </w:r>
      <w:r>
        <w:rPr/>
        <w:t>增量</w:t>
      </w:r>
      <w:r>
        <w:rPr>
          <w:rFonts w:ascii="Times New Roman" w:hAnsi="Times New Roman" w:cs="Times New Roman" w:eastAsia="Times New Roman" w:hint="default"/>
        </w:rPr>
        <w:t>”</w:t>
      </w:r>
      <w:r>
        <w:rPr/>
        <w:t>业务</w:t>
      </w:r>
      <w:r>
        <w:rPr>
          <w:rFonts w:ascii="Times New Roman" w:hAnsi="Times New Roman" w:cs="Times New Roman" w:eastAsia="Times New Roman" w:hint="default"/>
        </w:rPr>
        <w:t>—— </w:t>
      </w:r>
      <w:r>
        <w:rPr/>
        <w:t>大型软件支持和交付、运维</w:t>
      </w:r>
      <w:r>
        <w:rPr>
          <w:rFonts w:ascii="Times New Roman" w:hAnsi="Times New Roman" w:cs="Times New Roman" w:eastAsia="Times New Roman" w:hint="default"/>
        </w:rPr>
        <w:t>/</w:t>
      </w:r>
      <w:r>
        <w:rPr/>
        <w:t>数据运营服务的业务占比，待</w:t>
      </w:r>
      <w:r>
        <w:rPr>
          <w:rFonts w:ascii="Times New Roman" w:hAnsi="Times New Roman" w:cs="Times New Roman" w:eastAsia="Times New Roman" w:hint="default"/>
        </w:rPr>
        <w:t>“</w:t>
      </w:r>
      <w:r>
        <w:rPr/>
        <w:t>增量</w:t>
      </w:r>
      <w:r>
        <w:rPr>
          <w:rFonts w:ascii="Times New Roman" w:hAnsi="Times New Roman" w:cs="Times New Roman" w:eastAsia="Times New Roman" w:hint="default"/>
        </w:rPr>
        <w:t>”</w:t>
      </w:r>
      <w:r>
        <w:rPr/>
        <w:t>业务的商业模式得到充分验证后再大规模推进，由此可以</w:t>
      </w:r>
      <w:r>
        <w:rPr>
          <w:spacing w:val="-36"/>
        </w:rPr>
        <w:t> </w:t>
      </w:r>
      <w:r>
        <w:rPr>
          <w:spacing w:val="-36"/>
        </w:rPr>
      </w:r>
      <w:r>
        <w:rPr/>
        <w:t>尽可能降低由于商业模式创新风险对公司可能带来的影响。 </w:t>
      </w:r>
      <w:r>
        <w:rPr>
          <w:rFonts w:ascii="Times New Roman" w:hAnsi="Times New Roman" w:cs="Times New Roman" w:eastAsia="Times New Roman" w:hint="default"/>
        </w:rPr>
        <w:t>6</w:t>
      </w:r>
      <w:r>
        <w:rPr/>
        <w:t>、诉讼执行结果不确定和应补偿股份注销完成时间不确定的风险 </w:t>
      </w:r>
      <w:r>
        <w:rPr>
          <w:spacing w:val="-2"/>
        </w:rPr>
        <w:t>截止本公告披露日，公司与李欣的上市公司收购纠纷一案及公司与李欣的上市公司收购纠纷一案的衍生诉讼案件</w:t>
      </w:r>
      <w:r>
        <w:rPr>
          <w:rFonts w:ascii="Times New Roman" w:hAnsi="Times New Roman" w:cs="Times New Roman" w:eastAsia="Times New Roman" w:hint="default"/>
          <w:spacing w:val="-2"/>
        </w:rPr>
        <w:t>——</w:t>
      </w:r>
      <w:r>
        <w:rPr>
          <w:spacing w:val="-2"/>
        </w:rPr>
        <w:t>本公司</w:t>
      </w:r>
      <w:r>
        <w:rPr>
          <w:spacing w:val="-63"/>
        </w:rPr>
        <w:t> </w:t>
      </w:r>
      <w:r>
        <w:rPr>
          <w:spacing w:val="-2"/>
        </w:rPr>
        <w:t>与浙商资管、李欣案外人执行异议之诉的终审裁判结果虽均已作出，但司法执行结果存在不确定性，李欣应补偿股份的注销</w:t>
      </w:r>
      <w:r>
        <w:rPr>
          <w:spacing w:val="-66"/>
        </w:rPr>
        <w:t> </w:t>
      </w:r>
      <w:r>
        <w:rPr>
          <w:spacing w:val="-66"/>
        </w:rPr>
      </w:r>
      <w:r>
        <w:rPr/>
        <w:t>完成时间亦存在不确定性。目前李欣共持有公司股份</w:t>
      </w:r>
      <w:r>
        <w:rPr>
          <w:rFonts w:ascii="Times New Roman" w:hAnsi="Times New Roman" w:cs="Times New Roman" w:eastAsia="Times New Roman" w:hint="default"/>
        </w:rPr>
        <w:t>27,835,840</w:t>
      </w:r>
      <w:r>
        <w:rPr/>
        <w:t>股全部处于司法冻结状态。 应对措施：以保护上市公司基本利益，维护广大投资者合法权益为前提，公司将积极应对案件执行过程中的所有可能性。</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登记表" w:id="67"/>
      <w:bookmarkEnd w:id="67"/>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8"/>
      <w:bookmarkEnd w:id="6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五节 重要事项" w:id="69"/>
      <w:bookmarkEnd w:id="69"/>
      <w:r>
        <w:rPr>
          <w:b w:val="0"/>
          <w:bCs w:val="0"/>
        </w:rPr>
      </w:r>
      <w:bookmarkStart w:name="_bookmark3" w:id="70"/>
      <w:bookmarkEnd w:id="7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71"/>
      <w:bookmarkEnd w:id="7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45" w:lineRule="auto" w:before="117"/>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、利润分配政策的调整 报告期内，利润分配政策未发生调整。 </w:t>
      </w:r>
      <w:r>
        <w:rPr>
          <w:rFonts w:ascii="Times New Roman" w:hAnsi="Times New Roman" w:cs="Times New Roman" w:eastAsia="Times New Roman" w:hint="default"/>
        </w:rPr>
        <w:t>2</w:t>
      </w:r>
      <w:r>
        <w:rPr/>
        <w:t>、利润分配政策的执行</w:t>
      </w:r>
    </w:p>
    <w:p>
      <w:pPr>
        <w:pStyle w:val="BodyText"/>
        <w:spacing w:line="240" w:lineRule="auto" w:before="1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日，公司</w:t>
      </w:r>
      <w:r>
        <w:rPr>
          <w:spacing w:val="-3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年度股东大会审议通过了《</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年度利润分配预案</w:t>
      </w:r>
      <w:r>
        <w:rPr>
          <w:spacing w:val="-90"/>
        </w:rPr>
        <w:t>》</w:t>
      </w:r>
      <w:r>
        <w:rPr/>
        <w:t>：以</w:t>
      </w:r>
      <w:r>
        <w:rPr>
          <w:spacing w:val="-3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年末公司总股本</w:t>
      </w:r>
      <w:r>
        <w:rPr>
          <w:spacing w:val="-33"/>
        </w:rPr>
        <w:t> </w:t>
      </w:r>
      <w:r>
        <w:rPr>
          <w:rFonts w:ascii="Times New Roman" w:hAnsi="Times New Roman" w:cs="Times New Roman" w:eastAsia="Times New Roman" w:hint="default"/>
        </w:rPr>
        <w:t>655,789,086</w:t>
      </w:r>
    </w:p>
    <w:p>
      <w:pPr>
        <w:pStyle w:val="BodyText"/>
        <w:spacing w:line="240" w:lineRule="auto" w:before="63"/>
        <w:ind w:right="0"/>
        <w:jc w:val="left"/>
      </w:pPr>
      <w:r>
        <w:rPr/>
        <w:t>股为基数，按每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r>
        <w:rPr>
          <w:spacing w:val="-2"/>
        </w:rPr>
        <w:t>现</w:t>
      </w:r>
      <w:r>
        <w:rPr/>
        <w:t>金股利人民币</w:t>
      </w:r>
      <w:r>
        <w:rPr>
          <w:spacing w:val="-44"/>
        </w:rPr>
        <w:t> </w:t>
      </w:r>
      <w:r>
        <w:rPr>
          <w:rFonts w:ascii="Times New Roman" w:hAnsi="Times New Roman" w:cs="Times New Roman" w:eastAsia="Times New Roman" w:hint="default"/>
        </w:rPr>
        <w:t>0.5</w:t>
      </w:r>
      <w:r>
        <w:rPr>
          <w:rFonts w:ascii="Times New Roman" w:hAnsi="Times New Roman" w:cs="Times New Roman" w:eastAsia="Times New Roman" w:hint="default"/>
          <w:spacing w:val="2"/>
        </w:rPr>
        <w:t> </w:t>
      </w:r>
      <w:r>
        <w:rPr/>
        <w:t>元（含税</w:t>
      </w:r>
      <w:r>
        <w:rPr>
          <w:spacing w:val="-90"/>
        </w:rPr>
        <w:t>）</w:t>
      </w:r>
      <w:r>
        <w:rPr>
          <w:spacing w:val="-2"/>
        </w:rPr>
        <w:t>，</w:t>
      </w:r>
      <w:r>
        <w:rPr/>
        <w:t>共计</w:t>
      </w:r>
      <w:r>
        <w:rPr>
          <w:spacing w:val="-43"/>
        </w:rPr>
        <w:t> </w:t>
      </w:r>
      <w:r>
        <w:rPr>
          <w:rFonts w:ascii="Times New Roman" w:hAnsi="Times New Roman" w:cs="Times New Roman" w:eastAsia="Times New Roman" w:hint="default"/>
        </w:rPr>
        <w:t>32,789,45</w:t>
      </w:r>
      <w:r>
        <w:rPr>
          <w:rFonts w:ascii="Times New Roman" w:hAnsi="Times New Roman" w:cs="Times New Roman" w:eastAsia="Times New Roman" w:hint="default"/>
          <w:spacing w:val="-2"/>
        </w:rPr>
        <w:t>4</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元（含税</w:t>
      </w:r>
      <w:r>
        <w:rPr>
          <w:spacing w:val="-92"/>
        </w:rPr>
        <w:t>）</w:t>
      </w:r>
      <w:r>
        <w:rPr/>
        <w:t>，剩余未分配利润结转以后年度分</w:t>
      </w:r>
    </w:p>
    <w:p>
      <w:pPr>
        <w:pStyle w:val="BodyText"/>
        <w:spacing w:line="240" w:lineRule="auto" w:before="64"/>
        <w:ind w:right="0"/>
        <w:jc w:val="left"/>
      </w:pPr>
      <w:r>
        <w:rPr>
          <w:spacing w:val="-3"/>
        </w:rPr>
        <w:t>配。本次权益分配方案已于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日实施完毕。上述现金分红政策符合公司章程的规定，独立董事发表了独立意见。</w:t>
      </w:r>
    </w:p>
    <w:p>
      <w:pPr>
        <w:spacing w:line="240" w:lineRule="auto" w:before="13"/>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655,789,086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852,547,787.47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714" w:lineRule="exact"/>
        <w:ind w:left="1134"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45pt;height:35.7pt;mso-position-horizontal-relative:char;mso-position-vertical-relative:line" type="#_x0000_t202" filled="false" stroked="true" strokeweight=".48pt" strokecolor="#000000">
            <w10:anchorlock/>
            <v:textbox inset="0,0,0,0">
              <w:txbxContent>
                <w:p>
                  <w:pPr>
                    <w:pStyle w:val="BodyText"/>
                    <w:spacing w:line="240" w:lineRule="auto" w:before="51"/>
                    <w:ind w:left="22"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年度利润分配预案：拟以</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年末的公司总股本</w:t>
                  </w:r>
                  <w:r>
                    <w:rPr>
                      <w:spacing w:val="-49"/>
                    </w:rPr>
                    <w:t> </w:t>
                  </w:r>
                  <w:r>
                    <w:rPr>
                      <w:rFonts w:ascii="Times New Roman" w:hAnsi="Times New Roman" w:cs="Times New Roman" w:eastAsia="Times New Roman" w:hint="default"/>
                    </w:rPr>
                    <w:t>655,789,086</w:t>
                  </w:r>
                  <w:r>
                    <w:rPr>
                      <w:rFonts w:ascii="Times New Roman" w:hAnsi="Times New Roman" w:cs="Times New Roman" w:eastAsia="Times New Roman" w:hint="default"/>
                      <w:spacing w:val="-4"/>
                    </w:rPr>
                    <w:t> </w:t>
                  </w:r>
                  <w:r>
                    <w:rPr/>
                    <w:t>股为基数，按每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股派发现金股利人民币</w:t>
                  </w:r>
                  <w:r>
                    <w:rPr>
                      <w:spacing w:val="-49"/>
                    </w:rPr>
                    <w:t> </w:t>
                  </w:r>
                  <w:r>
                    <w:rPr>
                      <w:rFonts w:ascii="Times New Roman" w:hAnsi="Times New Roman" w:cs="Times New Roman" w:eastAsia="Times New Roman" w:hint="default"/>
                    </w:rPr>
                    <w:t>0.50</w:t>
                  </w:r>
                  <w:r>
                    <w:rPr>
                      <w:rFonts w:ascii="Times New Roman" w:hAnsi="Times New Roman" w:cs="Times New Roman" w:eastAsia="Times New Roman" w:hint="default"/>
                      <w:spacing w:val="-4"/>
                    </w:rPr>
                    <w:t> </w:t>
                  </w:r>
                  <w:r>
                    <w:rPr>
                      <w:spacing w:val="-3"/>
                    </w:rPr>
                    <w:t>元（含</w:t>
                  </w:r>
                </w:p>
                <w:p>
                  <w:pPr>
                    <w:pStyle w:val="BodyText"/>
                    <w:spacing w:line="240" w:lineRule="auto" w:before="64"/>
                    <w:ind w:left="22" w:right="0"/>
                    <w:jc w:val="left"/>
                  </w:pPr>
                  <w:r>
                    <w:rPr/>
                    <w:t>税</w:t>
                  </w:r>
                  <w:r>
                    <w:rPr>
                      <w:spacing w:val="-90"/>
                    </w:rPr>
                    <w:t>）</w:t>
                  </w:r>
                  <w:r>
                    <w:rPr/>
                    <w:t>，共计</w:t>
                  </w:r>
                  <w:r>
                    <w:rPr>
                      <w:spacing w:val="-46"/>
                    </w:rPr>
                    <w:t> </w:t>
                  </w:r>
                  <w:r>
                    <w:rPr>
                      <w:rFonts w:ascii="Times New Roman" w:hAnsi="Times New Roman" w:cs="Times New Roman" w:eastAsia="Times New Roman" w:hint="default"/>
                    </w:rPr>
                    <w:t>32,789,454.30 </w:t>
                  </w:r>
                  <w:r>
                    <w:rPr/>
                    <w:t>元</w:t>
                  </w:r>
                  <w:r>
                    <w:rPr>
                      <w:spacing w:val="-2"/>
                    </w:rPr>
                    <w:t>（</w:t>
                  </w:r>
                  <w:r>
                    <w:rPr/>
                    <w:t>含税</w:t>
                  </w:r>
                  <w:r>
                    <w:rPr>
                      <w:spacing w:val="-90"/>
                    </w:rPr>
                    <w:t>）</w:t>
                  </w:r>
                  <w:r>
                    <w:rPr/>
                    <w:t>，剩余未分配利润结转以后年度分配。本预案还需提交公司</w:t>
                  </w:r>
                  <w:r>
                    <w:rPr>
                      <w:spacing w:val="-45"/>
                    </w:rPr>
                    <w:t> </w:t>
                  </w:r>
                  <w:r>
                    <w:rPr>
                      <w:rFonts w:ascii="Times New Roman" w:hAnsi="Times New Roman" w:cs="Times New Roman" w:eastAsia="Times New Roman" w:hint="default"/>
                    </w:rPr>
                    <w:t>2017 </w:t>
                  </w:r>
                  <w:r>
                    <w:rPr/>
                    <w:t>年度股东大会审议。</w:t>
                  </w:r>
                </w:p>
              </w:txbxContent>
            </v:textbox>
          </v:shape>
        </w:pict>
      </w:r>
      <w:r>
        <w:rPr>
          <w:rFonts w:ascii="宋体" w:hAnsi="宋体" w:cs="宋体" w:eastAsia="宋体" w:hint="default"/>
          <w:position w:val="-13"/>
          <w:sz w:val="20"/>
          <w:szCs w:val="20"/>
        </w:rPr>
      </w:r>
    </w:p>
    <w:p>
      <w:pPr>
        <w:pStyle w:val="BodyText"/>
        <w:spacing w:line="240" w:lineRule="auto" w:before="56"/>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日，公司召开了</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年度股东大会，审议通过了</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年度利润分配预案：以</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日的公司</w:t>
      </w:r>
    </w:p>
    <w:p>
      <w:pPr>
        <w:pStyle w:val="BodyText"/>
        <w:spacing w:line="240" w:lineRule="auto" w:before="64"/>
        <w:ind w:right="0"/>
        <w:jc w:val="left"/>
      </w:pPr>
      <w:r>
        <w:rPr/>
        <w:t>总股本</w:t>
      </w:r>
      <w:r>
        <w:rPr>
          <w:spacing w:val="-46"/>
        </w:rPr>
        <w:t> </w:t>
      </w:r>
      <w:r>
        <w:rPr>
          <w:rFonts w:ascii="Times New Roman" w:hAnsi="Times New Roman" w:cs="Times New Roman" w:eastAsia="Times New Roman" w:hint="default"/>
        </w:rPr>
        <w:t>655,789</w:t>
      </w:r>
      <w:r>
        <w:rPr>
          <w:rFonts w:ascii="Times New Roman" w:hAnsi="Times New Roman" w:cs="Times New Roman" w:eastAsia="Times New Roman" w:hint="default"/>
          <w:spacing w:val="-1"/>
        </w:rPr>
        <w:t>,</w:t>
      </w:r>
      <w:r>
        <w:rPr>
          <w:rFonts w:ascii="Times New Roman" w:hAnsi="Times New Roman" w:cs="Times New Roman" w:eastAsia="Times New Roman" w:hint="default"/>
        </w:rPr>
        <w:t>086</w:t>
      </w:r>
      <w:r>
        <w:rPr>
          <w:rFonts w:ascii="Times New Roman" w:hAnsi="Times New Roman" w:cs="Times New Roman" w:eastAsia="Times New Roman" w:hint="default"/>
          <w:spacing w:val="-1"/>
        </w:rPr>
        <w:t> </w:t>
      </w:r>
      <w:r>
        <w:rPr/>
        <w:t>股为基数，每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r>
        <w:rPr>
          <w:spacing w:val="1"/>
        </w:rPr>
        <w:t>现</w:t>
      </w:r>
      <w:r>
        <w:rPr/>
        <w:t>金股利人民币</w:t>
      </w:r>
      <w:r>
        <w:rPr>
          <w:spacing w:val="-46"/>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元（含税</w:t>
      </w:r>
      <w:r>
        <w:rPr>
          <w:spacing w:val="-90"/>
        </w:rPr>
        <w:t>）</w:t>
      </w:r>
      <w:r>
        <w:rPr/>
        <w:t>，共分配现金股利</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1</w:t>
      </w:r>
      <w:r>
        <w:rPr>
          <w:rFonts w:ascii="Times New Roman" w:hAnsi="Times New Roman" w:cs="Times New Roman" w:eastAsia="Times New Roman" w:hint="default"/>
        </w:rPr>
        <w:t>15,781.</w:t>
      </w:r>
      <w:r>
        <w:rPr>
          <w:rFonts w:ascii="Times New Roman" w:hAnsi="Times New Roman" w:cs="Times New Roman" w:eastAsia="Times New Roman" w:hint="default"/>
          <w:spacing w:val="-2"/>
        </w:rPr>
        <w:t>7</w:t>
      </w:r>
      <w:r>
        <w:rPr>
          <w:rFonts w:ascii="Times New Roman" w:hAnsi="Times New Roman" w:cs="Times New Roman" w:eastAsia="Times New Roman" w:hint="default"/>
        </w:rPr>
        <w:t>2 </w:t>
      </w:r>
      <w:r>
        <w:rPr/>
        <w:t>元（含税</w:t>
      </w:r>
      <w:r>
        <w:rPr>
          <w:spacing w:val="-90"/>
        </w:rPr>
        <w:t>）</w:t>
      </w:r>
      <w:r>
        <w:rPr/>
        <w:t>。</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spacing w:val="-90"/>
        </w:rPr>
        <w:t>、</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spacing w:val="-68"/>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日</w:t>
      </w:r>
      <w:r>
        <w:rPr>
          <w:spacing w:val="-90"/>
        </w:rPr>
        <w:t>，</w:t>
      </w:r>
      <w:r>
        <w:rPr/>
        <w:t>公司召开了</w:t>
      </w:r>
      <w:r>
        <w:rPr>
          <w:spacing w:val="-6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年度</w:t>
      </w:r>
      <w:r>
        <w:rPr>
          <w:spacing w:val="1"/>
        </w:rPr>
        <w:t>股</w:t>
      </w:r>
      <w:r>
        <w:rPr/>
        <w:t>东大会</w:t>
      </w:r>
      <w:r>
        <w:rPr>
          <w:spacing w:val="-90"/>
        </w:rPr>
        <w:t>，</w:t>
      </w:r>
      <w:r>
        <w:rPr/>
        <w:t>审议通过了</w:t>
      </w:r>
      <w:r>
        <w:rPr>
          <w:spacing w:val="-6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w:t>
      </w:r>
      <w:r>
        <w:rPr>
          <w:spacing w:val="1"/>
        </w:rPr>
        <w:t>度</w:t>
      </w:r>
      <w:r>
        <w:rPr/>
        <w:t>利润分配预案</w:t>
      </w:r>
      <w:r>
        <w:rPr>
          <w:spacing w:val="-90"/>
        </w:rPr>
        <w:t>：</w:t>
      </w:r>
      <w:r>
        <w:rPr/>
        <w:t>以</w:t>
      </w:r>
      <w:r>
        <w:rPr>
          <w:spacing w:val="-6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年末</w:t>
      </w:r>
      <w:r>
        <w:rPr>
          <w:spacing w:val="1"/>
        </w:rPr>
        <w:t>公</w:t>
      </w:r>
      <w:r>
        <w:rPr/>
        <w:t>司总股本</w:t>
      </w:r>
      <w:r>
        <w:rPr>
          <w:spacing w:val="-68"/>
        </w:rPr>
        <w:t> </w:t>
      </w:r>
      <w:r>
        <w:rPr>
          <w:rFonts w:ascii="Times New Roman" w:hAnsi="Times New Roman" w:cs="Times New Roman" w:eastAsia="Times New Roman" w:hint="default"/>
        </w:rPr>
        <w:t>655,789,086</w:t>
      </w:r>
    </w:p>
    <w:p>
      <w:pPr>
        <w:pStyle w:val="BodyText"/>
        <w:spacing w:line="240" w:lineRule="auto" w:before="64"/>
        <w:ind w:right="0"/>
        <w:jc w:val="left"/>
      </w:pPr>
      <w:r>
        <w:rPr/>
        <w:t>股为基数，按每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r>
        <w:rPr>
          <w:spacing w:val="1"/>
        </w:rPr>
        <w:t>现</w:t>
      </w:r>
      <w:r>
        <w:rPr/>
        <w:t>金股利人民币</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元（含税</w:t>
      </w:r>
      <w:r>
        <w:rPr>
          <w:spacing w:val="-90"/>
        </w:rPr>
        <w:t>）</w:t>
      </w:r>
      <w:r>
        <w:rPr/>
        <w:t>，共分配现金股利</w:t>
      </w:r>
      <w:r>
        <w:rPr>
          <w:spacing w:val="-46"/>
        </w:rPr>
        <w:t> </w:t>
      </w:r>
      <w:r>
        <w:rPr>
          <w:rFonts w:ascii="Times New Roman" w:hAnsi="Times New Roman" w:cs="Times New Roman" w:eastAsia="Times New Roman" w:hint="default"/>
        </w:rPr>
        <w:t>32,789,454.</w:t>
      </w:r>
      <w:r>
        <w:rPr>
          <w:rFonts w:ascii="Times New Roman" w:hAnsi="Times New Roman" w:cs="Times New Roman" w:eastAsia="Times New Roman" w:hint="default"/>
          <w:spacing w:val="-2"/>
        </w:rPr>
        <w:t>3</w:t>
      </w:r>
      <w:r>
        <w:rPr>
          <w:rFonts w:ascii="Times New Roman" w:hAnsi="Times New Roman" w:cs="Times New Roman" w:eastAsia="Times New Roman" w:hint="default"/>
        </w:rPr>
        <w:t>0 </w:t>
      </w:r>
      <w:r>
        <w:rPr/>
        <w:t>元（含税</w:t>
      </w:r>
      <w:r>
        <w:rPr>
          <w:spacing w:val="-90"/>
        </w:rPr>
        <w:t>）</w:t>
      </w:r>
      <w:r>
        <w:rPr/>
        <w:t>。</w:t>
      </w:r>
    </w:p>
    <w:p>
      <w:pPr>
        <w:pStyle w:val="BodyText"/>
        <w:spacing w:line="240" w:lineRule="auto" w:before="102"/>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日，公司召开了第四届董事会第十六次会议，审议通过了</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年度利润分配预案：拟以</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年末的公</w:t>
      </w:r>
    </w:p>
    <w:p>
      <w:pPr>
        <w:pStyle w:val="BodyText"/>
        <w:spacing w:line="240" w:lineRule="auto" w:before="63"/>
        <w:ind w:right="0"/>
        <w:jc w:val="left"/>
      </w:pPr>
      <w:r>
        <w:rPr/>
        <w:t>司总股本</w:t>
      </w:r>
      <w:r>
        <w:rPr>
          <w:spacing w:val="-44"/>
        </w:rPr>
        <w:t> </w:t>
      </w:r>
      <w:r>
        <w:rPr>
          <w:rFonts w:ascii="Times New Roman" w:hAnsi="Times New Roman" w:cs="Times New Roman" w:eastAsia="Times New Roman" w:hint="default"/>
        </w:rPr>
        <w:t>655,789,086</w:t>
      </w:r>
      <w:r>
        <w:rPr>
          <w:rFonts w:ascii="Times New Roman" w:hAnsi="Times New Roman" w:cs="Times New Roman" w:eastAsia="Times New Roman" w:hint="default"/>
          <w:spacing w:val="1"/>
        </w:rPr>
        <w:t> </w:t>
      </w:r>
      <w:r>
        <w:rPr/>
        <w:t>股为基数，按每</w:t>
      </w:r>
      <w:r>
        <w:rPr>
          <w:spacing w:val="-45"/>
        </w:rPr>
        <w:t> </w:t>
      </w:r>
      <w:r>
        <w:rPr>
          <w:rFonts w:ascii="Times New Roman" w:hAnsi="Times New Roman" w:cs="Times New Roman" w:eastAsia="Times New Roman" w:hint="default"/>
        </w:rPr>
        <w:t>10 </w:t>
      </w:r>
      <w:r>
        <w:rPr>
          <w:spacing w:val="1"/>
        </w:rPr>
        <w:t>股</w:t>
      </w:r>
      <w:r>
        <w:rPr/>
        <w:t>派发现金股利人民币</w:t>
      </w:r>
      <w:r>
        <w:rPr>
          <w:spacing w:val="-44"/>
        </w:rPr>
        <w:t> </w:t>
      </w:r>
      <w:r>
        <w:rPr>
          <w:rFonts w:ascii="Times New Roman" w:hAnsi="Times New Roman" w:cs="Times New Roman" w:eastAsia="Times New Roman" w:hint="default"/>
        </w:rPr>
        <w:t>0.50 </w:t>
      </w:r>
      <w:r>
        <w:rPr/>
        <w:t>元（含税</w:t>
      </w:r>
      <w:r>
        <w:rPr>
          <w:spacing w:val="-90"/>
        </w:rPr>
        <w:t>）</w:t>
      </w:r>
      <w:r>
        <w:rPr/>
        <w:t>，共计</w:t>
      </w:r>
      <w:r>
        <w:rPr>
          <w:spacing w:val="-45"/>
        </w:rPr>
        <w:t> </w:t>
      </w:r>
      <w:r>
        <w:rPr>
          <w:rFonts w:ascii="Times New Roman" w:hAnsi="Times New Roman" w:cs="Times New Roman" w:eastAsia="Times New Roman" w:hint="default"/>
        </w:rPr>
        <w:t>32,789,45</w:t>
      </w:r>
      <w:r>
        <w:rPr>
          <w:rFonts w:ascii="Times New Roman" w:hAnsi="Times New Roman" w:cs="Times New Roman" w:eastAsia="Times New Roman" w:hint="default"/>
          <w:spacing w:val="-2"/>
        </w:rPr>
        <w:t>4</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元（含税</w:t>
      </w:r>
      <w:r>
        <w:rPr>
          <w:spacing w:val="-90"/>
        </w:rPr>
        <w:t>）</w:t>
      </w:r>
      <w:r>
        <w:rPr/>
        <w:t>，剩余未分</w:t>
      </w:r>
    </w:p>
    <w:p>
      <w:pPr>
        <w:pStyle w:val="BodyText"/>
        <w:spacing w:line="338" w:lineRule="auto" w:before="64"/>
        <w:ind w:right="4904"/>
        <w:jc w:val="left"/>
      </w:pPr>
      <w:r>
        <w:rPr/>
        <w:t>配利润结转以后年度分配。本预案还需提交公司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年度股东大会审议。 公司近三年（包括本报告期）普通股现金分红情况表</w:t>
      </w:r>
    </w:p>
    <w:p>
      <w:pPr>
        <w:pStyle w:val="BodyText"/>
        <w:spacing w:line="240" w:lineRule="auto" w:before="4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138,654,236.34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32,789,454.30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153,377,346.60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13,115,781.72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111,209,966.75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72"/>
      <w:bookmarkEnd w:id="7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73"/>
      <w:bookmarkEnd w:id="7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6"/>
        </w:rPr>
        <w:t> </w:t>
      </w:r>
      <w:r>
        <w:rPr>
          <w:spacing w:val="-66"/>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9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自本次交易 中取得的股 份自本次发 行结束之日 起十二个月 内不得转让。 自法定限售 期十二个月 届满后，第一 年可解禁所</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 绩承诺未达 </w:t>
            </w:r>
            <w:r>
              <w:rPr>
                <w:rFonts w:ascii="宋体" w:hAnsi="宋体" w:cs="宋体" w:eastAsia="宋体" w:hint="default"/>
                <w:spacing w:val="-5"/>
                <w:sz w:val="18"/>
                <w:szCs w:val="18"/>
              </w:rPr>
              <w:t>预期，涉及股</w:t>
            </w:r>
            <w:r>
              <w:rPr>
                <w:rFonts w:ascii="宋体" w:hAnsi="宋体" w:cs="宋体" w:eastAsia="宋体" w:hint="default"/>
                <w:sz w:val="18"/>
                <w:szCs w:val="18"/>
              </w:rPr>
              <w:t> 份补偿事宜。 李欣未经上 市公司同意 将所持公司 股份 </w:t>
            </w:r>
            <w:r>
              <w:rPr>
                <w:rFonts w:ascii="Times New Roman" w:hAnsi="Times New Roman" w:cs="Times New Roman" w:eastAsia="Times New Roman" w:hint="default"/>
                <w:sz w:val="18"/>
                <w:szCs w:val="18"/>
              </w:rPr>
              <w:t>27,813,840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在限售期内</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39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，第二年 可再解禁所 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，第三年 可再解禁所 获股份的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，第四年 可再解禁所 获股份的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，第五年 可再解禁所 获股份的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，自法定 限售期届满 后五年即全 </w:t>
            </w:r>
            <w:r>
              <w:rPr>
                <w:rFonts w:ascii="宋体" w:hAnsi="宋体" w:cs="宋体" w:eastAsia="宋体" w:hint="default"/>
                <w:spacing w:val="-8"/>
                <w:sz w:val="18"/>
                <w:szCs w:val="18"/>
              </w:rPr>
              <w:t>解禁。</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年为李</w:t>
            </w:r>
            <w:r>
              <w:rPr>
                <w:rFonts w:ascii="宋体" w:hAnsi="宋体" w:cs="宋体" w:eastAsia="宋体" w:hint="default"/>
                <w:w w:val="99"/>
                <w:sz w:val="18"/>
                <w:szCs w:val="18"/>
              </w:rPr>
              <w:t> </w:t>
            </w:r>
            <w:r>
              <w:rPr>
                <w:rFonts w:ascii="宋体" w:hAnsi="宋体" w:cs="宋体" w:eastAsia="宋体" w:hint="default"/>
                <w:sz w:val="18"/>
                <w:szCs w:val="18"/>
              </w:rPr>
              <w:t>欣业绩承诺</w:t>
            </w:r>
            <w:r>
              <w:rPr>
                <w:rFonts w:ascii="宋体" w:hAnsi="宋体" w:cs="宋体" w:eastAsia="宋体" w:hint="default"/>
                <w:w w:val="99"/>
                <w:sz w:val="18"/>
                <w:szCs w:val="18"/>
              </w:rPr>
              <w:t> </w:t>
            </w:r>
            <w:r>
              <w:rPr>
                <w:rFonts w:ascii="宋体" w:hAnsi="宋体" w:cs="宋体" w:eastAsia="宋体" w:hint="default"/>
                <w:spacing w:val="-2"/>
                <w:sz w:val="18"/>
                <w:szCs w:val="18"/>
              </w:rPr>
              <w:t>期，应待亚太</w:t>
            </w:r>
            <w:r>
              <w:rPr>
                <w:rFonts w:ascii="宋体" w:hAnsi="宋体" w:cs="宋体" w:eastAsia="宋体" w:hint="default"/>
                <w:w w:val="99"/>
                <w:sz w:val="18"/>
                <w:szCs w:val="18"/>
              </w:rPr>
              <w:t> </w:t>
            </w:r>
            <w:r>
              <w:rPr>
                <w:rFonts w:ascii="宋体" w:hAnsi="宋体" w:cs="宋体" w:eastAsia="宋体" w:hint="default"/>
                <w:sz w:val="18"/>
                <w:szCs w:val="18"/>
              </w:rPr>
              <w:t>安讯审计报</w:t>
            </w:r>
            <w:r>
              <w:rPr>
                <w:rFonts w:ascii="宋体" w:hAnsi="宋体" w:cs="宋体" w:eastAsia="宋体" w:hint="default"/>
                <w:w w:val="99"/>
                <w:sz w:val="18"/>
                <w:szCs w:val="18"/>
              </w:rPr>
              <w:t> </w:t>
            </w:r>
            <w:r>
              <w:rPr>
                <w:rFonts w:ascii="宋体" w:hAnsi="宋体" w:cs="宋体" w:eastAsia="宋体" w:hint="default"/>
                <w:spacing w:val="-2"/>
                <w:sz w:val="18"/>
                <w:szCs w:val="18"/>
              </w:rPr>
              <w:t>告出具后，视</w:t>
            </w:r>
            <w:r>
              <w:rPr>
                <w:rFonts w:ascii="宋体" w:hAnsi="宋体" w:cs="宋体" w:eastAsia="宋体" w:hint="default"/>
                <w:w w:val="99"/>
                <w:sz w:val="18"/>
                <w:szCs w:val="18"/>
              </w:rPr>
              <w:t> </w:t>
            </w:r>
            <w:r>
              <w:rPr>
                <w:rFonts w:ascii="宋体" w:hAnsi="宋体" w:cs="宋体" w:eastAsia="宋体" w:hint="default"/>
                <w:sz w:val="18"/>
                <w:szCs w:val="18"/>
              </w:rPr>
              <w:t>是否需实行</w:t>
            </w:r>
            <w:r>
              <w:rPr>
                <w:rFonts w:ascii="宋体" w:hAnsi="宋体" w:cs="宋体" w:eastAsia="宋体" w:hint="default"/>
                <w:w w:val="99"/>
                <w:sz w:val="18"/>
                <w:szCs w:val="18"/>
              </w:rPr>
              <w:t> </w:t>
            </w:r>
            <w:r>
              <w:rPr>
                <w:rFonts w:ascii="宋体" w:hAnsi="宋体" w:cs="宋体" w:eastAsia="宋体" w:hint="default"/>
                <w:spacing w:val="-2"/>
                <w:sz w:val="18"/>
                <w:szCs w:val="18"/>
              </w:rPr>
              <w:t>股份补偿，按</w:t>
            </w:r>
            <w:r>
              <w:rPr>
                <w:rFonts w:ascii="宋体" w:hAnsi="宋体" w:cs="宋体" w:eastAsia="宋体" w:hint="default"/>
                <w:w w:val="99"/>
                <w:sz w:val="18"/>
                <w:szCs w:val="18"/>
              </w:rPr>
              <w:t> </w:t>
            </w:r>
            <w:r>
              <w:rPr>
                <w:rFonts w:ascii="宋体" w:hAnsi="宋体" w:cs="宋体" w:eastAsia="宋体" w:hint="default"/>
                <w:sz w:val="18"/>
                <w:szCs w:val="18"/>
              </w:rPr>
              <w:t>以上比例计</w:t>
            </w:r>
            <w:r>
              <w:rPr>
                <w:rFonts w:ascii="宋体" w:hAnsi="宋体" w:cs="宋体" w:eastAsia="宋体" w:hint="default"/>
                <w:w w:val="99"/>
                <w:sz w:val="18"/>
                <w:szCs w:val="18"/>
              </w:rPr>
              <w:t> </w:t>
            </w:r>
            <w:r>
              <w:rPr>
                <w:rFonts w:ascii="宋体" w:hAnsi="宋体" w:cs="宋体" w:eastAsia="宋体" w:hint="default"/>
                <w:sz w:val="18"/>
                <w:szCs w:val="18"/>
              </w:rPr>
              <w:t>算当年可解</w:t>
            </w:r>
            <w:r>
              <w:rPr>
                <w:rFonts w:ascii="宋体" w:hAnsi="宋体" w:cs="宋体" w:eastAsia="宋体" w:hint="default"/>
                <w:w w:val="99"/>
                <w:sz w:val="18"/>
                <w:szCs w:val="18"/>
              </w:rPr>
              <w:t> </w:t>
            </w:r>
            <w:r>
              <w:rPr>
                <w:rFonts w:ascii="宋体" w:hAnsi="宋体" w:cs="宋体" w:eastAsia="宋体" w:hint="default"/>
                <w:sz w:val="18"/>
                <w:szCs w:val="18"/>
              </w:rPr>
              <w:t>禁股份数并</w:t>
            </w:r>
            <w:r>
              <w:rPr>
                <w:rFonts w:ascii="宋体" w:hAnsi="宋体" w:cs="宋体" w:eastAsia="宋体" w:hint="default"/>
                <w:w w:val="99"/>
                <w:sz w:val="18"/>
                <w:szCs w:val="18"/>
              </w:rPr>
              <w:t> </w:t>
            </w:r>
            <w:r>
              <w:rPr>
                <w:rFonts w:ascii="宋体" w:hAnsi="宋体" w:cs="宋体" w:eastAsia="宋体" w:hint="default"/>
                <w:sz w:val="18"/>
                <w:szCs w:val="18"/>
              </w:rPr>
              <w:t>扣减需进行</w:t>
            </w:r>
            <w:r>
              <w:rPr>
                <w:rFonts w:ascii="宋体" w:hAnsi="宋体" w:cs="宋体" w:eastAsia="宋体" w:hint="default"/>
                <w:w w:val="99"/>
                <w:sz w:val="18"/>
                <w:szCs w:val="18"/>
              </w:rPr>
              <w:t> </w:t>
            </w:r>
            <w:r>
              <w:rPr>
                <w:rFonts w:ascii="宋体" w:hAnsi="宋体" w:cs="宋体" w:eastAsia="宋体" w:hint="default"/>
                <w:sz w:val="18"/>
                <w:szCs w:val="18"/>
              </w:rPr>
              <w:t>股份补偿部</w:t>
            </w:r>
            <w:r>
              <w:rPr>
                <w:rFonts w:ascii="宋体" w:hAnsi="宋体" w:cs="宋体" w:eastAsia="宋体" w:hint="default"/>
                <w:w w:val="99"/>
                <w:sz w:val="18"/>
                <w:szCs w:val="18"/>
              </w:rPr>
              <w:t> </w:t>
            </w:r>
            <w:r>
              <w:rPr>
                <w:rFonts w:ascii="宋体" w:hAnsi="宋体" w:cs="宋体" w:eastAsia="宋体" w:hint="default"/>
                <w:sz w:val="18"/>
                <w:szCs w:val="18"/>
              </w:rPr>
              <w:t>分后予以解</w:t>
            </w:r>
            <w:r>
              <w:rPr>
                <w:rFonts w:ascii="宋体" w:hAnsi="宋体" w:cs="宋体" w:eastAsia="宋体" w:hint="default"/>
                <w:w w:val="99"/>
                <w:sz w:val="18"/>
                <w:szCs w:val="18"/>
              </w:rPr>
              <w:t> </w:t>
            </w:r>
            <w:r>
              <w:rPr>
                <w:rFonts w:ascii="宋体" w:hAnsi="宋体" w:cs="宋体" w:eastAsia="宋体" w:hint="default"/>
                <w:spacing w:val="-2"/>
                <w:sz w:val="18"/>
                <w:szCs w:val="18"/>
              </w:rPr>
              <w:t>禁，若不足扣</w:t>
            </w:r>
            <w:r>
              <w:rPr>
                <w:rFonts w:ascii="宋体" w:hAnsi="宋体" w:cs="宋体" w:eastAsia="宋体" w:hint="default"/>
                <w:w w:val="99"/>
                <w:sz w:val="18"/>
                <w:szCs w:val="18"/>
              </w:rPr>
              <w:t> </w:t>
            </w:r>
            <w:r>
              <w:rPr>
                <w:rFonts w:ascii="宋体" w:hAnsi="宋体" w:cs="宋体" w:eastAsia="宋体" w:hint="default"/>
                <w:spacing w:val="-2"/>
                <w:sz w:val="18"/>
                <w:szCs w:val="18"/>
              </w:rPr>
              <w:t>减，则当年无</w:t>
            </w:r>
            <w:r>
              <w:rPr>
                <w:rFonts w:ascii="宋体" w:hAnsi="宋体" w:cs="宋体" w:eastAsia="宋体" w:hint="default"/>
                <w:w w:val="99"/>
                <w:sz w:val="18"/>
                <w:szCs w:val="18"/>
              </w:rPr>
              <w:t> </w:t>
            </w:r>
            <w:r>
              <w:rPr>
                <w:rFonts w:ascii="宋体" w:hAnsi="宋体" w:cs="宋体" w:eastAsia="宋体" w:hint="default"/>
                <w:spacing w:val="-2"/>
                <w:sz w:val="18"/>
                <w:szCs w:val="18"/>
              </w:rPr>
              <w:t>股份解禁。李</w:t>
            </w:r>
            <w:r>
              <w:rPr>
                <w:rFonts w:ascii="宋体" w:hAnsi="宋体" w:cs="宋体" w:eastAsia="宋体" w:hint="default"/>
                <w:w w:val="99"/>
                <w:sz w:val="18"/>
                <w:szCs w:val="18"/>
              </w:rPr>
              <w:t> </w:t>
            </w:r>
            <w:r>
              <w:rPr>
                <w:rFonts w:ascii="宋体" w:hAnsi="宋体" w:cs="宋体" w:eastAsia="宋体" w:hint="default"/>
                <w:sz w:val="18"/>
                <w:szCs w:val="18"/>
              </w:rPr>
              <w:t>欣承诺所持</w:t>
            </w:r>
            <w:r>
              <w:rPr>
                <w:rFonts w:ascii="宋体" w:hAnsi="宋体" w:cs="宋体" w:eastAsia="宋体" w:hint="default"/>
                <w:w w:val="99"/>
                <w:sz w:val="18"/>
                <w:szCs w:val="18"/>
              </w:rPr>
              <w:t> </w:t>
            </w:r>
            <w:r>
              <w:rPr>
                <w:rFonts w:ascii="宋体" w:hAnsi="宋体" w:cs="宋体" w:eastAsia="宋体" w:hint="default"/>
                <w:sz w:val="18"/>
                <w:szCs w:val="18"/>
              </w:rPr>
              <w:t>股份在限售</w:t>
            </w:r>
            <w:r>
              <w:rPr>
                <w:rFonts w:ascii="宋体" w:hAnsi="宋体" w:cs="宋体" w:eastAsia="宋体" w:hint="default"/>
                <w:w w:val="99"/>
                <w:sz w:val="18"/>
                <w:szCs w:val="18"/>
              </w:rPr>
              <w:t> </w:t>
            </w:r>
            <w:r>
              <w:rPr>
                <w:rFonts w:ascii="宋体" w:hAnsi="宋体" w:cs="宋体" w:eastAsia="宋体" w:hint="default"/>
                <w:sz w:val="18"/>
                <w:szCs w:val="18"/>
              </w:rPr>
              <w:t>期内未经上</w:t>
            </w:r>
            <w:r>
              <w:rPr>
                <w:rFonts w:ascii="宋体" w:hAnsi="宋体" w:cs="宋体" w:eastAsia="宋体" w:hint="default"/>
                <w:w w:val="99"/>
                <w:sz w:val="18"/>
                <w:szCs w:val="18"/>
              </w:rPr>
              <w:t> </w:t>
            </w:r>
            <w:r>
              <w:rPr>
                <w:rFonts w:ascii="宋体" w:hAnsi="宋体" w:cs="宋体" w:eastAsia="宋体" w:hint="default"/>
                <w:sz w:val="18"/>
                <w:szCs w:val="18"/>
              </w:rPr>
              <w:t>市公司同意</w:t>
            </w:r>
            <w:r>
              <w:rPr>
                <w:rFonts w:ascii="宋体" w:hAnsi="宋体" w:cs="宋体" w:eastAsia="宋体" w:hint="default"/>
                <w:w w:val="99"/>
                <w:sz w:val="18"/>
                <w:szCs w:val="18"/>
              </w:rPr>
              <w:t> </w:t>
            </w:r>
            <w:r>
              <w:rPr>
                <w:rFonts w:ascii="宋体" w:hAnsi="宋体" w:cs="宋体" w:eastAsia="宋体" w:hint="default"/>
                <w:sz w:val="18"/>
                <w:szCs w:val="18"/>
              </w:rPr>
              <w:t>不得用于质</w:t>
            </w:r>
            <w:r>
              <w:rPr>
                <w:rFonts w:ascii="宋体" w:hAnsi="宋体" w:cs="宋体" w:eastAsia="宋体" w:hint="default"/>
                <w:w w:val="99"/>
                <w:sz w:val="18"/>
                <w:szCs w:val="18"/>
              </w:rPr>
              <w:t> </w:t>
            </w:r>
            <w:r>
              <w:rPr>
                <w:rFonts w:ascii="宋体" w:hAnsi="宋体" w:cs="宋体" w:eastAsia="宋体" w:hint="default"/>
                <w:sz w:val="18"/>
                <w:szCs w:val="18"/>
              </w:rPr>
              <w:t>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质押给浙江 浙商证券资 产管理有限 </w:t>
            </w:r>
            <w:r>
              <w:rPr>
                <w:rFonts w:ascii="宋体" w:hAnsi="宋体" w:cs="宋体" w:eastAsia="宋体" w:hint="default"/>
                <w:spacing w:val="-5"/>
                <w:sz w:val="18"/>
                <w:szCs w:val="18"/>
              </w:rPr>
              <w:t>公司，违反了</w:t>
            </w:r>
            <w:r>
              <w:rPr>
                <w:rFonts w:ascii="宋体" w:hAnsi="宋体" w:cs="宋体" w:eastAsia="宋体" w:hint="default"/>
                <w:sz w:val="18"/>
                <w:szCs w:val="18"/>
              </w:rPr>
              <w:t> 承诺。</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 前没有直接 或间接通过 其直接或间 接控制的其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他经营主体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从事与银江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股份及亚太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安讯业务相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业务，或有其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它任何与银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江股份或亚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太安讯存在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不会以自营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间接通过直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营主体开展、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经营与银江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股份或亚太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安讯业务相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业务；不以银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江股份或亚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太安讯的名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义为银江股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份或亚太安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讯现有客户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提供与银江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股份或亚太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安讯业务相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商品或服务；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避免产生任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因承诺人违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而给银江股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份或亚太安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的，应承担全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部赔偿责任。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本人将按照</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《中华人民 共和国公司 法》等法律法 规以及银江 股份有限公 司《公司章 程》的有关规 定行使股东 权利；在股东 大会对涉及 本人的关联 交易进行表 决时，履行回 避表决的义 务。本人将杜 绝一切非法 占用银江股 份有限公司 的资金、资产 的行为，在任 何情况下，不 要求银江股 份有限公司 向本人及本 人投资或控 制的其他企 业提供任何 形式的担保。 本人将尽可 能地避免和 减少与银江 股份有限公 司的关联交 易；对无法避 免或者有合 理原因而发 生的关联交 易，将遵循市 场公正、公 平、公开的原 则，并依法签 订协议，履行 合法程序，按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照银江股份 有限公司《公 </w:t>
            </w:r>
            <w:r>
              <w:rPr>
                <w:rFonts w:ascii="宋体" w:hAnsi="宋体" w:cs="宋体" w:eastAsia="宋体" w:hint="default"/>
                <w:spacing w:val="-15"/>
                <w:sz w:val="18"/>
                <w:szCs w:val="18"/>
              </w:rPr>
              <w:t>司章程》、有</w:t>
            </w:r>
            <w:r>
              <w:rPr>
                <w:rFonts w:ascii="宋体" w:hAnsi="宋体" w:cs="宋体" w:eastAsia="宋体" w:hint="default"/>
                <w:sz w:val="18"/>
                <w:szCs w:val="18"/>
              </w:rPr>
              <w:t> 关法律法规 和《上市规 则》等有关规 定履行信息 披露义务和 办理有关报 批程序，保证 不通过关联 交易损害银 江股份有限 公司及其他 股东的合法 权益。如因本 人未履行本 承诺函所作 的承诺而给 银江股份有 限公司造成 一切损失和 后果，本人承 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本人现为亚 太安讯实际 </w:t>
            </w:r>
            <w:r>
              <w:rPr>
                <w:rFonts w:ascii="宋体" w:hAnsi="宋体" w:cs="宋体" w:eastAsia="宋体" w:hint="default"/>
                <w:spacing w:val="-2"/>
                <w:sz w:val="18"/>
                <w:szCs w:val="18"/>
              </w:rPr>
              <w:t>控制人，亚太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安讯曾于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年设立 红筹架构成 为外企企业 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解除红筹架 构重新转为 </w:t>
            </w:r>
            <w:r>
              <w:rPr>
                <w:rFonts w:ascii="宋体" w:hAnsi="宋体" w:cs="宋体" w:eastAsia="宋体" w:hint="default"/>
                <w:spacing w:val="-2"/>
                <w:sz w:val="18"/>
                <w:szCs w:val="18"/>
              </w:rPr>
              <w:t>内资企业，在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红筹架构期 </w:t>
            </w:r>
            <w:r>
              <w:rPr>
                <w:rFonts w:ascii="宋体" w:hAnsi="宋体" w:cs="宋体" w:eastAsia="宋体" w:hint="default"/>
                <w:spacing w:val="-2"/>
                <w:sz w:val="18"/>
                <w:szCs w:val="18"/>
              </w:rPr>
              <w:t>间，亚太安讯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并未实际享 受外资企业 企业所得税 </w:t>
            </w:r>
            <w:r>
              <w:rPr>
                <w:rFonts w:ascii="宋体" w:hAnsi="宋体" w:cs="宋体" w:eastAsia="宋体" w:hint="default"/>
                <w:spacing w:val="-2"/>
                <w:sz w:val="18"/>
                <w:szCs w:val="18"/>
              </w:rPr>
              <w:t>优惠政策，同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时红筹架构 </w:t>
            </w:r>
            <w:r>
              <w:rPr>
                <w:rFonts w:ascii="宋体" w:hAnsi="宋体" w:cs="宋体" w:eastAsia="宋体" w:hint="default"/>
                <w:spacing w:val="-2"/>
                <w:sz w:val="18"/>
                <w:szCs w:val="18"/>
              </w:rPr>
              <w:t>解除时，亚太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安讯已按相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关规定为境 外股东代扣 代缴了企业 所得税。对于 亚太安讯设 立及解除红 筹架构的整 个过程中，各 相关主体可 能存在未来 发生补缴相 关税收风险， 而因此给亚 太安讯带来 的任何经济 损失（包括行 政处罚损 </w:t>
            </w:r>
            <w:r>
              <w:rPr>
                <w:rFonts w:ascii="宋体" w:hAnsi="宋体" w:cs="宋体" w:eastAsia="宋体" w:hint="default"/>
                <w:spacing w:val="-15"/>
                <w:sz w:val="18"/>
                <w:szCs w:val="18"/>
              </w:rPr>
              <w:t>失），本人愿</w:t>
            </w:r>
            <w:r>
              <w:rPr>
                <w:rFonts w:ascii="宋体" w:hAnsi="宋体" w:cs="宋体" w:eastAsia="宋体" w:hint="default"/>
                <w:sz w:val="18"/>
                <w:szCs w:val="18"/>
              </w:rPr>
              <w:t> 意承担全额 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本人愿意承 担亚太安讯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年底解 除其历史上 红筹架构所 涉及相关税 务、外汇管理 等方面的风 险，承担亚太 安讯因红筹 架构解除涉 及相关税务、 外汇管理等 方面风险所 致的损失。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重组交易期 间，本人及本 人控制的企 业、公司及其 他经济组织 不会利用控 股地位或股 东身份、职务 便利以借款、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李欣未遵守 银江股份货 币资金管理 </w:t>
            </w:r>
            <w:r>
              <w:rPr>
                <w:rFonts w:ascii="宋体" w:hAnsi="宋体" w:cs="宋体" w:eastAsia="宋体" w:hint="default"/>
                <w:spacing w:val="-5"/>
                <w:sz w:val="18"/>
                <w:szCs w:val="18"/>
              </w:rPr>
              <w:t>制度，违反了</w:t>
            </w:r>
            <w:r>
              <w:rPr>
                <w:rFonts w:ascii="宋体" w:hAnsi="宋体" w:cs="宋体" w:eastAsia="宋体" w:hint="default"/>
                <w:sz w:val="18"/>
                <w:szCs w:val="18"/>
              </w:rPr>
              <w:t>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代偿债务、代 垫款项或者 其他方式占 用亚太安讯 及其子公司 之资金；重组 完成后，本人 将遵守并督 促亚太安讯 严格执行银 江股份货币 资金管理制 度，不利用职 务便利以借 款、代偿债 务、代垫款项 或者其他方 式占用亚太 安讯及其子 公司之资金。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本次交易完 成后，本人会 将持有的城 城速通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的股权转让 给亚太安讯， 并在本次交 易完成后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月内办理完 成工商变更 手续。如本人 违反上述承 诺而给银江 股份或亚太 安讯造成损 失的，将承担 全部赔偿责 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本次交易完 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本人将在亚 太安讯继续 担任经营管 理职务，不主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李欣违反了 该项承诺。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动提出离职</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（经银江股 份书面批准 </w:t>
            </w:r>
            <w:r>
              <w:rPr>
                <w:rFonts w:ascii="宋体" w:hAnsi="宋体" w:cs="宋体" w:eastAsia="宋体" w:hint="default"/>
                <w:spacing w:val="-15"/>
                <w:sz w:val="18"/>
                <w:szCs w:val="18"/>
              </w:rPr>
              <w:t>的除外），并</w:t>
            </w:r>
            <w:r>
              <w:rPr>
                <w:rFonts w:ascii="宋体" w:hAnsi="宋体" w:cs="宋体" w:eastAsia="宋体" w:hint="default"/>
                <w:sz w:val="18"/>
                <w:szCs w:val="18"/>
              </w:rPr>
              <w:t> 在任职期间 </w:t>
            </w:r>
            <w:r>
              <w:rPr>
                <w:rFonts w:ascii="宋体" w:hAnsi="宋体" w:cs="宋体" w:eastAsia="宋体" w:hint="default"/>
                <w:spacing w:val="-2"/>
                <w:sz w:val="18"/>
                <w:szCs w:val="18"/>
              </w:rPr>
              <w:t>勤勉尽责，尽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可能为亚太 安讯创造最 </w:t>
            </w:r>
            <w:r>
              <w:rPr>
                <w:rFonts w:ascii="宋体" w:hAnsi="宋体" w:cs="宋体" w:eastAsia="宋体" w:hint="default"/>
                <w:spacing w:val="-2"/>
                <w:sz w:val="18"/>
                <w:szCs w:val="18"/>
              </w:rPr>
              <w:t>佳业绩。如因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本人违反上 述承诺而给 银江股份或 亚太安讯造 </w:t>
            </w:r>
            <w:r>
              <w:rPr>
                <w:rFonts w:ascii="宋体" w:hAnsi="宋体" w:cs="宋体" w:eastAsia="宋体" w:hint="default"/>
                <w:spacing w:val="-2"/>
                <w:sz w:val="18"/>
                <w:szCs w:val="18"/>
              </w:rPr>
              <w:t>成损失的，愿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承担全部赔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本人承诺并 确保，目前亚 太安讯租赁 位于朝阳区 三间房的租 赁物业，出租 人未取得相 应的房产证 书，如亚太安 讯因租赁该 物业而导致 亚太安讯承 受任何负债、 直接经济损 失，承诺人将 向亚太安讯 全额予以赔 偿，避免给亚 太安讯造成 任何损失。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在本次交易 交割前，亚太 安讯核心团 队（包括但不 限于李欣、颜 廷健、于海 燕、张晔、侯 世勇、金鑫）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于海燕未经 </w:t>
            </w:r>
            <w:r>
              <w:rPr>
                <w:rFonts w:ascii="宋体" w:hAnsi="宋体" w:cs="宋体" w:eastAsia="宋体" w:hint="default"/>
                <w:spacing w:val="-5"/>
                <w:sz w:val="18"/>
                <w:szCs w:val="18"/>
              </w:rPr>
              <w:t>公司批准，在</w:t>
            </w:r>
            <w:r>
              <w:rPr>
                <w:rFonts w:ascii="宋体" w:hAnsi="宋体" w:cs="宋体" w:eastAsia="宋体" w:hint="default"/>
                <w:sz w:val="18"/>
                <w:szCs w:val="18"/>
              </w:rPr>
              <w:t> 承诺期内擅 </w:t>
            </w:r>
            <w:r>
              <w:rPr>
                <w:rFonts w:ascii="宋体" w:hAnsi="宋体" w:cs="宋体" w:eastAsia="宋体" w:hint="default"/>
                <w:spacing w:val="-5"/>
                <w:sz w:val="18"/>
                <w:szCs w:val="18"/>
              </w:rPr>
              <w:t>自离职，违反</w:t>
            </w:r>
            <w:r>
              <w:rPr>
                <w:rFonts w:ascii="宋体" w:hAnsi="宋体" w:cs="宋体" w:eastAsia="宋体" w:hint="default"/>
                <w:sz w:val="18"/>
                <w:szCs w:val="18"/>
              </w:rPr>
              <w:t> </w:t>
            </w:r>
            <w:r>
              <w:rPr>
                <w:rFonts w:ascii="宋体" w:hAnsi="宋体" w:cs="宋体" w:eastAsia="宋体" w:hint="default"/>
                <w:spacing w:val="-5"/>
                <w:sz w:val="18"/>
                <w:szCs w:val="18"/>
              </w:rPr>
              <w:t>了承诺。截至</w:t>
            </w:r>
            <w:r>
              <w:rPr>
                <w:rFonts w:ascii="宋体" w:hAnsi="宋体" w:cs="宋体" w:eastAsia="宋体" w:hint="default"/>
                <w:sz w:val="18"/>
                <w:szCs w:val="18"/>
              </w:rPr>
              <w:t> 本报告出具 </w:t>
            </w:r>
            <w:r>
              <w:rPr>
                <w:rFonts w:ascii="宋体" w:hAnsi="宋体" w:cs="宋体" w:eastAsia="宋体" w:hint="default"/>
                <w:spacing w:val="-5"/>
                <w:sz w:val="18"/>
                <w:szCs w:val="18"/>
              </w:rPr>
              <w:t>日，公司与于</w:t>
            </w:r>
            <w:r>
              <w:rPr>
                <w:rFonts w:ascii="宋体" w:hAnsi="宋体" w:cs="宋体" w:eastAsia="宋体" w:hint="default"/>
                <w:sz w:val="18"/>
                <w:szCs w:val="18"/>
              </w:rPr>
              <w:t> 海燕就亚太</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应与亚太安 讯签订不短 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年期限的 </w:t>
            </w:r>
            <w:r>
              <w:rPr>
                <w:rFonts w:ascii="宋体" w:hAnsi="宋体" w:cs="宋体" w:eastAsia="宋体" w:hint="default"/>
                <w:spacing w:val="-2"/>
                <w:sz w:val="18"/>
                <w:szCs w:val="18"/>
              </w:rPr>
              <w:t>聘用合同，并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出具承诺函 承诺在本次 交易后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 将不主动从 亚太安讯离 </w:t>
            </w:r>
            <w:r>
              <w:rPr>
                <w:rFonts w:ascii="宋体" w:hAnsi="宋体" w:cs="宋体" w:eastAsia="宋体" w:hint="default"/>
                <w:spacing w:val="-2"/>
                <w:sz w:val="18"/>
                <w:szCs w:val="18"/>
              </w:rPr>
              <w:t>职（经甲方书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面批准的除 </w:t>
            </w:r>
            <w:r>
              <w:rPr>
                <w:rFonts w:ascii="宋体" w:hAnsi="宋体" w:cs="宋体" w:eastAsia="宋体" w:hint="default"/>
                <w:spacing w:val="-30"/>
                <w:sz w:val="18"/>
                <w:szCs w:val="18"/>
              </w:rPr>
              <w:t>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安讯工作交 接问题进行 了妥善处理。</w:t>
            </w:r>
          </w:p>
        </w:tc>
      </w:tr>
      <w:tr>
        <w:trPr>
          <w:trHeight w:val="789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承诺亚太安</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讯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p>
          <w:p>
            <w:pPr>
              <w:pStyle w:val="TableParagraph"/>
              <w:spacing w:line="314" w:lineRule="auto" w:before="6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 </w:t>
            </w:r>
            <w:r>
              <w:rPr>
                <w:rFonts w:ascii="宋体" w:hAnsi="宋体" w:cs="宋体" w:eastAsia="宋体" w:hint="default"/>
                <w:spacing w:val="-2"/>
                <w:sz w:val="18"/>
                <w:szCs w:val="18"/>
              </w:rPr>
              <w:t>的净利润（扣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除非经常性 损益后归属 于母公司所 有者的净利 </w:t>
            </w:r>
            <w:r>
              <w:rPr>
                <w:rFonts w:ascii="宋体" w:hAnsi="宋体" w:cs="宋体" w:eastAsia="宋体" w:hint="default"/>
                <w:spacing w:val="-2"/>
                <w:sz w:val="18"/>
                <w:szCs w:val="18"/>
              </w:rPr>
              <w:t>润）分别不得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低于 </w:t>
            </w:r>
            <w:r>
              <w:rPr>
                <w:rFonts w:ascii="Times New Roman" w:hAnsi="Times New Roman" w:cs="Times New Roman" w:eastAsia="Times New Roman" w:hint="default"/>
                <w:sz w:val="18"/>
                <w:szCs w:val="18"/>
              </w:rPr>
              <w:t>5,000</w:t>
            </w:r>
          </w:p>
          <w:p>
            <w:pPr>
              <w:pStyle w:val="TableParagraph"/>
              <w:spacing w:line="309"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5,750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6,613 </w:t>
            </w:r>
            <w:r>
              <w:rPr>
                <w:rFonts w:ascii="宋体" w:hAnsi="宋体" w:cs="宋体" w:eastAsia="宋体" w:hint="default"/>
                <w:spacing w:val="-2"/>
                <w:sz w:val="18"/>
                <w:szCs w:val="18"/>
              </w:rPr>
              <w:t>万元。如亚太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安讯对应的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p>
          <w:p>
            <w:pPr>
              <w:pStyle w:val="TableParagraph"/>
              <w:spacing w:line="307"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年的实 际盈利数不 足上述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和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承诺盈利数 </w:t>
            </w:r>
            <w:r>
              <w:rPr>
                <w:rFonts w:ascii="宋体" w:hAnsi="宋体" w:cs="宋体" w:eastAsia="宋体" w:hint="default"/>
                <w:spacing w:val="-2"/>
                <w:sz w:val="18"/>
                <w:szCs w:val="18"/>
              </w:rPr>
              <w:t>的，李欣应当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 绩承诺未达 </w:t>
            </w:r>
            <w:r>
              <w:rPr>
                <w:rFonts w:ascii="宋体" w:hAnsi="宋体" w:cs="宋体" w:eastAsia="宋体" w:hint="default"/>
                <w:spacing w:val="-5"/>
                <w:sz w:val="18"/>
                <w:szCs w:val="18"/>
              </w:rPr>
              <w:t>预期，涉及股</w:t>
            </w:r>
            <w:r>
              <w:rPr>
                <w:rFonts w:ascii="宋体" w:hAnsi="宋体" w:cs="宋体" w:eastAsia="宋体" w:hint="default"/>
                <w:sz w:val="18"/>
                <w:szCs w:val="18"/>
              </w:rPr>
              <w:t> 份补偿事宜。 李欣未及时 履行业绩补 </w:t>
            </w:r>
            <w:r>
              <w:rPr>
                <w:rFonts w:ascii="宋体" w:hAnsi="宋体" w:cs="宋体" w:eastAsia="宋体" w:hint="default"/>
                <w:spacing w:val="-5"/>
                <w:sz w:val="18"/>
                <w:szCs w:val="18"/>
              </w:rPr>
              <w:t>偿承诺，违反</w:t>
            </w:r>
            <w:r>
              <w:rPr>
                <w:rFonts w:ascii="宋体" w:hAnsi="宋体" w:cs="宋体" w:eastAsia="宋体" w:hint="default"/>
                <w:sz w:val="18"/>
                <w:szCs w:val="18"/>
              </w:rPr>
              <w:t> 了承诺。</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 完成后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内，本人将在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亚太安讯继 续担任经营 </w:t>
            </w:r>
            <w:r>
              <w:rPr>
                <w:rFonts w:ascii="宋体" w:hAnsi="宋体" w:cs="宋体" w:eastAsia="宋体" w:hint="default"/>
                <w:spacing w:val="-2"/>
                <w:sz w:val="18"/>
                <w:szCs w:val="18"/>
              </w:rPr>
              <w:t>管理职务，不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主动提出离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于海燕未经 </w:t>
            </w:r>
            <w:r>
              <w:rPr>
                <w:rFonts w:ascii="宋体" w:hAnsi="宋体" w:cs="宋体" w:eastAsia="宋体" w:hint="default"/>
                <w:spacing w:val="-5"/>
                <w:sz w:val="18"/>
                <w:szCs w:val="18"/>
              </w:rPr>
              <w:t>公司批准，在</w:t>
            </w:r>
            <w:r>
              <w:rPr>
                <w:rFonts w:ascii="宋体" w:hAnsi="宋体" w:cs="宋体" w:eastAsia="宋体" w:hint="default"/>
                <w:sz w:val="18"/>
                <w:szCs w:val="18"/>
              </w:rPr>
              <w:t> 承诺期内擅 </w:t>
            </w:r>
            <w:r>
              <w:rPr>
                <w:rFonts w:ascii="宋体" w:hAnsi="宋体" w:cs="宋体" w:eastAsia="宋体" w:hint="default"/>
                <w:spacing w:val="-5"/>
                <w:sz w:val="18"/>
                <w:szCs w:val="18"/>
              </w:rPr>
              <w:t>自离职，违反</w:t>
            </w:r>
            <w:r>
              <w:rPr>
                <w:rFonts w:ascii="宋体" w:hAnsi="宋体" w:cs="宋体" w:eastAsia="宋体" w:hint="default"/>
                <w:sz w:val="18"/>
                <w:szCs w:val="18"/>
              </w:rPr>
              <w:t> </w:t>
            </w:r>
            <w:r>
              <w:rPr>
                <w:rFonts w:ascii="宋体" w:hAnsi="宋体" w:cs="宋体" w:eastAsia="宋体" w:hint="default"/>
                <w:spacing w:val="-5"/>
                <w:sz w:val="18"/>
                <w:szCs w:val="18"/>
              </w:rPr>
              <w:t>了承诺。截至</w:t>
            </w:r>
            <w:r>
              <w:rPr>
                <w:rFonts w:ascii="宋体" w:hAnsi="宋体" w:cs="宋体" w:eastAsia="宋体" w:hint="default"/>
                <w:sz w:val="18"/>
                <w:szCs w:val="18"/>
              </w:rPr>
              <w:t> 本报告出具 </w:t>
            </w:r>
            <w:r>
              <w:rPr>
                <w:rFonts w:ascii="宋体" w:hAnsi="宋体" w:cs="宋体" w:eastAsia="宋体" w:hint="default"/>
                <w:spacing w:val="-5"/>
                <w:sz w:val="18"/>
                <w:szCs w:val="18"/>
              </w:rPr>
              <w:t>日，公司与于</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5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职（经银江股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份书面批准 </w:t>
            </w:r>
            <w:r>
              <w:rPr>
                <w:rFonts w:ascii="宋体" w:hAnsi="宋体" w:cs="宋体" w:eastAsia="宋体" w:hint="default"/>
                <w:spacing w:val="-15"/>
                <w:sz w:val="18"/>
                <w:szCs w:val="18"/>
              </w:rPr>
              <w:t>的除外），并</w:t>
            </w:r>
            <w:r>
              <w:rPr>
                <w:rFonts w:ascii="宋体" w:hAnsi="宋体" w:cs="宋体" w:eastAsia="宋体" w:hint="default"/>
                <w:sz w:val="18"/>
                <w:szCs w:val="18"/>
              </w:rPr>
              <w:t> 在任职期间 </w:t>
            </w:r>
            <w:r>
              <w:rPr>
                <w:rFonts w:ascii="宋体" w:hAnsi="宋体" w:cs="宋体" w:eastAsia="宋体" w:hint="default"/>
                <w:spacing w:val="-2"/>
                <w:sz w:val="18"/>
                <w:szCs w:val="18"/>
              </w:rPr>
              <w:t>勤勉尽责，尽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可能为亚太 安讯创造最 佳业绩。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海燕就亚太 安讯工作交 接问题进行 了妥善处理。</w:t>
            </w:r>
          </w:p>
        </w:tc>
      </w:tr>
      <w:tr>
        <w:trPr>
          <w:trHeight w:val="85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东银江科技 集团有限公 司及实际控 </w:t>
            </w:r>
            <w:r>
              <w:rPr>
                <w:rFonts w:ascii="宋体" w:hAnsi="宋体" w:cs="宋体" w:eastAsia="宋体" w:hint="default"/>
                <w:spacing w:val="-2"/>
                <w:sz w:val="18"/>
                <w:szCs w:val="18"/>
              </w:rPr>
              <w:t>制人王辉、刘</w:t>
            </w:r>
            <w:r>
              <w:rPr>
                <w:rFonts w:ascii="宋体" w:hAnsi="宋体" w:cs="宋体" w:eastAsia="宋体" w:hint="default"/>
                <w:sz w:val="18"/>
                <w:szCs w:val="18"/>
              </w:rPr>
              <w:t> 健夫妇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本公司（本 </w:t>
            </w:r>
            <w:r>
              <w:rPr>
                <w:rFonts w:ascii="宋体" w:hAnsi="宋体" w:cs="宋体" w:eastAsia="宋体" w:hint="default"/>
                <w:spacing w:val="-2"/>
                <w:sz w:val="18"/>
                <w:szCs w:val="18"/>
              </w:rPr>
              <w:t>人）将不在中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国境内外直 接或间接从 事或参与任 何在商业上 对股份公司 构成竞争的 业务及活动 或拥有与股 份公司存在 竞争关系的 任何经济实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济组织的权 </w:t>
            </w:r>
            <w:r>
              <w:rPr>
                <w:rFonts w:ascii="宋体" w:hAnsi="宋体" w:cs="宋体" w:eastAsia="宋体" w:hint="default"/>
                <w:spacing w:val="-2"/>
                <w:sz w:val="18"/>
                <w:szCs w:val="18"/>
              </w:rPr>
              <w:t>益；或以其他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任何形式取 得该经济实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济组织的控 </w:t>
            </w:r>
            <w:r>
              <w:rPr>
                <w:rFonts w:ascii="宋体" w:hAnsi="宋体" w:cs="宋体" w:eastAsia="宋体" w:hint="default"/>
                <w:spacing w:val="-2"/>
                <w:sz w:val="18"/>
                <w:szCs w:val="18"/>
              </w:rPr>
              <w:t>制权。本公司</w:t>
            </w:r>
          </w:p>
          <w:p>
            <w:pPr>
              <w:pStyle w:val="TableParagraph"/>
              <w:spacing w:line="319"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（本人）愿意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承担因违反 上述承诺而 给股份公司 造成的全部 经济损失。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控股股东银 江科技集团 及实际控制 </w:t>
            </w:r>
            <w:r>
              <w:rPr>
                <w:rFonts w:ascii="宋体" w:hAnsi="宋体" w:cs="宋体" w:eastAsia="宋体" w:hint="default"/>
                <w:spacing w:val="-5"/>
                <w:sz w:val="18"/>
                <w:szCs w:val="18"/>
              </w:rPr>
              <w:t>人王辉、刘健</w:t>
            </w:r>
            <w:r>
              <w:rPr>
                <w:rFonts w:ascii="宋体" w:hAnsi="宋体" w:cs="宋体" w:eastAsia="宋体" w:hint="default"/>
                <w:sz w:val="18"/>
                <w:szCs w:val="18"/>
              </w:rPr>
              <w:t> 夫妇均遵守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依股票期权 激励计划获 取有关权益 提供贷款以 及其他任何 形式的财务 </w:t>
            </w:r>
            <w:r>
              <w:rPr>
                <w:rFonts w:ascii="宋体" w:hAnsi="宋体" w:cs="宋体" w:eastAsia="宋体" w:hint="default"/>
                <w:spacing w:val="-2"/>
                <w:sz w:val="18"/>
                <w:szCs w:val="18"/>
              </w:rPr>
              <w:t>资助，包括为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本公司严格 遵守上述承 </w:t>
            </w:r>
            <w:r>
              <w:rPr>
                <w:rFonts w:ascii="宋体" w:hAnsi="宋体" w:cs="宋体" w:eastAsia="宋体" w:hint="default"/>
                <w:spacing w:val="-5"/>
                <w:sz w:val="18"/>
                <w:szCs w:val="18"/>
              </w:rPr>
              <w:t>诺，未发现违</w:t>
            </w:r>
            <w:r>
              <w:rPr>
                <w:rFonts w:ascii="宋体" w:hAnsi="宋体" w:cs="宋体" w:eastAsia="宋体" w:hint="default"/>
                <w:sz w:val="18"/>
                <w:szCs w:val="18"/>
              </w:rPr>
              <w:t> 反上述承诺 情况。</w:t>
            </w:r>
          </w:p>
        </w:tc>
      </w:tr>
    </w:tbl>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43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7" w:right="190"/>
              <w:jc w:val="left"/>
              <w:rPr>
                <w:rFonts w:ascii="宋体" w:hAnsi="宋体" w:cs="宋体" w:eastAsia="宋体" w:hint="default"/>
                <w:sz w:val="18"/>
                <w:szCs w:val="18"/>
              </w:rPr>
            </w:pPr>
            <w:r>
              <w:rPr>
                <w:rFonts w:ascii="宋体" w:hAnsi="宋体" w:cs="宋体" w:eastAsia="宋体" w:hint="default"/>
                <w:sz w:val="18"/>
                <w:szCs w:val="18"/>
              </w:rPr>
              <w:t>银江科技集 团</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个月内增持 </w:t>
            </w:r>
            <w:r>
              <w:rPr>
                <w:rFonts w:ascii="宋体" w:hAnsi="宋体" w:cs="宋体" w:eastAsia="宋体" w:hint="default"/>
                <w:spacing w:val="-2"/>
                <w:sz w:val="18"/>
                <w:szCs w:val="18"/>
              </w:rPr>
              <w:t>公司股份，在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增持期间及 在本次增持 完成后六个 月内及法定 期限内不减 持所持有的 公司股份。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在增持期间 及在本次增 持完成后六 个月内及法 定期限内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p>
            <w:pPr>
              <w:pStyle w:val="TableParagraph"/>
              <w:spacing w:line="316"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 时股东大会 </w:t>
            </w:r>
            <w:r>
              <w:rPr>
                <w:rFonts w:ascii="宋体" w:hAnsi="宋体" w:cs="宋体" w:eastAsia="宋体" w:hint="default"/>
                <w:spacing w:val="-5"/>
                <w:sz w:val="18"/>
                <w:szCs w:val="18"/>
              </w:rPr>
              <w:t>审议通过，银</w:t>
            </w:r>
            <w:r>
              <w:rPr>
                <w:rFonts w:ascii="宋体" w:hAnsi="宋体" w:cs="宋体" w:eastAsia="宋体" w:hint="default"/>
                <w:sz w:val="18"/>
                <w:szCs w:val="18"/>
              </w:rPr>
              <w:t> 江科技集团 本次增持计 划期限延长 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 时股东大会 审议通过之 日起三个月 </w:t>
            </w:r>
            <w:r>
              <w:rPr>
                <w:rFonts w:ascii="宋体" w:hAnsi="宋体" w:cs="宋体" w:eastAsia="宋体" w:hint="default"/>
                <w:spacing w:val="-5"/>
                <w:sz w:val="18"/>
                <w:szCs w:val="18"/>
              </w:rPr>
              <w:t>内。截止本报</w:t>
            </w:r>
            <w:r>
              <w:rPr>
                <w:rFonts w:ascii="宋体" w:hAnsi="宋体" w:cs="宋体" w:eastAsia="宋体" w:hint="default"/>
                <w:sz w:val="18"/>
                <w:szCs w:val="18"/>
              </w:rPr>
              <w:t> </w:t>
            </w:r>
            <w:r>
              <w:rPr>
                <w:rFonts w:ascii="宋体" w:hAnsi="宋体" w:cs="宋体" w:eastAsia="宋体" w:hint="default"/>
                <w:spacing w:val="-5"/>
                <w:sz w:val="18"/>
                <w:szCs w:val="18"/>
              </w:rPr>
              <w:t>告披露日，银</w:t>
            </w:r>
            <w:r>
              <w:rPr>
                <w:rFonts w:ascii="宋体" w:hAnsi="宋体" w:cs="宋体" w:eastAsia="宋体" w:hint="default"/>
                <w:sz w:val="18"/>
                <w:szCs w:val="18"/>
              </w:rPr>
              <w:t> 江科技集团 已增持公司 股票</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386.3681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pacing w:val="-5"/>
                <w:sz w:val="18"/>
                <w:szCs w:val="18"/>
              </w:rPr>
              <w:t>股，交易金额</w:t>
            </w:r>
            <w:r>
              <w:rPr>
                <w:rFonts w:ascii="宋体" w:hAnsi="宋体" w:cs="宋体" w:eastAsia="宋体" w:hint="default"/>
                <w:sz w:val="18"/>
                <w:szCs w:val="18"/>
              </w:rPr>
              <w:t> 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43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2" w:right="37"/>
              <w:jc w:val="left"/>
              <w:rPr>
                <w:rFonts w:ascii="宋体" w:hAnsi="宋体" w:cs="宋体" w:eastAsia="宋体" w:hint="default"/>
                <w:sz w:val="18"/>
                <w:szCs w:val="18"/>
              </w:rPr>
            </w:pPr>
            <w:r>
              <w:rPr>
                <w:rFonts w:ascii="宋体" w:hAnsi="宋体" w:cs="宋体" w:eastAsia="宋体" w:hint="default"/>
                <w:sz w:val="18"/>
                <w:szCs w:val="18"/>
              </w:rPr>
              <w:t>李欣未遵守承诺，目前公司已通过司法途径等方式追究李欣的相关法律责任。具体诉 讼进展情况详见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十一、重大诉讼、仲裁事项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74"/>
      <w:bookmarkEnd w:id="7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75"/>
      <w:bookmarkEnd w:id="7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会对最近一期“非标准审计报告”相关情况的说明" w:id="76"/>
      <w:bookmarkEnd w:id="7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公司董事会认为目前公司与李欣上市公司收购纠纷一案及该案衍生诉讼案件的终审裁判结果虽均已作出，但司法执行结果存</w:t>
      </w:r>
      <w:r>
        <w:rPr>
          <w:spacing w:val="-64"/>
        </w:rPr>
        <w:t> </w:t>
      </w:r>
      <w:r>
        <w:rPr>
          <w:spacing w:val="-64"/>
        </w:rPr>
      </w:r>
      <w:r>
        <w:rPr>
          <w:spacing w:val="-4"/>
        </w:rPr>
        <w:t>在较大不确定性，基于目前的案件进展情况，公司尚无法判断上述诉讼事项最终对公司财务状况和经营成果可能产生的影响。</w:t>
      </w:r>
      <w:r>
        <w:rPr>
          <w:spacing w:val="-44"/>
        </w:rPr>
        <w:t> </w:t>
      </w:r>
      <w:r>
        <w:rPr>
          <w:spacing w:val="-44"/>
        </w:rPr>
      </w:r>
      <w:r>
        <w:rPr>
          <w:spacing w:val="-2"/>
        </w:rPr>
        <w:t>公司后续将以保护上市公司基本利益，维护广大投资者合法权益为前提，公司积极应对案件执行过程中的所有可能性，并就</w:t>
      </w:r>
      <w:r>
        <w:rPr>
          <w:spacing w:val="-66"/>
        </w:rPr>
        <w:t> </w:t>
      </w:r>
      <w:r>
        <w:rPr>
          <w:spacing w:val="-66"/>
        </w:rPr>
      </w:r>
      <w:r>
        <w:rPr/>
        <w:t>上述事项进展将依据相关法律法规的规定履行相应的信息披露义务。具体内容见公司于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日在巨潮资讯网上披露</w:t>
      </w:r>
      <w:r>
        <w:rPr>
          <w:spacing w:val="-82"/>
        </w:rPr>
        <w:t> </w:t>
      </w:r>
      <w:r>
        <w:rPr>
          <w:spacing w:val="-82"/>
        </w:rPr>
      </w:r>
      <w:r>
        <w:rPr/>
        <w:t>的《董事会关于公司</w:t>
      </w:r>
      <w:r>
        <w:rPr>
          <w:rFonts w:ascii="Times New Roman" w:hAnsi="Times New Roman" w:cs="Times New Roman" w:eastAsia="Times New Roman" w:hint="default"/>
        </w:rPr>
        <w:t>2017</w:t>
      </w:r>
      <w:r>
        <w:rPr/>
        <w:t>年带强调事项段的无保留意见审计报告涉及事项的专项说明》。</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7"/>
      <w:bookmarkEnd w:id="7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338" w:lineRule="auto"/>
        <w:ind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公司董事会、监事会和管理层认为该审计意见客观反映了公司的实际情况。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六、董事会关于报告期会计政策、会计估计变更或重大会计差错更正的说明" w:id="78"/>
      <w:bookmarkEnd w:id="78"/>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23"/>
        <w:jc w:val="left"/>
      </w:pPr>
      <w:r>
        <w:rPr>
          <w:rFonts w:ascii="Times New Roman" w:hAnsi="Times New Roman" w:cs="Times New Roman" w:eastAsia="Times New Roman" w:hint="default"/>
        </w:rPr>
        <w:t>1</w:t>
      </w:r>
      <w:r>
        <w:rPr/>
        <w:t>、变更原因 为了规范相关会计处理，提高会计信息质量，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持有待售的非流通资</w:t>
      </w:r>
      <w:r>
        <w:rPr>
          <w:spacing w:val="-83"/>
        </w:rPr>
        <w:t> </w:t>
      </w:r>
      <w:r>
        <w:rPr>
          <w:spacing w:val="-83"/>
        </w:rPr>
      </w:r>
      <w:r>
        <w:rPr/>
        <w:t>产、处置组和终止经营》的通知，自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日起施行。按照其规定，施行日存在的持有待售非流动资产、处置组和终</w:t>
      </w:r>
      <w:r>
        <w:rPr>
          <w:spacing w:val="-83"/>
        </w:rPr>
        <w:t> </w:t>
      </w:r>
      <w:r>
        <w:rPr>
          <w:spacing w:val="-83"/>
        </w:rPr>
      </w:r>
      <w:r>
        <w:rPr>
          <w:spacing w:val="-3"/>
        </w:rPr>
        <w:t>止经营，应当采用未来适用法处理。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10</w:t>
      </w:r>
      <w:r>
        <w:rPr>
          <w:spacing w:val="-3"/>
        </w:rPr>
        <w:t>日，财政部发布了《企业会计准则第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w:t>
      </w:r>
      <w:r>
        <w:rPr>
          <w:rFonts w:ascii="Times New Roman" w:hAnsi="Times New Roman" w:cs="Times New Roman" w:eastAsia="Times New Roman" w:hint="default"/>
          <w:spacing w:val="-3"/>
        </w:rPr>
        <w:t>2017</w:t>
      </w:r>
      <w:r>
        <w:rPr>
          <w:spacing w:val="-3"/>
        </w:rPr>
        <w:t>年修订）》（财</w:t>
      </w:r>
      <w:r>
        <w:rPr>
          <w:spacing w:val="-83"/>
        </w:rPr>
        <w:t> </w:t>
      </w:r>
      <w:r>
        <w:rPr>
          <w:spacing w:val="-83"/>
        </w:rPr>
      </w:r>
      <w:r>
        <w:rPr/>
        <w:t>会</w:t>
      </w:r>
      <w:r>
        <w:rPr>
          <w:rFonts w:ascii="Times New Roman" w:hAnsi="Times New Roman" w:cs="Times New Roman" w:eastAsia="Times New Roman" w:hint="default"/>
        </w:rPr>
        <w:t>[2017]15</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日起施行。按照其规定，对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日之后发生的与日常活动相关的政府补助，计入其</w:t>
      </w:r>
      <w:r>
        <w:rPr>
          <w:spacing w:val="-33"/>
        </w:rPr>
        <w:t> </w:t>
      </w:r>
      <w:r>
        <w:rPr>
          <w:spacing w:val="-33"/>
        </w:rPr>
      </w:r>
      <w:r>
        <w:rPr/>
        <w:t>他收益；与日常活动无关的政府补助，计入营业外收支。 根据上述会计准则的要求，公司需对会计政策相关内容进行相应调整。</w:t>
      </w:r>
    </w:p>
    <w:p>
      <w:pPr>
        <w:pStyle w:val="BodyText"/>
        <w:spacing w:line="307" w:lineRule="auto" w:before="29"/>
        <w:ind w:right="1033"/>
        <w:jc w:val="left"/>
      </w:pPr>
      <w:r>
        <w:rPr>
          <w:rFonts w:ascii="Times New Roman" w:hAnsi="Times New Roman" w:cs="Times New Roman" w:eastAsia="Times New Roman" w:hint="default"/>
        </w:rPr>
        <w:t>2</w:t>
      </w:r>
      <w:r>
        <w:rPr/>
        <w:t>、变更审议程序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日召开第四届董事会第十六次会议及第四届监事会第十三次会议，分别审议通过了《关于会计政策变更</w:t>
      </w:r>
      <w:r>
        <w:rPr>
          <w:spacing w:val="-83"/>
        </w:rPr>
        <w:t> </w:t>
      </w:r>
      <w:r>
        <w:rPr>
          <w:spacing w:val="-83"/>
        </w:rPr>
      </w:r>
      <w:r>
        <w:rPr>
          <w:spacing w:val="-2"/>
        </w:rPr>
        <w:t>的议案》，公司独立董事对此发表了同意的独立意见。根据《深圳证券交易所创业板股票上市规则》、《深圳证券交易所创</w:t>
      </w:r>
      <w:r>
        <w:rPr>
          <w:spacing w:val="-70"/>
        </w:rPr>
        <w:t> </w:t>
      </w:r>
      <w:r>
        <w:rPr>
          <w:spacing w:val="-70"/>
        </w:rPr>
      </w:r>
      <w:r>
        <w:rPr/>
        <w:t>业板上市公司规范运作指引》等有关规定，公司本次会计政策变更由董事会审议，无需提交股东大会审议。 </w:t>
      </w:r>
      <w:r>
        <w:rPr>
          <w:rFonts w:ascii="Times New Roman" w:hAnsi="Times New Roman" w:cs="Times New Roman" w:eastAsia="Times New Roman" w:hint="default"/>
        </w:rPr>
        <w:t>3</w:t>
      </w:r>
      <w:r>
        <w:rPr/>
        <w:t>、本次会计政策变更对公司的影响 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的通知》的规定和要求，</w:t>
      </w:r>
      <w:r>
        <w:rPr>
          <w:spacing w:val="-25"/>
        </w:rPr>
        <w:t> </w:t>
      </w:r>
      <w:r>
        <w:rPr>
          <w:spacing w:val="-25"/>
        </w:rPr>
      </w:r>
      <w:r>
        <w:rPr>
          <w:spacing w:val="-2"/>
        </w:rPr>
        <w:t>对企业持有待售的非流动资产或处置组的分类、计量和列报，以及终止经营的列报进行了规范，并规定企业对该准则施行日</w:t>
      </w:r>
      <w:r>
        <w:rPr>
          <w:spacing w:val="-66"/>
        </w:rPr>
        <w:t> </w:t>
      </w:r>
      <w:r>
        <w:rPr>
          <w:spacing w:val="-66"/>
        </w:rPr>
      </w:r>
      <w:r>
        <w:rPr/>
        <w:t>存在的持有待售的非流动资产、处置组和终止经营，采用未来适用法处理。本公司在编制财务报表时已采用修订后的准则， 其中：在利润表中新增了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项目，并对净利润按经营持续性进行分类列报，本公司按照《企业会计准则第</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财务报表列报》等的相关规定，对可比期间的比较数据进行调整。 </w:t>
      </w:r>
      <w:r>
        <w:rPr>
          <w:spacing w:val="-2"/>
        </w:rPr>
        <w:t>根据财政部印发的关于修订《企业会计准则第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）通知的要求，政府补助的会计处理方法从总额法改</w:t>
      </w:r>
      <w:r>
        <w:rPr>
          <w:spacing w:val="-59"/>
        </w:rPr>
        <w:t> </w:t>
      </w:r>
      <w:r>
        <w:rPr>
          <w:spacing w:val="-59"/>
        </w:rPr>
      </w:r>
      <w:r>
        <w:rPr>
          <w:spacing w:val="-2"/>
        </w:rPr>
        <w:t>为允许采用净额法，将与资产相关的政府补助相关递延收益的摊销方式从在相关资产使用寿命内平均分配改为按照合理、系</w:t>
      </w:r>
      <w:r>
        <w:rPr>
          <w:spacing w:val="-64"/>
        </w:rPr>
        <w:t> </w:t>
      </w:r>
      <w:r>
        <w:rPr>
          <w:spacing w:val="-64"/>
        </w:rPr>
      </w:r>
      <w:r>
        <w:rPr>
          <w:spacing w:val="-2"/>
        </w:rPr>
        <w:t>统的方法分配，并修改了政府补助的列报项目。与企业日常活动相关的政府补助，应当按照经济业务实质，计入其他收益或</w:t>
      </w:r>
      <w:r>
        <w:rPr>
          <w:spacing w:val="-66"/>
        </w:rPr>
        <w:t> </w:t>
      </w:r>
      <w:r>
        <w:rPr>
          <w:spacing w:val="-66"/>
        </w:rPr>
      </w:r>
      <w:r>
        <w:rPr>
          <w:spacing w:val="-3"/>
        </w:rPr>
        <w:t>冲减相关成本费用。与企业日常活动无关的政府补助，应当计入营业外收支。在利润表中的</w:t>
      </w:r>
      <w:r>
        <w:rPr>
          <w:rFonts w:ascii="Times New Roman" w:hAnsi="Times New Roman" w:cs="Times New Roman" w:eastAsia="Times New Roman" w:hint="default"/>
          <w:spacing w:val="-3"/>
        </w:rPr>
        <w:t>“</w:t>
      </w:r>
      <w:r>
        <w:rPr>
          <w:spacing w:val="-3"/>
        </w:rPr>
        <w:t>营业利润</w:t>
      </w:r>
      <w:r>
        <w:rPr>
          <w:rFonts w:ascii="Times New Roman" w:hAnsi="Times New Roman" w:cs="Times New Roman" w:eastAsia="Times New Roman" w:hint="default"/>
          <w:spacing w:val="-3"/>
        </w:rPr>
        <w:t>”</w:t>
      </w:r>
      <w:r>
        <w:rPr>
          <w:spacing w:val="-3"/>
        </w:rPr>
        <w:t>项目之上单独列报</w:t>
      </w:r>
      <w:r>
        <w:rPr>
          <w:rFonts w:ascii="Times New Roman" w:hAnsi="Times New Roman" w:cs="Times New Roman" w:eastAsia="Times New Roman" w:hint="default"/>
          <w:spacing w:val="-3"/>
        </w:rPr>
        <w:t>“</w:t>
      </w:r>
      <w:r>
        <w:rPr>
          <w:spacing w:val="-3"/>
        </w:rPr>
        <w:t>其</w:t>
      </w:r>
      <w:r>
        <w:rPr>
          <w:spacing w:val="-64"/>
        </w:rPr>
        <w:t> </w:t>
      </w:r>
      <w:r>
        <w:rPr/>
        <w:t>他收益</w:t>
      </w:r>
      <w:r>
        <w:rPr>
          <w:rFonts w:ascii="Times New Roman" w:hAnsi="Times New Roman" w:cs="Times New Roman" w:eastAsia="Times New Roman" w:hint="default"/>
        </w:rPr>
        <w:t>”</w:t>
      </w:r>
      <w:r>
        <w:rPr/>
        <w:t>项目，计入其他收益的政府补助在该项目中反映。</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日尚未摊销完毕的政府补助和</w:t>
      </w:r>
      <w:r>
        <w:rPr>
          <w:rFonts w:ascii="Times New Roman" w:hAnsi="Times New Roman" w:cs="Times New Roman" w:eastAsia="Times New Roman" w:hint="default"/>
        </w:rPr>
        <w:t>2017</w:t>
      </w:r>
      <w:r>
        <w:rPr/>
        <w:t>年取得的政府补助</w:t>
      </w:r>
      <w:r>
        <w:rPr>
          <w:spacing w:val="-75"/>
        </w:rPr>
        <w:t> </w:t>
      </w:r>
      <w:r>
        <w:rPr>
          <w:spacing w:val="-75"/>
        </w:rPr>
      </w:r>
      <w:r>
        <w:rPr/>
        <w:t>适用修订后的准则。 </w:t>
      </w:r>
      <w:r>
        <w:rPr>
          <w:spacing w:val="-4"/>
        </w:rPr>
        <w:t>本次会计政策变更不会对公司以前年度及</w:t>
      </w:r>
      <w:r>
        <w:rPr>
          <w:rFonts w:ascii="Times New Roman" w:hAnsi="Times New Roman" w:cs="Times New Roman" w:eastAsia="Times New Roman" w:hint="default"/>
          <w:spacing w:val="-4"/>
        </w:rPr>
        <w:t>2017</w:t>
      </w:r>
      <w:r>
        <w:rPr>
          <w:spacing w:val="-4"/>
        </w:rPr>
        <w:t>年年度财务报告的资产总额、负债总额、净资产、净利润、股东权益产生影响。</w:t>
      </w:r>
    </w:p>
    <w:p>
      <w:pPr>
        <w:spacing w:after="0" w:line="307"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与上年度财务报告相比，合并报表范围发生变化的情况说明" w:id="79"/>
      <w:bookmarkEnd w:id="79"/>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月，公司新设全资子公司湖北银江智慧城市技术有限公司，从该公司设立之日起，将其纳入合并报表范围。</w:t>
      </w:r>
    </w:p>
    <w:p>
      <w:pPr>
        <w:pStyle w:val="BodyText"/>
        <w:spacing w:line="240" w:lineRule="auto" w:before="104"/>
        <w:ind w:left="113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月，公司新设子公司济南银江信息技术有限公司，从该公司设立之日起，将其纳入合并报表范围。</w:t>
      </w:r>
    </w:p>
    <w:p>
      <w:pPr>
        <w:pStyle w:val="BodyText"/>
        <w:spacing w:line="240" w:lineRule="auto" w:before="102"/>
        <w:ind w:left="113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月，公司新设子公司沈阳智享大健康信息科技有限公司，从该公司设立之日起，将其纳入合并报表范围。</w:t>
      </w:r>
    </w:p>
    <w:p>
      <w:pPr>
        <w:pStyle w:val="BodyText"/>
        <w:spacing w:line="240" w:lineRule="auto" w:before="102"/>
        <w:ind w:left="1134" w:right="0"/>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月，公司新设全资子公司浙江银江智慧医疗研究院有限公司，从该公司设立之日起，将其纳入合并报表范围。</w:t>
      </w:r>
    </w:p>
    <w:p>
      <w:pPr>
        <w:pStyle w:val="BodyText"/>
        <w:spacing w:line="302" w:lineRule="auto" w:before="102"/>
        <w:ind w:right="1118"/>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月，公司新设全资子公司浙江银江智慧交通工程技术研究院有限公司，从该公司设立之日起，将其纳入合并 报表范围。</w:t>
      </w:r>
    </w:p>
    <w:p>
      <w:pPr>
        <w:pStyle w:val="BodyText"/>
        <w:spacing w:line="302" w:lineRule="auto" w:before="68"/>
        <w:ind w:right="1118"/>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月，公司新设全资子公司浙江银江智慧城市信息技术研究院有限公司，从该公司设立之日起，将其纳入合并 报表范围。</w:t>
      </w:r>
    </w:p>
    <w:p>
      <w:pPr>
        <w:pStyle w:val="BodyText"/>
        <w:spacing w:line="240" w:lineRule="auto" w:before="69"/>
        <w:ind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月，公司将杭州清普信息技术有限公司的股权退回，从丧失控制权时点起，将其不纳入合并报表范围。</w:t>
      </w:r>
    </w:p>
    <w:p>
      <w:pPr>
        <w:pStyle w:val="BodyText"/>
        <w:spacing w:line="302" w:lineRule="auto" w:before="102"/>
        <w:ind w:right="1118"/>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月，因杭州银江医联网技术股份有限公司的其他股东增资稀释，从丧失控制权时点起，将其不纳入合并报表 范围。</w:t>
      </w:r>
    </w:p>
    <w:p>
      <w:pPr>
        <w:pStyle w:val="BodyText"/>
        <w:spacing w:line="302" w:lineRule="auto" w:before="68"/>
        <w:ind w:right="1118"/>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月，公司处置北京亚太安讯科技有限责任公司、北京亚太安讯通讯技术有限公司、北京城城速通网络信息技 术有限公司的股权，从丧失控制权时点起，将其不纳入合并报表范围。</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80"/>
      <w:bookmarkEnd w:id="80"/>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谭争、许旭光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81"/>
      <w:bookmarkEnd w:id="8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82"/>
      <w:bookmarkEnd w:id="82"/>
      <w:r>
        <w:rPr>
          <w:b w:val="0"/>
          <w:bCs w:val="0"/>
        </w:rPr>
      </w:r>
      <w:r>
        <w:rPr/>
        <w:t>十、破产重整相关事项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83"/>
      <w:bookmarkEnd w:id="8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123.294006pt;margin-top:53.251694pt;width:60.05pt;height:296.45pt;mso-position-horizontal-relative:page;mso-position-vertical-relative:paragraph;z-index:-12220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4"/>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t>。</w:t>
                  </w:r>
                </w:p>
              </w:txbxContent>
            </v:textbox>
            <w10:wrap type="none"/>
          </v:shape>
        </w:pict>
      </w:r>
      <w:r>
        <w:rPr/>
        <w:pict>
          <v:shape style="position:absolute;margin-left:358.23999pt;margin-top:53.251694pt;width:68.9pt;height:288.650pt;mso-position-horizontal-relative:page;mso-position-vertical-relative:paragraph;z-index:-1222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09"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265"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银江股份有限公 司向浙江省高级 人民法院就与李 欣的上市公司收 购纠纷提起民事 </w:t>
            </w:r>
            <w:r>
              <w:rPr>
                <w:rFonts w:ascii="宋体" w:hAnsi="宋体" w:cs="宋体" w:eastAsia="宋体" w:hint="default"/>
                <w:spacing w:val="-6"/>
                <w:sz w:val="18"/>
                <w:szCs w:val="18"/>
              </w:rPr>
              <w:t>诉讼，浙江省高级</w:t>
            </w:r>
            <w:r>
              <w:rPr>
                <w:rFonts w:ascii="宋体" w:hAnsi="宋体" w:cs="宋体" w:eastAsia="宋体" w:hint="default"/>
                <w:sz w:val="18"/>
                <w:szCs w:val="18"/>
              </w:rPr>
              <w:t> 人民法院业已受 </w:t>
            </w:r>
            <w:r>
              <w:rPr>
                <w:rFonts w:ascii="宋体" w:hAnsi="宋体" w:cs="宋体" w:eastAsia="宋体" w:hint="default"/>
                <w:spacing w:val="-14"/>
                <w:sz w:val="18"/>
                <w:szCs w:val="18"/>
              </w:rPr>
              <w:t>理（案号：（</w:t>
            </w:r>
            <w:r>
              <w:rPr>
                <w:rFonts w:ascii="Times New Roman" w:hAnsi="Times New Roman" w:cs="Times New Roman" w:eastAsia="Times New Roman" w:hint="default"/>
                <w:spacing w:val="-14"/>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浙民初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2"/>
                <w:sz w:val="18"/>
                <w:szCs w:val="18"/>
              </w:rPr>
              <w:t>号）并于</w:t>
            </w:r>
          </w:p>
          <w:p>
            <w:pPr>
              <w:pStyle w:val="TableParagraph"/>
              <w:spacing w:line="309" w:lineRule="auto"/>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 </w:t>
            </w:r>
            <w:r>
              <w:rPr>
                <w:rFonts w:ascii="宋体" w:hAnsi="宋体" w:cs="宋体" w:eastAsia="宋体" w:hint="default"/>
                <w:spacing w:val="-6"/>
                <w:sz w:val="18"/>
                <w:szCs w:val="18"/>
              </w:rPr>
              <w:t>向公司送达《立案</w:t>
            </w:r>
            <w:r>
              <w:rPr>
                <w:rFonts w:ascii="宋体" w:hAnsi="宋体" w:cs="宋体" w:eastAsia="宋体" w:hint="default"/>
                <w:sz w:val="18"/>
                <w:szCs w:val="18"/>
              </w:rPr>
              <w:t> </w:t>
            </w:r>
            <w:r>
              <w:rPr>
                <w:rFonts w:ascii="宋体" w:hAnsi="宋体" w:cs="宋体" w:eastAsia="宋体" w:hint="default"/>
                <w:spacing w:val="-17"/>
                <w:sz w:val="18"/>
                <w:szCs w:val="18"/>
              </w:rPr>
              <w:t>通知》。</w:t>
            </w:r>
            <w:r>
              <w:rPr>
                <w:rFonts w:ascii="Times New Roman" w:hAnsi="Times New Roman" w:cs="Times New Roman" w:eastAsia="Times New Roman" w:hint="default"/>
                <w:spacing w:val="-17"/>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6"/>
                <w:sz w:val="18"/>
                <w:szCs w:val="18"/>
              </w:rPr>
              <w:t>月，公司收到浙江</w:t>
            </w:r>
            <w:r>
              <w:rPr>
                <w:rFonts w:ascii="宋体" w:hAnsi="宋体" w:cs="宋体" w:eastAsia="宋体" w:hint="default"/>
                <w:sz w:val="18"/>
                <w:szCs w:val="18"/>
              </w:rPr>
              <w:t> 省高级人民法院</w:t>
            </w:r>
          </w:p>
          <w:p>
            <w:pPr>
              <w:pStyle w:val="TableParagraph"/>
              <w:spacing w:line="309" w:lineRule="auto" w:before="24"/>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）浙民初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号《民事判决书》</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p>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6"/>
                <w:sz w:val="18"/>
                <w:szCs w:val="18"/>
              </w:rPr>
              <w:t>日，公司收到浙江</w:t>
            </w:r>
            <w:r>
              <w:rPr>
                <w:rFonts w:ascii="宋体" w:hAnsi="宋体" w:cs="宋体" w:eastAsia="宋体" w:hint="default"/>
                <w:sz w:val="18"/>
                <w:szCs w:val="18"/>
              </w:rPr>
              <w:t> 省高级人民法院 </w:t>
            </w:r>
            <w:r>
              <w:rPr>
                <w:rFonts w:ascii="宋体" w:hAnsi="宋体" w:cs="宋体" w:eastAsia="宋体" w:hint="default"/>
                <w:spacing w:val="-6"/>
                <w:sz w:val="18"/>
                <w:szCs w:val="18"/>
              </w:rPr>
              <w:t>发来的《民事上诉</w:t>
            </w:r>
            <w:r>
              <w:rPr>
                <w:rFonts w:ascii="宋体" w:hAnsi="宋体" w:cs="宋体" w:eastAsia="宋体" w:hint="default"/>
                <w:sz w:val="18"/>
                <w:szCs w:val="18"/>
              </w:rPr>
              <w:t> </w:t>
            </w:r>
            <w:r>
              <w:rPr>
                <w:rFonts w:ascii="宋体" w:hAnsi="宋体" w:cs="宋体" w:eastAsia="宋体" w:hint="default"/>
                <w:spacing w:val="-12"/>
                <w:sz w:val="18"/>
                <w:szCs w:val="18"/>
              </w:rPr>
              <w:t>状》，李欣不服浙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江省高级人民法 院（</w:t>
            </w:r>
            <w:r>
              <w:rPr>
                <w:rFonts w:ascii="Times New Roman" w:hAnsi="Times New Roman" w:cs="Times New Roman" w:eastAsia="Times New Roman" w:hint="default"/>
                <w:sz w:val="18"/>
                <w:szCs w:val="18"/>
              </w:rPr>
              <w:t>2016</w:t>
            </w:r>
            <w:r>
              <w:rPr>
                <w:rFonts w:ascii="宋体" w:hAnsi="宋体" w:cs="宋体" w:eastAsia="宋体" w:hint="default"/>
                <w:sz w:val="18"/>
                <w:szCs w:val="18"/>
              </w:rPr>
              <w:t>） 浙民 初 </w:t>
            </w:r>
            <w:r>
              <w:rPr>
                <w:rFonts w:ascii="Times New Roman" w:hAnsi="Times New Roman" w:cs="Times New Roman" w:eastAsia="Times New Roman" w:hint="default"/>
                <w:sz w:val="18"/>
                <w:szCs w:val="18"/>
              </w:rPr>
              <w:t>6 </w:t>
            </w:r>
            <w:r>
              <w:rPr>
                <w:rFonts w:ascii="宋体" w:hAnsi="宋体" w:cs="宋体" w:eastAsia="宋体" w:hint="default"/>
                <w:sz w:val="18"/>
                <w:szCs w:val="18"/>
              </w:rPr>
              <w:t>号民事判 </w:t>
            </w:r>
            <w:r>
              <w:rPr>
                <w:rFonts w:ascii="宋体" w:hAnsi="宋体" w:cs="宋体" w:eastAsia="宋体" w:hint="default"/>
                <w:spacing w:val="-6"/>
                <w:sz w:val="18"/>
                <w:szCs w:val="18"/>
              </w:rPr>
              <w:t>决，向中华人民共</w:t>
            </w:r>
            <w:r>
              <w:rPr>
                <w:rFonts w:ascii="宋体" w:hAnsi="宋体" w:cs="宋体" w:eastAsia="宋体" w:hint="default"/>
                <w:sz w:val="18"/>
                <w:szCs w:val="18"/>
              </w:rPr>
              <w:t> 和国最高人民法 </w:t>
            </w:r>
            <w:r>
              <w:rPr>
                <w:rFonts w:ascii="宋体" w:hAnsi="宋体" w:cs="宋体" w:eastAsia="宋体" w:hint="default"/>
                <w:spacing w:val="-12"/>
                <w:sz w:val="18"/>
                <w:szCs w:val="18"/>
              </w:rPr>
              <w:t>院提起上诉。（备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注：本案存有衍生</w:t>
            </w:r>
            <w:r>
              <w:rPr>
                <w:rFonts w:ascii="宋体" w:hAnsi="宋体" w:cs="宋体" w:eastAsia="宋体" w:hint="default"/>
                <w:sz w:val="18"/>
                <w:szCs w:val="18"/>
              </w:rPr>
              <w:t> </w:t>
            </w:r>
            <w:r>
              <w:rPr>
                <w:rFonts w:ascii="宋体" w:hAnsi="宋体" w:cs="宋体" w:eastAsia="宋体" w:hint="default"/>
                <w:spacing w:val="-6"/>
                <w:sz w:val="18"/>
                <w:szCs w:val="18"/>
              </w:rPr>
              <w:t>诉讼案件：银江股</w:t>
            </w:r>
            <w:r>
              <w:rPr>
                <w:rFonts w:ascii="宋体" w:hAnsi="宋体" w:cs="宋体" w:eastAsia="宋体" w:hint="default"/>
                <w:sz w:val="18"/>
                <w:szCs w:val="18"/>
              </w:rPr>
              <w:t> 份有限公司向杭 州市中级人民法 </w:t>
            </w:r>
            <w:r>
              <w:rPr>
                <w:rFonts w:ascii="宋体" w:hAnsi="宋体" w:cs="宋体" w:eastAsia="宋体" w:hint="default"/>
                <w:spacing w:val="-6"/>
                <w:sz w:val="18"/>
                <w:szCs w:val="18"/>
              </w:rPr>
              <w:t>院起诉李欣、浙江</w:t>
            </w:r>
            <w:r>
              <w:rPr>
                <w:rFonts w:ascii="宋体" w:hAnsi="宋体" w:cs="宋体" w:eastAsia="宋体" w:hint="default"/>
                <w:sz w:val="18"/>
                <w:szCs w:val="18"/>
              </w:rPr>
              <w:t> 浙商证券资产管 理有限公司停止 执行</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25,240,153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股</w:t>
            </w: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z w:val="18"/>
                <w:szCs w:val="18"/>
              </w:rPr>
              <w:t>银江股份的案外 人执行异议之诉。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月，公司</w:t>
            </w:r>
            <w:r>
              <w:rPr>
                <w:rFonts w:ascii="宋体" w:hAnsi="宋体" w:cs="宋体" w:eastAsia="宋体" w:hint="default"/>
                <w:sz w:val="18"/>
                <w:szCs w:val="18"/>
              </w:rPr>
              <w:t> 收到浙江省杭州</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5928" w:lineRule="exact"/>
              <w:ind w:right="-51"/>
              <w:jc w:val="left"/>
              <w:rPr>
                <w:rFonts w:ascii="宋体" w:hAnsi="宋体" w:cs="宋体" w:eastAsia="宋体" w:hint="default"/>
                <w:sz w:val="20"/>
                <w:szCs w:val="20"/>
              </w:rPr>
            </w:pPr>
            <w:r>
              <w:rPr>
                <w:rFonts w:ascii="宋体" w:hAnsi="宋体" w:cs="宋体" w:eastAsia="宋体" w:hint="default"/>
                <w:position w:val="-118"/>
                <w:sz w:val="20"/>
                <w:szCs w:val="20"/>
              </w:rPr>
              <w:pict>
                <v:group style="width:53.85pt;height:296.45pt;mso-position-horizontal-relative:char;mso-position-vertical-relative:line" coordorigin="0,0" coordsize="1077,5929">
                  <v:group style="position:absolute;left:0;top:0;width:1077;height:5929" coordorigin="0,0" coordsize="1077,5929">
                    <v:shape style="position:absolute;left:0;top:0;width:1077;height:5929" coordorigin="0,0" coordsize="1077,5929" path="m0,5928l1076,5928,1076,0,0,0,0,5928xe" filled="true" fillcolor="#ffffff" stroked="false">
                      <v:path arrowok="t"/>
                      <v:fill type="solid"/>
                    </v:shape>
                  </v:group>
                </v:group>
              </w:pict>
            </w:r>
            <w:r>
              <w:rPr>
                <w:rFonts w:ascii="宋体" w:hAnsi="宋体" w:cs="宋体" w:eastAsia="宋体" w:hint="default"/>
                <w:position w:val="-118"/>
                <w:sz w:val="20"/>
                <w:szCs w:val="20"/>
              </w:rPr>
            </w:r>
          </w:p>
          <w:p>
            <w:pPr>
              <w:pStyle w:val="TableParagraph"/>
              <w:spacing w:line="240" w:lineRule="auto" w:before="97"/>
              <w:ind w:left="332" w:right="0"/>
              <w:jc w:val="left"/>
              <w:rPr>
                <w:rFonts w:ascii="Times New Roman" w:hAnsi="Times New Roman" w:cs="Times New Roman" w:eastAsia="Times New Roman" w:hint="default"/>
                <w:sz w:val="18"/>
                <w:szCs w:val="18"/>
              </w:rPr>
            </w:pPr>
            <w:r>
              <w:rPr>
                <w:rFonts w:ascii="Times New Roman"/>
                <w:sz w:val="18"/>
              </w:rPr>
              <w:t>24,417.48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98"/>
              <w:jc w:val="both"/>
              <w:rPr>
                <w:rFonts w:ascii="宋体" w:hAnsi="宋体" w:cs="宋体" w:eastAsia="宋体" w:hint="default"/>
                <w:sz w:val="18"/>
                <w:szCs w:val="18"/>
              </w:rPr>
            </w:pPr>
            <w:r>
              <w:rPr>
                <w:rFonts w:ascii="宋体" w:hAnsi="宋体" w:cs="宋体" w:eastAsia="宋体" w:hint="default"/>
                <w:sz w:val="18"/>
                <w:szCs w:val="18"/>
              </w:rPr>
              <w:t>本案及衍 生诉讼案 件均已二 审终审完 毕</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月，公司收到浙 江省高级人民法 院（</w:t>
            </w:r>
            <w:r>
              <w:rPr>
                <w:rFonts w:ascii="Times New Roman" w:hAnsi="Times New Roman" w:cs="Times New Roman" w:eastAsia="Times New Roman" w:hint="default"/>
                <w:sz w:val="18"/>
                <w:szCs w:val="18"/>
              </w:rPr>
              <w:t>2016</w:t>
            </w:r>
            <w:r>
              <w:rPr>
                <w:rFonts w:ascii="宋体" w:hAnsi="宋体" w:cs="宋体" w:eastAsia="宋体" w:hint="default"/>
                <w:sz w:val="18"/>
                <w:szCs w:val="18"/>
              </w:rPr>
              <w:t>）浙民 初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号《民事判</w:t>
            </w:r>
            <w:r>
              <w:rPr>
                <w:rFonts w:ascii="宋体" w:hAnsi="宋体" w:cs="宋体" w:eastAsia="宋体" w:hint="default"/>
                <w:sz w:val="18"/>
                <w:szCs w:val="18"/>
              </w:rPr>
              <w:t> </w:t>
            </w:r>
            <w:r>
              <w:rPr>
                <w:rFonts w:ascii="宋体" w:hAnsi="宋体" w:cs="宋体" w:eastAsia="宋体" w:hint="default"/>
                <w:spacing w:val="-13"/>
                <w:sz w:val="18"/>
                <w:szCs w:val="18"/>
              </w:rPr>
              <w:t>决书》，浙江省高</w:t>
            </w:r>
            <w:r>
              <w:rPr>
                <w:rFonts w:ascii="宋体" w:hAnsi="宋体" w:cs="宋体" w:eastAsia="宋体" w:hint="default"/>
                <w:sz w:val="18"/>
                <w:szCs w:val="18"/>
              </w:rPr>
              <w:t> 级人民法院判决 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、李欣 于本判决生效之 日起十日内向银 江股份有限公司 交付银江股份有 限 公司股份 </w:t>
            </w:r>
            <w:r>
              <w:rPr>
                <w:rFonts w:ascii="Times New Roman" w:hAnsi="Times New Roman" w:cs="Times New Roman" w:eastAsia="Times New Roman" w:hint="default"/>
                <w:sz w:val="18"/>
                <w:szCs w:val="18"/>
              </w:rPr>
              <w:t>25240153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股，由</w:t>
            </w:r>
          </w:p>
          <w:p>
            <w:pPr>
              <w:pStyle w:val="TableParagraph"/>
              <w:spacing w:line="316" w:lineRule="auto" w:before="3"/>
              <w:ind w:left="22" w:right="97"/>
              <w:jc w:val="left"/>
              <w:rPr>
                <w:rFonts w:ascii="宋体" w:hAnsi="宋体" w:cs="宋体" w:eastAsia="宋体" w:hint="default"/>
                <w:sz w:val="18"/>
                <w:szCs w:val="18"/>
              </w:rPr>
            </w:pPr>
            <w:r>
              <w:rPr>
                <w:rFonts w:ascii="宋体" w:hAnsi="宋体" w:cs="宋体" w:eastAsia="宋体" w:hint="default"/>
                <w:sz w:val="18"/>
                <w:szCs w:val="18"/>
              </w:rPr>
              <w:t>银江股份有限公 司以 </w:t>
            </w:r>
            <w:r>
              <w:rPr>
                <w:rFonts w:ascii="Times New Roman" w:hAnsi="Times New Roman" w:cs="Times New Roman" w:eastAsia="Times New Roman" w:hint="default"/>
                <w:sz w:val="18"/>
                <w:szCs w:val="18"/>
              </w:rPr>
              <w:t>1  </w:t>
            </w:r>
            <w:r>
              <w:rPr>
                <w:rFonts w:ascii="宋体" w:hAnsi="宋体" w:cs="宋体" w:eastAsia="宋体" w:hint="default"/>
                <w:sz w:val="18"/>
                <w:szCs w:val="18"/>
              </w:rPr>
              <w:t>元价格</w:t>
            </w: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回购并注销；</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如李欣不能足额 交付上述 </w:t>
            </w:r>
            <w:r>
              <w:rPr>
                <w:rFonts w:ascii="Times New Roman" w:hAnsi="Times New Roman" w:cs="Times New Roman" w:eastAsia="Times New Roman" w:hint="default"/>
                <w:sz w:val="18"/>
                <w:szCs w:val="18"/>
              </w:rPr>
              <w:t>25240153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股，则</w:t>
            </w:r>
          </w:p>
          <w:p>
            <w:pPr>
              <w:pStyle w:val="TableParagraph"/>
              <w:spacing w:line="316" w:lineRule="auto" w:before="3"/>
              <w:ind w:left="22" w:right="97"/>
              <w:jc w:val="left"/>
              <w:rPr>
                <w:rFonts w:ascii="宋体" w:hAnsi="宋体" w:cs="宋体" w:eastAsia="宋体" w:hint="default"/>
                <w:sz w:val="18"/>
                <w:szCs w:val="18"/>
              </w:rPr>
            </w:pPr>
            <w:r>
              <w:rPr>
                <w:rFonts w:ascii="宋体" w:hAnsi="宋体" w:cs="宋体" w:eastAsia="宋体" w:hint="default"/>
                <w:sz w:val="18"/>
                <w:szCs w:val="18"/>
              </w:rPr>
              <w:t>于本判决生效之 日起十日内将 交付不足部分的 股份数折算为补 偿金支付给银江 股份有限公司</w:t>
            </w:r>
          </w:p>
          <w:p>
            <w:pPr>
              <w:pStyle w:val="TableParagraph"/>
              <w:spacing w:line="309" w:lineRule="auto" w:before="19"/>
              <w:ind w:left="22" w:right="53"/>
              <w:jc w:val="left"/>
              <w:rPr>
                <w:rFonts w:ascii="宋体" w:hAnsi="宋体" w:cs="宋体" w:eastAsia="宋体" w:hint="default"/>
                <w:sz w:val="18"/>
                <w:szCs w:val="18"/>
              </w:rPr>
            </w:pPr>
            <w:r>
              <w:rPr>
                <w:rFonts w:ascii="宋体" w:hAnsi="宋体" w:cs="宋体" w:eastAsia="宋体" w:hint="default"/>
                <w:sz w:val="18"/>
                <w:szCs w:val="18"/>
              </w:rPr>
              <w:t>（补偿金按股份 发 行价 </w:t>
            </w:r>
            <w:r>
              <w:rPr>
                <w:rFonts w:ascii="Times New Roman" w:hAnsi="Times New Roman" w:cs="Times New Roman" w:eastAsia="Times New Roman" w:hint="default"/>
                <w:sz w:val="18"/>
                <w:szCs w:val="18"/>
              </w:rPr>
              <w:t>21.33 </w:t>
            </w:r>
            <w:r>
              <w:rPr>
                <w:rFonts w:ascii="宋体" w:hAnsi="宋体" w:cs="宋体" w:eastAsia="宋体" w:hint="default"/>
                <w:sz w:val="18"/>
                <w:szCs w:val="18"/>
              </w:rPr>
              <w:t>元与交付不足部 分的股份数</w:t>
            </w:r>
            <w:r>
              <w:rPr>
                <w:rFonts w:ascii="Times New Roman" w:hAnsi="Times New Roman" w:cs="Times New Roman" w:eastAsia="Times New Roman" w:hint="default"/>
                <w:sz w:val="18"/>
                <w:szCs w:val="18"/>
              </w:rPr>
              <w:t>/2.2 </w:t>
            </w:r>
            <w:r>
              <w:rPr>
                <w:rFonts w:ascii="宋体" w:hAnsi="宋体" w:cs="宋体" w:eastAsia="宋体" w:hint="default"/>
                <w:spacing w:val="-13"/>
                <w:sz w:val="18"/>
                <w:szCs w:val="18"/>
              </w:rPr>
              <w:t>之乘积计算）。</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 司收到中华人民 共和国最高人民 法院（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）最 高法民终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 </w:t>
            </w:r>
            <w:r>
              <w:rPr>
                <w:rFonts w:ascii="宋体" w:hAnsi="宋体" w:cs="宋体" w:eastAsia="宋体" w:hint="default"/>
                <w:sz w:val="18"/>
                <w:szCs w:val="18"/>
              </w:rPr>
              <w:t>号</w:t>
            </w:r>
          </w:p>
          <w:p>
            <w:pPr>
              <w:pStyle w:val="TableParagraph"/>
              <w:spacing w:line="316" w:lineRule="auto" w:before="5"/>
              <w:ind w:left="22" w:right="7"/>
              <w:jc w:val="left"/>
              <w:rPr>
                <w:rFonts w:ascii="宋体" w:hAnsi="宋体" w:cs="宋体" w:eastAsia="宋体" w:hint="default"/>
                <w:sz w:val="18"/>
                <w:szCs w:val="18"/>
              </w:rPr>
            </w:pPr>
            <w:r>
              <w:rPr>
                <w:rFonts w:ascii="宋体" w:hAnsi="宋体" w:cs="宋体" w:eastAsia="宋体" w:hint="default"/>
                <w:spacing w:val="-12"/>
                <w:sz w:val="18"/>
                <w:szCs w:val="18"/>
              </w:rPr>
              <w:t>《民事裁定书》，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最高人民法院裁 定如下：本案按</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5772" w:lineRule="exact"/>
              <w:ind w:right="-50"/>
              <w:jc w:val="left"/>
              <w:rPr>
                <w:rFonts w:ascii="宋体" w:hAnsi="宋体" w:cs="宋体" w:eastAsia="宋体" w:hint="default"/>
                <w:sz w:val="20"/>
                <w:szCs w:val="20"/>
              </w:rPr>
            </w:pPr>
            <w:r>
              <w:rPr>
                <w:rFonts w:ascii="宋体" w:hAnsi="宋体" w:cs="宋体" w:eastAsia="宋体" w:hint="default"/>
                <w:position w:val="-114"/>
                <w:sz w:val="20"/>
                <w:szCs w:val="20"/>
              </w:rPr>
              <w:pict>
                <v:group style="width:62.8pt;height:288.650pt;mso-position-horizontal-relative:char;mso-position-vertical-relative:line" coordorigin="0,0" coordsize="1256,5773">
                  <v:group style="position:absolute;left:0;top:0;width:1256;height:5773" coordorigin="0,0" coordsize="1256,5773">
                    <v:shape style="position:absolute;left:0;top:0;width:1256;height:5773" coordorigin="0,0" coordsize="1256,5773" path="m0,5772l1256,5772,1256,0,0,0,0,5772xe" filled="true" fillcolor="#ffffff" stroked="false">
                      <v:path arrowok="t"/>
                      <v:fill type="solid"/>
                    </v:shape>
                  </v:group>
                </v:group>
              </w:pict>
            </w:r>
            <w:r>
              <w:rPr>
                <w:rFonts w:ascii="宋体" w:hAnsi="宋体" w:cs="宋体" w:eastAsia="宋体" w:hint="default"/>
                <w:position w:val="-114"/>
                <w:sz w:val="20"/>
                <w:szCs w:val="20"/>
              </w:rPr>
            </w:r>
          </w:p>
          <w:p>
            <w:pPr>
              <w:pStyle w:val="TableParagraph"/>
              <w:spacing w:line="316" w:lineRule="auto" w:before="57"/>
              <w:ind w:left="23" w:right="150"/>
              <w:jc w:val="left"/>
              <w:rPr>
                <w:rFonts w:ascii="宋体" w:hAnsi="宋体" w:cs="宋体" w:eastAsia="宋体" w:hint="default"/>
                <w:sz w:val="18"/>
                <w:szCs w:val="18"/>
              </w:rPr>
            </w:pPr>
            <w:r>
              <w:rPr>
                <w:rFonts w:ascii="宋体" w:hAnsi="宋体" w:cs="宋体" w:eastAsia="宋体" w:hint="default"/>
                <w:sz w:val="18"/>
                <w:szCs w:val="18"/>
              </w:rPr>
              <w:t>本案尚在司法 执行过程之中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1"/>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日《关于 诉讼进展的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2017-015</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日《关于 诉讼进展的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2017-021</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日《关于 收到民事判 决书的公告》</w:t>
            </w:r>
          </w:p>
          <w:p>
            <w:pPr>
              <w:pStyle w:val="TableParagraph"/>
              <w:spacing w:line="240" w:lineRule="auto" w:before="24"/>
              <w:ind w:left="22"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10"/>
                <w:sz w:val="18"/>
                <w:szCs w:val="18"/>
              </w:rPr>
              <w:t>日《关于收到</w:t>
            </w:r>
            <w:r>
              <w:rPr>
                <w:rFonts w:ascii="宋体" w:hAnsi="宋体" w:cs="宋体" w:eastAsia="宋体" w:hint="default"/>
                <w:sz w:val="18"/>
                <w:szCs w:val="18"/>
              </w:rPr>
              <w:t> 民事上诉状 </w:t>
            </w:r>
            <w:r>
              <w:rPr>
                <w:rFonts w:ascii="宋体" w:hAnsi="宋体" w:cs="宋体" w:eastAsia="宋体" w:hint="default"/>
                <w:spacing w:val="-15"/>
                <w:sz w:val="18"/>
                <w:szCs w:val="18"/>
              </w:rPr>
              <w:t>的公告》（公</w:t>
            </w:r>
            <w:r>
              <w:rPr>
                <w:rFonts w:ascii="宋体" w:hAnsi="宋体" w:cs="宋体" w:eastAsia="宋体" w:hint="default"/>
                <w:sz w:val="18"/>
                <w:szCs w:val="18"/>
              </w:rPr>
              <w:t> 告编号： </w:t>
            </w:r>
            <w:r>
              <w:rPr>
                <w:rFonts w:ascii="Times New Roman" w:hAnsi="Times New Roman" w:cs="Times New Roman" w:eastAsia="Times New Roman" w:hint="default"/>
                <w:spacing w:val="-18"/>
                <w:sz w:val="18"/>
                <w:szCs w:val="18"/>
              </w:rPr>
              <w:t>2017-092</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10"/>
                <w:sz w:val="18"/>
                <w:szCs w:val="18"/>
              </w:rPr>
              <w:t>日《关于诉讼</w:t>
            </w:r>
            <w:r>
              <w:rPr>
                <w:rFonts w:ascii="宋体" w:hAnsi="宋体" w:cs="宋体" w:eastAsia="宋体" w:hint="default"/>
                <w:sz w:val="18"/>
                <w:szCs w:val="18"/>
              </w:rPr>
              <w:t> 进展暨收到 衍生诉讼案 件二审民事 判决书的公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2018-007</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3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日《关于 收到民事裁 定书的公告》</w:t>
            </w:r>
          </w:p>
          <w:p>
            <w:pPr>
              <w:pStyle w:val="TableParagraph"/>
              <w:spacing w:line="240" w:lineRule="auto" w:before="24"/>
              <w:ind w:left="22"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454"/>
        <w:gridCol w:w="1086"/>
        <w:gridCol w:w="1265"/>
        <w:gridCol w:w="954"/>
        <w:gridCol w:w="1392"/>
        <w:gridCol w:w="1266"/>
        <w:gridCol w:w="1080"/>
        <w:gridCol w:w="1076"/>
      </w:tblGrid>
      <w:tr>
        <w:trPr>
          <w:trHeight w:val="1065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市中级人民法院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浙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民</w:t>
            </w:r>
          </w:p>
          <w:p>
            <w:pPr>
              <w:pStyle w:val="TableParagraph"/>
              <w:spacing w:line="312" w:lineRule="auto" w:before="63"/>
              <w:ind w:left="22" w:right="24"/>
              <w:jc w:val="left"/>
              <w:rPr>
                <w:rFonts w:ascii="宋体" w:hAnsi="宋体" w:cs="宋体" w:eastAsia="宋体" w:hint="default"/>
                <w:sz w:val="18"/>
                <w:szCs w:val="18"/>
              </w:rPr>
            </w:pPr>
            <w:r>
              <w:rPr>
                <w:rFonts w:ascii="宋体" w:hAnsi="宋体" w:cs="宋体" w:eastAsia="宋体" w:hint="default"/>
                <w:sz w:val="18"/>
                <w:szCs w:val="18"/>
              </w:rPr>
              <w:t>初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《民事</w:t>
            </w:r>
            <w:r>
              <w:rPr>
                <w:rFonts w:ascii="宋体" w:hAnsi="宋体" w:cs="宋体" w:eastAsia="宋体" w:hint="default"/>
                <w:sz w:val="18"/>
                <w:szCs w:val="18"/>
              </w:rPr>
              <w:t> 判</w:t>
            </w:r>
            <w:r>
              <w:rPr>
                <w:rFonts w:ascii="宋体" w:hAnsi="宋体" w:cs="宋体" w:eastAsia="宋体" w:hint="default"/>
                <w:spacing w:val="2"/>
                <w:sz w:val="18"/>
                <w:szCs w:val="18"/>
              </w:rPr>
              <w:t> </w:t>
            </w:r>
            <w:r>
              <w:rPr>
                <w:rFonts w:ascii="宋体" w:hAnsi="宋体" w:cs="宋体" w:eastAsia="宋体" w:hint="default"/>
                <w:spacing w:val="-20"/>
                <w:sz w:val="18"/>
                <w:szCs w:val="18"/>
              </w:rPr>
              <w:t>决书》，杭州市</w:t>
            </w:r>
            <w:r>
              <w:rPr>
                <w:rFonts w:ascii="宋体" w:hAnsi="宋体" w:cs="宋体" w:eastAsia="宋体" w:hint="default"/>
                <w:sz w:val="18"/>
                <w:szCs w:val="18"/>
              </w:rPr>
              <w:t> 中级人民法院作 </w:t>
            </w:r>
            <w:r>
              <w:rPr>
                <w:rFonts w:ascii="宋体" w:hAnsi="宋体" w:cs="宋体" w:eastAsia="宋体" w:hint="default"/>
                <w:spacing w:val="-6"/>
                <w:sz w:val="18"/>
                <w:szCs w:val="18"/>
              </w:rPr>
              <w:t>出一审判决，驳回</w:t>
            </w:r>
            <w:r>
              <w:rPr>
                <w:rFonts w:ascii="宋体" w:hAnsi="宋体" w:cs="宋体" w:eastAsia="宋体" w:hint="default"/>
                <w:sz w:val="18"/>
                <w:szCs w:val="18"/>
              </w:rPr>
              <w:t> 原告银江股份的 诉讼请求。</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8"/>
                <w:sz w:val="18"/>
                <w:szCs w:val="18"/>
              </w:rPr>
              <w:t>月，公司对一</w:t>
            </w:r>
            <w:r>
              <w:rPr>
                <w:rFonts w:ascii="宋体" w:hAnsi="宋体" w:cs="宋体" w:eastAsia="宋体" w:hint="default"/>
                <w:sz w:val="18"/>
                <w:szCs w:val="18"/>
              </w:rPr>
              <w:t> </w:t>
            </w:r>
            <w:r>
              <w:rPr>
                <w:rFonts w:ascii="宋体" w:hAnsi="宋体" w:cs="宋体" w:eastAsia="宋体" w:hint="default"/>
                <w:spacing w:val="-6"/>
                <w:sz w:val="18"/>
                <w:szCs w:val="18"/>
              </w:rPr>
              <w:t>审判决不服，向浙</w:t>
            </w:r>
            <w:r>
              <w:rPr>
                <w:rFonts w:ascii="宋体" w:hAnsi="宋体" w:cs="宋体" w:eastAsia="宋体" w:hint="default"/>
                <w:sz w:val="18"/>
                <w:szCs w:val="18"/>
              </w:rPr>
              <w:t> 江省高级人民法 </w:t>
            </w:r>
            <w:r>
              <w:rPr>
                <w:rFonts w:ascii="宋体" w:hAnsi="宋体" w:cs="宋体" w:eastAsia="宋体" w:hint="default"/>
                <w:spacing w:val="-6"/>
                <w:sz w:val="18"/>
                <w:szCs w:val="18"/>
              </w:rPr>
              <w:t>院提起上诉。公司</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w:t>
            </w:r>
            <w:r>
              <w:rPr>
                <w:rFonts w:ascii="宋体" w:hAnsi="宋体" w:cs="宋体" w:eastAsia="宋体" w:hint="default"/>
                <w:spacing w:val="1"/>
                <w:sz w:val="18"/>
                <w:szCs w:val="18"/>
              </w:rPr>
              <w:t> </w:t>
            </w:r>
            <w:r>
              <w:rPr>
                <w:rFonts w:ascii="宋体" w:hAnsi="宋体" w:cs="宋体" w:eastAsia="宋体" w:hint="default"/>
                <w:sz w:val="18"/>
                <w:szCs w:val="18"/>
              </w:rPr>
              <w:t>到浙江省高级人</w:t>
            </w:r>
            <w:r>
              <w:rPr>
                <w:rFonts w:ascii="宋体" w:hAnsi="宋体" w:cs="宋体" w:eastAsia="宋体" w:hint="default"/>
                <w:sz w:val="18"/>
                <w:szCs w:val="18"/>
              </w:rPr>
              <w:t> 民法院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浙</w:t>
            </w:r>
            <w:r>
              <w:rPr>
                <w:rFonts w:ascii="宋体" w:hAnsi="宋体" w:cs="宋体" w:eastAsia="宋体" w:hint="default"/>
                <w:w w:val="99"/>
                <w:sz w:val="18"/>
                <w:szCs w:val="18"/>
              </w:rPr>
              <w:t> </w:t>
            </w:r>
            <w:r>
              <w:rPr>
                <w:rFonts w:ascii="宋体" w:hAnsi="宋体" w:cs="宋体" w:eastAsia="宋体" w:hint="default"/>
                <w:sz w:val="18"/>
                <w:szCs w:val="18"/>
              </w:rPr>
              <w:t>民终 </w:t>
            </w:r>
            <w:r>
              <w:rPr>
                <w:rFonts w:ascii="Times New Roman" w:hAnsi="Times New Roman" w:cs="Times New Roman" w:eastAsia="Times New Roman" w:hint="default"/>
                <w:sz w:val="18"/>
                <w:szCs w:val="18"/>
              </w:rPr>
              <w:t>247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《民</w:t>
            </w:r>
            <w:r>
              <w:rPr>
                <w:rFonts w:ascii="宋体" w:hAnsi="宋体" w:cs="宋体" w:eastAsia="宋体" w:hint="default"/>
                <w:spacing w:val="-2"/>
                <w:sz w:val="18"/>
                <w:szCs w:val="18"/>
              </w:rPr>
              <w:t> </w:t>
            </w:r>
            <w:r>
              <w:rPr>
                <w:rFonts w:ascii="宋体" w:hAnsi="宋体" w:cs="宋体" w:eastAsia="宋体" w:hint="default"/>
                <w:spacing w:val="-12"/>
                <w:sz w:val="18"/>
                <w:szCs w:val="18"/>
              </w:rPr>
              <w:t>事判决书》，浙江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省高级人民法院 作出终审判决： </w:t>
            </w:r>
            <w:r>
              <w:rPr>
                <w:rFonts w:ascii="Times New Roman" w:hAnsi="Times New Roman" w:cs="Times New Roman" w:eastAsia="Times New Roman" w:hint="default"/>
                <w:sz w:val="18"/>
                <w:szCs w:val="18"/>
              </w:rPr>
              <w:t>“</w:t>
            </w:r>
            <w:r>
              <w:rPr>
                <w:rFonts w:ascii="宋体" w:hAnsi="宋体" w:cs="宋体" w:eastAsia="宋体" w:hint="default"/>
                <w:sz w:val="18"/>
                <w:szCs w:val="18"/>
              </w:rPr>
              <w:t>驳回上诉，维持 原判。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上诉人李欣自动 撤回上诉处理。 一审判决自本裁 定书送达之日起 发生法律效力。 本裁定为终审裁 定。二、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月，公司收到浙</w:t>
            </w:r>
            <w:r>
              <w:rPr>
                <w:rFonts w:ascii="宋体" w:hAnsi="宋体" w:cs="宋体" w:eastAsia="宋体" w:hint="default"/>
                <w:sz w:val="18"/>
                <w:szCs w:val="18"/>
              </w:rPr>
              <w:t> 江省杭州市中级 人民法院</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浙 </w:t>
            </w:r>
            <w:r>
              <w:rPr>
                <w:rFonts w:ascii="Times New Roman" w:hAnsi="Times New Roman" w:cs="Times New Roman" w:eastAsia="Times New Roman" w:hint="default"/>
                <w:sz w:val="18"/>
                <w:szCs w:val="18"/>
              </w:rPr>
              <w:t>01 </w:t>
            </w:r>
            <w:r>
              <w:rPr>
                <w:rFonts w:ascii="宋体" w:hAnsi="宋体" w:cs="宋体" w:eastAsia="宋体" w:hint="default"/>
                <w:sz w:val="18"/>
                <w:szCs w:val="18"/>
              </w:rPr>
              <w:t>民初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《民事判 决 </w:t>
            </w:r>
            <w:r>
              <w:rPr>
                <w:rFonts w:ascii="宋体" w:hAnsi="宋体" w:cs="宋体" w:eastAsia="宋体" w:hint="default"/>
                <w:spacing w:val="-13"/>
                <w:sz w:val="18"/>
                <w:szCs w:val="18"/>
              </w:rPr>
              <w:t>书》，杭州市中级</w:t>
            </w:r>
            <w:r>
              <w:rPr>
                <w:rFonts w:ascii="宋体" w:hAnsi="宋体" w:cs="宋体" w:eastAsia="宋体" w:hint="default"/>
                <w:sz w:val="18"/>
                <w:szCs w:val="18"/>
              </w:rPr>
              <w:t> 人民法院作出一 审判决，驳回原 告银江股份的诉 讼请求。</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月，公司收到浙</w:t>
            </w:r>
            <w:r>
              <w:rPr>
                <w:rFonts w:ascii="宋体" w:hAnsi="宋体" w:cs="宋体" w:eastAsia="宋体" w:hint="default"/>
                <w:sz w:val="18"/>
                <w:szCs w:val="18"/>
              </w:rPr>
              <w:t> 江省高级人民法 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浙民终</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247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《民事判 </w:t>
            </w:r>
            <w:r>
              <w:rPr>
                <w:rFonts w:ascii="宋体" w:hAnsi="宋体" w:cs="宋体" w:eastAsia="宋体" w:hint="default"/>
                <w:spacing w:val="-13"/>
                <w:sz w:val="18"/>
                <w:szCs w:val="18"/>
              </w:rPr>
              <w:t>决书》，浙江省高</w:t>
            </w:r>
            <w:r>
              <w:rPr>
                <w:rFonts w:ascii="宋体" w:hAnsi="宋体" w:cs="宋体" w:eastAsia="宋体" w:hint="default"/>
                <w:sz w:val="18"/>
                <w:szCs w:val="18"/>
              </w:rPr>
              <w:t> 级人民法院作出 终审判决：</w:t>
            </w:r>
            <w:r>
              <w:rPr>
                <w:rFonts w:ascii="Times New Roman" w:hAnsi="Times New Roman" w:cs="Times New Roman" w:eastAsia="Times New Roman" w:hint="default"/>
                <w:sz w:val="18"/>
                <w:szCs w:val="18"/>
              </w:rPr>
              <w:t>“</w:t>
            </w:r>
            <w:r>
              <w:rPr>
                <w:rFonts w:ascii="宋体" w:hAnsi="宋体" w:cs="宋体" w:eastAsia="宋体" w:hint="default"/>
                <w:sz w:val="18"/>
                <w:szCs w:val="18"/>
              </w:rPr>
              <w:t>驳回 上诉，维持原 判。</w:t>
            </w:r>
            <w:r>
              <w:rPr>
                <w:rFonts w:ascii="Times New Roman" w:hAnsi="Times New Roman" w:cs="Times New Roman" w:eastAsia="Times New Roman" w:hint="default"/>
                <w:sz w:val="18"/>
                <w:szCs w:val="18"/>
              </w:rPr>
              <w:t>”</w:t>
            </w:r>
            <w:r>
              <w:rPr>
                <w:rFonts w:ascii="宋体" w:hAnsi="宋体" w:cs="宋体" w:eastAsia="宋体" w:hint="default"/>
                <w:sz w:val="18"/>
                <w:szCs w:val="18"/>
              </w:rPr>
              <w:t>三、本案以 及本案衍生诉讼 案件的终审裁判 结果，对 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 的影响较大且存 在不确定性，视 本案最终司法执 行结果而定。</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处罚及整改情况" w:id="84"/>
      <w:bookmarkEnd w:id="84"/>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85"/>
      <w:bookmarkEnd w:id="8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86"/>
      <w:bookmarkEnd w:id="8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30"/>
        <w:jc w:val="left"/>
      </w:pPr>
      <w:r>
        <w:rPr/>
        <w:t>（一）公司第二期股票期权激励计划实施情况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日，本公司分别召开第四届董事会第三次会议和第四届监事会第二次会议，审议并通过《关于注销公司第二</w:t>
      </w:r>
      <w:r>
        <w:rPr>
          <w:spacing w:val="-58"/>
        </w:rPr>
        <w:t> </w:t>
      </w:r>
      <w:r>
        <w:rPr>
          <w:spacing w:val="-58"/>
        </w:rPr>
      </w:r>
      <w:r>
        <w:rPr>
          <w:spacing w:val="-2"/>
        </w:rPr>
        <w:t>期股票期权激励计划第一个行权期和第二个行权期未达到行权条件股票期权的议案》、《关于终止第二期股票期权激励计划</w:t>
      </w:r>
      <w:r>
        <w:rPr>
          <w:spacing w:val="-65"/>
        </w:rPr>
        <w:t> </w:t>
      </w:r>
      <w:r>
        <w:rPr>
          <w:spacing w:val="-65"/>
        </w:rPr>
      </w:r>
      <w:r>
        <w:rPr>
          <w:spacing w:val="-2"/>
        </w:rPr>
        <w:t>并注销已授予股票期权的议案》，公司将对第一个行权期和第二个行权期未达到行权条件的股票期权及剩余未到期的第三个</w:t>
      </w:r>
      <w:r>
        <w:rPr>
          <w:spacing w:val="-64"/>
        </w:rPr>
        <w:t> </w:t>
      </w:r>
      <w:r>
        <w:rPr>
          <w:spacing w:val="-64"/>
        </w:rPr>
      </w:r>
      <w:r>
        <w:rPr/>
        <w:t>行权期的股票期权予以注销，注销后的第二期股票期权激励计划存续期权份额为零，第二期股票期权激励计划提前终止。 公司独立董事发表了相关独立意见；上海锦天城律师事务所出具了相关法律意见书。具体内容详见公司于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w:t>
      </w:r>
      <w:r>
        <w:rPr>
          <w:spacing w:val="-85"/>
        </w:rPr>
        <w:t> </w:t>
      </w:r>
      <w:r>
        <w:rPr/>
        <w:t>巨潮资讯网披露的《关于注销股票期权和终止股票期权激励计划的公告》（公告编号：</w:t>
      </w:r>
      <w:r>
        <w:rPr>
          <w:rFonts w:ascii="Times New Roman" w:hAnsi="Times New Roman" w:cs="Times New Roman" w:eastAsia="Times New Roman" w:hint="default"/>
        </w:rPr>
        <w:t>2017-033</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日，经中国证券登记结算有限责任公司深圳分公司审核确认，公司第二期股票期权激励计划的全部股票期权的</w:t>
      </w:r>
      <w:r>
        <w:rPr>
          <w:spacing w:val="-83"/>
        </w:rPr>
        <w:t> </w:t>
      </w:r>
      <w:r>
        <w:rPr>
          <w:spacing w:val="-83"/>
        </w:rPr>
      </w:r>
      <w:r>
        <w:rPr/>
        <w:t>注销事宜已办理完毕。具体内容详见公司于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日在巨潮资讯网披露的《关于第二期股票期权激励计划已授予股票</w:t>
      </w:r>
      <w:r>
        <w:rPr>
          <w:spacing w:val="-83"/>
        </w:rPr>
        <w:t> </w:t>
      </w:r>
      <w:r>
        <w:rPr>
          <w:spacing w:val="-83"/>
        </w:rPr>
      </w:r>
      <w:r>
        <w:rPr/>
        <w:t>期权注销完成的公告》（公告编号：</w:t>
      </w:r>
      <w:r>
        <w:rPr>
          <w:rFonts w:ascii="Times New Roman" w:hAnsi="Times New Roman" w:cs="Times New Roman" w:eastAsia="Times New Roman" w:hint="default"/>
        </w:rPr>
        <w:t>2017-036</w:t>
      </w:r>
      <w:r>
        <w:rPr/>
        <w:t>）。</w:t>
      </w:r>
    </w:p>
    <w:p>
      <w:pPr>
        <w:pStyle w:val="BodyText"/>
        <w:spacing w:line="304" w:lineRule="auto" w:before="7"/>
        <w:ind w:right="1040"/>
        <w:jc w:val="left"/>
      </w:pPr>
      <w:r>
        <w:rPr/>
        <w:t>（二）公司</w:t>
      </w:r>
      <w:r>
        <w:rPr>
          <w:rFonts w:ascii="Times New Roman" w:hAnsi="Times New Roman" w:cs="Times New Roman" w:eastAsia="Times New Roman" w:hint="default"/>
        </w:rPr>
        <w:t>2017</w:t>
      </w:r>
      <w:r>
        <w:rPr/>
        <w:t>年股票期权激励计划实施情况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日，公司召开第四届董事会第六次会议，审议通过了《关于</w:t>
      </w:r>
      <w:r>
        <w:rPr>
          <w:rFonts w:ascii="Times New Roman" w:hAnsi="Times New Roman" w:cs="Times New Roman" w:eastAsia="Times New Roman" w:hint="default"/>
          <w:spacing w:val="-2"/>
        </w:rPr>
        <w:t>&lt;</w:t>
      </w:r>
      <w:r>
        <w:rPr>
          <w:spacing w:val="-2"/>
        </w:rPr>
        <w:t>银江股份有限公司</w:t>
      </w:r>
      <w:r>
        <w:rPr>
          <w:rFonts w:ascii="Times New Roman" w:hAnsi="Times New Roman" w:cs="Times New Roman" w:eastAsia="Times New Roman" w:hint="default"/>
          <w:spacing w:val="-2"/>
        </w:rPr>
        <w:t>2017</w:t>
      </w:r>
      <w:r>
        <w:rPr>
          <w:spacing w:val="-2"/>
        </w:rPr>
        <w:t>年股票期权激励计划（草</w:t>
      </w:r>
      <w:r>
        <w:rPr>
          <w:spacing w:val="-69"/>
        </w:rPr>
        <w:t> </w:t>
      </w:r>
      <w:r>
        <w:rPr>
          <w:spacing w:val="-69"/>
        </w:rPr>
      </w:r>
      <w:r>
        <w:rPr/>
        <w:t>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银江股份有限公司</w:t>
      </w:r>
      <w:r>
        <w:rPr>
          <w:rFonts w:ascii="Times New Roman" w:hAnsi="Times New Roman" w:cs="Times New Roman" w:eastAsia="Times New Roman" w:hint="default"/>
        </w:rPr>
        <w:t>2017</w:t>
      </w:r>
      <w:r>
        <w:rPr/>
        <w:t>年股票期权激励计划实施考核管理办法</w:t>
      </w:r>
      <w:r>
        <w:rPr>
          <w:rFonts w:ascii="Times New Roman" w:hAnsi="Times New Roman" w:cs="Times New Roman" w:eastAsia="Times New Roman" w:hint="default"/>
        </w:rPr>
        <w:t>&gt;</w:t>
      </w:r>
      <w:r>
        <w:rPr/>
        <w:t>的议案》、《关于提请股 </w:t>
      </w:r>
      <w:r>
        <w:rPr>
          <w:spacing w:val="-2"/>
        </w:rPr>
        <w:t>东大会授权董事会办理公司</w:t>
      </w:r>
      <w:r>
        <w:rPr>
          <w:rFonts w:ascii="Times New Roman" w:hAnsi="Times New Roman" w:cs="Times New Roman" w:eastAsia="Times New Roman" w:hint="default"/>
          <w:spacing w:val="-2"/>
        </w:rPr>
        <w:t>2017</w:t>
      </w:r>
      <w:r>
        <w:rPr>
          <w:spacing w:val="-2"/>
        </w:rPr>
        <w:t>年股票期权激励计划有关事项的议案》，公司独立董事对本次激励计划及其他相关议案发表</w:t>
      </w:r>
      <w:r>
        <w:rPr>
          <w:spacing w:val="-60"/>
        </w:rPr>
        <w:t> </w:t>
      </w:r>
      <w:r>
        <w:rPr>
          <w:spacing w:val="-60"/>
        </w:rPr>
      </w:r>
      <w:r>
        <w:rPr/>
        <w:t>了独立意见。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日，公司召开第四届监事会第五次会议，审议通过了《关于</w:t>
      </w:r>
      <w:r>
        <w:rPr>
          <w:rFonts w:ascii="Times New Roman" w:hAnsi="Times New Roman" w:cs="Times New Roman" w:eastAsia="Times New Roman" w:hint="default"/>
          <w:spacing w:val="-2"/>
        </w:rPr>
        <w:t>&lt;</w:t>
      </w:r>
      <w:r>
        <w:rPr>
          <w:spacing w:val="-2"/>
        </w:rPr>
        <w:t>银江股份有限公司</w:t>
      </w:r>
      <w:r>
        <w:rPr>
          <w:rFonts w:ascii="Times New Roman" w:hAnsi="Times New Roman" w:cs="Times New Roman" w:eastAsia="Times New Roman" w:hint="default"/>
          <w:spacing w:val="-2"/>
        </w:rPr>
        <w:t>2017</w:t>
      </w:r>
      <w:r>
        <w:rPr>
          <w:spacing w:val="-2"/>
        </w:rPr>
        <w:t>年股票期权激励计划（草</w:t>
      </w:r>
      <w:r>
        <w:rPr>
          <w:spacing w:val="-69"/>
        </w:rPr>
        <w:t> </w:t>
      </w:r>
      <w:r>
        <w:rPr>
          <w:spacing w:val="-69"/>
        </w:rPr>
      </w:r>
      <w:r>
        <w:rPr/>
        <w:t>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银江股份有限公司</w:t>
      </w:r>
      <w:r>
        <w:rPr>
          <w:rFonts w:ascii="Times New Roman" w:hAnsi="Times New Roman" w:cs="Times New Roman" w:eastAsia="Times New Roman" w:hint="default"/>
        </w:rPr>
        <w:t>2017</w:t>
      </w:r>
      <w:r>
        <w:rPr/>
        <w:t>年股票期权激励计划实施考核管理办法</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银江</w:t>
      </w:r>
      <w:r>
        <w:rPr>
          <w:spacing w:val="-45"/>
        </w:rPr>
        <w:t> </w:t>
      </w:r>
      <w:r>
        <w:rPr/>
        <w:t>股份有限公司</w:t>
      </w:r>
      <w:r>
        <w:rPr>
          <w:rFonts w:ascii="Times New Roman" w:hAnsi="Times New Roman" w:cs="Times New Roman" w:eastAsia="Times New Roman" w:hint="default"/>
        </w:rPr>
        <w:t>2017</w:t>
      </w:r>
      <w:r>
        <w:rPr/>
        <w:t>年股票期权激励计划激励对象名单</w:t>
      </w:r>
      <w:r>
        <w:rPr>
          <w:rFonts w:ascii="Times New Roman" w:hAnsi="Times New Roman" w:cs="Times New Roman" w:eastAsia="Times New Roman" w:hint="default"/>
        </w:rPr>
        <w:t>&gt;</w:t>
      </w:r>
      <w:r>
        <w:rPr/>
        <w:t>的议案》。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日，公司召开第四届董事会第七次会议，审议并通过《关于提请召开公司</w:t>
      </w:r>
      <w:r>
        <w:rPr>
          <w:rFonts w:ascii="Times New Roman" w:hAnsi="Times New Roman" w:cs="Times New Roman" w:eastAsia="Times New Roman" w:hint="default"/>
          <w:spacing w:val="-2"/>
        </w:rPr>
        <w:t>2017</w:t>
      </w:r>
      <w:r>
        <w:rPr>
          <w:spacing w:val="-2"/>
        </w:rPr>
        <w:t>年第四次临时股东大会的议案》</w:t>
      </w:r>
      <w:r>
        <w:rPr>
          <w:spacing w:val="-54"/>
        </w:rPr>
        <w:t> </w:t>
      </w:r>
      <w:r>
        <w:rPr/>
        <w:t>等议案。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日，公司对授予的激励对象名单的姓名和职务在公司内部进行了公示，在公示期内，没有任</w:t>
      </w:r>
      <w:r>
        <w:rPr>
          <w:spacing w:val="-52"/>
        </w:rPr>
        <w:t> </w:t>
      </w:r>
      <w:r>
        <w:rPr>
          <w:spacing w:val="-52"/>
        </w:rPr>
      </w:r>
      <w:r>
        <w:rPr/>
        <w:t>何组织或个人提出异议或不良反映。</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日，公司监事会发表了《监事会关于公司</w:t>
      </w:r>
      <w:r>
        <w:rPr>
          <w:rFonts w:ascii="Times New Roman" w:hAnsi="Times New Roman" w:cs="Times New Roman" w:eastAsia="Times New Roman" w:hint="default"/>
        </w:rPr>
        <w:t>2017</w:t>
      </w:r>
      <w:r>
        <w:rPr/>
        <w:t>年股票期权激励计划的激励</w:t>
      </w:r>
      <w:r>
        <w:rPr>
          <w:spacing w:val="-83"/>
        </w:rPr>
        <w:t> </w:t>
      </w:r>
      <w:r>
        <w:rPr>
          <w:spacing w:val="-83"/>
        </w:rPr>
      </w:r>
      <w:r>
        <w:rPr/>
        <w:t>对象名单之审核意见及公示情况的说明》。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w:t>
      </w:r>
      <w:r>
        <w:rPr>
          <w:rFonts w:ascii="Times New Roman" w:hAnsi="Times New Roman" w:cs="Times New Roman" w:eastAsia="Times New Roman" w:hint="default"/>
        </w:rPr>
        <w:t>2017</w:t>
      </w:r>
      <w:r>
        <w:rPr/>
        <w:t>年第四次临时股东大会，审议通过了《关于</w:t>
      </w:r>
      <w:r>
        <w:rPr>
          <w:rFonts w:ascii="Times New Roman" w:hAnsi="Times New Roman" w:cs="Times New Roman" w:eastAsia="Times New Roman" w:hint="default"/>
        </w:rPr>
        <w:t>&lt;</w:t>
      </w:r>
      <w:r>
        <w:rPr/>
        <w:t>银江股份有限公司</w:t>
      </w:r>
      <w:r>
        <w:rPr>
          <w:rFonts w:ascii="Times New Roman" w:hAnsi="Times New Roman" w:cs="Times New Roman" w:eastAsia="Times New Roman" w:hint="default"/>
        </w:rPr>
        <w:t>2017</w:t>
      </w:r>
      <w:r>
        <w:rPr/>
        <w:t>年股票期权激励计划</w:t>
      </w:r>
    </w:p>
    <w:p>
      <w:pPr>
        <w:pStyle w:val="BodyText"/>
        <w:spacing w:line="304" w:lineRule="auto" w:before="9"/>
        <w:ind w:right="1128"/>
        <w:jc w:val="left"/>
      </w:pPr>
      <w:r>
        <w:rPr>
          <w:spacing w:val="-1"/>
        </w:rPr>
        <w:t>（草案）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银江股份有限公司</w:t>
      </w:r>
      <w:r>
        <w:rPr>
          <w:rFonts w:ascii="Times New Roman" w:hAnsi="Times New Roman" w:cs="Times New Roman" w:eastAsia="Times New Roman" w:hint="default"/>
          <w:spacing w:val="-1"/>
        </w:rPr>
        <w:t>2017</w:t>
      </w:r>
      <w:r>
        <w:rPr>
          <w:spacing w:val="-1"/>
        </w:rPr>
        <w:t>年股票期权激励计划实施考核管理办法</w:t>
      </w:r>
      <w:r>
        <w:rPr>
          <w:rFonts w:ascii="Times New Roman" w:hAnsi="Times New Roman" w:cs="Times New Roman" w:eastAsia="Times New Roman" w:hint="default"/>
          <w:spacing w:val="-1"/>
        </w:rPr>
        <w:t>&gt;</w:t>
      </w:r>
      <w:r>
        <w:rPr>
          <w:spacing w:val="-1"/>
        </w:rPr>
        <w:t>的议案》、《关于提</w:t>
      </w:r>
      <w:r>
        <w:rPr>
          <w:spacing w:val="-67"/>
        </w:rPr>
        <w:t> </w:t>
      </w:r>
      <w:r>
        <w:rPr>
          <w:spacing w:val="-67"/>
        </w:rPr>
      </w:r>
      <w:r>
        <w:rPr>
          <w:spacing w:val="-2"/>
        </w:rPr>
        <w:t>请股东大会授权董事会办理公司</w:t>
      </w:r>
      <w:r>
        <w:rPr>
          <w:rFonts w:ascii="Times New Roman" w:hAnsi="Times New Roman" w:cs="Times New Roman" w:eastAsia="Times New Roman" w:hint="default"/>
          <w:spacing w:val="-2"/>
        </w:rPr>
        <w:t>2017</w:t>
      </w:r>
      <w:r>
        <w:rPr>
          <w:spacing w:val="-2"/>
        </w:rPr>
        <w:t>年股票期权激励计划有关事项的议案》，并披露了《关于公司</w:t>
      </w:r>
      <w:r>
        <w:rPr>
          <w:rFonts w:ascii="Times New Roman" w:hAnsi="Times New Roman" w:cs="Times New Roman" w:eastAsia="Times New Roman" w:hint="default"/>
          <w:spacing w:val="-2"/>
        </w:rPr>
        <w:t>2017</w:t>
      </w:r>
      <w:r>
        <w:rPr>
          <w:spacing w:val="-2"/>
        </w:rPr>
        <w:t>年股票期权激励计划</w:t>
      </w:r>
      <w:r>
        <w:rPr>
          <w:spacing w:val="-58"/>
        </w:rPr>
        <w:t> </w:t>
      </w:r>
      <w:r>
        <w:rPr/>
        <w:t>内幕信息知情人买卖公司股票情况的自查报告》。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日，公司分别召开第四届董事会第八次会议和第四届监事会第七次会议，审议通过了《关于调整公司</w:t>
      </w:r>
      <w:r>
        <w:rPr>
          <w:rFonts w:ascii="Times New Roman" w:hAnsi="Times New Roman" w:cs="Times New Roman" w:eastAsia="Times New Roman" w:hint="default"/>
        </w:rPr>
        <w:t>2017 </w:t>
      </w:r>
      <w:r>
        <w:rPr>
          <w:spacing w:val="-2"/>
        </w:rPr>
        <w:t>年股票期权激励计划授予激励对象名单及授予数量的议案》及《关于向</w:t>
      </w:r>
      <w:r>
        <w:rPr>
          <w:rFonts w:ascii="Times New Roman" w:hAnsi="Times New Roman" w:cs="Times New Roman" w:eastAsia="Times New Roman" w:hint="default"/>
          <w:spacing w:val="-2"/>
        </w:rPr>
        <w:t>2017</w:t>
      </w:r>
      <w:r>
        <w:rPr>
          <w:spacing w:val="-2"/>
        </w:rPr>
        <w:t>年股票期权激励计划激励对象授予股票期权的议</w:t>
      </w:r>
      <w:r>
        <w:rPr>
          <w:spacing w:val="-60"/>
        </w:rPr>
        <w:t> </w:t>
      </w:r>
      <w:r>
        <w:rPr/>
        <w:t>案》等相关议案，确定以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日作为激励计划的授予日，向符合条件的</w:t>
      </w:r>
      <w:r>
        <w:rPr>
          <w:rFonts w:ascii="Times New Roman" w:hAnsi="Times New Roman" w:cs="Times New Roman" w:eastAsia="Times New Roman" w:hint="default"/>
        </w:rPr>
        <w:t>303</w:t>
      </w:r>
      <w:r>
        <w:rPr/>
        <w:t>名激励对象授予</w:t>
      </w:r>
      <w:r>
        <w:rPr>
          <w:rFonts w:ascii="Times New Roman" w:hAnsi="Times New Roman" w:cs="Times New Roman" w:eastAsia="Times New Roman" w:hint="default"/>
        </w:rPr>
        <w:t>1,718</w:t>
      </w:r>
      <w:r>
        <w:rPr/>
        <w:t>万份股票期权。公</w:t>
      </w:r>
      <w:r>
        <w:rPr>
          <w:spacing w:val="-45"/>
        </w:rPr>
        <w:t> </w:t>
      </w:r>
      <w:r>
        <w:rPr>
          <w:spacing w:val="-45"/>
        </w:rPr>
      </w:r>
      <w:r>
        <w:rPr/>
        <w:t>司独立董事对相关事项发表了独立意见，监事会对本次授予股票期权的激励对象名单进行了核实。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日，经深圳证券交易所、中国证券登记结算有限责任公司深圳分公司审核确认，公司已完成《</w:t>
      </w:r>
      <w:r>
        <w:rPr>
          <w:rFonts w:ascii="Times New Roman" w:hAnsi="Times New Roman" w:cs="Times New Roman" w:eastAsia="Times New Roman" w:hint="default"/>
        </w:rPr>
        <w:t>2017</w:t>
      </w:r>
      <w:r>
        <w:rPr/>
        <w:t>年股票</w:t>
      </w:r>
      <w:r>
        <w:rPr>
          <w:spacing w:val="-82"/>
        </w:rPr>
        <w:t> </w:t>
      </w:r>
      <w:r>
        <w:rPr/>
        <w:t>期权激励计划（草案）》股票期权的授予登记工作，期权简称：银江</w:t>
      </w:r>
      <w:r>
        <w:rPr>
          <w:rFonts w:ascii="Times New Roman" w:hAnsi="Times New Roman" w:cs="Times New Roman" w:eastAsia="Times New Roman" w:hint="default"/>
        </w:rPr>
        <w:t>JLC3</w:t>
      </w:r>
      <w:r>
        <w:rPr/>
        <w:t>，期权代码：</w:t>
      </w:r>
      <w:r>
        <w:rPr>
          <w:rFonts w:ascii="Times New Roman" w:hAnsi="Times New Roman" w:cs="Times New Roman" w:eastAsia="Times New Roman" w:hint="default"/>
        </w:rPr>
        <w:t>036262</w:t>
      </w:r>
      <w:r>
        <w:rPr/>
        <w:t>。具体内容详见公司于</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日在巨潮资讯网披露的《关于</w:t>
      </w:r>
      <w:r>
        <w:rPr>
          <w:rFonts w:ascii="Times New Roman" w:hAnsi="Times New Roman" w:cs="Times New Roman" w:eastAsia="Times New Roman" w:hint="default"/>
        </w:rPr>
        <w:t>2017</w:t>
      </w:r>
      <w:r>
        <w:rPr/>
        <w:t>年股票期权激励计划授予登记完成的公告》（公告编号：</w:t>
      </w:r>
      <w:r>
        <w:rPr>
          <w:rFonts w:ascii="Times New Roman" w:hAnsi="Times New Roman" w:cs="Times New Roman" w:eastAsia="Times New Roman" w:hint="default"/>
        </w:rPr>
        <w:t>2017-104</w:t>
      </w:r>
      <w:r>
        <w:rPr/>
        <w:t>）。</w:t>
      </w:r>
    </w:p>
    <w:p>
      <w:pPr>
        <w:pStyle w:val="BodyText"/>
        <w:spacing w:line="300" w:lineRule="auto" w:before="9"/>
        <w:ind w:right="1131"/>
        <w:jc w:val="left"/>
      </w:pPr>
      <w:r>
        <w:rPr/>
        <w:t>（三）实施</w:t>
      </w:r>
      <w:r>
        <w:rPr>
          <w:rFonts w:ascii="Times New Roman" w:hAnsi="Times New Roman" w:cs="Times New Roman" w:eastAsia="Times New Roman" w:hint="default"/>
        </w:rPr>
        <w:t>2017</w:t>
      </w:r>
      <w:r>
        <w:rPr/>
        <w:t>年股权激励计划对公司本报告期及以后各年度财务状况和经营成果的影响 假设后续各期可行权的股票期权数量不发生变化，依据会计准则，</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-2020</w:t>
      </w:r>
      <w:r>
        <w:rPr/>
        <w:t>年公司期权成本或费用摊销情况的预测算结</w:t>
      </w:r>
      <w:r>
        <w:rPr>
          <w:spacing w:val="-56"/>
        </w:rPr>
        <w:t> </w:t>
      </w:r>
      <w:r>
        <w:rPr>
          <w:spacing w:val="-56"/>
        </w:rPr>
      </w:r>
      <w:r>
        <w:rPr/>
        <w:t>果见下表（单位：万元）：</w:t>
      </w:r>
    </w:p>
    <w:tbl>
      <w:tblPr>
        <w:tblW w:w="0" w:type="auto"/>
        <w:jc w:val="left"/>
        <w:tblInd w:w="112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总摊销费用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年摊销费用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年摊销费用</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年摊销费用</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年摊销费用</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3088.96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501.96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1698.93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656.40</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231.67</w:t>
            </w:r>
          </w:p>
        </w:tc>
      </w:tr>
    </w:tbl>
    <w:p>
      <w:pPr>
        <w:pStyle w:val="BodyText"/>
        <w:spacing w:line="316" w:lineRule="auto" w:before="31"/>
        <w:ind w:left="1134" w:right="0"/>
        <w:jc w:val="left"/>
      </w:pPr>
      <w:r>
        <w:rPr/>
        <w:t>（四）公司第一期员工持股计划实施情况 </w:t>
      </w:r>
      <w:r>
        <w:rPr>
          <w:spacing w:val="-2"/>
        </w:rPr>
        <w:t>本次员工持股计划的存续期为</w:t>
      </w:r>
      <w:r>
        <w:rPr>
          <w:rFonts w:ascii="Times New Roman" w:hAnsi="Times New Roman" w:cs="Times New Roman" w:eastAsia="Times New Roman" w:hint="default"/>
          <w:spacing w:val="-2"/>
        </w:rPr>
        <w:t>24</w:t>
      </w:r>
      <w:r>
        <w:rPr>
          <w:spacing w:val="-2"/>
        </w:rPr>
        <w:t>个月，自通过股东大会审议之日起计算，即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日。本员工持股</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41"/>
        <w:jc w:val="left"/>
      </w:pPr>
      <w:r>
        <w:rPr/>
        <w:t>计划的锁定期为</w:t>
      </w:r>
      <w:r>
        <w:rPr>
          <w:rFonts w:ascii="Times New Roman" w:hAnsi="Times New Roman" w:cs="Times New Roman" w:eastAsia="Times New Roman" w:hint="default"/>
        </w:rPr>
        <w:t>12</w:t>
      </w:r>
      <w:r>
        <w:rPr/>
        <w:t>个月，自公司公告最后一笔标的股票过户至资管计划名下之日起算，即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 </w:t>
      </w:r>
      <w:r>
        <w:rPr>
          <w:spacing w:val="-1"/>
        </w:rPr>
        <w:t>截止本报告期末，公司第一期员工持股计划</w:t>
      </w:r>
      <w:r>
        <w:rPr>
          <w:rFonts w:ascii="Times New Roman" w:hAnsi="Times New Roman" w:cs="Times New Roman" w:eastAsia="Times New Roman" w:hint="default"/>
          <w:spacing w:val="-1"/>
        </w:rPr>
        <w:t>“</w:t>
      </w:r>
      <w:r>
        <w:rPr>
          <w:spacing w:val="-1"/>
        </w:rPr>
        <w:t>申万菱信</w:t>
      </w:r>
      <w:r>
        <w:rPr>
          <w:rFonts w:ascii="Times New Roman" w:hAnsi="Times New Roman" w:cs="Times New Roman" w:eastAsia="Times New Roman" w:hint="default"/>
          <w:spacing w:val="-1"/>
        </w:rPr>
        <w:t>-</w:t>
      </w:r>
      <w:r>
        <w:rPr>
          <w:spacing w:val="-1"/>
        </w:rPr>
        <w:t>银江股份员工持股资产管理计划</w:t>
      </w:r>
      <w:r>
        <w:rPr>
          <w:rFonts w:ascii="Times New Roman" w:hAnsi="Times New Roman" w:cs="Times New Roman" w:eastAsia="Times New Roman" w:hint="default"/>
          <w:spacing w:val="-1"/>
        </w:rPr>
        <w:t>”</w:t>
      </w:r>
      <w:r>
        <w:rPr>
          <w:spacing w:val="-1"/>
        </w:rPr>
        <w:t>所持有的公司股票已全部出售完毕，</w:t>
      </w:r>
      <w:r>
        <w:rPr>
          <w:spacing w:val="-67"/>
        </w:rPr>
        <w:t> </w:t>
      </w:r>
      <w:r>
        <w:rPr>
          <w:spacing w:val="-2"/>
        </w:rPr>
        <w:t>总计卖出股票</w:t>
      </w:r>
      <w:r>
        <w:rPr>
          <w:rFonts w:ascii="Times New Roman" w:hAnsi="Times New Roman" w:cs="Times New Roman" w:eastAsia="Times New Roman" w:hint="default"/>
          <w:spacing w:val="-2"/>
        </w:rPr>
        <w:t>2,326,841</w:t>
      </w:r>
      <w:r>
        <w:rPr>
          <w:spacing w:val="-2"/>
        </w:rPr>
        <w:t>股。具体内容详见公司于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日在巨潮资讯网披露的《关于第一期员工持股计划出售完毕及</w:t>
      </w:r>
      <w:r>
        <w:rPr>
          <w:spacing w:val="-49"/>
        </w:rPr>
        <w:t> </w:t>
      </w:r>
      <w:r>
        <w:rPr>
          <w:spacing w:val="-49"/>
        </w:rPr>
      </w:r>
      <w:r>
        <w:rPr/>
        <w:t>终止的公告》（公告编号：</w:t>
      </w:r>
      <w:r>
        <w:rPr>
          <w:rFonts w:ascii="Times New Roman" w:hAnsi="Times New Roman" w:cs="Times New Roman" w:eastAsia="Times New Roman" w:hint="default"/>
        </w:rPr>
        <w:t>2017-116</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87"/>
      <w:bookmarkEnd w:id="8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8"/>
      <w:bookmarkEnd w:id="8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0.38%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42.31</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0.92%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102.67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5"/>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4.82%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536.33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12.20%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上海银江 智慧智能 化技术有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12.47%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1,387.4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杭州银江 医联网技 术股份有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0.15%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17.10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银江孵化 器股份有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物业管 理费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1.45%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161.3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智谷创业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控股股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提供劳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建造合</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7,524.2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67.61%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7,524.2</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公告编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园有限公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w:t>
            </w: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21,220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资产或股权收购、出售发生的关联交易" w:id="89"/>
      <w:bookmarkEnd w:id="8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3、共同对外投资的关联交易" w:id="90"/>
      <w:bookmarkEnd w:id="9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银江科技集 团有限公司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浙江银江金 服控股有限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2,855.09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-144.91</w:t>
            </w:r>
          </w:p>
        </w:tc>
      </w:tr>
      <w:tr>
        <w:trPr>
          <w:trHeight w:val="1650"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银江科技集 团有限公司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杭州银江智 慧产业创业 投资合伙企 业（有限合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39,873.74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39,251.11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-1,886.81</w:t>
            </w:r>
            <w:r>
              <w:rPr>
                <w:rFonts w:ascii="Times New Roman"/>
                <w:sz w:val="18"/>
              </w:rPr>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关联债权债务往来" w:id="91"/>
      <w:bookmarkEnd w:id="9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1"/>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其他重大关联交易" w:id="92"/>
      <w:bookmarkEnd w:id="9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93"/>
      <w:bookmarkEnd w:id="93"/>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94"/>
      <w:bookmarkEnd w:id="9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5"/>
      <w:bookmarkEnd w:id="9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96"/>
      <w:bookmarkEnd w:id="9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97"/>
      <w:bookmarkEnd w:id="9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8"/>
      <w:bookmarkEnd w:id="9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9"/>
      <w:bookmarkEnd w:id="9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100"/>
      <w:bookmarkEnd w:id="10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101"/>
      <w:bookmarkEnd w:id="10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102"/>
      <w:bookmarkEnd w:id="10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银江股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65"/>
              <w:jc w:val="both"/>
              <w:rPr>
                <w:rFonts w:ascii="宋体" w:hAnsi="宋体" w:cs="宋体" w:eastAsia="宋体" w:hint="default"/>
                <w:sz w:val="18"/>
                <w:szCs w:val="18"/>
              </w:rPr>
            </w:pPr>
            <w:r>
              <w:rPr>
                <w:rFonts w:ascii="宋体" w:hAnsi="宋体" w:cs="宋体" w:eastAsia="宋体" w:hint="default"/>
                <w:sz w:val="18"/>
                <w:szCs w:val="18"/>
              </w:rPr>
              <w:t>甘肃新 雅房地 产开发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新雅城 市金街 项目机 电设备 供货及 专业安 装工程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12,470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65"/>
              <w:jc w:val="left"/>
              <w:rPr>
                <w:rFonts w:ascii="宋体" w:hAnsi="宋体" w:cs="宋体" w:eastAsia="宋体" w:hint="default"/>
                <w:sz w:val="18"/>
                <w:szCs w:val="18"/>
              </w:rPr>
            </w:pPr>
            <w:r>
              <w:rPr>
                <w:rFonts w:ascii="宋体" w:hAnsi="宋体" w:cs="宋体" w:eastAsia="宋体" w:hint="default"/>
                <w:sz w:val="18"/>
                <w:szCs w:val="18"/>
              </w:rPr>
              <w:t>初步开 工</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《关于 签订合 同的公 </w:t>
            </w:r>
            <w:r>
              <w:rPr>
                <w:rFonts w:ascii="宋体" w:hAnsi="宋体" w:cs="宋体" w:eastAsia="宋体" w:hint="default"/>
                <w:spacing w:val="-36"/>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社会责任情况" w:id="103"/>
      <w:bookmarkEnd w:id="103"/>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104"/>
      <w:bookmarkEnd w:id="104"/>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公司积极履行企业应尽的义务，承担社会责任。公司在不断为股东创造价值的同时，也积极承担对员工、客户、社会等其他</w:t>
      </w:r>
      <w:r>
        <w:rPr>
          <w:spacing w:val="-66"/>
        </w:rPr>
        <w:t> </w:t>
      </w:r>
      <w:r>
        <w:rPr>
          <w:spacing w:val="-66"/>
        </w:rPr>
      </w:r>
      <w:r>
        <w:rPr/>
        <w:t>利益相关者的责任。</w:t>
      </w:r>
    </w:p>
    <w:p>
      <w:pPr>
        <w:pStyle w:val="BodyText"/>
        <w:spacing w:line="319" w:lineRule="auto" w:before="56"/>
        <w:ind w:right="1040"/>
        <w:jc w:val="left"/>
      </w:pPr>
      <w:r>
        <w:rPr>
          <w:spacing w:val="-7"/>
        </w:rPr>
        <w:t>公司严格按照《公司法》、《深圳证券交易所创业板股票上市规则》、《上市公司信息披露管理办法》等相关法律法规的要求，</w:t>
      </w:r>
      <w:r>
        <w:rPr>
          <w:spacing w:val="-58"/>
        </w:rPr>
        <w:t> </w:t>
      </w:r>
      <w:r>
        <w:rPr>
          <w:spacing w:val="-58"/>
        </w:rPr>
      </w:r>
      <w:r>
        <w:rPr>
          <w:spacing w:val="-2"/>
        </w:rPr>
        <w:t>及时、准确、真实、完整地进行信息披露，通过投资者电话、电子邮箱、投资者关系互动平台和实地调研等多种方式与投资</w:t>
      </w:r>
      <w:r>
        <w:rPr>
          <w:spacing w:val="-67"/>
        </w:rPr>
        <w:t> </w:t>
      </w:r>
      <w:r>
        <w:rPr>
          <w:spacing w:val="-67"/>
        </w:rPr>
      </w:r>
      <w:r>
        <w:rPr>
          <w:spacing w:val="-2"/>
        </w:rPr>
        <w:t>者进行沟通交流，提高了公司的透明度和诚信度。公司非常重视对投资者的合理回报，制定了相对稳定的利润分配政策和分</w:t>
      </w:r>
      <w:r>
        <w:rPr>
          <w:spacing w:val="-66"/>
        </w:rPr>
        <w:t> </w:t>
      </w:r>
      <w:r>
        <w:rPr>
          <w:spacing w:val="-66"/>
        </w:rPr>
      </w:r>
      <w:r>
        <w:rPr>
          <w:spacing w:val="-5"/>
        </w:rPr>
        <w:t>红方案以回报股东。公司一直坚持以人为本的人才理念，实施企业人才战略，严格遵守《劳动法》、《劳动合同法》等相关法</w:t>
      </w:r>
      <w:r>
        <w:rPr>
          <w:spacing w:val="-81"/>
        </w:rPr>
        <w:t> </w:t>
      </w:r>
      <w:r>
        <w:rPr>
          <w:spacing w:val="-81"/>
        </w:rPr>
      </w:r>
      <w:r>
        <w:rPr>
          <w:spacing w:val="-4"/>
        </w:rPr>
        <w:t>律法规，尊重和维护员工的个人权益，通过优化员工工作环境、定期发放节日补助等方式切实关注员工健康、安全和满意度；</w:t>
      </w:r>
      <w:r>
        <w:rPr>
          <w:spacing w:val="-46"/>
        </w:rPr>
        <w:t> </w:t>
      </w:r>
      <w:r>
        <w:rPr>
          <w:spacing w:val="-46"/>
        </w:rPr>
      </w:r>
      <w:r>
        <w:rPr>
          <w:spacing w:val="-2"/>
        </w:rPr>
        <w:t>以银江大学为平台，开展员工知识技能的理论培训及实践操作技能培训，使员工专业素质得到切实的提高和发展，维护员工</w:t>
      </w:r>
      <w:r>
        <w:rPr>
          <w:spacing w:val="-66"/>
        </w:rPr>
        <w:t> </w:t>
      </w:r>
      <w:r>
        <w:rPr>
          <w:spacing w:val="-66"/>
        </w:rPr>
      </w:r>
      <w:r>
        <w:rPr/>
        <w:t>合法权益。</w:t>
      </w:r>
    </w:p>
    <w:p>
      <w:pPr>
        <w:pStyle w:val="BodyText"/>
        <w:spacing w:line="319" w:lineRule="auto" w:before="55"/>
        <w:ind w:right="1033"/>
        <w:jc w:val="left"/>
      </w:pPr>
      <w:r>
        <w:rPr/>
        <w:t>公司始终将依法经营作为公司运行的基本原则，注重企业经济效益与社会效益的同步共赢。公司严格遵守国家法律、法规、 政策的规定，始终依法经营，积极纳税，发展就业岗位，支持地方经济的发展。</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105"/>
      <w:bookmarkEnd w:id="10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6"/>
      <w:bookmarkEnd w:id="106"/>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7"/>
      <w:bookmarkEnd w:id="10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5712"/>
        <w:jc w:val="left"/>
      </w:pPr>
      <w:r>
        <w:rPr/>
        <w:t>上市公司及其子公司是否属于环境保护部门公布的重点排污单位 不适用</w:t>
      </w:r>
    </w:p>
    <w:p>
      <w:pPr>
        <w:spacing w:after="0" w:line="36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八、其他重大事项的说明" w:id="108"/>
      <w:bookmarkEnd w:id="108"/>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0"/>
        <w:jc w:val="left"/>
      </w:pPr>
      <w:r>
        <w:rPr/>
        <w:t>（一）关于公司智慧城市总包项目进展情况 </w:t>
      </w:r>
      <w:r>
        <w:rPr>
          <w:spacing w:val="-2"/>
        </w:rPr>
        <w:t>截至本报告期末，公司先后与</w:t>
      </w:r>
      <w:r>
        <w:rPr>
          <w:rFonts w:ascii="Times New Roman" w:hAnsi="Times New Roman" w:cs="Times New Roman" w:eastAsia="Times New Roman" w:hint="default"/>
          <w:spacing w:val="-2"/>
        </w:rPr>
        <w:t>33</w:t>
      </w:r>
      <w:r>
        <w:rPr>
          <w:spacing w:val="-2"/>
        </w:rPr>
        <w:t>个地方政府签订了战略合作协议，并建立战略总包合作关系。目前部分项目仍处于深化设计</w:t>
      </w:r>
      <w:r>
        <w:rPr>
          <w:spacing w:val="-64"/>
        </w:rPr>
        <w:t> </w:t>
      </w:r>
      <w:r>
        <w:rPr>
          <w:spacing w:val="-64"/>
        </w:rPr>
      </w:r>
      <w:r>
        <w:rPr>
          <w:spacing w:val="-2"/>
        </w:rPr>
        <w:t>及项目推进阶段，公司将根据规划和地方政府的实际需求，逐步推进项目的实施。其中，山东莱西、章丘、安丘、临沂及吉</w:t>
      </w:r>
      <w:r>
        <w:rPr>
          <w:spacing w:val="-72"/>
        </w:rPr>
        <w:t> </w:t>
      </w:r>
      <w:r>
        <w:rPr>
          <w:spacing w:val="-72"/>
        </w:rPr>
      </w:r>
      <w:r>
        <w:rPr/>
        <w:t>林东丰、河南焦作、安徽宿州、辽宁沈阳等项目已落地实施。</w:t>
      </w:r>
    </w:p>
    <w:p>
      <w:pPr>
        <w:pStyle w:val="BodyText"/>
        <w:spacing w:line="316" w:lineRule="auto" w:before="22"/>
        <w:ind w:right="3733"/>
        <w:jc w:val="left"/>
      </w:pPr>
      <w:r>
        <w:rPr/>
        <w:t>（二）关于发起设立大爱人寿保险股份有限公司（筹）的进展情况 报告期内，大爱人寿保险股份有限公司（筹）筹备工作组，仍在积极协调筹建申报工作。</w:t>
      </w:r>
    </w:p>
    <w:p>
      <w:pPr>
        <w:pStyle w:val="BodyText"/>
        <w:spacing w:line="302" w:lineRule="auto" w:before="19"/>
        <w:ind w:right="1051"/>
        <w:jc w:val="left"/>
      </w:pPr>
      <w:r>
        <w:rPr/>
        <w:t>（三）公司应补偿股份回购注销进展暨重大诉讼进展情况 报告期内，就公司与李欣的上市公司收购纠纷一案浙江省高级人民法院于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日作出一审判决，具体内容详见</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日公司在巨潮资讯网上披露的《关于收到民事判决书的公告》（公告编号：</w:t>
      </w:r>
      <w:r>
        <w:rPr>
          <w:rFonts w:ascii="Times New Roman" w:hAnsi="Times New Roman" w:cs="Times New Roman" w:eastAsia="Times New Roman" w:hint="default"/>
        </w:rPr>
        <w:t>2017-083</w:t>
      </w:r>
      <w:r>
        <w:rPr/>
        <w:t>）。李欣对该判决不服，向中</w:t>
      </w:r>
      <w:r>
        <w:rPr>
          <w:spacing w:val="-56"/>
        </w:rPr>
        <w:t> </w:t>
      </w:r>
      <w:r>
        <w:rPr>
          <w:spacing w:val="-56"/>
        </w:rPr>
      </w:r>
      <w:r>
        <w:rPr/>
        <w:t>华人民共和国最高人民法院提起上诉。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月，公司与李欣的上市公司收购纠纷一案已经中华人民共和国最高人民法院</w:t>
      </w:r>
      <w:r>
        <w:rPr>
          <w:spacing w:val="-83"/>
        </w:rPr>
        <w:t> </w:t>
      </w:r>
      <w:r>
        <w:rPr>
          <w:spacing w:val="-83"/>
        </w:rPr>
      </w:r>
      <w:r>
        <w:rPr>
          <w:spacing w:val="6"/>
        </w:rPr>
        <w:t>作出终审裁定，具体内容详见</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11</w:t>
      </w:r>
      <w:r>
        <w:rPr>
          <w:spacing w:val="6"/>
        </w:rPr>
        <w:t>日公司在巨潮资讯网上披露的《关于收到民事裁定书的公告》（公告编号：</w:t>
      </w:r>
      <w:r>
        <w:rPr>
          <w:spacing w:val="-61"/>
        </w:rPr>
        <w:t> </w:t>
      </w:r>
      <w:r>
        <w:rPr>
          <w:spacing w:val="-61"/>
        </w:rPr>
      </w:r>
      <w:r>
        <w:rPr>
          <w:rFonts w:ascii="Times New Roman" w:hAnsi="Times New Roman" w:cs="Times New Roman" w:eastAsia="Times New Roman" w:hint="default"/>
        </w:rPr>
        <w:t>2018-008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日，公司向浙江省高级人民法院申请执行，并于当日依法立案，目前正在司法执行过程中。 </w:t>
      </w:r>
      <w:r>
        <w:rPr>
          <w:spacing w:val="-2"/>
        </w:rPr>
        <w:t>报告期内，就公司与李欣的上市公司收购纠纷一案的衍生诉讼案件</w:t>
      </w:r>
      <w:r>
        <w:rPr>
          <w:rFonts w:ascii="Times New Roman" w:hAnsi="Times New Roman" w:cs="Times New Roman" w:eastAsia="Times New Roman" w:hint="default"/>
          <w:spacing w:val="-2"/>
        </w:rPr>
        <w:t>——</w:t>
      </w:r>
      <w:r>
        <w:rPr>
          <w:spacing w:val="-2"/>
        </w:rPr>
        <w:t>本公司与浙商资管、李欣案外人执行异议之诉浙江省</w:t>
      </w:r>
      <w:r>
        <w:rPr>
          <w:spacing w:val="-64"/>
        </w:rPr>
        <w:t> </w:t>
      </w:r>
      <w:r>
        <w:rPr>
          <w:spacing w:val="-64"/>
        </w:rPr>
      </w:r>
      <w:r>
        <w:rPr>
          <w:spacing w:val="-2"/>
        </w:rPr>
        <w:t>杭州市中级人民法院于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日作出一审判决，具体内容详见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日公司在巨潮资讯网上披露的《关于诉讼进</w:t>
      </w:r>
      <w:r>
        <w:rPr>
          <w:spacing w:val="-50"/>
        </w:rPr>
        <w:t> </w:t>
      </w:r>
      <w:r>
        <w:rPr>
          <w:spacing w:val="-50"/>
        </w:rPr>
      </w:r>
      <w:r>
        <w:rPr/>
        <w:t>展的公告》（公告编号：</w:t>
      </w:r>
      <w:r>
        <w:rPr>
          <w:rFonts w:ascii="Times New Roman" w:hAnsi="Times New Roman" w:cs="Times New Roman" w:eastAsia="Times New Roman" w:hint="default"/>
        </w:rPr>
        <w:t>2017-015</w:t>
      </w:r>
      <w:r>
        <w:rPr/>
        <w:t>）。公司对一审判决不服，向浙江省高级人民法院提起上诉。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月，公司与李欣的</w:t>
      </w:r>
      <w:r>
        <w:rPr>
          <w:spacing w:val="-57"/>
        </w:rPr>
        <w:t> </w:t>
      </w:r>
      <w:r>
        <w:rPr>
          <w:spacing w:val="-57"/>
        </w:rPr>
      </w:r>
      <w:r>
        <w:rPr>
          <w:spacing w:val="-2"/>
        </w:rPr>
        <w:t>上市公司收购纠纷一案的衍生诉讼案件</w:t>
      </w:r>
      <w:r>
        <w:rPr>
          <w:rFonts w:ascii="Times New Roman" w:hAnsi="Times New Roman" w:cs="Times New Roman" w:eastAsia="Times New Roman" w:hint="default"/>
          <w:spacing w:val="-2"/>
        </w:rPr>
        <w:t>——</w:t>
      </w:r>
      <w:r>
        <w:rPr>
          <w:spacing w:val="-2"/>
        </w:rPr>
        <w:t>本公司与浙商资管、李欣案外人执行异议之诉已经浙江省高级人民法院作出终审</w:t>
      </w:r>
      <w:r>
        <w:rPr>
          <w:spacing w:val="-64"/>
        </w:rPr>
        <w:t> </w:t>
      </w:r>
      <w:r>
        <w:rPr>
          <w:spacing w:val="-64"/>
        </w:rPr>
      </w:r>
      <w:r>
        <w:rPr/>
        <w:t>判决，具体内容详见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日公司在巨潮资讯网上披露的《关于诉讼进展暨收到衍生诉讼案件二审民事判决书的公告》</w:t>
      </w:r>
    </w:p>
    <w:p>
      <w:pPr>
        <w:pStyle w:val="BodyText"/>
        <w:spacing w:line="240" w:lineRule="auto" w:before="11"/>
        <w:ind w:left="1134" w:right="0"/>
        <w:jc w:val="left"/>
      </w:pPr>
      <w:r>
        <w:rPr/>
        <w:t>（公告编号：</w:t>
      </w:r>
      <w:r>
        <w:rPr>
          <w:rFonts w:ascii="Times New Roman" w:hAnsi="Times New Roman" w:cs="Times New Roman" w:eastAsia="Times New Roman" w:hint="default"/>
        </w:rPr>
        <w:t>2018-007</w:t>
      </w:r>
      <w:r>
        <w:rPr/>
        <w:t>）。</w:t>
      </w:r>
    </w:p>
    <w:p>
      <w:pPr>
        <w:pStyle w:val="BodyText"/>
        <w:spacing w:line="300" w:lineRule="auto" w:before="63"/>
        <w:ind w:right="1123"/>
        <w:jc w:val="left"/>
      </w:pPr>
      <w:r>
        <w:rPr/>
        <w:t>（四）关于临沂市城区</w:t>
      </w:r>
      <w:r>
        <w:rPr>
          <w:rFonts w:ascii="Times New Roman" w:hAnsi="Times New Roman" w:cs="Times New Roman" w:eastAsia="Times New Roman" w:hint="default"/>
        </w:rPr>
        <w:t>BRT</w:t>
      </w:r>
      <w:r>
        <w:rPr/>
        <w:t>一期工程</w:t>
      </w:r>
      <w:r>
        <w:rPr>
          <w:rFonts w:ascii="Times New Roman" w:hAnsi="Times New Roman" w:cs="Times New Roman" w:eastAsia="Times New Roman" w:hint="default"/>
        </w:rPr>
        <w:t>PPP</w:t>
      </w:r>
      <w:r>
        <w:rPr/>
        <w:t>项目实施进展情况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日，公司在巨潮资讯网发布《关于项目预中标的提示性公告》，山东天元路桥工程有限公司、天元建设集团有</w:t>
      </w:r>
      <w:r>
        <w:rPr>
          <w:spacing w:val="-83"/>
        </w:rPr>
        <w:t> </w:t>
      </w:r>
      <w:r>
        <w:rPr>
          <w:spacing w:val="-83"/>
        </w:rPr>
      </w:r>
      <w:r>
        <w:rPr/>
        <w:t>限公司与银江股份作为投标联合体中标。该项目已于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月竣工并投入试用一年。</w:t>
      </w:r>
    </w:p>
    <w:p>
      <w:pPr>
        <w:pStyle w:val="BodyText"/>
        <w:spacing w:line="300" w:lineRule="auto" w:before="13"/>
        <w:ind w:right="1034"/>
        <w:jc w:val="left"/>
      </w:pPr>
      <w:r>
        <w:rPr/>
        <w:t>（五）关于章丘市智慧城市视屏监控</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w:t>
      </w:r>
      <w:r>
        <w:rPr>
          <w:rFonts w:ascii="Times New Roman" w:hAnsi="Times New Roman" w:cs="Times New Roman" w:eastAsia="Times New Roman" w:hint="default"/>
        </w:rPr>
        <w:t>PPP</w:t>
      </w:r>
      <w:r>
        <w:rPr/>
        <w:t>项目实施进展情况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月，公司与章丘市公安局签订了《章丘市智慧城市视频监控</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工程</w:t>
      </w:r>
      <w:r>
        <w:rPr>
          <w:rFonts w:ascii="Times New Roman" w:hAnsi="Times New Roman" w:cs="Times New Roman" w:eastAsia="Times New Roman" w:hint="default"/>
        </w:rPr>
        <w:t>PPP</w:t>
      </w:r>
      <w:r>
        <w:rPr/>
        <w:t>项目合同》，项目总投资为人民币</w:t>
      </w:r>
      <w:r>
        <w:rPr>
          <w:rFonts w:ascii="Times New Roman" w:hAnsi="Times New Roman" w:cs="Times New Roman" w:eastAsia="Times New Roman" w:hint="default"/>
        </w:rPr>
        <w:t>9598</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月，根据</w:t>
      </w:r>
      <w:r>
        <w:rPr>
          <w:rFonts w:ascii="Times New Roman" w:hAnsi="Times New Roman" w:cs="Times New Roman" w:eastAsia="Times New Roman" w:hint="default"/>
          <w:spacing w:val="-2"/>
        </w:rPr>
        <w:t>PPP</w:t>
      </w:r>
      <w:r>
        <w:rPr>
          <w:spacing w:val="-2"/>
        </w:rPr>
        <w:t>合同约定，注册成立项目公司。报告期内，该</w:t>
      </w:r>
      <w:r>
        <w:rPr>
          <w:rFonts w:ascii="Times New Roman" w:hAnsi="Times New Roman" w:cs="Times New Roman" w:eastAsia="Times New Roman" w:hint="default"/>
          <w:spacing w:val="-2"/>
        </w:rPr>
        <w:t>PPP</w:t>
      </w:r>
      <w:r>
        <w:rPr>
          <w:spacing w:val="-2"/>
        </w:rPr>
        <w:t>项目正在实施过程中，施工进程将近完成</w:t>
      </w:r>
      <w:r>
        <w:rPr>
          <w:rFonts w:ascii="Times New Roman" w:hAnsi="Times New Roman" w:cs="Times New Roman" w:eastAsia="Times New Roman" w:hint="default"/>
          <w:spacing w:val="-2"/>
        </w:rPr>
        <w:t>50%</w:t>
      </w:r>
      <w:r>
        <w:rPr>
          <w:spacing w:val="-2"/>
        </w:rPr>
        <w:t>。</w:t>
      </w:r>
    </w:p>
    <w:p>
      <w:pPr>
        <w:pStyle w:val="BodyText"/>
        <w:spacing w:line="300" w:lineRule="auto" w:before="13"/>
        <w:ind w:right="1129"/>
        <w:jc w:val="left"/>
      </w:pPr>
      <w:r>
        <w:rPr/>
        <w:t>（六）关于沈阳市区域人口健康信息平台</w:t>
      </w:r>
      <w:r>
        <w:rPr>
          <w:rFonts w:ascii="Times New Roman" w:hAnsi="Times New Roman" w:cs="Times New Roman" w:eastAsia="Times New Roman" w:hint="default"/>
        </w:rPr>
        <w:t>PPP</w:t>
      </w:r>
      <w:r>
        <w:rPr/>
        <w:t>项目实施进展情况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日在巨潮资讯网发布了《关于收到</w:t>
      </w:r>
      <w:r>
        <w:rPr>
          <w:rFonts w:ascii="Times New Roman" w:hAnsi="Times New Roman" w:cs="Times New Roman" w:eastAsia="Times New Roman" w:hint="default"/>
          <w:spacing w:val="-2"/>
        </w:rPr>
        <w:t>PPP</w:t>
      </w:r>
      <w:r>
        <w:rPr>
          <w:spacing w:val="-2"/>
        </w:rPr>
        <w:t>项目成交通知书的公告》（公告编号：</w:t>
      </w:r>
      <w:r>
        <w:rPr>
          <w:rFonts w:ascii="Times New Roman" w:hAnsi="Times New Roman" w:cs="Times New Roman" w:eastAsia="Times New Roman" w:hint="default"/>
          <w:spacing w:val="-2"/>
        </w:rPr>
        <w:t>2017-011</w:t>
      </w:r>
      <w:r>
        <w:rPr>
          <w:spacing w:val="-2"/>
        </w:rPr>
        <w:t>），公司与中国联</w:t>
      </w:r>
      <w:r>
        <w:rPr>
          <w:spacing w:val="-52"/>
        </w:rPr>
        <w:t> </w:t>
      </w:r>
      <w:r>
        <w:rPr>
          <w:spacing w:val="-52"/>
        </w:rPr>
      </w:r>
      <w:r>
        <w:rPr>
          <w:spacing w:val="-1"/>
        </w:rPr>
        <w:t>合网络通信有限公司沈阳市分公司被确定为沈阳市区域人口健康信息平台</w:t>
      </w:r>
      <w:r>
        <w:rPr>
          <w:rFonts w:ascii="Times New Roman" w:hAnsi="Times New Roman" w:cs="Times New Roman" w:eastAsia="Times New Roman" w:hint="default"/>
          <w:spacing w:val="-1"/>
        </w:rPr>
        <w:t>PPP</w:t>
      </w:r>
      <w:r>
        <w:rPr>
          <w:spacing w:val="-1"/>
        </w:rPr>
        <w:t>项目（项目编号</w:t>
      </w:r>
      <w:r>
        <w:rPr>
          <w:rFonts w:ascii="Times New Roman" w:hAnsi="Times New Roman" w:cs="Times New Roman" w:eastAsia="Times New Roman" w:hint="default"/>
          <w:spacing w:val="-1"/>
        </w:rPr>
        <w:t>CG16-00-1285</w:t>
      </w:r>
      <w:r>
        <w:rPr>
          <w:spacing w:val="-1"/>
        </w:rPr>
        <w:t>）的成交社会资</w:t>
      </w:r>
      <w:r>
        <w:rPr>
          <w:spacing w:val="-67"/>
        </w:rPr>
        <w:t> </w:t>
      </w:r>
      <w:r>
        <w:rPr>
          <w:spacing w:val="-67"/>
        </w:rPr>
      </w:r>
      <w:r>
        <w:rPr/>
        <w:t>本，其中公司为该项目的联合体牵头方，中国联合网络通信有限公司沈阳市分公司为联合体成员。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日，采购人</w:t>
      </w:r>
      <w:r>
        <w:rPr>
          <w:spacing w:val="-81"/>
        </w:rPr>
        <w:t> </w:t>
      </w:r>
      <w:r>
        <w:rPr>
          <w:spacing w:val="-1"/>
        </w:rPr>
        <w:t>沈阳市卫生和计划生育委员会与上述联合体就沈阳市区域人口健康信息平台</w:t>
      </w:r>
      <w:r>
        <w:rPr>
          <w:rFonts w:ascii="Times New Roman" w:hAnsi="Times New Roman" w:cs="Times New Roman" w:eastAsia="Times New Roman" w:hint="default"/>
          <w:spacing w:val="-1"/>
        </w:rPr>
        <w:t>PPP</w:t>
      </w:r>
      <w:r>
        <w:rPr>
          <w:spacing w:val="-1"/>
        </w:rPr>
        <w:t>项目签署了《政府采购合同》，具体内容详</w:t>
      </w:r>
      <w:r>
        <w:rPr>
          <w:spacing w:val="-62"/>
        </w:rPr>
        <w:t> </w:t>
      </w:r>
      <w:r>
        <w:rPr>
          <w:spacing w:val="-62"/>
        </w:rPr>
      </w:r>
      <w:r>
        <w:rPr/>
        <w:t>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日在巨潮资讯网披露的《关于签署</w:t>
      </w:r>
      <w:r>
        <w:rPr>
          <w:rFonts w:ascii="Times New Roman" w:hAnsi="Times New Roman" w:cs="Times New Roman" w:eastAsia="Times New Roman" w:hint="default"/>
        </w:rPr>
        <w:t>PPP</w:t>
      </w:r>
      <w:r>
        <w:rPr/>
        <w:t>项目合同的公告》（公告编号：</w:t>
      </w:r>
      <w:r>
        <w:rPr>
          <w:rFonts w:ascii="Times New Roman" w:hAnsi="Times New Roman" w:cs="Times New Roman" w:eastAsia="Times New Roman" w:hint="default"/>
        </w:rPr>
        <w:t>2017-065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项目</w:t>
      </w:r>
      <w:r>
        <w:rPr>
          <w:spacing w:val="-85"/>
        </w:rPr>
        <w:t> </w:t>
      </w:r>
      <w:r>
        <w:rPr/>
        <w:t>公司沈阳智享大健康信息科技有限公司注册成立，截止本报告期末，项目正在积极推进中，预计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月上线试运行，初</w:t>
      </w:r>
      <w:r>
        <w:rPr>
          <w:spacing w:val="-82"/>
        </w:rPr>
        <w:t> </w:t>
      </w:r>
      <w:r>
        <w:rPr>
          <w:spacing w:val="-82"/>
        </w:rPr>
      </w:r>
      <w:r>
        <w:rPr/>
        <w:t>步建成沈阳市区域人口健康信息平台。</w:t>
      </w:r>
    </w:p>
    <w:p>
      <w:pPr>
        <w:pStyle w:val="BodyText"/>
        <w:spacing w:line="304" w:lineRule="auto" w:before="31"/>
        <w:ind w:right="1130"/>
        <w:jc w:val="left"/>
      </w:pPr>
      <w:r>
        <w:rPr/>
        <w:t>（七）关于南坪快速路三期机电安装工程项目实施进展情况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日在巨潮资讯网发布了《关于收到</w:t>
      </w:r>
      <w:r>
        <w:rPr>
          <w:rFonts w:ascii="Times New Roman" w:hAnsi="Times New Roman" w:cs="Times New Roman" w:eastAsia="Times New Roman" w:hint="default"/>
        </w:rPr>
        <w:t>&lt;</w:t>
      </w:r>
      <w:r>
        <w:rPr/>
        <w:t>中标通知书</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2017-060</w:t>
      </w:r>
      <w:r>
        <w:rPr/>
        <w:t>），公司收到招标人深</w:t>
      </w:r>
      <w:r>
        <w:rPr>
          <w:spacing w:val="-81"/>
        </w:rPr>
        <w:t> </w:t>
      </w:r>
      <w:r>
        <w:rPr>
          <w:spacing w:val="-81"/>
        </w:rPr>
      </w:r>
      <w:r>
        <w:rPr/>
        <w:t>圳市交通公用设施建设中心和招标代理机构深圳市综合交通设计研究院有限公司发出的《中标通知书》，确认公司中标</w:t>
      </w:r>
      <w:r>
        <w:rPr>
          <w:rFonts w:ascii="Times New Roman" w:hAnsi="Times New Roman" w:cs="Times New Roman" w:eastAsia="Times New Roman" w:hint="default"/>
        </w:rPr>
        <w:t>“</w:t>
      </w:r>
      <w:r>
        <w:rPr/>
        <w:t>南</w:t>
      </w:r>
      <w:r>
        <w:rPr>
          <w:spacing w:val="-73"/>
        </w:rPr>
        <w:t> </w:t>
      </w:r>
      <w:r>
        <w:rPr>
          <w:spacing w:val="-2"/>
        </w:rPr>
        <w:t>坪快速路三期机电安装工程</w:t>
      </w:r>
      <w:r>
        <w:rPr>
          <w:rFonts w:ascii="Times New Roman" w:hAnsi="Times New Roman" w:cs="Times New Roman" w:eastAsia="Times New Roman" w:hint="default"/>
          <w:spacing w:val="-2"/>
        </w:rPr>
        <w:t>”</w:t>
      </w:r>
      <w:r>
        <w:rPr>
          <w:spacing w:val="-2"/>
        </w:rPr>
        <w:t>项目【标段编号：</w:t>
      </w:r>
      <w:r>
        <w:rPr>
          <w:rFonts w:ascii="Times New Roman" w:hAnsi="Times New Roman" w:cs="Times New Roman" w:eastAsia="Times New Roman" w:hint="default"/>
          <w:spacing w:val="-2"/>
        </w:rPr>
        <w:t>440383201601250010009001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月，公司与深圳市交通公用设施建设</w:t>
      </w:r>
      <w:r>
        <w:rPr>
          <w:spacing w:val="-27"/>
        </w:rPr>
        <w:t> </w:t>
      </w:r>
      <w:r>
        <w:rPr>
          <w:spacing w:val="-27"/>
        </w:rPr>
      </w:r>
      <w:r>
        <w:rPr/>
        <w:t>中心签署了《南坪快速路三期机电安装工程施工承包合同》。截止本报告期末，项目正在积极推进中。</w:t>
      </w:r>
    </w:p>
    <w:p>
      <w:pPr>
        <w:pStyle w:val="BodyText"/>
        <w:spacing w:line="316" w:lineRule="auto" w:before="28"/>
        <w:ind w:right="1133"/>
        <w:jc w:val="left"/>
      </w:pPr>
      <w:r>
        <w:rPr/>
        <w:t>（八）关于新建哈尔滨至牡丹江铁路客运专线客服系统及相关工程施工总价承包项目实施进展情况 </w:t>
      </w: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17</w:t>
      </w:r>
      <w:r>
        <w:rPr>
          <w:spacing w:val="-4"/>
        </w:rPr>
        <w:t>日在巨潮资讯网发布了《关于收到中标通知书及签订合同的公告》（公告编号：</w:t>
      </w:r>
      <w:r>
        <w:rPr>
          <w:rFonts w:ascii="Times New Roman" w:hAnsi="Times New Roman" w:cs="Times New Roman" w:eastAsia="Times New Roman" w:hint="default"/>
          <w:spacing w:val="-4"/>
        </w:rPr>
        <w:t>2017-085</w:t>
      </w:r>
      <w:r>
        <w:rPr>
          <w:spacing w:val="-4"/>
        </w:rPr>
        <w:t>），公司中标</w:t>
      </w:r>
      <w:r>
        <w:rPr>
          <w:rFonts w:ascii="Times New Roman" w:hAnsi="Times New Roman" w:cs="Times New Roman" w:eastAsia="Times New Roman" w:hint="default"/>
          <w:spacing w:val="-4"/>
        </w:rPr>
        <w:t>“</w:t>
      </w:r>
      <w:r>
        <w:rPr>
          <w:spacing w:val="-4"/>
        </w:rPr>
        <w:t>新</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t>建哈尔滨至牡丹江铁路客运专线客服系统及相关工程施工总价承包</w:t>
      </w:r>
      <w:r>
        <w:rPr>
          <w:rFonts w:ascii="Times New Roman" w:hAnsi="Times New Roman" w:cs="Times New Roman" w:eastAsia="Times New Roman" w:hint="default"/>
        </w:rPr>
        <w:t>”</w:t>
      </w:r>
      <w:r>
        <w:rPr/>
        <w:t>项目，同日，公司与哈牡铁路客运专线有限责任公司签</w:t>
      </w:r>
      <w:r>
        <w:rPr>
          <w:spacing w:val="-76"/>
        </w:rPr>
        <w:t> </w:t>
      </w:r>
      <w:r>
        <w:rPr>
          <w:spacing w:val="-76"/>
        </w:rPr>
      </w:r>
      <w:r>
        <w:rPr>
          <w:spacing w:val="-2"/>
        </w:rPr>
        <w:t>署了《新建哈尔滨至牡丹江铁路客运专线客服系统及相关工程施工总价承包合同书》。截止本报告期末，该项目正在实施过</w:t>
      </w:r>
      <w:r>
        <w:rPr>
          <w:spacing w:val="-66"/>
        </w:rPr>
        <w:t> </w:t>
      </w:r>
      <w:r>
        <w:rPr>
          <w:spacing w:val="-66"/>
        </w:rPr>
      </w:r>
      <w:r>
        <w:rPr/>
        <w:t>程中，预计将于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月底竣工验收。</w:t>
      </w:r>
    </w:p>
    <w:p>
      <w:pPr>
        <w:pStyle w:val="BodyText"/>
        <w:spacing w:line="300" w:lineRule="auto" w:before="5"/>
        <w:ind w:right="1129"/>
        <w:jc w:val="left"/>
      </w:pPr>
      <w:r>
        <w:rPr/>
        <w:t>（九）关于世界银行贷款焦作绿色交通及交通安全综合改善项目</w:t>
      </w:r>
      <w:r>
        <w:rPr>
          <w:rFonts w:ascii="Times New Roman" w:hAnsi="Times New Roman" w:cs="Times New Roman" w:eastAsia="Times New Roman" w:hint="default"/>
        </w:rPr>
        <w:t>-</w:t>
      </w:r>
      <w:r>
        <w:rPr/>
        <w:t>智能交通系统建设项目实施进展情况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日在巨潮资讯网发布了《关于收到</w:t>
      </w:r>
      <w:r>
        <w:rPr>
          <w:rFonts w:ascii="Times New Roman" w:hAnsi="Times New Roman" w:cs="Times New Roman" w:eastAsia="Times New Roman" w:hint="default"/>
          <w:spacing w:val="-2"/>
        </w:rPr>
        <w:t>&lt;</w:t>
      </w:r>
      <w:r>
        <w:rPr>
          <w:spacing w:val="-2"/>
        </w:rPr>
        <w:t>中标通知书</w:t>
      </w:r>
      <w:r>
        <w:rPr>
          <w:rFonts w:ascii="Times New Roman" w:hAnsi="Times New Roman" w:cs="Times New Roman" w:eastAsia="Times New Roman" w:hint="default"/>
          <w:spacing w:val="-2"/>
        </w:rPr>
        <w:t>&gt;</w:t>
      </w:r>
      <w:r>
        <w:rPr>
          <w:spacing w:val="-2"/>
        </w:rPr>
        <w:t>的公告》（公告编号：</w:t>
      </w:r>
      <w:r>
        <w:rPr>
          <w:rFonts w:ascii="Times New Roman" w:hAnsi="Times New Roman" w:cs="Times New Roman" w:eastAsia="Times New Roman" w:hint="default"/>
          <w:spacing w:val="-2"/>
        </w:rPr>
        <w:t>2017-114</w:t>
      </w:r>
      <w:r>
        <w:rPr>
          <w:spacing w:val="-2"/>
        </w:rPr>
        <w:t>），公司中标</w:t>
      </w:r>
      <w:r>
        <w:rPr>
          <w:rFonts w:ascii="Times New Roman" w:hAnsi="Times New Roman" w:cs="Times New Roman" w:eastAsia="Times New Roman" w:hint="default"/>
          <w:spacing w:val="-2"/>
        </w:rPr>
        <w:t>“</w:t>
      </w:r>
      <w:r>
        <w:rPr>
          <w:spacing w:val="-2"/>
        </w:rPr>
        <w:t>世界银行</w:t>
      </w:r>
      <w:r>
        <w:rPr>
          <w:spacing w:val="-30"/>
        </w:rPr>
        <w:t> </w:t>
      </w:r>
      <w:r>
        <w:rPr>
          <w:spacing w:val="-30"/>
        </w:rPr>
      </w:r>
      <w:r>
        <w:rPr>
          <w:spacing w:val="-1"/>
        </w:rPr>
        <w:t>贷款焦作绿色交通及交通安全综合改善项目</w:t>
      </w:r>
      <w:r>
        <w:rPr>
          <w:rFonts w:ascii="Times New Roman" w:hAnsi="Times New Roman" w:cs="Times New Roman" w:eastAsia="Times New Roman" w:hint="default"/>
          <w:spacing w:val="-1"/>
        </w:rPr>
        <w:t>-</w:t>
      </w:r>
      <w:r>
        <w:rPr>
          <w:spacing w:val="-1"/>
        </w:rPr>
        <w:t>智能交通系统建设</w:t>
      </w:r>
      <w:r>
        <w:rPr>
          <w:rFonts w:ascii="Times New Roman" w:hAnsi="Times New Roman" w:cs="Times New Roman" w:eastAsia="Times New Roman" w:hint="default"/>
          <w:spacing w:val="-1"/>
        </w:rPr>
        <w:t>”</w:t>
      </w:r>
      <w:r>
        <w:rPr>
          <w:spacing w:val="-1"/>
        </w:rPr>
        <w:t>项目。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日，公司与焦作市公安局签订了《世界</w:t>
      </w:r>
      <w:r>
        <w:rPr>
          <w:spacing w:val="-76"/>
        </w:rPr>
        <w:t> </w:t>
      </w:r>
      <w:r>
        <w:rPr>
          <w:spacing w:val="-76"/>
        </w:rPr>
      </w:r>
      <w:r>
        <w:rPr>
          <w:spacing w:val="-1"/>
        </w:rPr>
        <w:t>银行贷款焦作绿色交通及交通安全综合改善项目智能交通系统建设项目合同》，合同金额为人民币</w:t>
      </w:r>
      <w:r>
        <w:rPr>
          <w:rFonts w:ascii="Times New Roman" w:hAnsi="Times New Roman" w:cs="Times New Roman" w:eastAsia="Times New Roman" w:hint="default"/>
          <w:spacing w:val="-1"/>
        </w:rPr>
        <w:t>15386.43</w:t>
      </w:r>
      <w:r>
        <w:rPr>
          <w:spacing w:val="-1"/>
        </w:rPr>
        <w:t>万元。目前，该</w:t>
      </w:r>
      <w:r>
        <w:rPr>
          <w:spacing w:val="-72"/>
        </w:rPr>
        <w:t> </w:t>
      </w:r>
      <w:r>
        <w:rPr>
          <w:spacing w:val="-72"/>
        </w:rPr>
      </w:r>
      <w:r>
        <w:rPr/>
        <w:t>项目正在深化设计阶段。</w:t>
      </w:r>
    </w:p>
    <w:p>
      <w:pPr>
        <w:pStyle w:val="BodyText"/>
        <w:spacing w:line="316" w:lineRule="auto" w:before="31"/>
        <w:ind w:left="1134" w:right="0"/>
        <w:jc w:val="left"/>
      </w:pPr>
      <w:r>
        <w:rPr/>
        <w:t>（十）关于公司发行股份购买资产事项的进展情况 </w:t>
      </w:r>
      <w:r>
        <w:rPr>
          <w:spacing w:val="-2"/>
        </w:rPr>
        <w:t>报告期内，公司终止发行股份购买资产事项拟改用现金方式投资。目前，公司与江苏智途科技股份有限公司的股东仍在协商</w:t>
      </w:r>
      <w:r>
        <w:rPr>
          <w:spacing w:val="-66"/>
        </w:rPr>
        <w:t> </w:t>
      </w:r>
      <w:r>
        <w:rPr>
          <w:spacing w:val="-66"/>
        </w:rPr>
      </w:r>
      <w:r>
        <w:rPr/>
        <w:t>具体投资方案。截止报告期末，公司为杭州清普信息技术有限公司第二大股东，不再对其增加出资。</w:t>
      </w:r>
    </w:p>
    <w:p>
      <w:pPr>
        <w:pStyle w:val="BodyText"/>
        <w:spacing w:line="309" w:lineRule="auto" w:before="19"/>
        <w:ind w:right="1123"/>
        <w:jc w:val="left"/>
      </w:pPr>
      <w:r>
        <w:rPr/>
        <w:t>（十一）为控股子公司提供对外担保的进展情况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日，公司第四届董事会第十次会议审议通过《关于公司为控股子公司提供对外担保的议案》，公司董事会同意</w:t>
      </w:r>
      <w:r>
        <w:rPr>
          <w:spacing w:val="-83"/>
        </w:rPr>
        <w:t> </w:t>
      </w:r>
      <w:r>
        <w:rPr>
          <w:spacing w:val="-83"/>
        </w:rPr>
      </w:r>
      <w:r>
        <w:rPr/>
        <w:t>控股子公司济南银江信息技术有限公司向山东章丘农村商业银行股份有限公司申请不超过</w:t>
      </w:r>
      <w:r>
        <w:rPr>
          <w:rFonts w:ascii="Times New Roman" w:hAnsi="Times New Roman" w:cs="Times New Roman" w:eastAsia="Times New Roman" w:hint="default"/>
        </w:rPr>
        <w:t>6,500</w:t>
      </w:r>
      <w:r>
        <w:rPr/>
        <w:t>万元人民币的融资额度，融</w:t>
      </w:r>
      <w:r>
        <w:rPr>
          <w:spacing w:val="-42"/>
        </w:rPr>
        <w:t> </w:t>
      </w:r>
      <w:r>
        <w:rPr>
          <w:spacing w:val="-42"/>
        </w:rPr>
      </w:r>
      <w:r>
        <w:rPr/>
        <w:t>资期限为</w:t>
      </w:r>
      <w:r>
        <w:rPr>
          <w:rFonts w:ascii="Times New Roman" w:hAnsi="Times New Roman" w:cs="Times New Roman" w:eastAsia="Times New Roman" w:hint="default"/>
        </w:rPr>
        <w:t>10</w:t>
      </w:r>
      <w:r>
        <w:rPr/>
        <w:t>年，并由公司为其申请的融资额度提供连带责任保证担保，担保期限自担保协议生效之日起十年。 </w:t>
      </w:r>
      <w:r>
        <w:rPr>
          <w:spacing w:val="-2"/>
        </w:rPr>
        <w:t>经了解，公司为济南银江信息技术有限公司向山东章丘农村商业银行股份有限公司申请融资额度提供担保的事项经董事会审</w:t>
      </w:r>
      <w:r>
        <w:rPr>
          <w:spacing w:val="-64"/>
        </w:rPr>
        <w:t> </w:t>
      </w:r>
      <w:r>
        <w:rPr>
          <w:spacing w:val="-64"/>
        </w:rPr>
      </w:r>
      <w:r>
        <w:rPr>
          <w:spacing w:val="-2"/>
        </w:rPr>
        <w:t>议通过后，因被担保控股子公司济南银江的资金安排等原因，上述贷款未实施，济南银江已决定不再向指定银行申请上述融</w:t>
      </w:r>
      <w:r>
        <w:rPr>
          <w:spacing w:val="-66"/>
        </w:rPr>
        <w:t> </w:t>
      </w:r>
      <w:r>
        <w:rPr>
          <w:spacing w:val="-66"/>
        </w:rPr>
      </w:r>
      <w:r>
        <w:rPr/>
        <w:t>资及使用董事会已审批的担保额度。</w:t>
      </w:r>
    </w:p>
    <w:p>
      <w:pPr>
        <w:pStyle w:val="BodyText"/>
        <w:spacing w:line="307" w:lineRule="auto" w:before="24"/>
        <w:ind w:right="1079"/>
        <w:jc w:val="left"/>
      </w:pPr>
      <w:r>
        <w:rPr/>
        <w:t>（十二）关于转让亚太安讯股权的进展情况 报告期内，公司及全资孙公司北京银江智慧城市技术有限公司出售亚太安讯</w:t>
      </w:r>
      <w:r>
        <w:rPr>
          <w:rFonts w:ascii="Times New Roman" w:hAnsi="Times New Roman" w:cs="Times New Roman" w:eastAsia="Times New Roman" w:hint="default"/>
        </w:rPr>
        <w:t>100%</w:t>
      </w:r>
      <w:r>
        <w:rPr/>
        <w:t>股权已经公司第四届董事会第五次会议审</w:t>
      </w:r>
      <w:r>
        <w:rPr>
          <w:spacing w:val="-55"/>
        </w:rPr>
        <w:t> </w:t>
      </w:r>
      <w:r>
        <w:rPr>
          <w:spacing w:val="-55"/>
        </w:rPr>
      </w:r>
      <w:r>
        <w:rPr/>
        <w:t>议通过，具体内容详见公司于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日在巨潮资讯网披露的《关于转让子公司股权的公告》（公告编号：</w:t>
      </w:r>
      <w:r>
        <w:rPr>
          <w:rFonts w:ascii="Times New Roman" w:hAnsi="Times New Roman" w:cs="Times New Roman" w:eastAsia="Times New Roman" w:hint="default"/>
        </w:rPr>
        <w:t>2017-057</w:t>
      </w:r>
      <w:r>
        <w:rPr/>
        <w:t>）。 截止本报告期末，公司共收到转让款</w:t>
      </w:r>
      <w:r>
        <w:rPr>
          <w:rFonts w:ascii="Times New Roman" w:hAnsi="Times New Roman" w:cs="Times New Roman" w:eastAsia="Times New Roman" w:hint="default"/>
        </w:rPr>
        <w:t>13,500</w:t>
      </w:r>
      <w:r>
        <w:rPr/>
        <w:t>万元，并已于报告期内完成工商变更登记。</w:t>
      </w:r>
    </w:p>
    <w:p>
      <w:pPr>
        <w:spacing w:line="240" w:lineRule="auto" w:before="12"/>
        <w:rPr>
          <w:rFonts w:ascii="宋体" w:hAnsi="宋体" w:cs="宋体" w:eastAsia="宋体" w:hint="default"/>
          <w:sz w:val="19"/>
          <w:szCs w:val="19"/>
        </w:rPr>
      </w:pPr>
    </w:p>
    <w:p>
      <w:pPr>
        <w:pStyle w:val="Heading2"/>
        <w:spacing w:line="240" w:lineRule="auto"/>
        <w:ind w:left="1134" w:right="0"/>
        <w:jc w:val="left"/>
        <w:rPr>
          <w:b w:val="0"/>
          <w:bCs w:val="0"/>
        </w:rPr>
      </w:pPr>
      <w:bookmarkStart w:name="十九、公司子公司重大事项" w:id="109"/>
      <w:bookmarkEnd w:id="109"/>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110"/>
      <w:bookmarkEnd w:id="110"/>
      <w:r>
        <w:rPr>
          <w:b w:val="0"/>
          <w:bCs w:val="0"/>
        </w:rPr>
      </w:r>
      <w:bookmarkStart w:name="_bookmark4" w:id="111"/>
      <w:bookmarkEnd w:id="11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2"/>
      <w:bookmarkEnd w:id="11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5.72%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5.66%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5.72%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5.66%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5.72%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-398,700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37,140,58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5.66%</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618,249,8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94.28%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398,700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398,700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618,648,5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618,249,8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94.28%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398,700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398,700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618,648,5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14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现任董监高股份每年按照其上年末持有总数的</w:t>
      </w:r>
      <w:r>
        <w:rPr>
          <w:rFonts w:ascii="Times New Roman" w:hAnsi="Times New Roman" w:cs="Times New Roman" w:eastAsia="Times New Roman" w:hint="default"/>
        </w:rPr>
        <w:t>75%</w:t>
      </w:r>
      <w:r>
        <w:rPr/>
        <w:t>予以锁定；报告期内，公司离任高管所持股份按照规定锁定或解锁。 股份变动的批准情况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股份变动的过户情况</w:t>
      </w:r>
    </w:p>
    <w:p>
      <w:pPr>
        <w:pStyle w:val="BodyText"/>
        <w:spacing w:line="340"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931,275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931,275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1,068,064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1,068,064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2,630,595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2,630,595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1,525,003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1,525,003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75"/>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14" w:lineRule="auto" w:before="63"/>
              <w:ind w:left="22"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日期间每年可 转让的股份不得 超过其所持有本 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高管锁定股（已</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2,449,245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2,449,245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629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27,813,840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z w:val="18"/>
              </w:rPr>
              <w:t>27,813,840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假设李欣在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14"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年至</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年期间 均完成亚太安讯 的业绩承诺，无 需履行股份补偿 义务。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3,517,449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股；由</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2547"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于公司送红股、 资本公积转增股 本等原因增加的 公司股份，亦应 遵守上述约定。 李欣未完成亚太 安讯</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年业绩 承诺。</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37,539,285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426,225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37,140,585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12pt;width:85.6pt;height:31.2pt;mso-position-horizontal-relative:page;mso-position-vertical-relative:paragraph;z-index:-1222024"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551712pt;width:52.45pt;height:31.2pt;mso-position-horizontal-relative:page;mso-position-vertical-relative:paragraph;z-index:-1222000"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11"/>
        <w:gridCol w:w="146"/>
        <w:gridCol w:w="673"/>
        <w:gridCol w:w="739"/>
        <w:gridCol w:w="744"/>
        <w:gridCol w:w="830"/>
        <w:gridCol w:w="344"/>
        <w:gridCol w:w="445"/>
        <w:gridCol w:w="824"/>
        <w:gridCol w:w="791"/>
        <w:gridCol w:w="334"/>
        <w:gridCol w:w="1027"/>
        <w:gridCol w:w="278"/>
        <w:gridCol w:w="513"/>
        <w:gridCol w:w="558"/>
      </w:tblGrid>
      <w:tr>
        <w:trPr>
          <w:trHeight w:val="161" w:hRule="exact"/>
        </w:trPr>
        <w:tc>
          <w:tcPr>
            <w:tcW w:w="1311" w:type="dxa"/>
            <w:vMerge w:val="restart"/>
            <w:tcBorders>
              <w:top w:val="single" w:sz="4" w:space="0" w:color="000000"/>
              <w:left w:val="single" w:sz="4" w:space="0" w:color="000000"/>
              <w:right w:val="single" w:sz="4" w:space="0" w:color="000000"/>
            </w:tcBorders>
            <w:shd w:val="clear" w:color="auto" w:fill="D2D2D2"/>
          </w:tcPr>
          <w:p>
            <w:pPr/>
          </w:p>
        </w:tc>
        <w:tc>
          <w:tcPr>
            <w:tcW w:w="81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57,984</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56,762</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11"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1" w:type="dxa"/>
            <w:vMerge/>
            <w:tcBorders>
              <w:left w:val="single" w:sz="4" w:space="0" w:color="000000"/>
              <w:bottom w:val="nil" w:sz="6" w:space="0" w:color="auto"/>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11" w:type="dxa"/>
            <w:vMerge w:val="restart"/>
            <w:tcBorders>
              <w:top w:val="nil" w:sz="6" w:space="0" w:color="auto"/>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1"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11" w:type="dxa"/>
            <w:vMerge/>
            <w:tcBorders>
              <w:left w:val="single" w:sz="4" w:space="0" w:color="000000"/>
              <w:bottom w:val="single" w:sz="4" w:space="0" w:color="000000"/>
              <w:right w:val="single" w:sz="4" w:space="0" w:color="000000"/>
            </w:tcBorders>
            <w:shd w:val="clear" w:color="auto" w:fill="D2D2D2"/>
          </w:tcPr>
          <w:p>
            <w:pPr/>
          </w:p>
        </w:tc>
        <w:tc>
          <w:tcPr>
            <w:tcW w:w="819"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3"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1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银江科技集团有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27,835,84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27,835,840</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华安资产－工商 银行－长安信托</w:t>
            </w:r>
          </w:p>
          <w:p>
            <w:pPr>
              <w:pStyle w:val="TableParagraph"/>
              <w:spacing w:line="319" w:lineRule="auto" w:before="19"/>
              <w:ind w:left="22" w:right="174"/>
              <w:jc w:val="both"/>
              <w:rPr>
                <w:rFonts w:ascii="宋体" w:hAnsi="宋体" w:cs="宋体" w:eastAsia="宋体" w:hint="default"/>
                <w:sz w:val="18"/>
                <w:szCs w:val="18"/>
              </w:rPr>
            </w:pPr>
            <w:r>
              <w:rPr>
                <w:rFonts w:ascii="宋体" w:hAnsi="宋体" w:cs="宋体" w:eastAsia="宋体" w:hint="default"/>
                <w:sz w:val="18"/>
                <w:szCs w:val="18"/>
              </w:rPr>
              <w:t>－银江股份定增 权益投资单一资 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16,347,82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16,347,82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7,459,340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7,459,340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7,459,340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3,507,460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2,630,595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876,865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3,265,660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2,449,245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816,415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深圳市润泰投资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3,253,035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3,253,035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万汇置业（深圳）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3,148,200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2,968,000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3,148,200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4"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华安资产－工商银行－长安信托－银江股份定增权益投资单一资金信托属于公司非 </w:t>
            </w:r>
            <w:r>
              <w:rPr>
                <w:rFonts w:ascii="宋体" w:hAnsi="宋体" w:cs="宋体" w:eastAsia="宋体" w:hint="default"/>
                <w:spacing w:val="-1"/>
                <w:sz w:val="18"/>
                <w:szCs w:val="18"/>
              </w:rPr>
              <w:t>公开发行对象华安未来资产管理（上海）有限公司、上银基金－浦发银行－上银基金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号资产管理计划和上银基金－浦发银行－上银基金财富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号资产管理计划属 </w:t>
            </w:r>
            <w:r>
              <w:rPr>
                <w:rFonts w:ascii="宋体" w:hAnsi="宋体" w:cs="宋体" w:eastAsia="宋体" w:hint="default"/>
                <w:spacing w:val="-1"/>
                <w:sz w:val="18"/>
                <w:szCs w:val="18"/>
              </w:rPr>
              <w:t>于公司非公开发行对象上银基金管理有限公司，上述非公开发行对象所持本公司股票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101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vMerge/>
            <w:tcBorders>
              <w:left w:val="single" w:sz="9" w:space="0" w:color="D2D2D2"/>
              <w:right w:val="single" w:sz="4" w:space="0" w:color="000000"/>
            </w:tcBorders>
          </w:tcPr>
          <w:p>
            <w:pPr/>
          </w:p>
        </w:tc>
      </w:tr>
      <w:tr>
        <w:trPr>
          <w:trHeight w:val="31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名股东中，银江科技集团有限公司是本公司的控股股东；钱小鸿为公司董</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事、副总经理、财务总监；樊锦祥为公司董事、副总经理。除此之外，公司其他前</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名股东之间，未知是否存在关联，也未知是否属于一致行动人。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159,608,600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华安资产－工商银行－长安信托－ 银江股份定增权益投资单一资金信 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16,347,828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16,347,828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7,459,340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上银基金－浦发银行－上银基金财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上银基金－浦发银行－上银基金财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3,373,913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3,373,913</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深圳市润泰投资有限公司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3,253,035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3,253,035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万汇置业（深圳）有限公司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蒋军祖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2,829,800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2,652,540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2,297,958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2,297,958</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银江科技集团有限公司是本公司的控股股东。公司前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名股东之间未知是否存在关联，也未知是否属 于一致行动人。</w:t>
            </w:r>
          </w:p>
        </w:tc>
      </w:tr>
      <w:tr>
        <w:trPr>
          <w:trHeight w:val="258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在公司上述股东中，银江科技集团有限公司、陈文生、蒋军祖是融资融券投资者信用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账户股东。公司股东银江科技集团有限公司除通过普通证券账户持有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134,608,600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外，还通过中信证券股份有限公司客户信用交易担保证券账户持有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159,608,600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股；公司股东陈文生除通过普通证券账户持有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0"/>
                <w:sz w:val="18"/>
                <w:szCs w:val="18"/>
              </w:rPr>
              <w:t> </w:t>
            </w:r>
            <w:r>
              <w:rPr>
                <w:rFonts w:ascii="宋体" w:hAnsi="宋体" w:cs="宋体" w:eastAsia="宋体" w:hint="default"/>
                <w:spacing w:val="-10"/>
                <w:sz w:val="18"/>
                <w:szCs w:val="18"/>
              </w:rPr>
              <w:t>股外，还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通过国泰君安证券股份有限公司客户信用交易担保证券账户持有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7,457,340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7,459,340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股；公司股东蒋军祖通过普通证券账户持有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股，仅通过中信建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投证券股份有限公司客户信用交易担保证券账户持有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2,829,800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2,829,800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23"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75193874-5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许可经营项目：无。一般经 营项目：高科技产业投资开 发；资产管理；信息咨询服 务，印刷产品及设备、塑料 制品及原料的销售，经营进 </w:t>
            </w:r>
            <w:r>
              <w:rPr>
                <w:rFonts w:ascii="宋体" w:hAnsi="宋体" w:cs="宋体" w:eastAsia="宋体" w:hint="default"/>
                <w:spacing w:val="-13"/>
                <w:sz w:val="18"/>
                <w:szCs w:val="18"/>
              </w:rPr>
              <w:t>出口业务。（上述经营范围不</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674" w:hRule="exact"/>
        </w:trPr>
        <w:tc>
          <w:tcPr>
            <w:tcW w:w="220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含国家法律法规禁止、限制 </w:t>
            </w:r>
            <w:r>
              <w:rPr>
                <w:rFonts w:ascii="宋体" w:hAnsi="宋体" w:cs="宋体" w:eastAsia="宋体" w:hint="default"/>
                <w:spacing w:val="-9"/>
                <w:sz w:val="18"/>
                <w:szCs w:val="18"/>
              </w:rPr>
              <w:t>和许可经营的项目。）</w:t>
            </w:r>
          </w:p>
        </w:tc>
      </w:tr>
    </w:tbl>
    <w:p>
      <w:pPr>
        <w:pStyle w:val="BodyText"/>
        <w:spacing w:line="240" w:lineRule="auto" w:before="51"/>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22"/>
      <w:bookmarkEnd w:id="12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母公司股东</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21"/>
          <w:szCs w:val="21"/>
        </w:rPr>
      </w:pPr>
    </w:p>
    <w:p>
      <w:pPr>
        <w:spacing w:line="2610" w:lineRule="exact"/>
        <w:ind w:left="2336"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591830" cy="16573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830" cy="1657350"/>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11"/>
        <w:rPr>
          <w:rFonts w:ascii="宋体" w:hAnsi="宋体" w:cs="宋体" w:eastAsia="宋体" w:hint="default"/>
          <w:sz w:val="23"/>
          <w:szCs w:val="23"/>
        </w:rPr>
      </w:pPr>
    </w:p>
    <w:p>
      <w:pPr>
        <w:pStyle w:val="BodyText"/>
        <w:spacing w:line="240" w:lineRule="auto"/>
        <w:ind w:right="0"/>
        <w:jc w:val="left"/>
      </w:pPr>
      <w:r>
        <w:rPr/>
        <w:t>注：截止本报告披露日，银江科技集团共持有本公司股份</w:t>
      </w:r>
      <w:r>
        <w:rPr>
          <w:spacing w:val="-45"/>
        </w:rPr>
        <w:t> </w:t>
      </w:r>
      <w:r>
        <w:rPr>
          <w:rFonts w:ascii="Times New Roman" w:hAnsi="Times New Roman" w:cs="Times New Roman" w:eastAsia="Times New Roman" w:hint="default"/>
        </w:rPr>
        <w:t>163,472,281</w:t>
      </w:r>
      <w:r>
        <w:rPr>
          <w:rFonts w:ascii="Times New Roman" w:hAnsi="Times New Roman" w:cs="Times New Roman" w:eastAsia="Times New Roman" w:hint="default"/>
          <w:spacing w:val="-1"/>
        </w:rPr>
        <w:t> </w:t>
      </w:r>
      <w:r>
        <w:rPr/>
        <w:t>股，占本公司总股本的</w:t>
      </w:r>
      <w:r>
        <w:rPr>
          <w:spacing w:val="-46"/>
        </w:rPr>
        <w:t> </w:t>
      </w:r>
      <w:r>
        <w:rPr>
          <w:rFonts w:ascii="Times New Roman" w:hAnsi="Times New Roman" w:cs="Times New Roman" w:eastAsia="Times New Roman" w:hint="default"/>
        </w:rPr>
        <w:t>24.93%</w:t>
      </w:r>
      <w:r>
        <w:rPr/>
        <w:t>。</w:t>
      </w:r>
    </w:p>
    <w:p>
      <w:pPr>
        <w:spacing w:line="240" w:lineRule="auto" w:before="2"/>
        <w:rPr>
          <w:rFonts w:ascii="宋体" w:hAnsi="宋体" w:cs="宋体" w:eastAsia="宋体" w:hint="default"/>
          <w:sz w:val="16"/>
          <w:szCs w:val="16"/>
        </w:rPr>
      </w:pPr>
    </w:p>
    <w:p>
      <w:pPr>
        <w:pStyle w:val="Heading3"/>
        <w:spacing w:line="240" w:lineRule="auto" w:before="0"/>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报告期内，控股股东承诺在增持期间及在本次增持完成后六个月内及法定期限内不减持所持有的公司股份。</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090"/>
        <w:jc w:val="center"/>
        <w:rPr>
          <w:b w:val="0"/>
          <w:bCs w:val="0"/>
        </w:rPr>
      </w:pPr>
      <w:bookmarkStart w:name="第七节 优先股相关情况" w:id="125"/>
      <w:bookmarkEnd w:id="125"/>
      <w:r>
        <w:rPr>
          <w:b w:val="0"/>
          <w:bCs w:val="0"/>
        </w:rPr>
      </w:r>
      <w:bookmarkStart w:name="_bookmark5" w:id="126"/>
      <w:bookmarkEnd w:id="12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7"/>
      <w:bookmarkEnd w:id="127"/>
      <w:r>
        <w:rPr>
          <w:b w:val="0"/>
          <w:bCs w:val="0"/>
        </w:rPr>
      </w:r>
      <w:bookmarkStart w:name="_bookmark6" w:id="128"/>
      <w:bookmarkEnd w:id="12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1,241,700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1,424,085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1,424,085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3,507,460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2,033,338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3,265,660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314,708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314,708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257,220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12,418,47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12,418,47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both"/>
        <w:rPr>
          <w:b w:val="0"/>
          <w:bCs w:val="0"/>
        </w:rPr>
      </w:pPr>
      <w:bookmarkStart w:name="三、任职情况" w:id="131"/>
      <w:bookmarkEnd w:id="13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2" w:lineRule="auto" w:before="115"/>
        <w:ind w:right="1132"/>
        <w:jc w:val="both"/>
      </w:pPr>
      <w:r>
        <w:rPr/>
        <w:t>吴越，男，中国国籍，</w:t>
      </w:r>
      <w:r>
        <w:rPr>
          <w:rFonts w:ascii="Times New Roman" w:hAnsi="Times New Roman" w:cs="Times New Roman" w:eastAsia="Times New Roman" w:hint="default"/>
        </w:rPr>
        <w:t>1967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月出生，无境外永久居留权，工学博士，教授级高级工程师。现任本公司董事长，浙江银 江研究院有限公司董事长，浙江银江金服控股有限公司董事。</w:t>
      </w:r>
    </w:p>
    <w:p>
      <w:pPr>
        <w:pStyle w:val="BodyText"/>
        <w:spacing w:line="302" w:lineRule="auto" w:before="68"/>
        <w:ind w:right="1132"/>
        <w:jc w:val="both"/>
      </w:pPr>
      <w:r>
        <w:rPr/>
        <w:t>章建强，男，中国国籍，</w:t>
      </w:r>
      <w:r>
        <w:rPr>
          <w:rFonts w:ascii="Times New Roman" w:hAnsi="Times New Roman" w:cs="Times New Roman" w:eastAsia="Times New Roman" w:hint="default"/>
        </w:rPr>
        <w:t>1974</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月出生，无境外永久居留权，浙江大学</w:t>
      </w:r>
      <w:r>
        <w:rPr>
          <w:spacing w:val="-56"/>
        </w:rPr>
        <w:t> </w:t>
      </w:r>
      <w:r>
        <w:rPr>
          <w:rFonts w:ascii="Times New Roman" w:hAnsi="Times New Roman" w:cs="Times New Roman" w:eastAsia="Times New Roman" w:hint="default"/>
        </w:rPr>
        <w:t>MBA</w:t>
      </w:r>
      <w:r>
        <w:rPr/>
        <w:t>，中国品牌创新杰出人物，中国软件和信息 技术服务业品牌建设领袖人物。现任本公司董事、总经理、首席执行官。</w:t>
      </w:r>
    </w:p>
    <w:p>
      <w:pPr>
        <w:pStyle w:val="BodyText"/>
        <w:spacing w:line="309" w:lineRule="auto" w:before="69"/>
        <w:ind w:right="1130"/>
        <w:jc w:val="both"/>
      </w:pPr>
      <w:r>
        <w:rPr/>
        <w:t>钱小鸿，男，中国国籍，</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月出生，无境外永久居留权，同济大学交通运输工程专业硕士，教授级高级工程师，浙 </w:t>
      </w:r>
      <w:r>
        <w:rPr>
          <w:spacing w:val="-2"/>
        </w:rPr>
        <w:t>江工业大学研究生导师，国家一级建造师、计算机信息系统集成高级项目经理。现任本公司董事、财务总监、副总经理，上</w:t>
      </w:r>
      <w:r>
        <w:rPr>
          <w:spacing w:val="-67"/>
        </w:rPr>
        <w:t> </w:t>
      </w:r>
      <w:r>
        <w:rPr>
          <w:spacing w:val="-67"/>
        </w:rPr>
      </w:r>
      <w:r>
        <w:rPr/>
        <w:t>海济祥智能交通科技有限公司董事。</w:t>
      </w:r>
    </w:p>
    <w:p>
      <w:pPr>
        <w:pStyle w:val="BodyText"/>
        <w:spacing w:line="309" w:lineRule="auto" w:before="62"/>
        <w:ind w:left="1134" w:right="1131"/>
        <w:jc w:val="both"/>
      </w:pPr>
      <w:r>
        <w:rPr/>
        <w:t>柳展，男，中国国籍，</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月出生，无境外永久居留权，本科学历，高级工程师，国家一级建造师，计算机信息系统 </w:t>
      </w:r>
      <w:r>
        <w:rPr>
          <w:spacing w:val="-2"/>
        </w:rPr>
        <w:t>集成高级项目经理。现任本公司董事，浙江银江智慧交通集团有限公司董事长，浙江银江交通技术有限公司执行董事，江苏</w:t>
      </w:r>
      <w:r>
        <w:rPr>
          <w:spacing w:val="-66"/>
        </w:rPr>
        <w:t> </w:t>
      </w:r>
      <w:r>
        <w:rPr>
          <w:spacing w:val="-66"/>
        </w:rPr>
      </w:r>
      <w:r>
        <w:rPr/>
        <w:t>银江交通技术有限公司执行董事。</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0"/>
        <w:jc w:val="both"/>
      </w:pPr>
      <w:r>
        <w:rPr/>
        <w:t>樊锦祥，男，中国国籍，</w:t>
      </w:r>
      <w:r>
        <w:rPr>
          <w:rFonts w:ascii="Times New Roman" w:hAnsi="Times New Roman" w:cs="Times New Roman" w:eastAsia="Times New Roman" w:hint="default"/>
        </w:rPr>
        <w:t>1968</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月出生，无境外永久居留权，本科学历，工程师。现任本公司董事、副总经理，江苏银 </w:t>
      </w:r>
      <w:r>
        <w:rPr>
          <w:spacing w:val="-2"/>
        </w:rPr>
        <w:t>江智慧城市信息技术有限公司执行董事、浙大健康管理有限公司监事、银江（北京）物联网技术有限公司监事、杭州银江智</w:t>
      </w:r>
      <w:r>
        <w:rPr>
          <w:spacing w:val="-66"/>
        </w:rPr>
        <w:t> </w:t>
      </w:r>
      <w:r>
        <w:rPr>
          <w:spacing w:val="-66"/>
        </w:rPr>
      </w:r>
      <w:r>
        <w:rPr/>
        <w:t>慧城市技术集团有限公司执行董事、上海济祥智能交通科技有限公司监事。</w:t>
      </w:r>
    </w:p>
    <w:p>
      <w:pPr>
        <w:pStyle w:val="BodyText"/>
        <w:spacing w:line="302" w:lineRule="auto" w:before="62"/>
        <w:ind w:right="1131"/>
        <w:jc w:val="both"/>
      </w:pPr>
      <w:r>
        <w:rPr/>
        <w:t>陈利中，男，中国国籍，</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月出生，无境外永久居留权，本科学历，高级工程师，浙江工业大学硕士研究生企业导 师。自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日起本公司董事，现任杭州银江智慧医疗集团有限公司董事兼总经理。</w:t>
      </w:r>
    </w:p>
    <w:p>
      <w:pPr>
        <w:pStyle w:val="BodyText"/>
        <w:spacing w:line="309" w:lineRule="auto" w:before="50"/>
        <w:ind w:left="1134" w:right="1132"/>
        <w:jc w:val="both"/>
      </w:pPr>
      <w:r>
        <w:rPr/>
        <w:t>刘国平，</w:t>
      </w:r>
      <w:r>
        <w:rPr>
          <w:rFonts w:ascii="Times New Roman" w:hAnsi="Times New Roman" w:cs="Times New Roman" w:eastAsia="Times New Roman" w:hint="default"/>
        </w:rPr>
        <w:t>1953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月出生，男，中国国籍，无境外永久居留权，大学学历，副教授。现任本公司独立董事，杭州思达管理 </w:t>
      </w:r>
      <w:r>
        <w:rPr>
          <w:spacing w:val="-2"/>
        </w:rPr>
        <w:t>咨询有限公司董事长、浙江祖名豆制品股份有限公司外部董事、浙江百川导体科技股份有限公司独立董事、浙江恒林椅业股</w:t>
      </w:r>
      <w:r>
        <w:rPr>
          <w:spacing w:val="-66"/>
        </w:rPr>
        <w:t> </w:t>
      </w:r>
      <w:r>
        <w:rPr>
          <w:spacing w:val="-66"/>
        </w:rPr>
      </w:r>
      <w:r>
        <w:rPr/>
        <w:t>份有限公司独立董事、杭州炬华科技股份有限公司独立董事。</w:t>
      </w:r>
    </w:p>
    <w:p>
      <w:pPr>
        <w:pStyle w:val="BodyText"/>
        <w:spacing w:line="309" w:lineRule="auto" w:before="62"/>
        <w:ind w:left="1134" w:right="1132"/>
        <w:jc w:val="both"/>
      </w:pPr>
      <w:r>
        <w:rPr/>
        <w:t>冯晓，</w:t>
      </w:r>
      <w:r>
        <w:rPr>
          <w:rFonts w:ascii="Times New Roman" w:hAnsi="Times New Roman" w:cs="Times New Roman" w:eastAsia="Times New Roman" w:hint="default"/>
        </w:rPr>
        <w:t>1969 </w:t>
      </w:r>
      <w:r>
        <w:rPr/>
        <w:t>年 </w:t>
      </w:r>
      <w:r>
        <w:rPr>
          <w:rFonts w:ascii="Times New Roman" w:hAnsi="Times New Roman" w:cs="Times New Roman" w:eastAsia="Times New Roman" w:hint="default"/>
          <w:spacing w:val="-4"/>
        </w:rPr>
        <w:t>11 </w:t>
      </w:r>
      <w:r>
        <w:rPr/>
        <w:t>月出生，女，中国国籍，无境外永久居留权，中共党员，硕士。会计学教授，硕士研究生导师、</w:t>
      </w:r>
      <w:r>
        <w:rPr>
          <w:rFonts w:ascii="Times New Roman" w:hAnsi="Times New Roman" w:cs="Times New Roman" w:eastAsia="Times New Roman" w:hint="default"/>
        </w:rPr>
        <w:t>MBA</w:t>
      </w:r>
      <w:r>
        <w:rPr>
          <w:rFonts w:ascii="Times New Roman" w:hAnsi="Times New Roman" w:cs="Times New Roman" w:eastAsia="Times New Roman" w:hint="default"/>
          <w:spacing w:val="9"/>
        </w:rPr>
        <w:t> </w:t>
      </w:r>
      <w:r>
        <w:rPr/>
        <w:t>导 </w:t>
      </w:r>
      <w:r>
        <w:rPr>
          <w:spacing w:val="-2"/>
        </w:rPr>
        <w:t>师、中国注册会计师（非执业）。现任本公司独立董事、浙江财经大学教师，现兼任四川金顶（集团）股份有限公司、香溢</w:t>
      </w:r>
      <w:r>
        <w:rPr>
          <w:spacing w:val="-65"/>
        </w:rPr>
        <w:t> </w:t>
      </w:r>
      <w:r>
        <w:rPr>
          <w:spacing w:val="-65"/>
        </w:rPr>
      </w:r>
      <w:r>
        <w:rPr/>
        <w:t>融通控股集团股份有限公司、杭州士兰微电子股份有限公司、北京蓝色光标品牌管理顾问股份有限公司独立董事。</w:t>
      </w:r>
    </w:p>
    <w:p>
      <w:pPr>
        <w:pStyle w:val="BodyText"/>
        <w:spacing w:line="302" w:lineRule="auto" w:before="62"/>
        <w:ind w:left="1134" w:right="1131"/>
        <w:jc w:val="both"/>
      </w:pPr>
      <w:r>
        <w:rPr/>
        <w:t>赵新建，中国国籍，无境外永久居留权，男，</w:t>
      </w:r>
      <w:r>
        <w:rPr>
          <w:rFonts w:ascii="Times New Roman" w:hAnsi="Times New Roman" w:cs="Times New Roman" w:eastAsia="Times New Roman" w:hint="default"/>
        </w:rPr>
        <w:t>1955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月出生，硕士，教授，硕士研究生导师。现任本公司独立董事、浙 江盛洋科技股份有限公司独立董事。</w:t>
      </w:r>
    </w:p>
    <w:p>
      <w:pPr>
        <w:pStyle w:val="BodyText"/>
        <w:spacing w:line="338" w:lineRule="auto" w:before="70"/>
        <w:ind w:left="1134" w:right="1394"/>
        <w:jc w:val="left"/>
      </w:pPr>
      <w:r>
        <w:rPr/>
        <w:t>孔桦桦，女，中国国籍，</w:t>
      </w:r>
      <w:r>
        <w:rPr>
          <w:rFonts w:ascii="Times New Roman" w:hAnsi="Times New Roman" w:cs="Times New Roman" w:eastAsia="Times New Roman" w:hint="default"/>
        </w:rPr>
        <w:t>1980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月出生，无境外永久居留权，硕士。现任本公司监事长、企业发展中心总经理。 张芸芸，女，中国国籍，</w:t>
      </w:r>
      <w:r>
        <w:rPr>
          <w:rFonts w:ascii="Times New Roman" w:hAnsi="Times New Roman" w:cs="Times New Roman" w:eastAsia="Times New Roman" w:hint="default"/>
        </w:rPr>
        <w:t>1984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月出生，无境外永久居留权，大专学历。现任本公司监事。 余力航，女，中国国籍，</w:t>
      </w: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月出生，无境外永久居留权，本科学历。现任行政办公室行政总监。</w:t>
      </w:r>
    </w:p>
    <w:p>
      <w:pPr>
        <w:pStyle w:val="BodyText"/>
        <w:spacing w:line="309" w:lineRule="auto" w:before="20"/>
        <w:ind w:left="1134" w:right="1131"/>
        <w:jc w:val="both"/>
      </w:pPr>
      <w:r>
        <w:rPr/>
        <w:t>陈才君，男，中国国籍，</w:t>
      </w:r>
      <w:r>
        <w:rPr>
          <w:rFonts w:ascii="Times New Roman" w:hAnsi="Times New Roman" w:cs="Times New Roman" w:eastAsia="Times New Roman" w:hint="default"/>
        </w:rPr>
        <w:t>1981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月出生，无境外永久居留权，本科学历。现任本公司副总经理，浙江银江智慧交通集团 </w:t>
      </w:r>
      <w:r>
        <w:rPr>
          <w:spacing w:val="-2"/>
        </w:rPr>
        <w:t>有限公司总经理，浙江交通宝互联网技术有限公司执行董事、总经理，交通宝互联网技术有限公司执行董事，济南银江智慧</w:t>
      </w:r>
      <w:r>
        <w:rPr>
          <w:spacing w:val="-66"/>
        </w:rPr>
        <w:t> </w:t>
      </w:r>
      <w:r>
        <w:rPr>
          <w:spacing w:val="-66"/>
        </w:rPr>
      </w:r>
      <w:r>
        <w:rPr/>
        <w:t>城市技术有限公司执行董事、总经理，重庆银江交通工程有限公司执行董事。</w:t>
      </w:r>
    </w:p>
    <w:p>
      <w:pPr>
        <w:pStyle w:val="BodyText"/>
        <w:spacing w:line="302" w:lineRule="auto" w:before="62"/>
        <w:ind w:right="1132"/>
        <w:jc w:val="both"/>
      </w:pPr>
      <w:r>
        <w:rPr/>
        <w:t>温晓岳，女，中国国籍，</w:t>
      </w:r>
      <w:r>
        <w:rPr>
          <w:rFonts w:ascii="Times New Roman" w:hAnsi="Times New Roman" w:cs="Times New Roman" w:eastAsia="Times New Roman" w:hint="default"/>
        </w:rPr>
        <w:t>1983</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月出生，无境外永久居留权，硕士，高级工程师。现任本公司副总经理，浙江银江研究 院有限公司董事、总经理，济南银江智慧城市技术有限公司监事。</w:t>
      </w:r>
    </w:p>
    <w:p>
      <w:pPr>
        <w:pStyle w:val="BodyText"/>
        <w:spacing w:line="340" w:lineRule="auto" w:before="69"/>
        <w:ind w:left="1134" w:right="1800"/>
        <w:jc w:val="left"/>
      </w:pPr>
      <w:r>
        <w:rPr/>
        <w:t>叶智慧，女，中国国籍，</w:t>
      </w:r>
      <w:r>
        <w:rPr>
          <w:rFonts w:ascii="Times New Roman" w:hAnsi="Times New Roman" w:cs="Times New Roman" w:eastAsia="Times New Roman" w:hint="default"/>
        </w:rPr>
        <w:t>1985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月出生，无境外永久居留权，本科学历。现任本公司董事会秘书、副总经理。 在股东单位任职情况</w:t>
      </w:r>
    </w:p>
    <w:p>
      <w:pPr>
        <w:pStyle w:val="BodyText"/>
        <w:spacing w:line="338" w:lineRule="auto" w:before="4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浙江银江金服控股有限公司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青岛智谷创业园有限公司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江苏银江智慧城市信息技术有限公司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浙大健康管理有限公司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浙江交通宝互联网技术有限公司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重庆银江交通工程有限公司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浙江银江智慧交通工程技术研究院有限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浙江银江智慧城市信息技术研究院有限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浙江银江智慧医疗研究院有限公司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4"/>
        </w:rPr>
        <w:t>董事、监事、高级管理人员报酬的决策程序：董事、监事、高级管理人员薪酬根据公司《年度绩效考核管理办法》确定，</w:t>
      </w:r>
    </w:p>
    <w:p>
      <w:pPr>
        <w:pStyle w:val="BodyText"/>
        <w:spacing w:line="360" w:lineRule="auto"/>
        <w:ind w:left="1493" w:right="3373" w:hanging="360"/>
        <w:jc w:val="left"/>
      </w:pPr>
      <w:r>
        <w:rPr/>
        <w:t>由董事会薪酬与考核委员会组织并考核。 董事、监事、高级管理人员报酬确定依据：年度绩效目标。 董事、监事和高级管理人员报酬的实际支付情况：工资、津贴次月发放；奖金延后发放。</w:t>
      </w:r>
    </w:p>
    <w:p>
      <w:pPr>
        <w:pStyle w:val="BodyText"/>
        <w:spacing w:line="240" w:lineRule="auto" w:before="26"/>
        <w:ind w:right="0"/>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99.22171pt;width:67.9pt;height:28pt;mso-position-horizontal-relative:page;mso-position-vertical-relative:paragraph;z-index:-1221976" coordorigin="3875,1984" coordsize="1358,560">
            <v:group style="position:absolute;left:3875;top:1984;width:1358;height:156" coordorigin="3875,1984" coordsize="1358,156">
              <v:shape style="position:absolute;left:3875;top:1984;width:1358;height:156" coordorigin="3875,1984" coordsize="1358,156" path="m3875,2140l5233,2140,5233,1984,3875,1984,3875,2140xe" filled="true" fillcolor="#ffffff" stroked="false">
                <v:path arrowok="t"/>
                <v:fill type="solid"/>
              </v:shape>
            </v:group>
            <v:group style="position:absolute;left:3887;top:2140;width:2;height:393" coordorigin="3887,2140" coordsize="2,393">
              <v:shape style="position:absolute;left:3887;top:2140;width:2;height:393" coordorigin="3887,2140" coordsize="0,393" path="m3887,2140l3887,2533e" filled="false" stroked="true" strokeweight="1.140pt" strokecolor="#ffffff">
                <v:path arrowok="t"/>
              </v:shape>
            </v:group>
            <v:group style="position:absolute;left:3898;top:2140;width:1312;height:393" coordorigin="3898,2140" coordsize="1312,393">
              <v:shape style="position:absolute;left:3898;top:2140;width:1312;height:393" coordorigin="3898,2140" coordsize="1312,393" path="m3898,2533l5210,2533,5210,2140,3898,2140,3898,2533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3"/>
      <w:bookmarkEnd w:id="13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4"/>
      <w:bookmarkEnd w:id="13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薪酬政策" w:id="135"/>
      <w:bookmarkEnd w:id="13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本公司采用劳动合同制，按照《中华人民共和国劳动合同法》和国家及地方其他有关劳动法律、法规的规定，与员工签订劳</w:t>
      </w:r>
      <w:r>
        <w:rPr>
          <w:spacing w:val="-66"/>
        </w:rPr>
        <w:t> </w:t>
      </w:r>
      <w:r>
        <w:rPr>
          <w:spacing w:val="-66"/>
        </w:rPr>
      </w:r>
      <w:r>
        <w:rPr/>
        <w:t>动合同。公司严格执行国家用工制度、劳动保护制度、社会保障制度和医疗保障制度，按照国家规定为员工缴纳社会保险、 </w:t>
      </w:r>
      <w:r>
        <w:rPr>
          <w:spacing w:val="-2"/>
        </w:rPr>
        <w:t>医疗保险。公司的员工薪酬政策以《公司薪酬管理制度》为蓝本，充分结合公司实际运营状况，依据岗位职能及工作情况全</w:t>
      </w:r>
      <w:r>
        <w:rPr>
          <w:spacing w:val="-66"/>
        </w:rPr>
        <w:t> </w:t>
      </w:r>
      <w:r>
        <w:rPr>
          <w:spacing w:val="-66"/>
        </w:rPr>
      </w:r>
      <w:r>
        <w:rPr/>
        <w:t>方位对员工进行各方面的考核。</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3、培训计划" w:id="136"/>
      <w:bookmarkEnd w:id="13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公司有着完善的年度培训计划，培训内容包含工作专业技能、安全、管理等各个方面知识，以内部培训、外部培训、在职培</w:t>
      </w:r>
      <w:r>
        <w:rPr>
          <w:spacing w:val="-67"/>
        </w:rPr>
        <w:t> </w:t>
      </w:r>
      <w:r>
        <w:rPr>
          <w:spacing w:val="-67"/>
        </w:rPr>
      </w:r>
      <w:r>
        <w:rPr/>
        <w:t>训等多种形式展开。</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7"/>
      <w:bookmarkEnd w:id="13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九节 公司治理" w:id="138"/>
      <w:bookmarkEnd w:id="138"/>
      <w:r>
        <w:rPr>
          <w:b w:val="0"/>
          <w:bCs w:val="0"/>
        </w:rPr>
      </w:r>
      <w:bookmarkStart w:name="_bookmark7" w:id="139"/>
      <w:bookmarkEnd w:id="139"/>
      <w:r>
        <w:rPr>
          <w:b w:val="0"/>
          <w:bCs w:val="0"/>
        </w:rPr>
      </w:r>
      <w:r>
        <w:rPr/>
        <w:t>第九节</w:t>
      </w:r>
      <w:r>
        <w:rPr>
          <w:spacing w:val="-3"/>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40"/>
      <w:bookmarkEnd w:id="14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jc w:val="both"/>
      </w:pPr>
      <w:r>
        <w:rPr>
          <w:spacing w:val="-5"/>
        </w:rPr>
        <w:t>报告期内，公司严格按照《公司法》、《证券法》、《上市公司治理准则》、《深圳证券交易所创业板股票上市规则》、《深</w:t>
      </w:r>
      <w:r>
        <w:rPr>
          <w:spacing w:val="-87"/>
        </w:rPr>
        <w:t> </w:t>
      </w:r>
      <w:r>
        <w:rPr>
          <w:spacing w:val="-87"/>
        </w:rPr>
      </w:r>
      <w:r>
        <w:rPr>
          <w:spacing w:val="-2"/>
        </w:rPr>
        <w:t>圳证券交易所创业板上市公司规范运作指引》等法律法规的要求，不断完善公司治理结构，进一步规范公司运作，提高公司</w:t>
      </w:r>
      <w:r>
        <w:rPr>
          <w:spacing w:val="-66"/>
        </w:rPr>
        <w:t> </w:t>
      </w:r>
      <w:r>
        <w:rPr>
          <w:spacing w:val="-66"/>
        </w:rPr>
      </w:r>
      <w:r>
        <w:rPr>
          <w:spacing w:val="-2"/>
        </w:rPr>
        <w:t>治理水平。截至报告期末，公司治理的实际状况符合《上市公司治理准则》和《深圳证券交易所创业板上市公司规范运作指</w:t>
      </w:r>
      <w:r>
        <w:rPr>
          <w:spacing w:val="-66"/>
        </w:rPr>
        <w:t> </w:t>
      </w:r>
      <w:r>
        <w:rPr>
          <w:spacing w:val="-66"/>
        </w:rPr>
      </w:r>
      <w:r>
        <w:rPr/>
        <w:t>引》的要求。</w:t>
      </w:r>
    </w:p>
    <w:p>
      <w:pPr>
        <w:pStyle w:val="BodyText"/>
        <w:spacing w:line="309" w:lineRule="auto" w:before="19"/>
        <w:ind w:right="1123"/>
        <w:jc w:val="left"/>
      </w:pPr>
      <w:r>
        <w:rPr>
          <w:rFonts w:ascii="Times New Roman" w:hAnsi="Times New Roman" w:cs="Times New Roman" w:eastAsia="Times New Roman" w:hint="default"/>
        </w:rPr>
        <w:t>1</w:t>
      </w:r>
      <w:r>
        <w:rPr/>
        <w:t>、关于股东与股东大会 </w:t>
      </w:r>
      <w:r>
        <w:rPr>
          <w:spacing w:val="-2"/>
        </w:rPr>
        <w:t>公司严格按照《公司法》、《深圳证券交易所创业板上市公司规范运作指引》、《公司章程》、《股东大会议事规则》等规</w:t>
      </w:r>
      <w:r>
        <w:rPr>
          <w:spacing w:val="-69"/>
        </w:rPr>
        <w:t> </w:t>
      </w:r>
      <w:r>
        <w:rPr>
          <w:spacing w:val="-69"/>
        </w:rPr>
      </w:r>
      <w:r>
        <w:rPr/>
        <w:t>定要求，召集、召开股东大会，确保所有股东享有平等地位，保护全体股东的利益。</w:t>
      </w:r>
      <w:r>
        <w:rPr>
          <w:rFonts w:ascii="Times New Roman" w:hAnsi="Times New Roman" w:cs="Times New Roman" w:eastAsia="Times New Roman" w:hint="default"/>
        </w:rPr>
        <w:t>2017</w:t>
      </w:r>
      <w:r>
        <w:rPr/>
        <w:t>年度公司共召开</w:t>
      </w:r>
      <w:r>
        <w:rPr>
          <w:rFonts w:ascii="Times New Roman" w:hAnsi="Times New Roman" w:cs="Times New Roman" w:eastAsia="Times New Roman" w:hint="default"/>
        </w:rPr>
        <w:t>6</w:t>
      </w:r>
      <w:r>
        <w:rPr/>
        <w:t>次股东大会，均</w:t>
      </w:r>
      <w:r>
        <w:rPr>
          <w:spacing w:val="-82"/>
        </w:rPr>
        <w:t> </w:t>
      </w:r>
      <w:r>
        <w:rPr>
          <w:spacing w:val="-82"/>
        </w:rPr>
      </w:r>
      <w:r>
        <w:rPr>
          <w:spacing w:val="-2"/>
        </w:rPr>
        <w:t>使用网络投票表决和现场投票表决相结合的形式召开，让中小投资者充分行使自己的权利。同时，公司聘请律师出席见证了</w:t>
      </w:r>
      <w:r>
        <w:rPr>
          <w:spacing w:val="-66"/>
        </w:rPr>
        <w:t> </w:t>
      </w:r>
      <w:r>
        <w:rPr>
          <w:spacing w:val="-66"/>
        </w:rPr>
      </w:r>
      <w:r>
        <w:rPr/>
        <w:t>股东大会会议的召集、召开和表决程序的合法性，维护股东的合法权益。</w:t>
      </w:r>
    </w:p>
    <w:p>
      <w:pPr>
        <w:pStyle w:val="BodyText"/>
        <w:spacing w:line="314" w:lineRule="auto" w:before="24"/>
        <w:ind w:left="1134" w:right="1032"/>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公司拥有独立完整的业务和自主经营能力，在业务、人员、资产、机构、财务等方面均独立于控股股东，公司董事会、监事</w:t>
      </w:r>
      <w:r>
        <w:rPr>
          <w:spacing w:val="-72"/>
        </w:rPr>
        <w:t> </w:t>
      </w:r>
      <w:r>
        <w:rPr>
          <w:spacing w:val="-72"/>
        </w:rPr>
      </w:r>
      <w:r>
        <w:rPr>
          <w:spacing w:val="-2"/>
        </w:rPr>
        <w:t>会和内部机构独立运作。公司控股股东依法行使其权利并承担义务，没有超越股东大会直接或间接干预公司经营活动，不存</w:t>
      </w:r>
      <w:r>
        <w:rPr>
          <w:spacing w:val="-66"/>
        </w:rPr>
        <w:t> </w:t>
      </w:r>
      <w:r>
        <w:rPr>
          <w:spacing w:val="-66"/>
        </w:rPr>
      </w:r>
      <w:r>
        <w:rPr/>
        <w:t>在控股股东、实际控制人利用其控制地位侵害其他股东利益的行为；报告期内公司没有为控股股东及其关联企业提供担保， </w:t>
      </w:r>
      <w:r>
        <w:rPr>
          <w:spacing w:val="-2"/>
        </w:rPr>
        <w:t>亦不存在控股股东非经营性占用公司资金的行为；公司与控股股东及其关联单位不存在同业竞争的情况；公司与控股股东及</w:t>
      </w:r>
      <w:r>
        <w:rPr>
          <w:spacing w:val="-64"/>
        </w:rPr>
        <w:t> </w:t>
      </w:r>
      <w:r>
        <w:rPr>
          <w:spacing w:val="-64"/>
        </w:rPr>
      </w:r>
      <w:r>
        <w:rPr/>
        <w:t>其关联单位存在关联交易，已按照信息披露要求对外披露。</w:t>
      </w:r>
    </w:p>
    <w:p>
      <w:pPr>
        <w:pStyle w:val="BodyText"/>
        <w:spacing w:line="300" w:lineRule="auto" w:before="20"/>
        <w:ind w:left="1134"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名，董事会的人数及人员构成符合法律、法规和《公司章程》的要求。公司董事依据</w:t>
      </w:r>
    </w:p>
    <w:p>
      <w:pPr>
        <w:pStyle w:val="BodyText"/>
        <w:spacing w:line="314" w:lineRule="auto" w:before="13"/>
        <w:ind w:right="1129"/>
        <w:jc w:val="both"/>
      </w:pPr>
      <w:r>
        <w:rPr>
          <w:spacing w:val="-2"/>
        </w:rPr>
        <w:t>《深圳证券交易所创业板上市公司规范运作指引》、《公司章程》、《董事会议事规则》、《独立董事工作细则》等开展工</w:t>
      </w:r>
      <w:r>
        <w:rPr>
          <w:spacing w:val="-67"/>
        </w:rPr>
        <w:t> </w:t>
      </w:r>
      <w:r>
        <w:rPr>
          <w:spacing w:val="-67"/>
        </w:rPr>
      </w:r>
      <w:r>
        <w:rPr>
          <w:spacing w:val="-2"/>
        </w:rPr>
        <w:t>作，出席董事会和股东大会，依法行使职权，勤勉尽责地履行职责和义务。报告期内，公司董事会共召开了</w:t>
      </w:r>
      <w:r>
        <w:rPr>
          <w:rFonts w:ascii="Times New Roman" w:hAnsi="Times New Roman" w:cs="Times New Roman" w:eastAsia="Times New Roman" w:hint="default"/>
          <w:spacing w:val="-2"/>
        </w:rPr>
        <w:t>11</w:t>
      </w:r>
      <w:r>
        <w:rPr>
          <w:spacing w:val="-2"/>
        </w:rPr>
        <w:t>次会议，会议</w:t>
      </w:r>
      <w:r>
        <w:rPr>
          <w:spacing w:val="-66"/>
        </w:rPr>
        <w:t> </w:t>
      </w:r>
      <w:r>
        <w:rPr>
          <w:spacing w:val="-66"/>
        </w:rPr>
      </w:r>
      <w:r>
        <w:rPr>
          <w:spacing w:val="-2"/>
        </w:rPr>
        <w:t>的召集召开程序符合法律法规、《公司章程》及《公司董事会议事规则》的相关规定。公司董事会下设战略决策委员会、提</w:t>
      </w:r>
      <w:r>
        <w:rPr>
          <w:spacing w:val="-69"/>
        </w:rPr>
        <w:t> </w:t>
      </w:r>
      <w:r>
        <w:rPr>
          <w:spacing w:val="-69"/>
        </w:rPr>
      </w:r>
      <w:r>
        <w:rPr>
          <w:spacing w:val="-2"/>
        </w:rPr>
        <w:t>名委员会、审计委员会、薪酬与考核委员会四个专门委员会。各委员会依据《公司章程》和各委员会议事规则的规定履行职</w:t>
      </w:r>
      <w:r>
        <w:rPr>
          <w:spacing w:val="-66"/>
        </w:rPr>
        <w:t> </w:t>
      </w:r>
      <w:r>
        <w:rPr>
          <w:spacing w:val="-66"/>
        </w:rPr>
      </w:r>
      <w:r>
        <w:rPr/>
        <w:t>权。</w:t>
      </w:r>
    </w:p>
    <w:p>
      <w:pPr>
        <w:pStyle w:val="BodyText"/>
        <w:spacing w:line="304" w:lineRule="auto" w:before="20"/>
        <w:ind w:right="1123"/>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名，监事会的人数和构成符合法律、法规的要求。公司监事能够按照《监事会议事规</w:t>
      </w:r>
      <w:r>
        <w:rPr>
          <w:spacing w:val="-65"/>
        </w:rPr>
        <w:t> </w:t>
      </w:r>
      <w:r>
        <w:rPr>
          <w:spacing w:val="-65"/>
        </w:rPr>
      </w:r>
      <w:r>
        <w:rPr>
          <w:spacing w:val="-2"/>
        </w:rPr>
        <w:t>则》的要求，认真履行自己的职责，对公司重大事项、财务状况以及董事、高管人员履行职责的合法合规性进行监督。报告</w:t>
      </w:r>
      <w:r>
        <w:rPr>
          <w:spacing w:val="-67"/>
        </w:rPr>
        <w:t> </w:t>
      </w:r>
      <w:r>
        <w:rPr>
          <w:spacing w:val="-67"/>
        </w:rPr>
      </w:r>
      <w:r>
        <w:rPr/>
        <w:t>期内，公司监事会共召开了</w:t>
      </w:r>
      <w:r>
        <w:rPr>
          <w:rFonts w:ascii="Times New Roman" w:hAnsi="Times New Roman" w:cs="Times New Roman" w:eastAsia="Times New Roman" w:hint="default"/>
        </w:rPr>
        <w:t>9</w:t>
      </w:r>
      <w:r>
        <w:rPr/>
        <w:t>次会议，会议的召集、召开程序符合法律法规、《公司章程》及《公司监事会议事规则》的相</w:t>
      </w:r>
      <w:r>
        <w:rPr>
          <w:spacing w:val="-83"/>
        </w:rPr>
        <w:t> </w:t>
      </w:r>
      <w:r>
        <w:rPr>
          <w:spacing w:val="-83"/>
        </w:rPr>
      </w:r>
      <w:r>
        <w:rPr/>
        <w:t>关规定。</w:t>
      </w:r>
    </w:p>
    <w:p>
      <w:pPr>
        <w:pStyle w:val="BodyText"/>
        <w:spacing w:line="314" w:lineRule="auto" w:before="28"/>
        <w:ind w:right="1033"/>
        <w:jc w:val="left"/>
      </w:pPr>
      <w:r>
        <w:rPr>
          <w:rFonts w:ascii="Times New Roman" w:hAnsi="Times New Roman" w:cs="Times New Roman" w:eastAsia="Times New Roman" w:hint="default"/>
        </w:rPr>
        <w:t>5</w:t>
      </w:r>
      <w:r>
        <w:rPr/>
        <w:t>、关于绩效评价与激励约束机制 </w:t>
      </w:r>
      <w:r>
        <w:rPr>
          <w:spacing w:val="-2"/>
        </w:rPr>
        <w:t>公司已建立绩效评价与激励约束机制。为调动公司员工工作的积极性，公司针对不同岗位制定不同的绩效考核标准。公司董</w:t>
      </w:r>
      <w:r>
        <w:rPr>
          <w:spacing w:val="-66"/>
        </w:rPr>
        <w:t> </w:t>
      </w:r>
      <w:r>
        <w:rPr>
          <w:spacing w:val="-66"/>
        </w:rPr>
      </w:r>
      <w:r>
        <w:rPr>
          <w:spacing w:val="-2"/>
        </w:rPr>
        <w:t>事会下设的薪酬与考核委员会负责对公司董事及高管进行绩效考核，且已逐步完善和建立公正、透明的绩效评价标准和激励</w:t>
      </w:r>
      <w:r>
        <w:rPr>
          <w:spacing w:val="-64"/>
        </w:rPr>
        <w:t> </w:t>
      </w:r>
      <w:r>
        <w:rPr>
          <w:spacing w:val="-64"/>
        </w:rPr>
      </w:r>
      <w:r>
        <w:rPr/>
        <w:t>约束机制。《公司章程》明确规定了高级管理人员的履职行为、权限和职责，高级管理人员的聘任公开、透明，符合法律、 法规的规定，现有的考核及激励约束机制符合公司的发展现状。</w:t>
      </w:r>
    </w:p>
    <w:p>
      <w:pPr>
        <w:pStyle w:val="BodyText"/>
        <w:spacing w:line="309" w:lineRule="auto" w:before="20"/>
        <w:ind w:left="1134" w:right="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公司严格按照有关法律法规以及《信息披露管理制度》、《投资者关系管理制度》等的要求，真实、准确、及时、公平、完</w:t>
      </w:r>
      <w:r>
        <w:rPr>
          <w:spacing w:val="-70"/>
        </w:rPr>
        <w:t> </w:t>
      </w:r>
      <w:r>
        <w:rPr>
          <w:spacing w:val="-70"/>
        </w:rPr>
      </w:r>
      <w:r>
        <w:rPr>
          <w:spacing w:val="-4"/>
        </w:rPr>
        <w:t>整地披露有关信息；并指定公司董事会秘书负责信息披露工作，协调公司与投资者的关系，接待股东来访，回答投资者咨询。</w:t>
      </w:r>
      <w:r>
        <w:rPr>
          <w:spacing w:val="-46"/>
        </w:rPr>
        <w:t> </w:t>
      </w:r>
      <w:r>
        <w:rPr>
          <w:spacing w:val="-46"/>
        </w:rPr>
      </w:r>
      <w:r>
        <w:rPr/>
        <w:t>公司指定《证券时报》为信息披露报纸，巨潮资讯网（</w:t>
      </w:r>
      <w:hyperlink r:id="rId11">
        <w:r>
          <w:rPr>
            <w:rFonts w:ascii="Times New Roman" w:hAnsi="Times New Roman" w:cs="Times New Roman" w:eastAsia="Times New Roman" w:hint="default"/>
          </w:rPr>
          <w:t>www.cninfo.com.cn</w:t>
        </w:r>
      </w:hyperlink>
      <w:r>
        <w:rPr/>
        <w:t>）为信息披露网站，确保公司所有股东能够以平</w:t>
      </w:r>
      <w:r>
        <w:rPr>
          <w:spacing w:val="-31"/>
        </w:rPr>
        <w:t> </w:t>
      </w:r>
      <w:r>
        <w:rPr>
          <w:spacing w:val="-31"/>
        </w:rPr>
      </w:r>
      <w:r>
        <w:rPr/>
        <w:t>等的机会获得信息。</w:t>
      </w:r>
    </w:p>
    <w:p>
      <w:pPr>
        <w:pStyle w:val="BodyText"/>
        <w:spacing w:line="240" w:lineRule="auto" w:before="24"/>
        <w:ind w:left="1134" w:right="0"/>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spacing w:val="-2"/>
        </w:rPr>
        <w:t>公司充分尊重和维护相关利益者的合法权益，积极与相关利益者合作，加强与各方的沟通和交流，实现股东、员工、社会等</w:t>
      </w:r>
      <w:r>
        <w:rPr>
          <w:spacing w:val="-66"/>
        </w:rPr>
        <w:t> </w:t>
      </w:r>
      <w:r>
        <w:rPr>
          <w:spacing w:val="-66"/>
        </w:rPr>
      </w:r>
      <w:r>
        <w:rPr/>
        <w:t>各方利益的协调平衡，共同推动公司持续、健康的发展。 公司治理的实际状况与中国证监会发布的有关上市公司治理的规范性文件是否存在重大差异</w:t>
      </w:r>
    </w:p>
    <w:p>
      <w:pPr>
        <w:pStyle w:val="BodyText"/>
        <w:spacing w:line="338" w:lineRule="auto" w:before="43"/>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1"/>
      <w:bookmarkEnd w:id="14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公司拥有独立完整的业务和自主经营能力，在业务、人员、资产、机构、财务上独立于控股股东，公司董事会、监事会和内</w:t>
      </w:r>
      <w:r>
        <w:rPr>
          <w:spacing w:val="-71"/>
        </w:rPr>
        <w:t> </w:t>
      </w:r>
      <w:r>
        <w:rPr>
          <w:spacing w:val="-71"/>
        </w:rPr>
      </w:r>
      <w:r>
        <w:rPr/>
        <w:t>部机构独立运作。</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42"/>
      <w:bookmarkEnd w:id="14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3"/>
      <w:bookmarkEnd w:id="14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4"/>
      <w:bookmarkEnd w:id="14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45"/>
      <w:bookmarkEnd w:id="14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6"/>
      <w:bookmarkEnd w:id="146"/>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7"/>
      <w:bookmarkEnd w:id="14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5"/>
          <w:szCs w:val="25"/>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9"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独立董事对公司有关事项提出异议的情况" w:id="148"/>
      <w:bookmarkEnd w:id="14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9"/>
      <w:bookmarkEnd w:id="14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报告期内，独立董事对公司提出的合理建议均被采纳。</w:t>
      </w: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六、董事会下设专门委员会在报告期内履行职责情况" w:id="150"/>
      <w:bookmarkEnd w:id="15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4" w:right="1032"/>
        <w:jc w:val="left"/>
      </w:pPr>
      <w:r>
        <w:rPr>
          <w:rFonts w:ascii="Times New Roman" w:hAnsi="Times New Roman" w:cs="Times New Roman" w:eastAsia="Times New Roman" w:hint="default"/>
        </w:rPr>
        <w:t>1</w:t>
      </w:r>
      <w:r>
        <w:rPr/>
        <w:t>、提名委员会履职情况：报告期内，提名委员会就公司聘任副总经理变更董秘等相关事项进行审查并提出建议，形成决议</w:t>
      </w:r>
      <w:r>
        <w:rPr>
          <w:spacing w:val="-83"/>
        </w:rPr>
        <w:t> </w:t>
      </w:r>
      <w:r>
        <w:rPr>
          <w:spacing w:val="-83"/>
        </w:rPr>
      </w:r>
      <w:r>
        <w:rPr/>
        <w:t>并提交董事会审议。 </w:t>
      </w:r>
      <w:r>
        <w:rPr>
          <w:rFonts w:ascii="Times New Roman" w:hAnsi="Times New Roman" w:cs="Times New Roman" w:eastAsia="Times New Roman" w:hint="default"/>
        </w:rPr>
        <w:t>2</w:t>
      </w:r>
      <w:r>
        <w:rPr/>
        <w:t>、战略决策委员会履职情况：报告期内，战略决策委员会讨论审议了公司终止发行股份购买资产、转让子公司股权、发行</w:t>
      </w:r>
      <w:r>
        <w:rPr>
          <w:spacing w:val="-83"/>
        </w:rPr>
        <w:t> </w:t>
      </w:r>
      <w:r>
        <w:rPr>
          <w:spacing w:val="-83"/>
        </w:rPr>
      </w:r>
      <w:r>
        <w:rPr/>
        <w:t>公司债券以及对产业基金追加投资等相关事宜。 </w:t>
      </w:r>
      <w:r>
        <w:rPr>
          <w:rFonts w:ascii="Times New Roman" w:hAnsi="Times New Roman" w:cs="Times New Roman" w:eastAsia="Times New Roman" w:hint="default"/>
        </w:rPr>
        <w:t>3</w:t>
      </w:r>
      <w:r>
        <w:rPr/>
        <w:t>、审计委员会履职情况：审计委员会主要负责公司内外部审计的沟通和协调，组织内部审计、内部控制体系的建设等相关</w:t>
      </w:r>
      <w:r>
        <w:rPr>
          <w:spacing w:val="-83"/>
        </w:rPr>
        <w:t> </w:t>
      </w:r>
      <w:r>
        <w:rPr>
          <w:spacing w:val="-83"/>
        </w:rPr>
      </w:r>
      <w:r>
        <w:rPr/>
        <w:t>工作。报告期内，审计委员会主要审议了公司内部审计部门提交的内审财务报告，对内部审计部门的工作进行监督和指导。 </w:t>
      </w:r>
      <w:r>
        <w:rPr>
          <w:spacing w:val="-2"/>
        </w:rPr>
        <w:t>在</w:t>
      </w:r>
      <w:r>
        <w:rPr>
          <w:rFonts w:ascii="Times New Roman" w:hAnsi="Times New Roman" w:cs="Times New Roman" w:eastAsia="Times New Roman" w:hint="default"/>
          <w:spacing w:val="-2"/>
        </w:rPr>
        <w:t>2017</w:t>
      </w:r>
      <w:r>
        <w:rPr>
          <w:spacing w:val="-2"/>
        </w:rPr>
        <w:t>年年报编制和审计过程中，审计委员会与审计机构沟通确定了年度财务报告审计工作的时间安排，对公司的财务报表</w:t>
      </w:r>
      <w:r>
        <w:rPr>
          <w:spacing w:val="-60"/>
        </w:rPr>
        <w:t> </w:t>
      </w:r>
      <w:r>
        <w:rPr>
          <w:spacing w:val="-60"/>
        </w:rPr>
      </w:r>
      <w:r>
        <w:rPr>
          <w:spacing w:val="-2"/>
        </w:rPr>
        <w:t>进行了审计并形成了内部审计书面报告。报告期内，审计委员会就续聘会计师事务所、关联交易等事项进行审查并评议，形</w:t>
      </w:r>
      <w:r>
        <w:rPr>
          <w:spacing w:val="-66"/>
        </w:rPr>
        <w:t> </w:t>
      </w:r>
      <w:r>
        <w:rPr>
          <w:spacing w:val="-66"/>
        </w:rPr>
      </w:r>
      <w:r>
        <w:rPr/>
        <w:t>成决议并提交董事会审议。 </w:t>
      </w:r>
      <w:r>
        <w:rPr>
          <w:rFonts w:ascii="Times New Roman" w:hAnsi="Times New Roman" w:cs="Times New Roman" w:eastAsia="Times New Roman" w:hint="default"/>
        </w:rPr>
        <w:t>4</w:t>
      </w:r>
      <w:r>
        <w:rPr/>
        <w:t>、薪酬与考核委员会履职情况：报告期内，薪酬与考核委员会审查公司董事（非独立董事）及高级管理人员的履职情况并</w:t>
      </w:r>
      <w:r>
        <w:rPr>
          <w:spacing w:val="-83"/>
        </w:rPr>
        <w:t> </w:t>
      </w:r>
      <w:r>
        <w:rPr>
          <w:spacing w:val="-83"/>
        </w:rPr>
      </w:r>
      <w:r>
        <w:rPr>
          <w:spacing w:val="-4"/>
        </w:rPr>
        <w:t>对其进行年度绩效考评，同时，对公司薪酬制度执行情况予以监督；拟订公司</w:t>
      </w:r>
      <w:r>
        <w:rPr>
          <w:rFonts w:ascii="Times New Roman" w:hAnsi="Times New Roman" w:cs="Times New Roman" w:eastAsia="Times New Roman" w:hint="default"/>
          <w:spacing w:val="-4"/>
        </w:rPr>
        <w:t>2017</w:t>
      </w:r>
      <w:r>
        <w:rPr>
          <w:spacing w:val="-4"/>
        </w:rPr>
        <w:t>年股票期权激励计划草案并报董事会审议。</w:t>
      </w:r>
    </w:p>
    <w:p>
      <w:pPr>
        <w:spacing w:line="240" w:lineRule="auto" w:before="9"/>
        <w:rPr>
          <w:rFonts w:ascii="宋体" w:hAnsi="宋体" w:cs="宋体" w:eastAsia="宋体" w:hint="default"/>
          <w:sz w:val="19"/>
          <w:szCs w:val="19"/>
        </w:rPr>
      </w:pPr>
    </w:p>
    <w:p>
      <w:pPr>
        <w:pStyle w:val="Heading2"/>
        <w:spacing w:line="240" w:lineRule="auto"/>
        <w:ind w:left="1134" w:right="0"/>
        <w:jc w:val="left"/>
        <w:rPr>
          <w:b w:val="0"/>
          <w:bCs w:val="0"/>
        </w:rPr>
      </w:pPr>
      <w:bookmarkStart w:name="七、监事会工作情况" w:id="151"/>
      <w:bookmarkEnd w:id="15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监事会在报告期内的监督活动中发现公司是否存在风险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高级管理人员的考评及激励情况" w:id="152"/>
      <w:bookmarkEnd w:id="15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jc w:val="both"/>
      </w:pPr>
      <w:r>
        <w:rPr>
          <w:spacing w:val="-2"/>
        </w:rPr>
        <w:t>公司高级管理人员的薪资由基本薪酬和绩效奖金构成，基本薪酬参考市场同类薪酬标准，结合考虑职位、责任、能力等因素</w:t>
      </w:r>
      <w:r>
        <w:rPr>
          <w:spacing w:val="-66"/>
        </w:rPr>
        <w:t> </w:t>
      </w:r>
      <w:r>
        <w:rPr>
          <w:spacing w:val="-66"/>
        </w:rPr>
      </w:r>
      <w:r>
        <w:rPr>
          <w:spacing w:val="-3"/>
        </w:rPr>
        <w:t>确定，基本薪酬按月平均发放。绩效奖金根据《公司</w:t>
      </w:r>
      <w:r>
        <w:rPr>
          <w:spacing w:val="-2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spacing w:val="-5"/>
        </w:rPr>
        <w:t>年度经营业绩考核责任书》，结合年度绩效考核结果等确定。薪资</w:t>
      </w:r>
      <w:r>
        <w:rPr>
          <w:spacing w:val="-86"/>
        </w:rPr>
        <w:t> </w:t>
      </w:r>
      <w:r>
        <w:rPr>
          <w:spacing w:val="-86"/>
        </w:rPr>
      </w:r>
      <w:r>
        <w:rPr/>
        <w:t>水平与其承担责任、风险和经营业绩挂钩。</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3"/>
      <w:bookmarkEnd w:id="15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4"/>
      <w:bookmarkEnd w:id="15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55"/>
      <w:bookmarkEnd w:id="15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5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3"/>
              <w:ind w:left="22" w:right="48"/>
              <w:jc w:val="both"/>
              <w:rPr>
                <w:rFonts w:ascii="宋体" w:hAnsi="宋体" w:cs="宋体" w:eastAsia="宋体" w:hint="default"/>
                <w:sz w:val="18"/>
                <w:szCs w:val="18"/>
              </w:rPr>
            </w:pPr>
            <w:r>
              <w:rPr>
                <w:rFonts w:ascii="宋体" w:hAnsi="宋体" w:cs="宋体" w:eastAsia="宋体" w:hint="default"/>
                <w:sz w:val="18"/>
                <w:szCs w:val="18"/>
              </w:rPr>
              <w:t>财务报告定量标准以营业收入、资产总额 作为衡量指标。内部控制缺陷可能导致或 导致的损失与利润表相关的，以营业收入 指标衡量。如果该缺陷单独或连同其他缺</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42"/>
              <w:jc w:val="left"/>
              <w:rPr>
                <w:rFonts w:ascii="宋体" w:hAnsi="宋体" w:cs="宋体" w:eastAsia="宋体" w:hint="default"/>
                <w:sz w:val="18"/>
                <w:szCs w:val="18"/>
              </w:rPr>
            </w:pPr>
            <w:r>
              <w:rPr>
                <w:rFonts w:ascii="宋体" w:hAnsi="宋体" w:cs="宋体" w:eastAsia="宋体" w:hint="default"/>
                <w:spacing w:val="-4"/>
                <w:sz w:val="18"/>
                <w:szCs w:val="18"/>
              </w:rPr>
              <w:t>非财务报告定量标准以营业收入、资产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总额作为衡量指标。内部控制缺陷可能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导致或导致的损失与利润报表相关的， </w:t>
            </w:r>
            <w:r>
              <w:rPr>
                <w:rFonts w:ascii="宋体" w:hAnsi="宋体" w:cs="宋体" w:eastAsia="宋体" w:hint="default"/>
                <w:spacing w:val="-4"/>
                <w:sz w:val="18"/>
                <w:szCs w:val="18"/>
              </w:rPr>
              <w:t>以营业收入指标衡量。如果该缺陷单独</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5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陷可能导致的财务报告错报金额小于营业 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 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，则认定为重</w:t>
            </w:r>
            <w:r>
              <w:rPr>
                <w:rFonts w:ascii="宋体" w:hAnsi="宋体" w:cs="宋体" w:eastAsia="宋体" w:hint="default"/>
                <w:sz w:val="18"/>
                <w:szCs w:val="18"/>
              </w:rPr>
              <w:t> 要缺陷；如果超过营业收入的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 定为重大缺陷。内部控制缺陷可能导致或 导致的损失与资产管理相关的，以资产总 额指标衡量。如果该缺陷单独或连同其他 缺陷可能导致的财务报告错报金额小于资 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 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重要缺陷；如果超过资产总额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 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或连同其他缺陷可能导致的损失金额 小于营业收入的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，则认定为一般缺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则认定为重要缺陷；如果超过营业 收入的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，则认定为重大缺陷。内部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控制缺陷可能导致或导致的损失与资 产管理相关的，以资产总额指标衡量。 如果该缺陷单独或连同其他缺陷可能 导致的损失小于资产总额的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w:t>
            </w:r>
            <w:r>
              <w:rPr>
                <w:rFonts w:ascii="宋体" w:hAnsi="宋体" w:cs="宋体" w:eastAsia="宋体" w:hint="default"/>
                <w:sz w:val="18"/>
                <w:szCs w:val="18"/>
              </w:rPr>
              <w:t> 定为一般缺陷；如果超过资产总额的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 果超过资产总额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56"/>
      <w:bookmarkEnd w:id="15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十节 公司债券相关情况" w:id="157"/>
      <w:bookmarkEnd w:id="157"/>
      <w:r>
        <w:rPr>
          <w:b w:val="0"/>
          <w:bCs w:val="0"/>
        </w:rPr>
      </w:r>
      <w:bookmarkStart w:name="_bookmark8" w:id="158"/>
      <w:bookmarkEnd w:id="15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十一节 财务报告" w:id="159"/>
      <w:bookmarkEnd w:id="159"/>
      <w:r>
        <w:rPr>
          <w:b w:val="0"/>
          <w:bCs w:val="0"/>
        </w:rPr>
      </w:r>
      <w:bookmarkStart w:name="_bookmark9" w:id="160"/>
      <w:bookmarkEnd w:id="16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1"/>
      <w:bookmarkEnd w:id="16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33080010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65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谭争</w:t>
              <w:tab/>
              <w:t>许旭光</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65"/>
        <w:ind w:right="0"/>
        <w:jc w:val="left"/>
        <w:rPr>
          <w:b w:val="0"/>
          <w:bCs w:val="0"/>
        </w:rPr>
      </w:pPr>
      <w:r>
        <w:rPr>
          <w:w w:val="95"/>
        </w:rPr>
        <w:t>银江股份有限公司全体股东：</w:t>
      </w:r>
      <w:r>
        <w:rPr>
          <w:b w:val="0"/>
          <w:bCs w:val="0"/>
        </w:rPr>
      </w:r>
    </w:p>
    <w:p>
      <w:pPr>
        <w:pStyle w:val="BodyText"/>
        <w:spacing w:line="240" w:lineRule="auto" w:before="51"/>
        <w:ind w:right="-19"/>
        <w:jc w:val="left"/>
      </w:pPr>
      <w:r>
        <w:rPr/>
        <w:br w:type="column"/>
      </w:r>
      <w:r>
        <w:rPr/>
        <w:t>审计报告正文</w:t>
      </w:r>
    </w:p>
    <w:p>
      <w:pPr>
        <w:spacing w:line="240" w:lineRule="auto" w:before="10"/>
        <w:rPr>
          <w:rFonts w:ascii="宋体" w:hAnsi="宋体" w:cs="宋体" w:eastAsia="宋体" w:hint="default"/>
          <w:sz w:val="28"/>
          <w:szCs w:val="28"/>
        </w:rPr>
      </w:pPr>
      <w:r>
        <w:rPr/>
        <w:br w:type="column"/>
      </w:r>
      <w:r>
        <w:rPr>
          <w:rFonts w:ascii="宋体"/>
          <w:sz w:val="28"/>
        </w:rPr>
      </w:r>
    </w:p>
    <w:p>
      <w:pPr>
        <w:pStyle w:val="Heading5"/>
        <w:spacing w:line="240" w:lineRule="auto" w:before="0"/>
        <w:ind w:right="0"/>
        <w:jc w:val="left"/>
      </w:pPr>
      <w:r>
        <w:rPr/>
        <w:t>瑞华审字</w:t>
      </w:r>
      <w:r>
        <w:rPr>
          <w:rFonts w:ascii="宋体" w:hAnsi="宋体" w:cs="宋体" w:eastAsia="宋体" w:hint="default"/>
        </w:rPr>
        <w:t>[2018]33080010</w:t>
      </w:r>
      <w:r>
        <w:rPr/>
        <w:t>号</w:t>
      </w:r>
    </w:p>
    <w:p>
      <w:pPr>
        <w:spacing w:after="0" w:line="240" w:lineRule="auto"/>
        <w:jc w:val="left"/>
        <w:sectPr>
          <w:type w:val="continuous"/>
          <w:pgSz w:w="11910" w:h="16840"/>
          <w:pgMar w:top="1060" w:bottom="1160" w:left="0" w:right="0"/>
          <w:cols w:num="3" w:equalWidth="0">
            <w:col w:w="3873" w:space="407"/>
            <w:col w:w="2215" w:space="601"/>
            <w:col w:w="4814"/>
          </w:cols>
        </w:sectPr>
      </w:pPr>
    </w:p>
    <w:p>
      <w:pPr>
        <w:spacing w:line="240" w:lineRule="auto" w:before="13"/>
        <w:rPr>
          <w:rFonts w:ascii="宋体" w:hAnsi="宋体" w:cs="宋体" w:eastAsia="宋体" w:hint="default"/>
          <w:sz w:val="23"/>
          <w:szCs w:val="23"/>
        </w:rPr>
      </w:pPr>
    </w:p>
    <w:p>
      <w:pPr>
        <w:pStyle w:val="Heading5"/>
        <w:spacing w:line="273" w:lineRule="auto" w:before="35"/>
        <w:ind w:left="1613" w:right="0"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我们审计了银江股份有限公司（以下简称</w:t>
      </w:r>
      <w:r>
        <w:rPr>
          <w:rFonts w:ascii="Times New Roman" w:hAnsi="Times New Roman" w:cs="Times New Roman" w:eastAsia="Times New Roman" w:hint="default"/>
          <w:spacing w:val="-2"/>
        </w:rPr>
        <w:t>“</w:t>
      </w:r>
      <w:r>
        <w:rPr>
          <w:spacing w:val="-2"/>
        </w:rPr>
        <w:t>银江公司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w:t>
      </w:r>
    </w:p>
    <w:p>
      <w:pPr>
        <w:pStyle w:val="Heading5"/>
        <w:spacing w:line="256" w:lineRule="auto" w:before="0"/>
        <w:ind w:right="0"/>
        <w:jc w:val="left"/>
      </w:pPr>
      <w:r>
        <w:rPr>
          <w:spacing w:val="-1"/>
        </w:rPr>
        <w:t>资产负债表，</w:t>
      </w:r>
      <w:r>
        <w:rPr>
          <w:rFonts w:ascii="Times New Roman" w:hAnsi="Times New Roman" w:cs="Times New Roman" w:eastAsia="Times New Roman" w:hint="default"/>
          <w:spacing w:val="-1"/>
        </w:rPr>
        <w:t>2017</w:t>
      </w:r>
      <w:r>
        <w:rPr>
          <w:spacing w:val="-1"/>
        </w:rPr>
        <w:t>年度的合并及公司利润表、合并及公司现金流量表、合并及公司股东权益变动表以及相</w:t>
      </w:r>
      <w:r>
        <w:rPr>
          <w:spacing w:val="-81"/>
        </w:rPr>
        <w:t> </w:t>
      </w:r>
      <w:r>
        <w:rPr>
          <w:spacing w:val="-81"/>
        </w:rPr>
      </w:r>
      <w:r>
        <w:rPr/>
        <w:t>关财务报表附注。</w:t>
      </w:r>
    </w:p>
    <w:p>
      <w:pPr>
        <w:pStyle w:val="Heading5"/>
        <w:spacing w:line="256" w:lineRule="auto" w:before="22"/>
        <w:ind w:right="1125" w:firstLine="480"/>
        <w:jc w:val="left"/>
      </w:pPr>
      <w:r>
        <w:rPr>
          <w:spacing w:val="-2"/>
        </w:rPr>
        <w:t>我们认为，后附的财务报表在所有重大方面按照企业会计准则的规定编制，公允反映了银江公司</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2017</w:t>
      </w:r>
      <w:r>
        <w:rPr/>
        <w:t>年度合并及公司的经营成果和现金流量。</w:t>
      </w:r>
    </w:p>
    <w:p>
      <w:pPr>
        <w:spacing w:line="240" w:lineRule="auto" w:before="3"/>
        <w:rPr>
          <w:rFonts w:ascii="宋体" w:hAnsi="宋体" w:cs="宋体" w:eastAsia="宋体" w:hint="default"/>
          <w:sz w:val="24"/>
          <w:szCs w:val="24"/>
        </w:rPr>
      </w:pPr>
    </w:p>
    <w:p>
      <w:pPr>
        <w:spacing w:line="273" w:lineRule="auto" w:before="0"/>
        <w:ind w:left="1613"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Heading5"/>
        <w:spacing w:line="264" w:lineRule="auto" w:before="0"/>
        <w:ind w:right="1133"/>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部分进一步阐述了我们在这些准则下的责任。按照中国注册会计师职业道德守则，我们独立于银</w:t>
      </w:r>
      <w:r>
        <w:rPr>
          <w:spacing w:val="-24"/>
        </w:rPr>
        <w:t> </w:t>
      </w:r>
      <w:r>
        <w:rPr>
          <w:spacing w:val="-24"/>
        </w:rPr>
      </w:r>
      <w:r>
        <w:rPr>
          <w:spacing w:val="-1"/>
        </w:rPr>
        <w:t>江公司，并履行了职业道德方面的其他责任。我们相信，我们获取的审计证据是充分、适当的，为发表审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1"/>
        <w:rPr>
          <w:rFonts w:ascii="宋体" w:hAnsi="宋体" w:cs="宋体" w:eastAsia="宋体" w:hint="default"/>
          <w:sz w:val="25"/>
          <w:szCs w:val="25"/>
        </w:rPr>
      </w:pPr>
    </w:p>
    <w:p>
      <w:pPr>
        <w:pStyle w:val="Heading5"/>
        <w:spacing w:line="273" w:lineRule="auto" w:before="0"/>
        <w:ind w:left="1613" w:right="0" w:firstLine="2"/>
        <w:jc w:val="left"/>
      </w:pPr>
      <w:r>
        <w:rPr>
          <w:rFonts w:ascii="宋体" w:hAnsi="宋体" w:cs="宋体" w:eastAsia="宋体" w:hint="default"/>
          <w:b/>
          <w:bCs/>
        </w:rPr>
        <w:t>三、强调事项</w:t>
      </w:r>
      <w:r>
        <w:rPr>
          <w:rFonts w:ascii="宋体" w:hAnsi="宋体" w:cs="宋体" w:eastAsia="宋体" w:hint="default"/>
          <w:b/>
          <w:bCs/>
          <w:w w:val="99"/>
        </w:rPr>
        <w:t> </w:t>
      </w:r>
      <w:r>
        <w:rPr/>
        <w:t>我们提醒财务报表使用者关注，如财务报表附注十三、</w:t>
      </w:r>
      <w:r>
        <w:rPr>
          <w:rFonts w:ascii="Times New Roman" w:hAnsi="Times New Roman" w:cs="Times New Roman" w:eastAsia="Times New Roman" w:hint="default"/>
        </w:rPr>
        <w:t>2</w:t>
      </w:r>
      <w:r>
        <w:rPr/>
        <w:t>所述，因收购标的北京亚太安讯科技有限责</w:t>
      </w:r>
    </w:p>
    <w:p>
      <w:pPr>
        <w:pStyle w:val="Heading5"/>
        <w:spacing w:line="271" w:lineRule="auto" w:before="0"/>
        <w:ind w:right="1024"/>
        <w:jc w:val="left"/>
      </w:pPr>
      <w:r>
        <w:rPr/>
        <w:t>任公司</w:t>
      </w:r>
      <w:r>
        <w:rPr>
          <w:rFonts w:ascii="Times New Roman" w:hAnsi="Times New Roman" w:cs="Times New Roman" w:eastAsia="Times New Roman" w:hint="default"/>
        </w:rPr>
        <w:t>2015</w:t>
      </w:r>
      <w:r>
        <w:rPr/>
        <w:t>年度未完成业绩承诺，李欣应向银江公司补偿其持有的</w:t>
      </w:r>
      <w:r>
        <w:rPr>
          <w:rFonts w:ascii="Times New Roman" w:hAnsi="Times New Roman" w:cs="Times New Roman" w:eastAsia="Times New Roman" w:hint="default"/>
        </w:rPr>
        <w:t>25,240,153</w:t>
      </w:r>
      <w:r>
        <w:rPr/>
        <w:t>股银江公司股票，因李欣已</w:t>
      </w:r>
      <w:r>
        <w:rPr>
          <w:spacing w:val="-28"/>
        </w:rPr>
        <w:t> </w:t>
      </w:r>
      <w:r>
        <w:rPr>
          <w:spacing w:val="-28"/>
        </w:rPr>
      </w:r>
      <w:r>
        <w:rPr/>
        <w:t>将其所持银江公司股票质押给浙江浙商资产管理有限公司，导致其无法履行补偿义务。银江公司已将本事</w:t>
      </w:r>
      <w:r>
        <w:rPr/>
        <w:t> 项当事人李欣和本事项衍生案件当事人浙江浙商资产管理有限公司共同诉至浙江省高级人民法院。截至本 报告日，上述案件均已经终审判决，但在判决生效执行阶段又因为李欣提起新的民事诉讼及限售股需要履 </w:t>
      </w:r>
      <w:r>
        <w:rPr>
          <w:spacing w:val="-3"/>
        </w:rPr>
        <w:t>行解禁、评估等一系列复杂程序导致目前案件涉及的银江公司股票回购仍未执行，此执行结果的不确定性，</w:t>
      </w:r>
      <w:r>
        <w:rPr>
          <w:spacing w:val="-92"/>
        </w:rPr>
        <w:t> </w:t>
      </w:r>
      <w:r>
        <w:rPr>
          <w:spacing w:val="-92"/>
        </w:rPr>
      </w:r>
      <w:r>
        <w:rPr/>
        <w:t>导致银江公司尚无法合理估计该事项对公司财务状况和经营成果的潜在影响，该事项的最终结果仍存在重</w:t>
      </w:r>
      <w:r>
        <w:rPr/>
        <w:t> 大不确定性。本段内容不影响已发表的审计意见。</w:t>
      </w:r>
    </w:p>
    <w:p>
      <w:pPr>
        <w:spacing w:line="240" w:lineRule="auto" w:before="8"/>
        <w:rPr>
          <w:rFonts w:ascii="宋体" w:hAnsi="宋体" w:cs="宋体" w:eastAsia="宋体" w:hint="default"/>
          <w:sz w:val="24"/>
          <w:szCs w:val="24"/>
        </w:rPr>
      </w:pPr>
    </w:p>
    <w:p>
      <w:pPr>
        <w:pStyle w:val="Heading5"/>
        <w:spacing w:line="273" w:lineRule="auto" w:before="0"/>
        <w:ind w:left="1613" w:right="1121" w:firstLine="2"/>
        <w:jc w:val="left"/>
      </w:pPr>
      <w:r>
        <w:rPr>
          <w:rFonts w:ascii="宋体" w:hAnsi="宋体" w:cs="宋体" w:eastAsia="宋体" w:hint="default"/>
          <w:b/>
          <w:bCs/>
        </w:rPr>
        <w:t>四、关键审计事项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w:t>
      </w:r>
    </w:p>
    <w:p>
      <w:pPr>
        <w:pStyle w:val="Heading5"/>
        <w:spacing w:line="273" w:lineRule="auto"/>
        <w:ind w:right="0"/>
        <w:jc w:val="left"/>
      </w:pP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spacing w:after="0" w:line="273"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616" w:right="0"/>
        <w:jc w:val="left"/>
        <w:rPr>
          <w:b w:val="0"/>
          <w:bCs w:val="0"/>
        </w:rPr>
      </w:pPr>
      <w:r>
        <w:rPr/>
        <w:t>（一）建造合同收入确认</w:t>
      </w:r>
      <w:r>
        <w:rPr>
          <w:b w:val="0"/>
          <w:bCs w:val="0"/>
        </w:rPr>
      </w:r>
    </w:p>
    <w:p>
      <w:pPr>
        <w:pStyle w:val="Heading5"/>
        <w:spacing w:line="256" w:lineRule="auto" w:before="37"/>
        <w:ind w:left="1613"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如财务报表附注（四）、</w:t>
      </w:r>
      <w:r>
        <w:rPr>
          <w:rFonts w:ascii="Times New Roman" w:hAnsi="Times New Roman" w:cs="Times New Roman" w:eastAsia="Times New Roman" w:hint="default"/>
        </w:rPr>
        <w:t>23</w:t>
      </w:r>
      <w:r>
        <w:rPr/>
        <w:t>（</w:t>
      </w:r>
      <w:r>
        <w:rPr>
          <w:rFonts w:ascii="Times New Roman" w:hAnsi="Times New Roman" w:cs="Times New Roman" w:eastAsia="Times New Roman" w:hint="default"/>
        </w:rPr>
        <w:t>3</w:t>
      </w:r>
      <w:r>
        <w:rPr/>
        <w:t>）所示，银江公司对于所提供的建造服务，在建造合同的结果能够可</w:t>
      </w:r>
    </w:p>
    <w:p>
      <w:pPr>
        <w:pStyle w:val="Heading5"/>
        <w:spacing w:line="273" w:lineRule="auto" w:before="5"/>
        <w:ind w:left="1134" w:right="1131"/>
        <w:jc w:val="both"/>
      </w:pPr>
      <w:r>
        <w:rPr>
          <w:spacing w:val="-1"/>
        </w:rPr>
        <w:t>靠估计时，按照完工百分比法确认收入。管理层需要在初始对建造合同的合同总收入和合同总成本作出合</w:t>
      </w:r>
      <w:r>
        <w:rPr>
          <w:spacing w:val="-81"/>
        </w:rPr>
        <w:t> </w:t>
      </w:r>
      <w:r>
        <w:rPr>
          <w:spacing w:val="-81"/>
        </w:rPr>
      </w:r>
      <w:r>
        <w:rPr>
          <w:spacing w:val="-1"/>
        </w:rPr>
        <w:t>理估计，并于合同执行过程中持续评估和修订，涉及管理层的重大会计估计，因此我们将建造合同收入确</w:t>
      </w:r>
      <w:r>
        <w:rPr>
          <w:spacing w:val="-83"/>
        </w:rPr>
        <w:t> </w:t>
      </w:r>
      <w:r>
        <w:rPr>
          <w:spacing w:val="-83"/>
        </w:rPr>
      </w:r>
      <w:r>
        <w:rPr/>
        <w:t>认认定为关键审计事项。</w:t>
      </w:r>
    </w:p>
    <w:p>
      <w:pPr>
        <w:spacing w:line="256" w:lineRule="auto" w:before="7"/>
        <w:ind w:left="1614" w:right="523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我们针对建造合同收入确认执行的审计程序主要包括：</w:t>
      </w:r>
    </w:p>
    <w:p>
      <w:pPr>
        <w:pStyle w:val="Heading5"/>
        <w:spacing w:line="240" w:lineRule="auto" w:before="22"/>
        <w:ind w:left="1614" w:right="0"/>
        <w:jc w:val="left"/>
      </w:pPr>
      <w:r>
        <w:rPr/>
        <w:t>（</w:t>
      </w:r>
      <w:r>
        <w:rPr>
          <w:rFonts w:ascii="Times New Roman" w:hAnsi="Times New Roman" w:cs="Times New Roman" w:eastAsia="Times New Roman" w:hint="default"/>
        </w:rPr>
        <w:t>1</w:t>
      </w:r>
      <w:r>
        <w:rPr/>
        <w:t>）测试与建造合同预算编制和收入确认相关的关键内部控制；</w:t>
      </w:r>
    </w:p>
    <w:p>
      <w:pPr>
        <w:pStyle w:val="Heading5"/>
        <w:spacing w:line="240" w:lineRule="auto" w:before="21"/>
        <w:ind w:left="1613" w:right="0"/>
        <w:jc w:val="left"/>
      </w:pPr>
      <w:r>
        <w:rPr/>
        <w:t>（</w:t>
      </w:r>
      <w:r>
        <w:rPr>
          <w:rFonts w:ascii="Times New Roman" w:hAnsi="Times New Roman" w:cs="Times New Roman" w:eastAsia="Times New Roman" w:hint="default"/>
        </w:rPr>
        <w:t>2</w:t>
      </w:r>
      <w:r>
        <w:rPr/>
        <w:t>）获取建造合同信息表，重新计算建造合同信息表中的建造合同完工百分比，以验证其准确性；</w:t>
      </w:r>
    </w:p>
    <w:p>
      <w:pPr>
        <w:pStyle w:val="Heading5"/>
        <w:spacing w:line="256" w:lineRule="auto" w:before="21"/>
        <w:ind w:left="1134" w:right="0" w:firstLine="480"/>
        <w:jc w:val="left"/>
      </w:pPr>
      <w:r>
        <w:rPr/>
        <w:t>（</w:t>
      </w:r>
      <w:r>
        <w:rPr>
          <w:rFonts w:ascii="Times New Roman" w:hAnsi="Times New Roman" w:cs="Times New Roman" w:eastAsia="Times New Roman" w:hint="default"/>
        </w:rPr>
        <w:t>3</w:t>
      </w:r>
      <w:r>
        <w:rPr/>
        <w:t>）选取建造合同样本，检查管理层预计总收入和预计总成本所依据的建造合同和成本预算资料， 评价管理层所作估计是否合理、依据是否充分；</w:t>
      </w:r>
    </w:p>
    <w:p>
      <w:pPr>
        <w:pStyle w:val="Heading5"/>
        <w:spacing w:line="240" w:lineRule="auto" w:before="22"/>
        <w:ind w:left="1614" w:right="0"/>
        <w:jc w:val="left"/>
      </w:pPr>
      <w:r>
        <w:rPr/>
        <w:t>（</w:t>
      </w:r>
      <w:r>
        <w:rPr>
          <w:rFonts w:ascii="Times New Roman" w:hAnsi="Times New Roman" w:cs="Times New Roman" w:eastAsia="Times New Roman" w:hint="default"/>
        </w:rPr>
        <w:t>4</w:t>
      </w:r>
      <w:r>
        <w:rPr/>
        <w:t>）选取样本对本年度发生的工程施工成本进行测算；</w:t>
      </w:r>
    </w:p>
    <w:p>
      <w:pPr>
        <w:pStyle w:val="Heading5"/>
        <w:spacing w:line="256" w:lineRule="auto" w:before="21"/>
        <w:ind w:left="1134" w:right="1017" w:firstLine="480"/>
        <w:jc w:val="left"/>
      </w:pPr>
      <w:r>
        <w:rPr>
          <w:spacing w:val="-2"/>
        </w:rPr>
        <w:t>（</w:t>
      </w:r>
      <w:r>
        <w:rPr>
          <w:rFonts w:ascii="Times New Roman" w:hAnsi="Times New Roman" w:cs="Times New Roman" w:eastAsia="Times New Roman" w:hint="default"/>
          <w:spacing w:val="-2"/>
        </w:rPr>
        <w:t>5</w:t>
      </w:r>
      <w:r>
        <w:rPr>
          <w:spacing w:val="-2"/>
        </w:rPr>
        <w:t>）选取建造合同样本，对工程形象进度进行现场查看，与工程管理部门讨论确认工程的完工进度，</w:t>
      </w:r>
      <w:r>
        <w:rPr/>
        <w:t> 并结合业主认可的进度，对建造合同信息表中的进度进行复核。</w:t>
      </w:r>
    </w:p>
    <w:p>
      <w:pPr>
        <w:spacing w:line="240" w:lineRule="auto" w:before="7"/>
        <w:rPr>
          <w:rFonts w:ascii="宋体" w:hAnsi="宋体" w:cs="宋体" w:eastAsia="宋体" w:hint="default"/>
          <w:sz w:val="25"/>
          <w:szCs w:val="25"/>
        </w:rPr>
      </w:pPr>
    </w:p>
    <w:p>
      <w:pPr>
        <w:pStyle w:val="Heading4"/>
        <w:spacing w:line="240" w:lineRule="auto"/>
        <w:ind w:left="1616" w:right="0"/>
        <w:jc w:val="left"/>
        <w:rPr>
          <w:b w:val="0"/>
          <w:bCs w:val="0"/>
        </w:rPr>
      </w:pPr>
      <w:r>
        <w:rPr/>
        <w:t>（二）应收账款坏账准备</w:t>
      </w:r>
      <w:r>
        <w:rPr>
          <w:b w:val="0"/>
          <w:bCs w:val="0"/>
        </w:rPr>
      </w:r>
    </w:p>
    <w:p>
      <w:pPr>
        <w:pStyle w:val="Heading4"/>
        <w:spacing w:line="240" w:lineRule="auto" w:before="37"/>
        <w:ind w:left="1616" w:right="0"/>
        <w:jc w:val="left"/>
        <w:rPr>
          <w:b w:val="0"/>
          <w:bCs w:val="0"/>
        </w:rPr>
      </w:pPr>
      <w:r>
        <w:rPr>
          <w:rFonts w:ascii="Times New Roman" w:hAnsi="Times New Roman" w:cs="Times New Roman" w:eastAsia="Times New Roman" w:hint="default"/>
        </w:rPr>
        <w:t>1</w:t>
      </w:r>
      <w:r>
        <w:rPr/>
        <w:t>、事项描述</w:t>
      </w:r>
      <w:r>
        <w:rPr>
          <w:b w:val="0"/>
          <w:bCs w:val="0"/>
        </w:rPr>
      </w:r>
    </w:p>
    <w:p>
      <w:pPr>
        <w:pStyle w:val="Heading5"/>
        <w:spacing w:line="240" w:lineRule="auto" w:before="21"/>
        <w:ind w:left="1614" w:right="0"/>
        <w:jc w:val="left"/>
      </w:pPr>
      <w:r>
        <w:rPr>
          <w:spacing w:val="15"/>
        </w:rPr>
        <w:t>截至</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74"/>
        </w:rPr>
        <w:t> </w:t>
      </w:r>
      <w:r>
        <w:rPr/>
        <w:t>，</w:t>
      </w:r>
      <w:r>
        <w:rPr>
          <w:spacing w:val="-76"/>
        </w:rPr>
        <w:t> </w:t>
      </w:r>
      <w:r>
        <w:rPr/>
        <w:t>银</w:t>
      </w:r>
      <w:r>
        <w:rPr>
          <w:spacing w:val="-74"/>
        </w:rPr>
        <w:t> </w:t>
      </w:r>
      <w:r>
        <w:rPr/>
        <w:t>江</w:t>
      </w:r>
      <w:r>
        <w:rPr>
          <w:spacing w:val="-74"/>
        </w:rPr>
        <w:t> </w:t>
      </w:r>
      <w:r>
        <w:rPr/>
        <w:t>公</w:t>
      </w:r>
      <w:r>
        <w:rPr>
          <w:spacing w:val="-74"/>
        </w:rPr>
        <w:t> </w:t>
      </w:r>
      <w:r>
        <w:rPr/>
        <w:t>司</w:t>
      </w:r>
      <w:r>
        <w:rPr>
          <w:spacing w:val="-74"/>
        </w:rPr>
        <w:t> </w:t>
      </w:r>
      <w:r>
        <w:rPr/>
        <w:t>合</w:t>
      </w:r>
      <w:r>
        <w:rPr>
          <w:spacing w:val="-74"/>
        </w:rPr>
        <w:t> </w:t>
      </w:r>
      <w:r>
        <w:rPr/>
        <w:t>并</w:t>
      </w:r>
      <w:r>
        <w:rPr>
          <w:spacing w:val="-74"/>
        </w:rPr>
        <w:t> </w:t>
      </w:r>
      <w:r>
        <w:rPr/>
        <w:t>口</w:t>
      </w:r>
      <w:r>
        <w:rPr>
          <w:spacing w:val="-74"/>
        </w:rPr>
        <w:t> </w:t>
      </w:r>
      <w:r>
        <w:rPr/>
        <w:t>径</w:t>
      </w:r>
      <w:r>
        <w:rPr>
          <w:spacing w:val="-74"/>
        </w:rPr>
        <w:t> </w:t>
      </w:r>
      <w:r>
        <w:rPr/>
        <w:t>应</w:t>
      </w:r>
      <w:r>
        <w:rPr>
          <w:spacing w:val="-74"/>
        </w:rPr>
        <w:t> </w:t>
      </w:r>
      <w:r>
        <w:rPr/>
        <w:t>收</w:t>
      </w:r>
      <w:r>
        <w:rPr>
          <w:spacing w:val="-74"/>
        </w:rPr>
        <w:t> </w:t>
      </w:r>
      <w:r>
        <w:rPr/>
        <w:t>账</w:t>
      </w:r>
      <w:r>
        <w:rPr>
          <w:spacing w:val="-74"/>
        </w:rPr>
        <w:t> </w:t>
      </w:r>
      <w:r>
        <w:rPr/>
        <w:t>款</w:t>
      </w:r>
      <w:r>
        <w:rPr>
          <w:spacing w:val="-74"/>
        </w:rPr>
        <w:t> </w:t>
      </w:r>
      <w:r>
        <w:rPr/>
        <w:t>余</w:t>
      </w:r>
      <w:r>
        <w:rPr>
          <w:spacing w:val="-74"/>
        </w:rPr>
        <w:t> </w:t>
      </w:r>
      <w:r>
        <w:rPr/>
        <w:t>额</w:t>
      </w:r>
      <w:r>
        <w:rPr>
          <w:spacing w:val="-72"/>
        </w:rPr>
        <w:t> </w:t>
      </w:r>
      <w:r>
        <w:rPr>
          <w:rFonts w:ascii="Times New Roman" w:hAnsi="Times New Roman" w:cs="Times New Roman" w:eastAsia="Times New Roman" w:hint="default"/>
        </w:rPr>
        <w:t>1,317,783,625.76</w:t>
      </w:r>
      <w:r>
        <w:rPr>
          <w:rFonts w:ascii="Times New Roman" w:hAnsi="Times New Roman" w:cs="Times New Roman" w:eastAsia="Times New Roman" w:hint="default"/>
          <w:spacing w:val="-21"/>
        </w:rPr>
        <w:t> </w:t>
      </w:r>
      <w:r>
        <w:rPr>
          <w:spacing w:val="27"/>
        </w:rPr>
        <w:t>元，坏账准备余额</w:t>
      </w:r>
      <w:r>
        <w:rPr>
          <w:spacing w:val="-74"/>
        </w:rPr>
        <w:t> </w:t>
      </w:r>
      <w:r>
        <w:rPr/>
      </w:r>
    </w:p>
    <w:p>
      <w:pPr>
        <w:pStyle w:val="Heading5"/>
        <w:spacing w:line="256" w:lineRule="auto" w:before="21"/>
        <w:ind w:left="1613" w:right="0" w:hanging="480"/>
        <w:jc w:val="left"/>
      </w:pPr>
      <w:r>
        <w:rPr>
          <w:rFonts w:ascii="Times New Roman" w:hAnsi="Times New Roman" w:cs="Times New Roman" w:eastAsia="Times New Roman" w:hint="default"/>
        </w:rPr>
        <w:t>285,999,286.59</w:t>
      </w:r>
      <w:r>
        <w:rPr/>
        <w:t>元，应收账款的账面价值为</w:t>
      </w:r>
      <w:r>
        <w:rPr>
          <w:rFonts w:ascii="Times New Roman" w:hAnsi="Times New Roman" w:cs="Times New Roman" w:eastAsia="Times New Roman" w:hint="default"/>
        </w:rPr>
        <w:t>1,031,784,339.17</w:t>
      </w:r>
      <w:r>
        <w:rPr/>
        <w:t>元。 </w:t>
      </w:r>
      <w:r>
        <w:rPr>
          <w:spacing w:val="2"/>
        </w:rPr>
        <w:t>银江公司管理层基于以前年度与之具有类似信用风险特征的应收款项组合的实际损失情况及账龄分</w:t>
      </w:r>
    </w:p>
    <w:p>
      <w:pPr>
        <w:pStyle w:val="Heading5"/>
        <w:spacing w:line="273" w:lineRule="auto" w:before="22"/>
        <w:ind w:left="1613" w:right="0" w:hanging="480"/>
        <w:jc w:val="left"/>
      </w:pPr>
      <w:r>
        <w:rPr/>
        <w:t>析为基础，结合现时情况确定应计提的坏账准备，管理层对于应收账款坏账准备估计基于综合判断。 </w:t>
      </w:r>
      <w:r>
        <w:rPr>
          <w:spacing w:val="2"/>
        </w:rPr>
        <w:t>由于银江公司财务报表的应收账款账面余额重大且坏账准备的评估涉及管理层的专业判断和会计估</w:t>
      </w:r>
    </w:p>
    <w:p>
      <w:pPr>
        <w:pStyle w:val="Heading5"/>
        <w:spacing w:line="240" w:lineRule="auto"/>
        <w:ind w:right="0"/>
        <w:jc w:val="left"/>
      </w:pPr>
      <w:r>
        <w:rPr/>
        <w:t>计，因此我们将其确定为关键审计事项。相关信息披露详见财务报表附注四、</w:t>
      </w:r>
      <w:r>
        <w:rPr>
          <w:rFonts w:ascii="Times New Roman" w:hAnsi="Times New Roman" w:cs="Times New Roman" w:eastAsia="Times New Roman" w:hint="default"/>
        </w:rPr>
        <w:t>10</w:t>
      </w:r>
      <w:r>
        <w:rPr/>
        <w:t>及附注六、</w:t>
      </w:r>
      <w:r>
        <w:rPr>
          <w:rFonts w:ascii="Times New Roman" w:hAnsi="Times New Roman" w:cs="Times New Roman" w:eastAsia="Times New Roman" w:hint="default"/>
        </w:rPr>
        <w:t>3</w:t>
      </w:r>
      <w:r>
        <w:rPr/>
        <w:t>。</w:t>
      </w:r>
    </w:p>
    <w:p>
      <w:pPr>
        <w:pStyle w:val="Heading4"/>
        <w:spacing w:line="240" w:lineRule="auto" w:before="21"/>
        <w:ind w:left="1616" w:right="0"/>
        <w:jc w:val="left"/>
        <w:rPr>
          <w:b w:val="0"/>
          <w:bCs w:val="0"/>
        </w:rPr>
      </w:pPr>
      <w:r>
        <w:rPr>
          <w:rFonts w:ascii="Times New Roman" w:hAnsi="Times New Roman" w:cs="Times New Roman" w:eastAsia="Times New Roman" w:hint="default"/>
        </w:rPr>
        <w:t>2</w:t>
      </w:r>
      <w:r>
        <w:rPr/>
        <w:t>、审计应对</w:t>
      </w:r>
      <w:r>
        <w:rPr>
          <w:b w:val="0"/>
          <w:bCs w:val="0"/>
        </w:rPr>
      </w:r>
    </w:p>
    <w:p>
      <w:pPr>
        <w:pStyle w:val="Heading5"/>
        <w:spacing w:line="256" w:lineRule="auto" w:before="21"/>
        <w:ind w:right="1118" w:firstLine="480"/>
        <w:jc w:val="left"/>
      </w:pPr>
      <w:r>
        <w:rPr/>
        <w:t>（</w:t>
      </w:r>
      <w:r>
        <w:rPr>
          <w:rFonts w:ascii="Times New Roman" w:hAnsi="Times New Roman" w:cs="Times New Roman" w:eastAsia="Times New Roman" w:hint="default"/>
        </w:rPr>
        <w:t>1</w:t>
      </w:r>
      <w:r>
        <w:rPr/>
        <w:t>）了解和评估管理层关于应收账款、应收账款回收和评估应收账款坏账准备相关的关键财务报告 内部控制；</w:t>
      </w:r>
    </w:p>
    <w:p>
      <w:pPr>
        <w:pStyle w:val="Heading5"/>
        <w:spacing w:line="256" w:lineRule="auto" w:before="22"/>
        <w:ind w:left="1134" w:right="1017" w:firstLine="480"/>
        <w:jc w:val="left"/>
      </w:pPr>
      <w:r>
        <w:rPr>
          <w:spacing w:val="-2"/>
        </w:rPr>
        <w:t>（</w:t>
      </w:r>
      <w:r>
        <w:rPr>
          <w:rFonts w:ascii="Times New Roman" w:hAnsi="Times New Roman" w:cs="Times New Roman" w:eastAsia="Times New Roman" w:hint="default"/>
          <w:spacing w:val="-2"/>
        </w:rPr>
        <w:t>2</w:t>
      </w:r>
      <w:r>
        <w:rPr>
          <w:spacing w:val="-2"/>
        </w:rPr>
        <w:t>）对于单项金额重大的应收账款，我们抽样复核了管理层评估可收回金额的相关考虑及客观证据，</w:t>
      </w:r>
      <w:r>
        <w:rPr/>
        <w:t> 包括管理层结合客户经营状况、市场环境、历史还款情况等对客户信用风险作出的评估；</w:t>
      </w:r>
    </w:p>
    <w:p>
      <w:pPr>
        <w:pStyle w:val="Heading5"/>
        <w:spacing w:line="256" w:lineRule="auto" w:before="22"/>
        <w:ind w:right="0" w:firstLine="480"/>
        <w:jc w:val="left"/>
      </w:pPr>
      <w:r>
        <w:rPr/>
        <w:t>（</w:t>
      </w:r>
      <w:r>
        <w:rPr>
          <w:rFonts w:ascii="Times New Roman" w:hAnsi="Times New Roman" w:cs="Times New Roman" w:eastAsia="Times New Roman" w:hint="default"/>
        </w:rPr>
        <w:t>3</w:t>
      </w:r>
      <w:r>
        <w:rPr/>
        <w:t>）对于按照信用风险特征组合计提坏账准备的应收账款，我们复核了管理层对于信用风险特征组 合的设定，并抽样复核了应收账款账龄；</w:t>
      </w:r>
    </w:p>
    <w:p>
      <w:pPr>
        <w:pStyle w:val="Heading5"/>
        <w:spacing w:line="256" w:lineRule="auto" w:before="22"/>
        <w:ind w:right="0" w:firstLine="480"/>
        <w:jc w:val="left"/>
      </w:pPr>
      <w:r>
        <w:rPr/>
        <w:t>（</w:t>
      </w:r>
      <w:r>
        <w:rPr>
          <w:rFonts w:ascii="Times New Roman" w:hAnsi="Times New Roman" w:cs="Times New Roman" w:eastAsia="Times New Roman" w:hint="default"/>
        </w:rPr>
        <w:t>4</w:t>
      </w:r>
      <w:r>
        <w:rPr/>
        <w:t>）获取银江公司坏账准备计提明细表，检查计提方法是否按照坏账政策执行；重新计算坏账准备 计提金额是否准确。</w:t>
      </w:r>
    </w:p>
    <w:p>
      <w:pPr>
        <w:pStyle w:val="Heading5"/>
        <w:spacing w:line="256" w:lineRule="auto" w:before="22"/>
        <w:ind w:right="0" w:firstLine="480"/>
        <w:jc w:val="left"/>
      </w:pPr>
      <w:r>
        <w:rPr/>
        <w:t>（</w:t>
      </w:r>
      <w:r>
        <w:rPr>
          <w:rFonts w:ascii="Times New Roman" w:hAnsi="Times New Roman" w:cs="Times New Roman" w:eastAsia="Times New Roman" w:hint="default"/>
        </w:rPr>
        <w:t>5</w:t>
      </w:r>
      <w:r>
        <w:rPr/>
        <w:t>）抽取样本对应收账款执行函证程序及资产负债表日后回款情况的检查，验证应收账款存在的合 理性、应收账款坏账准备计提的合理性。</w:t>
      </w:r>
    </w:p>
    <w:p>
      <w:pPr>
        <w:pStyle w:val="Heading4"/>
        <w:spacing w:line="240" w:lineRule="auto" w:before="22"/>
        <w:ind w:left="1616" w:right="0"/>
        <w:jc w:val="left"/>
        <w:rPr>
          <w:b w:val="0"/>
          <w:bCs w:val="0"/>
        </w:rPr>
      </w:pPr>
      <w:r>
        <w:rPr/>
        <w:t>（三）长期股权投资处置确认</w:t>
      </w:r>
      <w:r>
        <w:rPr>
          <w:b w:val="0"/>
          <w:bCs w:val="0"/>
        </w:rPr>
      </w:r>
    </w:p>
    <w:p>
      <w:pPr>
        <w:pStyle w:val="Heading5"/>
        <w:spacing w:line="256" w:lineRule="auto" w:before="37"/>
        <w:ind w:left="1613"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如财务报表附注七、</w:t>
      </w:r>
      <w:r>
        <w:rPr>
          <w:rFonts w:ascii="Times New Roman" w:hAnsi="Times New Roman" w:cs="Times New Roman" w:eastAsia="Times New Roman" w:hint="default"/>
          <w:spacing w:val="-2"/>
        </w:rPr>
        <w:t>4</w:t>
      </w:r>
      <w:r>
        <w:rPr>
          <w:spacing w:val="-2"/>
        </w:rPr>
        <w:t>所述，本期转让子公司北京亚太安讯科技有限责任公司</w:t>
      </w:r>
      <w:r>
        <w:rPr>
          <w:rFonts w:ascii="Times New Roman" w:hAnsi="Times New Roman" w:cs="Times New Roman" w:eastAsia="Times New Roman" w:hint="default"/>
          <w:spacing w:val="-2"/>
        </w:rPr>
        <w:t>100%</w:t>
      </w:r>
      <w:r>
        <w:rPr>
          <w:spacing w:val="-2"/>
        </w:rPr>
        <w:t>股权，股权转让款</w:t>
      </w:r>
    </w:p>
    <w:p>
      <w:pPr>
        <w:pStyle w:val="Heading5"/>
        <w:spacing w:line="240" w:lineRule="auto" w:before="5"/>
        <w:ind w:right="0"/>
        <w:jc w:val="left"/>
      </w:pPr>
      <w:r>
        <w:rPr/>
        <w:t>合计</w:t>
      </w:r>
      <w:r>
        <w:rPr>
          <w:rFonts w:ascii="Times New Roman" w:hAnsi="Times New Roman" w:cs="Times New Roman" w:eastAsia="Times New Roman" w:hint="default"/>
        </w:rPr>
        <w:t>27,000</w:t>
      </w:r>
      <w:r>
        <w:rPr/>
        <w:t>万元，对财务报表影响较为重大，为此我们确定该长期股权投资的处置为关键审计事项。</w:t>
      </w:r>
    </w:p>
    <w:p>
      <w:pPr>
        <w:spacing w:line="256" w:lineRule="auto" w:before="21"/>
        <w:ind w:left="1613" w:right="46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我们针对该长期股权投资处置确认执行的审计程序主要包括：</w:t>
      </w:r>
    </w:p>
    <w:p>
      <w:pPr>
        <w:pStyle w:val="Heading5"/>
        <w:spacing w:line="240" w:lineRule="auto" w:before="22"/>
        <w:ind w:left="1613" w:right="0"/>
        <w:jc w:val="left"/>
      </w:pPr>
      <w:r>
        <w:rPr/>
        <w:t>（</w:t>
      </w:r>
      <w:r>
        <w:rPr>
          <w:rFonts w:ascii="Times New Roman" w:hAnsi="Times New Roman" w:cs="Times New Roman" w:eastAsia="Times New Roman" w:hint="default"/>
        </w:rPr>
        <w:t>1</w:t>
      </w:r>
      <w:r>
        <w:rPr/>
        <w:t>）对银江公司股权投资相关的内部控制的设计合理性和运行有效性进行评估和测试；</w:t>
      </w:r>
    </w:p>
    <w:p>
      <w:pPr>
        <w:pStyle w:val="Heading5"/>
        <w:spacing w:line="256" w:lineRule="auto" w:before="21"/>
        <w:ind w:left="1134" w:right="0" w:firstLine="480"/>
        <w:jc w:val="left"/>
      </w:pPr>
      <w:r>
        <w:rPr/>
        <w:t>（</w:t>
      </w:r>
      <w:r>
        <w:rPr>
          <w:rFonts w:ascii="Times New Roman" w:hAnsi="Times New Roman" w:cs="Times New Roman" w:eastAsia="Times New Roman" w:hint="default"/>
        </w:rPr>
        <w:t>2</w:t>
      </w:r>
      <w:r>
        <w:rPr/>
        <w:t>）访谈股权受让方相关人员，了解其受让股权的商业目的、股权转让款的定价过程以及剩余股权 转让款的支付安排；</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6" w:lineRule="auto" w:before="35"/>
        <w:ind w:right="0" w:firstLine="480"/>
        <w:jc w:val="left"/>
      </w:pPr>
      <w:r>
        <w:rPr/>
        <w:t>（</w:t>
      </w:r>
      <w:r>
        <w:rPr>
          <w:rFonts w:ascii="Times New Roman" w:hAnsi="Times New Roman" w:cs="Times New Roman" w:eastAsia="Times New Roman" w:hint="default"/>
        </w:rPr>
        <w:t>3</w:t>
      </w:r>
      <w:r>
        <w:rPr/>
        <w:t>）访谈银江公司管理层，了解股权投资处置的原因，结合对公司经营状况和行业发展状况等方面 分析，评价股权投资处置的合理性；</w:t>
      </w:r>
    </w:p>
    <w:p>
      <w:pPr>
        <w:pStyle w:val="Heading5"/>
        <w:spacing w:line="256" w:lineRule="auto" w:before="22"/>
        <w:ind w:right="0" w:firstLine="480"/>
        <w:jc w:val="left"/>
      </w:pPr>
      <w:r>
        <w:rPr/>
        <w:t>（</w:t>
      </w:r>
      <w:r>
        <w:rPr>
          <w:rFonts w:ascii="Times New Roman" w:hAnsi="Times New Roman" w:cs="Times New Roman" w:eastAsia="Times New Roman" w:hint="default"/>
        </w:rPr>
        <w:t>4</w:t>
      </w:r>
      <w:r>
        <w:rPr/>
        <w:t>）检查与股权投资处置相关的董事会决议、股东大会决议、股权转让协议、资产评估报告、工商 变更登记资料、股权转让款支付单据等资料，复核股权投资处置的确认是否充分，确认时点是否准确。</w:t>
      </w:r>
    </w:p>
    <w:p>
      <w:pPr>
        <w:pStyle w:val="Heading5"/>
        <w:spacing w:line="240" w:lineRule="auto" w:before="23"/>
        <w:ind w:left="1613" w:right="0"/>
        <w:jc w:val="left"/>
      </w:pPr>
      <w:r>
        <w:rPr/>
        <w:t>（</w:t>
      </w:r>
      <w:r>
        <w:rPr>
          <w:rFonts w:ascii="Times New Roman" w:hAnsi="Times New Roman" w:cs="Times New Roman" w:eastAsia="Times New Roman" w:hint="default"/>
        </w:rPr>
        <w:t>5</w:t>
      </w:r>
      <w:r>
        <w:rPr/>
        <w:t>）检查股权投资处置相关的会计处理，复核是否符合企业会计准则的规定。</w:t>
      </w:r>
    </w:p>
    <w:p>
      <w:pPr>
        <w:spacing w:line="240" w:lineRule="auto" w:before="6"/>
        <w:rPr>
          <w:rFonts w:ascii="宋体" w:hAnsi="宋体" w:cs="宋体" w:eastAsia="宋体" w:hint="default"/>
          <w:sz w:val="25"/>
          <w:szCs w:val="25"/>
        </w:rPr>
      </w:pPr>
    </w:p>
    <w:p>
      <w:pPr>
        <w:pStyle w:val="Heading5"/>
        <w:spacing w:line="273" w:lineRule="auto" w:before="0"/>
        <w:ind w:left="1614" w:right="1124" w:firstLine="2"/>
        <w:jc w:val="left"/>
      </w:pPr>
      <w:r>
        <w:rPr>
          <w:rFonts w:ascii="宋体" w:hAnsi="宋体" w:cs="宋体" w:eastAsia="宋体" w:hint="default"/>
          <w:b/>
          <w:bCs/>
        </w:rPr>
        <w:t>五、其他信息</w:t>
      </w:r>
      <w:r>
        <w:rPr>
          <w:rFonts w:ascii="宋体" w:hAnsi="宋体" w:cs="宋体" w:eastAsia="宋体" w:hint="default"/>
          <w:b/>
          <w:bCs/>
          <w:w w:val="99"/>
        </w:rPr>
        <w:t> </w:t>
      </w:r>
      <w:r>
        <w:rPr>
          <w:spacing w:val="-2"/>
        </w:rPr>
        <w:t>银江公司管理层对其他信息负责。其他信息包括</w:t>
      </w:r>
      <w:r>
        <w:rPr>
          <w:rFonts w:ascii="Times New Roman" w:hAnsi="Times New Roman" w:cs="Times New Roman" w:eastAsia="Times New Roman" w:hint="default"/>
          <w:spacing w:val="-2"/>
        </w:rPr>
        <w:t>2017</w:t>
      </w:r>
      <w:r>
        <w:rPr>
          <w:spacing w:val="-2"/>
        </w:rPr>
        <w:t>年年度报告中涵盖的信息，但不包括财务报表和</w:t>
      </w:r>
    </w:p>
    <w:p>
      <w:pPr>
        <w:pStyle w:val="Heading5"/>
        <w:spacing w:line="273" w:lineRule="auto" w:before="0"/>
        <w:ind w:left="1613" w:right="1121" w:hanging="480"/>
        <w:jc w:val="left"/>
      </w:pPr>
      <w:r>
        <w:rPr/>
        <w:t>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Heading5"/>
        <w:spacing w:line="273" w:lineRule="auto"/>
        <w:ind w:left="1613" w:right="1121" w:hanging="480"/>
        <w:jc w:val="left"/>
      </w:pPr>
      <w:r>
        <w:rPr/>
        <w:t>表或我们在审计过程中了解到的情况存在重大不一致或者似乎存在重大错报。 </w:t>
      </w:r>
      <w:r>
        <w:rPr>
          <w:spacing w:val="-2"/>
        </w:rPr>
        <w:t>基于我们已执行的工作，如果我们确定其他信息存在重大错报，我们应当报告该事实。在这方面，我</w:t>
      </w:r>
    </w:p>
    <w:p>
      <w:pPr>
        <w:pStyle w:val="Heading5"/>
        <w:spacing w:line="240" w:lineRule="auto"/>
        <w:ind w:right="0"/>
        <w:jc w:val="left"/>
      </w:pPr>
      <w:r>
        <w:rPr/>
        <w:t>们无任何事项需要报告。</w:t>
      </w:r>
    </w:p>
    <w:p>
      <w:pPr>
        <w:spacing w:line="240" w:lineRule="auto" w:before="9"/>
        <w:rPr>
          <w:rFonts w:ascii="宋体" w:hAnsi="宋体" w:cs="宋体" w:eastAsia="宋体" w:hint="default"/>
          <w:sz w:val="26"/>
          <w:szCs w:val="26"/>
        </w:rPr>
      </w:pPr>
    </w:p>
    <w:p>
      <w:pPr>
        <w:spacing w:line="273" w:lineRule="auto" w:before="0"/>
        <w:ind w:left="1613" w:right="0" w:firstLine="2"/>
        <w:jc w:val="left"/>
        <w:rPr>
          <w:rFonts w:ascii="宋体" w:hAnsi="宋体" w:cs="宋体" w:eastAsia="宋体" w:hint="default"/>
          <w:sz w:val="21"/>
          <w:szCs w:val="21"/>
        </w:rPr>
      </w:pPr>
      <w:r>
        <w:rPr>
          <w:rFonts w:ascii="宋体" w:hAnsi="宋体" w:cs="宋体" w:eastAsia="宋体" w:hint="default"/>
          <w:b/>
          <w:bCs/>
          <w:sz w:val="21"/>
          <w:szCs w:val="21"/>
        </w:rPr>
        <w:t>六、管理层和治理层对财务报表的责任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5"/>
          <w:sz w:val="21"/>
          <w:szCs w:val="21"/>
        </w:rPr>
        <w:t>银江公司管理层（以下简称管理层）负责按照企业会计准则的规定编制财务报表，使其实现公允反映，</w:t>
      </w:r>
    </w:p>
    <w:p>
      <w:pPr>
        <w:pStyle w:val="Heading5"/>
        <w:spacing w:line="273" w:lineRule="auto"/>
        <w:ind w:left="1613" w:right="1121" w:hanging="480"/>
        <w:jc w:val="left"/>
      </w:pPr>
      <w:r>
        <w:rPr/>
        <w:t>并设计、执行和维护必要的内部控制，以使财务报表不存在由于舞弊或错误导致的重大错报。 </w:t>
      </w:r>
      <w:r>
        <w:rPr>
          <w:spacing w:val="-2"/>
        </w:rPr>
        <w:t>在编制财务报表时，管理层负责评估银江公司的持续经营能力，并运用持续经营假设，除非管理层计</w:t>
      </w:r>
    </w:p>
    <w:p>
      <w:pPr>
        <w:pStyle w:val="Heading5"/>
        <w:spacing w:line="273" w:lineRule="auto"/>
        <w:ind w:left="1614" w:right="5922" w:hanging="480"/>
        <w:jc w:val="left"/>
      </w:pPr>
      <w:r>
        <w:rPr/>
        <w:t>划清算银江公司、终止运营或别无其他现实的选择。 治理层负责监督银江公司的财务报告过程。</w:t>
      </w:r>
    </w:p>
    <w:p>
      <w:pPr>
        <w:spacing w:line="240" w:lineRule="auto" w:before="6"/>
        <w:rPr>
          <w:rFonts w:ascii="宋体" w:hAnsi="宋体" w:cs="宋体" w:eastAsia="宋体" w:hint="default"/>
          <w:sz w:val="24"/>
          <w:szCs w:val="24"/>
        </w:rPr>
      </w:pPr>
    </w:p>
    <w:p>
      <w:pPr>
        <w:spacing w:line="273" w:lineRule="auto" w:before="0"/>
        <w:ind w:left="1614" w:right="1120" w:firstLine="2"/>
        <w:jc w:val="left"/>
        <w:rPr>
          <w:rFonts w:ascii="宋体" w:hAnsi="宋体" w:cs="宋体" w:eastAsia="宋体" w:hint="default"/>
          <w:sz w:val="21"/>
          <w:szCs w:val="21"/>
        </w:rPr>
      </w:pPr>
      <w:r>
        <w:rPr>
          <w:rFonts w:ascii="宋体" w:hAnsi="宋体" w:cs="宋体" w:eastAsia="宋体" w:hint="default"/>
          <w:b/>
          <w:bCs/>
          <w:sz w:val="21"/>
          <w:szCs w:val="21"/>
        </w:rPr>
        <w:t>七、注册会计师对财务报表审计的责任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Heading5"/>
        <w:spacing w:line="273" w:lineRule="auto"/>
        <w:ind w:left="1134"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5"/>
        <w:spacing w:line="273" w:lineRule="auto"/>
        <w:ind w:left="1134" w:right="1120" w:firstLine="480"/>
        <w:jc w:val="left"/>
      </w:pPr>
      <w:r>
        <w:rPr>
          <w:spacing w:val="-2"/>
        </w:rPr>
        <w:t>在按照审计准则执行审计工作的过程中，我们运用职业判断，并保持职业怀疑。同时，我们也执行以</w:t>
      </w:r>
      <w:r>
        <w:rPr/>
        <w:t> 下工作：</w:t>
      </w:r>
    </w:p>
    <w:p>
      <w:pPr>
        <w:pStyle w:val="Heading5"/>
        <w:spacing w:line="273" w:lineRule="auto"/>
        <w:ind w:left="1134" w:right="1023" w:firstLine="480"/>
        <w:jc w:val="left"/>
      </w:pPr>
      <w:r>
        <w:rPr>
          <w:spacing w:val="-2"/>
        </w:rPr>
        <w:t>（一）识别和评估由于舞弊或错误导致的财务报表重大错报风险，设计和实施审计程序以应对这些风</w:t>
      </w:r>
      <w:r>
        <w:rPr/>
        <w:t> </w:t>
      </w:r>
      <w:r>
        <w:rPr>
          <w:spacing w:val="-3"/>
        </w:rPr>
        <w:t>险，并获取充分、适当的审计证据，作为发表审计意见的基础。由于舞弊可能涉及串通、伪造、故意遗漏、</w:t>
      </w:r>
      <w:r>
        <w:rPr>
          <w:spacing w:val="-93"/>
        </w:rPr>
        <w:t> </w:t>
      </w:r>
      <w:r>
        <w:rPr>
          <w:spacing w:val="-93"/>
        </w:rPr>
      </w:r>
      <w:r>
        <w:rPr/>
        <w:t>虚假陈述或凌驾于内部控制之上，未能发现由于舞弊导致的重大错报的风险高于未能发现由于错误导致的</w:t>
      </w:r>
      <w:r>
        <w:rPr/>
        <w:t> 重大错报的风险。</w:t>
      </w:r>
    </w:p>
    <w:p>
      <w:pPr>
        <w:pStyle w:val="Heading5"/>
        <w:spacing w:line="240" w:lineRule="auto"/>
        <w:ind w:left="1614" w:right="0"/>
        <w:jc w:val="left"/>
      </w:pPr>
      <w:r>
        <w:rPr/>
        <w:t>（二）了解与审计相关的内部控制，以设计恰当的审计程序，但目的并非对内部控制的有效性发表意</w:t>
      </w:r>
    </w:p>
    <w:p>
      <w:pPr>
        <w:pStyle w:val="Heading5"/>
        <w:spacing w:line="240" w:lineRule="auto" w:before="37"/>
        <w:ind w:left="1134" w:right="0"/>
        <w:jc w:val="left"/>
      </w:pPr>
      <w:r>
        <w:rPr/>
        <w:t>见。</w:t>
      </w:r>
    </w:p>
    <w:p>
      <w:pPr>
        <w:pStyle w:val="Heading5"/>
        <w:spacing w:line="240" w:lineRule="auto" w:before="37"/>
        <w:ind w:left="1614" w:right="0"/>
        <w:jc w:val="left"/>
      </w:pPr>
      <w:r>
        <w:rPr/>
        <w:t>（三）评价管理层选用会计政策的恰当性和作出会计估计及相关披露的合理性。</w:t>
      </w:r>
    </w:p>
    <w:p>
      <w:pPr>
        <w:pStyle w:val="Heading5"/>
        <w:spacing w:line="240" w:lineRule="auto" w:before="37"/>
        <w:ind w:left="1613" w:right="0"/>
        <w:jc w:val="left"/>
      </w:pPr>
      <w:r>
        <w:rPr/>
        <w:t>（四）对管理层使用持续经营假设的恰当性得出结论。同时，根据获取的审计证据，就可能导致对银</w:t>
      </w:r>
    </w:p>
    <w:p>
      <w:pPr>
        <w:pStyle w:val="Heading5"/>
        <w:spacing w:line="273" w:lineRule="auto" w:before="37"/>
        <w:ind w:right="1131"/>
        <w:jc w:val="both"/>
      </w:pPr>
      <w:r>
        <w:rPr>
          <w:spacing w:val="-1"/>
        </w:rPr>
        <w:t>江公司持续经营能力产生重大疑虑的事项或情况是否存在重大不确定性得出结论。如果我们得出结论认为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项或情况可能导致银江公司不能持续经营。</w:t>
      </w:r>
    </w:p>
    <w:p>
      <w:pPr>
        <w:pStyle w:val="Heading5"/>
        <w:spacing w:line="273" w:lineRule="auto"/>
        <w:ind w:left="1134" w:right="1120" w:firstLine="480"/>
        <w:jc w:val="left"/>
      </w:pPr>
      <w:r>
        <w:rPr>
          <w:spacing w:val="-2"/>
        </w:rPr>
        <w:t>（五）评价财务报表的总体列报、结构和内容（包括披露），并评价财务报表是否公允反映相关交易</w:t>
      </w:r>
      <w:r>
        <w:rPr/>
        <w:t> 和事项。</w:t>
      </w:r>
    </w:p>
    <w:p>
      <w:pPr>
        <w:pStyle w:val="Heading5"/>
        <w:spacing w:line="240" w:lineRule="auto"/>
        <w:ind w:left="1614" w:right="0"/>
        <w:jc w:val="left"/>
      </w:pPr>
      <w:r>
        <w:rPr>
          <w:spacing w:val="-5"/>
        </w:rPr>
        <w:t>（六）就银江公司中实体或业务活动的财务信息获取充分、适当的审计证据，以对财务报表发表意见。</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73" w:lineRule="auto" w:before="35"/>
        <w:ind w:left="1604" w:right="1130" w:hanging="471"/>
        <w:jc w:val="left"/>
      </w:pPr>
      <w:r>
        <w:rPr/>
        <w:t>我们负责指导、监督和执行集团审计。我们对审计意见承担全部责任。我们对审计意见承担全部责任。 </w:t>
      </w:r>
      <w:r>
        <w:rPr>
          <w:spacing w:val="-2"/>
        </w:rPr>
        <w:t>我们与治理层就计划的审计范围、时间安排和重大审计发现等事项进行沟通，包括沟通我们在审计中</w:t>
      </w:r>
    </w:p>
    <w:p>
      <w:pPr>
        <w:pStyle w:val="Heading5"/>
        <w:spacing w:line="273" w:lineRule="auto"/>
        <w:ind w:left="1613" w:right="1121" w:hanging="480"/>
        <w:jc w:val="left"/>
      </w:pPr>
      <w:r>
        <w:rPr/>
        <w:t>识别出的值得关注的内部控制缺陷。 </w:t>
      </w:r>
      <w:r>
        <w:rPr>
          <w:spacing w:val="-2"/>
        </w:rPr>
        <w:t>我们还就已遵守与独立性相关的职业道德要求向治理层提供声明，并与治理层沟通可能被合理认为影</w:t>
      </w:r>
    </w:p>
    <w:p>
      <w:pPr>
        <w:pStyle w:val="Heading5"/>
        <w:spacing w:line="273" w:lineRule="auto" w:before="8"/>
        <w:ind w:left="1613" w:right="1121" w:hanging="480"/>
        <w:jc w:val="left"/>
      </w:pPr>
      <w:r>
        <w:rPr/>
        <w:t>响我们独立性的所有关系和其他事项，以及相关的防范措施。 </w:t>
      </w:r>
      <w:r>
        <w:rPr>
          <w:spacing w:val="-2"/>
        </w:rPr>
        <w:t>从与治理层沟通过的事项中，我们确定哪些事项对本期财务报表审计最为重要，因而构成关键审计事</w:t>
      </w:r>
    </w:p>
    <w:p>
      <w:pPr>
        <w:pStyle w:val="Heading5"/>
        <w:spacing w:line="273" w:lineRule="auto"/>
        <w:ind w:right="1132"/>
        <w:jc w:val="both"/>
      </w:pP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521" w:type="dxa"/>
        <w:tblLayout w:type="fixed"/>
        <w:tblCellMar>
          <w:top w:w="0" w:type="dxa"/>
          <w:left w:w="0" w:type="dxa"/>
          <w:bottom w:w="0" w:type="dxa"/>
          <w:right w:w="0" w:type="dxa"/>
        </w:tblCellMar>
        <w:tblLook w:val="01E0"/>
      </w:tblPr>
      <w:tblGrid>
        <w:gridCol w:w="3859"/>
        <w:gridCol w:w="4069"/>
      </w:tblGrid>
      <w:tr>
        <w:trPr>
          <w:trHeight w:val="427"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10" w:lineRule="exact"/>
              <w:ind w:right="98"/>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4069" w:type="dxa"/>
            <w:tcBorders>
              <w:top w:val="nil" w:sz="6" w:space="0" w:color="auto"/>
              <w:left w:val="nil" w:sz="6" w:space="0" w:color="auto"/>
              <w:bottom w:val="nil" w:sz="6" w:space="0" w:color="auto"/>
              <w:right w:val="nil" w:sz="6" w:space="0" w:color="auto"/>
            </w:tcBorders>
          </w:tcPr>
          <w:p>
            <w:pPr>
              <w:pStyle w:val="TableParagraph"/>
              <w:spacing w:line="210" w:lineRule="exact"/>
              <w:ind w:left="298" w:right="0"/>
              <w:jc w:val="left"/>
              <w:rPr>
                <w:rFonts w:ascii="宋体" w:hAnsi="宋体" w:cs="宋体" w:eastAsia="宋体" w:hint="default"/>
                <w:sz w:val="21"/>
                <w:szCs w:val="21"/>
              </w:rPr>
            </w:pPr>
            <w:r>
              <w:rPr>
                <w:rFonts w:ascii="宋体" w:hAnsi="宋体" w:cs="宋体" w:eastAsia="宋体" w:hint="default"/>
                <w:sz w:val="21"/>
                <w:szCs w:val="21"/>
              </w:rPr>
              <w:t>中国注册会计师（项目合伙人）：谭争</w:t>
            </w:r>
          </w:p>
        </w:tc>
      </w:tr>
      <w:tr>
        <w:trPr>
          <w:trHeight w:val="49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97"/>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98" w:right="0"/>
              <w:jc w:val="left"/>
              <w:rPr>
                <w:rFonts w:ascii="宋体" w:hAnsi="宋体" w:cs="宋体" w:eastAsia="宋体" w:hint="default"/>
                <w:sz w:val="21"/>
                <w:szCs w:val="21"/>
              </w:rPr>
            </w:pPr>
            <w:r>
              <w:rPr>
                <w:rFonts w:ascii="宋体" w:hAnsi="宋体" w:cs="宋体" w:eastAsia="宋体" w:hint="default"/>
                <w:sz w:val="21"/>
                <w:szCs w:val="21"/>
              </w:rPr>
              <w:t>中国注册会计师：许旭光</w:t>
            </w:r>
          </w:p>
        </w:tc>
      </w:tr>
      <w:tr>
        <w:trPr>
          <w:trHeight w:val="277" w:hRule="exact"/>
        </w:trPr>
        <w:tc>
          <w:tcPr>
            <w:tcW w:w="3859"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81" w:lineRule="exact"/>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left="1134" w:right="0"/>
        <w:jc w:val="left"/>
        <w:rPr>
          <w:b w:val="0"/>
          <w:bCs w:val="0"/>
        </w:rPr>
      </w:pPr>
      <w:bookmarkStart w:name="二、财务报表" w:id="162"/>
      <w:bookmarkEnd w:id="16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63"/>
      <w:bookmarkEnd w:id="16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编制单位：银江股份有限公司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3475" w:space="60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1,206,397,843.41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1,071,407,340.52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21,626,384.00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1,031,784,339.17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1,268,832,142.63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216,554,826.91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103,514,672.18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384,332,879.41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367,711,773.17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1,559,772,276.77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1,166,657,213.56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1,985,409.20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1,153,430.87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4,416,877,574.87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4,000,902,956.93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457,190,362.64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429,361,305.95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139,498,753.39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424,368,812.52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373,971,092.47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175,093,773.29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202,702,579.87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388,932.35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111,382,544.81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125,068,522.17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24,723,956.30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30,152,936.71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63,617,297.33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2,576,639.55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3,358,865.69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68,664,338.97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69,145,457.10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1,402,536,605.90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1,467,876,810.68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5,819,414,180.77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5,468,779,767.61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475,517,440.00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126,022,484.70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71,306,802.71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870,951,047.76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919,322,888.65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154,345,937.70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148,733,588.32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23,314,419.13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18,921,507.23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145,016,260.00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161,044,009.63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1,190,044.88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1,055,773.37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3,084,556.35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2,926,772.00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196,950,088.68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218,419,486.65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307,886,301.36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407,124,821.93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2,675,761,140.56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2,424,373,090.49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30,323,598.89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30,323,598.89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2,701,586,904.48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2,454,696,689.38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655,789,086.00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1,356,930,992.91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1,351,903,150.03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25,240,153.00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25,240,153.00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146,345,995.56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111,659,473.19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100,216,991.54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825,668,583.07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729,984,275.03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3,071,153,977.73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2,984,487,076.66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46,673,298.56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29,596,001.57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3,117,827,276.29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3,014,083,078.23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5,819,414,180.77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5,468,779,767.61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法定代表人：章建强</w:t>
        <w:tab/>
        <w:t>主管会计工作负责人：钱小鸿</w:t>
        <w:tab/>
        <w:t>会计机构负责人：任刚要</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4"/>
      <w:bookmarkEnd w:id="16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994,136,286.82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988,008,929.48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18,089,384.00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1,010,362,430.84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996,811,847.76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205,872,609.10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85,673,026.11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718,034,297.93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614,771,157.28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1,516,784,244.31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1,117,539,906.22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57,368.22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4,461,297,237.22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3,820,894,250.85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416,379,759.48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386,365,325.95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129,234,950.91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701,830,870.05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866,276,523.28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165,394,901.29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174,962,676.13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70,028,872.77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57,673,554.85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19,543,688.07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22,065,902.79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1,074,713.36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2,070,493.49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71,270,221.69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62,717,653.23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1,583,670,272.18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1,732,367,080.63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6,044,967,509.40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5,553,261,331.48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126,022,484.70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71,299,902.71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887,283,013.88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882,643,392.83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198,051,021.51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137,311,446.56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12,431,720.35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9,134,268.66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130,408,329.51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107,646,626.82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1,190,044.88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604,868.37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3,084,556.35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2,926,772.00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407,712,149.65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430,207,554.97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307,886,301.36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407,124,821.93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2,921,069,622.19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2,488,899,654.85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30,323,598.89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30,323,598.89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2,946,895,386.11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2,519,223,253.74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655,789,086.00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1,356,969,934.07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1,351,950,367.57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25,240,153.00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25,240,153.00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146,345,995.56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111,659,473.19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100,216,991.54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05.719971pt;width:157.7pt;height:19.650pt;mso-position-horizontal-relative:page;mso-position-vertical-relative:page;z-index:-1221904" coordorigin="4242,14114" coordsize="3154,393">
            <v:shape style="position:absolute;left:4242;top:14114;width:3154;height:393" coordorigin="4242,14114" coordsize="3154,393" path="m4242,14507l7396,14507,7396,14114,4242,14114,4242,145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852,547,787.47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779,488,058.57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3,098,072,123.29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3,034,038,077.74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6,044,967,509.40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5,553,261,331.48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165"/>
      <w:bookmarkEnd w:id="16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1,942,221,214.28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1,655,303,898.15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1,942,221,214.28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1,655,303,898.15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1,839,407,473.61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1,624,135,929.92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1,421,238,000.04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1,226,669,301.94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13,434,346.51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12,577,300.93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53,674,378.70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53,808,278.44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221,260,196.70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197,511,338.29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28,335,502.00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17,711,101.40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101,465,049.66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115,858,608.92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48,091,279.47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124,491,697.19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-11,889,386.78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-172,297.01</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-13,983.36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206,815.19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52.899979pt;width:157.7pt;height:19.650pt;mso-position-horizontal-relative:page;mso-position-vertical-relative:page;z-index:-1221880" coordorigin="4242,3058" coordsize="3154,393">
            <v:shape style="position:absolute;left:4242;top:3058;width:3154;height:393" coordorigin="4242,3058" coordsize="3154,393" path="m4242,3450l7396,3450,7396,3058,4242,3058,4242,3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150,891,036.78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155,866,480.61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8,526,550.23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17,395,886.74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844,665.99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1,557,454.42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158,572,921.02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171,704,912.93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22,867,277.68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20,841,139.67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135,705,643.34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150,863,773.26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135,705,643.34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150,863,773.26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138,654,236.34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153,377,346.60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-2,948,593.00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-2,513,573.34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-25,487,731.50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-25,487,731.50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-25,487,731.50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-25,487,731.50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110,217,911.84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322,697,500.32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113,166,504.84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325,211,073.66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-2,948,593.00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-2,513,573.34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法定代表人：章建强</w:t>
        <w:tab/>
        <w:t>主管会计工作负责人：钱小鸿</w:t>
        <w:tab/>
        <w:t>会计机构负责人：任刚要</w:t>
      </w:r>
    </w:p>
    <w:p>
      <w:pPr>
        <w:pStyle w:val="Heading4"/>
        <w:spacing w:line="240" w:lineRule="auto" w:before="63"/>
        <w:ind w:right="0"/>
        <w:jc w:val="left"/>
        <w:rPr>
          <w:b w:val="0"/>
          <w:bCs w:val="0"/>
        </w:rPr>
      </w:pPr>
      <w:bookmarkStart w:name="4、母公司利润表" w:id="166"/>
      <w:bookmarkEnd w:id="16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1,868,011,092.08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1,555,920,772.14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1,385,688,334.69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1,170,244,812.94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12,810,151.75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11,559,848.36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45,172,269.84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37,103,718.76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165,793,153.92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121,555,037.76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29,083,934.51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14,250,412.24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91,852,604.48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126,933,010.73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-13,068,570.04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121,384,907.45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-12,829,477.95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-3,279,086.75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-9,449.23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124,532,623.62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195,654,678.69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5,696,532.11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12,612,282.19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755,597.88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1,439,878.53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129,473,557.85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206,827,082.35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15,048,741.34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15,707,927.97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114,424,816.51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191,119,154.38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114,424,816.51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191,119,154.38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-25,487,731.50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-25,487,731.50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-25,487,731.50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171,833,727.06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88,937,085.01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362,952,881.44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合并现金流量表" w:id="167"/>
      <w:bookmarkEnd w:id="16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55"/>
        <w:gridCol w:w="3302"/>
        <w:gridCol w:w="3290"/>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2,036,455,042.08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1,568,519,901.42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200,654.90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1,194,358.25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329,025,574.56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230,390,707.56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2,365,681,271.54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1,800,104,967.23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2,023,716,499.50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1,424,856,493.92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118,466,862.62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120,853,207.34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80,027,115.81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70,064,338.53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358,843,018.85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321,465,673.79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2,581,053,496.78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1,937,239,713.58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-215,372,225.24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-137,134,746.35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62,448,104.25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66,250,994.20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879,923.88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407,581.71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131,048,802.66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222,476,639.04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68,383,575.91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28,943,302.75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138,010,949.09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226,554,000.00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21,236,507.58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158,903,302.75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413,801,456.67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63,573,336.29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-345,417,880.76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25,395,920.70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2,702,004.00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613,642,496.00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130,139,179.63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69,584,307.09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1,486,239,179.63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1,107,822,723.79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1,045,517,440.00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78,413,927.92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38,752,979.43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69,335,904.57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121,510,703.47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1,193,267,272.49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820,263,682.90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292,971,907.14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287,559,040.89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141,173,018.19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-194,949,642.22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987,478,718.87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1,182,428,361.09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1,128,651,737.06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987,478,718.87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68"/>
      <w:bookmarkEnd w:id="16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2,034,111,302.19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1,469,769,720.86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152,142.94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647,880.64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301,988,496.65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179,397,858.51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2,336,251,941.78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1,649,815,460.01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1,956,738,645.78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1,374,141,210.77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59,608,472.91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50,834,959.65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75,621,059.43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58,808,459.44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337,329,927.13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272,606,678.75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2,429,298,105.25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1,756,391,308.61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-93,046,163.47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-106,575,848.60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66,250,994.20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879,923.88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169,857,482.13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67,977,134.20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22,618,086.36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93,675,687.54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259,343,000.00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220,905,000.00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281,961,086.36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342,580,687.54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-112,103,604.23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-274,603,553.34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22,693,916.70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208,267,668.11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157,710,087.94</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1,524,667,668.11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1,159,604,004.64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77,856,622.92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37,395,824.53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224,154,622.91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261,116,651.12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1,312,011,245.83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888,512,475.65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212,656,422.28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271,091,528.99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7,506,654.58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-110,087,872.95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908,883,525.89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1,018,971,398.84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916,390,180.47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908,883,525.89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7、合并所有者权益变动表" w:id="169"/>
      <w:bookmarkEnd w:id="16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,991.54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729,984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,275.03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001.57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,991.54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729,984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,275.03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001.57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5,027,8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-25,487,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95,684,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17,077,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296.99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103,744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,198.06</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-25,487,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138,654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,236.34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-2,948,5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110,217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,911.84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22,025,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195.32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27,044,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761.82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35,200,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35,200,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5,019,5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66.50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-13,174,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804.68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-13,174,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804.68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-42,969,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928.30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446.65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446.65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-1,999,3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-1,991,0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28.95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9,086.</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1,356,9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30,992.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3"/>
                <w:sz w:val="18"/>
              </w:rPr>
              <w:t>111,659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,473.19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825,668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,583.07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298.56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3,117,8</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27,276.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655,19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0,756.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81,105,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076.10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608,277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,908.79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24,149,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234.62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655,19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0,756.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81,105,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076.10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608,277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,908.79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24,149,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234.62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598,33</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4,823,0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14.31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pacing w:val="-3"/>
                <w:sz w:val="18"/>
              </w:rPr>
              <w:t>19,111,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121,706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,366.24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5,446,7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66.95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323,520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,120.00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153,377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,346.60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-2,513,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573.34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322,697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,500.32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598,33</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2,926,2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8,591,8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19.43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12,116,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419.10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598,33</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3,171,1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2,702,0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6,471,4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83.00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-244,87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-244,87</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9.33</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5,889,8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15.43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5,889,8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15.43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pacing w:val="-3"/>
                <w:sz w:val="18"/>
              </w:rPr>
              <w:t>19,111,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-31,670,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-12,559,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915.44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980.36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064.92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pacing w:val="-3"/>
                <w:sz w:val="18"/>
              </w:rPr>
              <w:t>19,111,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-19,111,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915.44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064.92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064.92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1,896,7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-631,47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1,265,2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65.50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03,150.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171,833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729,984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,275.03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29,596,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001.57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母公司所有者权益变动表" w:id="170"/>
      <w:bookmarkEnd w:id="17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1,351,950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,367.57</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100,216,9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779,488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,058.57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3,034,038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,077.74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1,351,950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,367.57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100,216,9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779,488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3,034,038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,077.74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-25,487,7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73,059,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64,034,04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-25,487,7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114,424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,816.51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88,937,08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-42,969,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928.30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11,442,48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-11,442,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481.65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446.65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1,604,8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1,604,840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1,356,969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,934.07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111,659,4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852,547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3,098,072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,123.29</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655,190,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756.00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1,347,758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,832.40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81,105,07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620,039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,884.55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2,678,854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,396.05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655,190,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756.00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1,347,758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,832.40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81,105,07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620,039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,884.55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2,678,854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,396.05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4,191,535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19,111,91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159,448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,174.02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355,183,6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81.69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191,119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,154.38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362,952,8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81.44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2,926,269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3,524,599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3,171,149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3,769,479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-244,879.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-244,879.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19,111,91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-31,670,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980.36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-12,559,0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64.92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19,111,91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-19,111,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915.44</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064.92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-12,559,0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64.92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1,265,265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655,789,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1,351,950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,367.57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171,833,7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100,216,9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779,488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3,034,038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,077.74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both"/>
        <w:rPr>
          <w:b w:val="0"/>
          <w:bCs w:val="0"/>
        </w:rPr>
      </w:pPr>
      <w:bookmarkStart w:name="三、公司基本情况" w:id="171"/>
      <w:bookmarkEnd w:id="17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134" w:right="1124"/>
        <w:jc w:val="both"/>
      </w:pPr>
      <w:r>
        <w:rPr>
          <w:spacing w:val="-1"/>
        </w:rPr>
        <w:t>银江股份有限公司（以下简称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）系在原杭州银江电子有限公司基础上整体变更设立的股份有限公司，由银</w:t>
      </w:r>
      <w:r>
        <w:rPr>
          <w:spacing w:val="-80"/>
        </w:rPr>
        <w:t> </w:t>
      </w:r>
      <w:r>
        <w:rPr>
          <w:spacing w:val="-80"/>
        </w:rPr>
      </w:r>
      <w:r>
        <w:rPr>
          <w:spacing w:val="-2"/>
        </w:rPr>
        <w:t>江科技集团有限公司和自然人张岩、柴志涛、王毅、杨富金、钱小鸿、樊锦祥、刘健、钱英、柳展、王剑伟作为发起人，注</w:t>
      </w:r>
      <w:r>
        <w:rPr>
          <w:spacing w:val="-71"/>
        </w:rPr>
        <w:t> </w:t>
      </w:r>
      <w:r>
        <w:rPr>
          <w:spacing w:val="-71"/>
        </w:rPr>
      </w:r>
      <w:r>
        <w:rPr>
          <w:spacing w:val="6"/>
        </w:rPr>
        <w:t>册资本为人民币</w:t>
      </w:r>
      <w:r>
        <w:rPr/>
        <w:t> </w:t>
      </w:r>
      <w:r>
        <w:rPr>
          <w:rFonts w:ascii="Times New Roman" w:hAnsi="Times New Roman" w:cs="Times New Roman" w:eastAsia="Times New Roman" w:hint="default"/>
        </w:rPr>
        <w:t>4,000  </w:t>
      </w:r>
      <w:r>
        <w:rPr>
          <w:spacing w:val="6"/>
        </w:rPr>
        <w:t>万元（每股面值人民币</w:t>
      </w:r>
      <w:r>
        <w:rPr/>
        <w:t> </w:t>
      </w:r>
      <w:r>
        <w:rPr>
          <w:rFonts w:ascii="Times New Roman" w:hAnsi="Times New Roman" w:cs="Times New Roman" w:eastAsia="Times New Roman" w:hint="default"/>
        </w:rPr>
        <w:t>1  </w:t>
      </w:r>
      <w:r>
        <w:rPr>
          <w:spacing w:val="-10"/>
        </w:rPr>
        <w:t>元）。公司于</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2"/>
        </w:rPr>
        <w:t> </w:t>
      </w:r>
      <w:r>
        <w:rPr>
          <w:spacing w:val="7"/>
        </w:rPr>
        <w:t>日取得杭州市工商行政管理局核发的</w:t>
      </w:r>
      <w:r>
        <w:rPr/>
      </w:r>
    </w:p>
    <w:p>
      <w:pPr>
        <w:pStyle w:val="BodyText"/>
        <w:spacing w:line="240" w:lineRule="auto" w:before="6"/>
        <w:ind w:left="1134" w:right="0"/>
        <w:jc w:val="both"/>
      </w:pPr>
      <w:r>
        <w:rPr>
          <w:rFonts w:ascii="Times New Roman" w:hAnsi="Times New Roman" w:cs="Times New Roman" w:eastAsia="Times New Roman" w:hint="default"/>
        </w:rPr>
        <w:t>330100000003403</w:t>
      </w:r>
      <w:r>
        <w:rPr>
          <w:rFonts w:ascii="Times New Roman" w:hAnsi="Times New Roman" w:cs="Times New Roman" w:eastAsia="Times New Roman" w:hint="default"/>
          <w:spacing w:val="-1"/>
        </w:rPr>
        <w:t> </w:t>
      </w:r>
      <w:r>
        <w:rPr/>
        <w:t>号《企业法人营业执照</w:t>
      </w:r>
      <w:r>
        <w:rPr>
          <w:spacing w:val="-90"/>
        </w:rPr>
        <w:t>》</w:t>
      </w:r>
      <w:r>
        <w:rPr/>
        <w:t>。</w:t>
      </w:r>
    </w:p>
    <w:p>
      <w:pPr>
        <w:pStyle w:val="BodyText"/>
        <w:spacing w:line="240" w:lineRule="auto" w:before="101"/>
        <w:ind w:right="0"/>
        <w:jc w:val="both"/>
      </w:pPr>
      <w:r>
        <w:rPr>
          <w:rFonts w:ascii="Times New Roman" w:hAnsi="Times New Roman" w:cs="Times New Roman" w:eastAsia="Times New Roman" w:hint="default"/>
        </w:rPr>
        <w:t>2007 </w:t>
      </w:r>
      <w:r>
        <w:rPr/>
        <w:t>年</w:t>
      </w:r>
      <w:r>
        <w:rPr>
          <w:spacing w:val="-44"/>
        </w:rPr>
        <w:t> </w:t>
      </w:r>
      <w:r>
        <w:rPr>
          <w:rFonts w:ascii="Times New Roman" w:hAnsi="Times New Roman" w:cs="Times New Roman" w:eastAsia="Times New Roman" w:hint="default"/>
        </w:rPr>
        <w:t>12 </w:t>
      </w:r>
      <w:r>
        <w:rPr/>
        <w:t>月，公司申请新增注册资本</w:t>
      </w:r>
      <w:r>
        <w:rPr>
          <w:spacing w:val="-45"/>
        </w:rPr>
        <w:t> </w:t>
      </w:r>
      <w:r>
        <w:rPr>
          <w:rFonts w:ascii="Times New Roman" w:hAnsi="Times New Roman" w:cs="Times New Roman" w:eastAsia="Times New Roman" w:hint="default"/>
        </w:rPr>
        <w:t>1,200 </w:t>
      </w:r>
      <w:r>
        <w:rPr/>
        <w:t>万元，由新增法人股东浙江蓝山投资有限公司出资</w:t>
      </w:r>
      <w:r>
        <w:rPr>
          <w:spacing w:val="-4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万元，新增自然人股东</w:t>
      </w:r>
    </w:p>
    <w:p>
      <w:pPr>
        <w:pStyle w:val="BodyText"/>
        <w:spacing w:line="240" w:lineRule="auto" w:before="63"/>
        <w:ind w:right="0"/>
        <w:jc w:val="both"/>
      </w:pPr>
      <w:r>
        <w:rPr/>
        <w:t>杨增荣出资</w:t>
      </w:r>
      <w:r>
        <w:rPr>
          <w:spacing w:val="-44"/>
        </w:rPr>
        <w:t> </w:t>
      </w:r>
      <w:r>
        <w:rPr>
          <w:rFonts w:ascii="Times New Roman" w:hAnsi="Times New Roman" w:cs="Times New Roman" w:eastAsia="Times New Roman" w:hint="default"/>
        </w:rPr>
        <w:t>282 </w:t>
      </w:r>
      <w:r>
        <w:rPr/>
        <w:t>万元，新增自然人股东李涛出资</w:t>
      </w:r>
      <w:r>
        <w:rPr>
          <w:spacing w:val="-44"/>
        </w:rPr>
        <w:t> </w:t>
      </w:r>
      <w:r>
        <w:rPr>
          <w:rFonts w:ascii="Times New Roman" w:hAnsi="Times New Roman" w:cs="Times New Roman" w:eastAsia="Times New Roman" w:hint="default"/>
        </w:rPr>
        <w:t>278 </w:t>
      </w:r>
      <w:r>
        <w:rPr/>
        <w:t>万元，新增自然人股东章笠中出资</w:t>
      </w:r>
      <w:r>
        <w:rPr>
          <w:spacing w:val="-45"/>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万元，新增自然人股东乐秀夫出</w:t>
      </w:r>
    </w:p>
    <w:p>
      <w:pPr>
        <w:pStyle w:val="BodyText"/>
        <w:spacing w:line="240" w:lineRule="auto" w:before="64"/>
        <w:ind w:right="0"/>
        <w:jc w:val="both"/>
      </w:pPr>
      <w:r>
        <w:rPr/>
        <w:t>资</w:t>
      </w:r>
      <w:r>
        <w:rPr>
          <w:spacing w:val="-46"/>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万元，变更后的注册资本为</w:t>
      </w:r>
      <w:r>
        <w:rPr>
          <w:spacing w:val="-46"/>
        </w:rPr>
        <w:t> </w:t>
      </w:r>
      <w:r>
        <w:rPr>
          <w:rFonts w:ascii="Times New Roman" w:hAnsi="Times New Roman" w:cs="Times New Roman" w:eastAsia="Times New Roman" w:hint="default"/>
        </w:rPr>
        <w:t>5,200</w:t>
      </w:r>
      <w:r>
        <w:rPr>
          <w:rFonts w:ascii="Times New Roman" w:hAnsi="Times New Roman" w:cs="Times New Roman" w:eastAsia="Times New Roman" w:hint="default"/>
          <w:spacing w:val="-1"/>
        </w:rPr>
        <w:t> </w:t>
      </w:r>
      <w:r>
        <w:rPr/>
        <w:t>万元。</w:t>
      </w:r>
    </w:p>
    <w:p>
      <w:pPr>
        <w:pStyle w:val="BodyText"/>
        <w:spacing w:line="240" w:lineRule="auto" w:before="102"/>
        <w:ind w:right="0"/>
        <w:jc w:val="both"/>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月，钱英将其所持公司股份中的</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万股转让给李正大、</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万股转让给胡志宏，杨富金将其所持公司股份中的</w:t>
      </w:r>
      <w:r>
        <w:rPr>
          <w:spacing w:val="-51"/>
        </w:rPr>
        <w:t> </w:t>
      </w:r>
      <w:r>
        <w:rPr>
          <w:rFonts w:ascii="Times New Roman" w:hAnsi="Times New Roman" w:cs="Times New Roman" w:eastAsia="Times New Roman" w:hint="default"/>
        </w:rPr>
        <w:t>20</w:t>
      </w:r>
    </w:p>
    <w:p>
      <w:pPr>
        <w:pStyle w:val="BodyText"/>
        <w:spacing w:line="240" w:lineRule="auto" w:before="63"/>
        <w:ind w:right="0"/>
        <w:jc w:val="both"/>
      </w:pPr>
      <w:r>
        <w:rPr/>
        <w:t>万股转让给胡志宏；另外公司申请新增注册资本</w:t>
      </w:r>
      <w:r>
        <w:rPr>
          <w:spacing w:val="-43"/>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万元，其中银江科技集团有限公司增资</w:t>
      </w:r>
      <w:r>
        <w:rPr>
          <w:spacing w:val="-4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万元，英特尔产品（成都）</w:t>
      </w:r>
    </w:p>
    <w:p>
      <w:pPr>
        <w:pStyle w:val="BodyText"/>
        <w:spacing w:line="240" w:lineRule="auto" w:before="63"/>
        <w:ind w:right="0"/>
        <w:jc w:val="both"/>
      </w:pPr>
      <w:r>
        <w:rPr/>
        <w:t>有限公司投资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万元，浙江省科技风险投资有限公司投资</w:t>
      </w:r>
      <w:r>
        <w:rPr>
          <w:spacing w:val="-55"/>
        </w:rPr>
        <w:t> </w:t>
      </w:r>
      <w:r>
        <w:rPr>
          <w:rFonts w:ascii="Times New Roman" w:hAnsi="Times New Roman" w:cs="Times New Roman" w:eastAsia="Times New Roman" w:hint="default"/>
        </w:rPr>
        <w:t>150</w:t>
      </w:r>
      <w:r>
        <w:rPr>
          <w:rFonts w:ascii="Times New Roman" w:hAnsi="Times New Roman" w:cs="Times New Roman" w:eastAsia="Times New Roman" w:hint="default"/>
          <w:spacing w:val="-10"/>
        </w:rPr>
        <w:t> </w:t>
      </w:r>
      <w:r>
        <w:rPr/>
        <w:t>万元，杭州青岛实业投资有限公司投资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spacing w:val="-4"/>
        </w:rPr>
        <w:t>万元，变更后的</w:t>
      </w:r>
    </w:p>
    <w:p>
      <w:pPr>
        <w:pStyle w:val="BodyText"/>
        <w:spacing w:line="240" w:lineRule="auto" w:before="64"/>
        <w:ind w:right="0"/>
        <w:jc w:val="both"/>
      </w:pPr>
      <w:r>
        <w:rPr/>
        <w:t>注册资本为</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w:t>
      </w:r>
    </w:p>
    <w:p>
      <w:pPr>
        <w:pStyle w:val="BodyText"/>
        <w:spacing w:line="240" w:lineRule="auto" w:before="102"/>
        <w:ind w:left="1134"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月，杨增荣、张岩分别将其持有的</w:t>
      </w:r>
      <w:r>
        <w:rPr>
          <w:spacing w:val="-46"/>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万股股份转让给海通开元投资有限公司。</w:t>
      </w:r>
    </w:p>
    <w:p>
      <w:pPr>
        <w:pStyle w:val="BodyText"/>
        <w:spacing w:line="300" w:lineRule="auto" w:before="101"/>
        <w:ind w:right="1117"/>
        <w:jc w:val="left"/>
      </w:pPr>
      <w:r>
        <w:rPr/>
        <w:t>根据</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年度第一次临时股东大会决议，并经中国证券监督管理委员会证监许可【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1032</w:t>
      </w:r>
      <w:r>
        <w:rPr>
          <w:rFonts w:ascii="Times New Roman" w:hAnsi="Times New Roman" w:cs="Times New Roman" w:eastAsia="Times New Roman" w:hint="default"/>
          <w:spacing w:val="-13"/>
        </w:rPr>
        <w:t> </w:t>
      </w:r>
      <w:r>
        <w:rPr/>
        <w:t>号文核准，公司向社会公开 </w:t>
      </w:r>
      <w:r>
        <w:rPr>
          <w:spacing w:val="-1"/>
          <w:w w:val="99"/>
        </w:rPr>
        <w:t>发行人民币普通股（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
          <w:w w:val="99"/>
        </w:rPr>
        <w:t> </w:t>
      </w:r>
      <w:r>
        <w:rPr>
          <w:spacing w:val="-1"/>
        </w:rPr>
        <w:t>股）</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
        </w:rPr>
        <w:t> </w:t>
      </w:r>
      <w:r>
        <w:rPr>
          <w:spacing w:val="-1"/>
        </w:rPr>
        <w:t>万股（每股面值人民币</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元），变更后的注册资本为人民币</w:t>
      </w:r>
      <w:r>
        <w:rPr>
          <w:spacing w:val="-4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spacing w:val="-2"/>
        </w:rPr>
        <w:t>万元，已于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before="14"/>
        <w:ind w:right="0"/>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日在深圳证券交易所创业板上市。</w:t>
      </w:r>
    </w:p>
    <w:p>
      <w:pPr>
        <w:pStyle w:val="BodyText"/>
        <w:spacing w:line="240" w:lineRule="auto" w:before="102"/>
        <w:ind w:right="0"/>
        <w:jc w:val="both"/>
        <w:rPr>
          <w:rFonts w:ascii="Times New Roman" w:hAnsi="Times New Roman" w:cs="Times New Roman" w:eastAsia="Times New Roman" w:hint="default"/>
        </w:rPr>
      </w:pPr>
      <w:r>
        <w:rPr/>
        <w:t>根据</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年度股东大会决议，公司以首次公开发行股票并上市后的总股本</w:t>
      </w:r>
      <w:r>
        <w:rPr>
          <w:spacing w:val="-51"/>
        </w:rPr>
        <w:t> </w:t>
      </w:r>
      <w:r>
        <w:rPr>
          <w:rFonts w:ascii="Times New Roman" w:hAnsi="Times New Roman" w:cs="Times New Roman" w:eastAsia="Times New Roman" w:hint="default"/>
        </w:rPr>
        <w:t>8,000</w:t>
      </w:r>
      <w:r>
        <w:rPr>
          <w:rFonts w:ascii="Times New Roman" w:hAnsi="Times New Roman" w:cs="Times New Roman" w:eastAsia="Times New Roman" w:hint="default"/>
          <w:spacing w:val="-6"/>
        </w:rPr>
        <w:t> </w:t>
      </w:r>
      <w:r>
        <w:rPr>
          <w:spacing w:val="-6"/>
        </w:rPr>
        <w:t>万股为基数，按每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股由资本公积转增</w:t>
      </w:r>
      <w:r>
        <w:rPr>
          <w:spacing w:val="-51"/>
        </w:rPr>
        <w:t> </w:t>
      </w:r>
      <w:r>
        <w:rPr>
          <w:rFonts w:ascii="Times New Roman" w:hAnsi="Times New Roman" w:cs="Times New Roman" w:eastAsia="Times New Roman" w:hint="default"/>
        </w:rPr>
        <w:t>10</w:t>
      </w:r>
    </w:p>
    <w:p>
      <w:pPr>
        <w:pStyle w:val="BodyText"/>
        <w:spacing w:line="240" w:lineRule="auto" w:before="64"/>
        <w:ind w:right="0"/>
        <w:jc w:val="both"/>
      </w:pPr>
      <w:r>
        <w:rPr/>
        <w:t>股，共计转增</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万股。变更后的注册资本为</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亿元。</w:t>
      </w:r>
    </w:p>
    <w:p>
      <w:pPr>
        <w:pStyle w:val="BodyText"/>
        <w:spacing w:line="240" w:lineRule="auto" w:before="101"/>
        <w:ind w:left="1134" w:right="0"/>
        <w:jc w:val="both"/>
      </w:pPr>
      <w:r>
        <w:rPr/>
        <w:t>根据</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年度股东大会决议，公司以总股本数</w:t>
      </w:r>
      <w:r>
        <w:rPr>
          <w:spacing w:val="-44"/>
        </w:rPr>
        <w:t> </w:t>
      </w:r>
      <w:r>
        <w:rPr>
          <w:rFonts w:ascii="Times New Roman" w:hAnsi="Times New Roman" w:cs="Times New Roman" w:eastAsia="Times New Roman" w:hint="default"/>
        </w:rPr>
        <w:t>1.6 </w:t>
      </w:r>
      <w:r>
        <w:rPr/>
        <w:t>亿股为基数，按每</w:t>
      </w:r>
      <w:r>
        <w:rPr>
          <w:spacing w:val="-45"/>
        </w:rPr>
        <w:t> </w:t>
      </w:r>
      <w:r>
        <w:rPr>
          <w:rFonts w:ascii="Times New Roman" w:hAnsi="Times New Roman" w:cs="Times New Roman" w:eastAsia="Times New Roman" w:hint="default"/>
        </w:rPr>
        <w:t>10 </w:t>
      </w:r>
      <w:r>
        <w:rPr/>
        <w:t>股由资本公积转增</w:t>
      </w:r>
      <w:r>
        <w:rPr>
          <w:spacing w:val="-44"/>
        </w:rPr>
        <w:t> </w:t>
      </w:r>
      <w:r>
        <w:rPr>
          <w:rFonts w:ascii="Times New Roman" w:hAnsi="Times New Roman" w:cs="Times New Roman" w:eastAsia="Times New Roman" w:hint="default"/>
        </w:rPr>
        <w:t>5 </w:t>
      </w:r>
      <w:r>
        <w:rPr/>
        <w:t>股，共计转增</w:t>
      </w:r>
      <w:r>
        <w:rPr>
          <w:spacing w:val="-45"/>
        </w:rPr>
        <w:t> </w:t>
      </w:r>
      <w:r>
        <w:rPr>
          <w:rFonts w:ascii="Times New Roman" w:hAnsi="Times New Roman" w:cs="Times New Roman" w:eastAsia="Times New Roman" w:hint="default"/>
        </w:rPr>
        <w:t>8,000 </w:t>
      </w:r>
      <w:r>
        <w:rPr/>
        <w:t>万股，变</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更后的注册资本</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亿元。</w:t>
      </w:r>
    </w:p>
    <w:p>
      <w:pPr>
        <w:pStyle w:val="BodyText"/>
        <w:spacing w:line="240" w:lineRule="auto" w:before="101"/>
        <w:ind w:left="1134" w:right="0"/>
        <w:jc w:val="left"/>
      </w:pPr>
      <w:r>
        <w:rPr/>
        <w:t>根据</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t>日召开的</w:t>
      </w:r>
      <w:r>
        <w:rPr>
          <w:spacing w:val="-44"/>
        </w:rPr>
        <w:t> </w:t>
      </w:r>
      <w:r>
        <w:rPr>
          <w:rFonts w:ascii="Times New Roman" w:hAnsi="Times New Roman" w:cs="Times New Roman" w:eastAsia="Times New Roman" w:hint="default"/>
        </w:rPr>
        <w:t>2012 </w:t>
      </w:r>
      <w:r>
        <w:rPr/>
        <w:t>年第一次临时股东大会决议审议通过的《公司股票期权激励计划（草案修订稿</w:t>
      </w:r>
      <w:r>
        <w:rPr>
          <w:spacing w:val="-90"/>
        </w:rPr>
        <w:t>）》</w:t>
      </w:r>
      <w:r>
        <w:rPr/>
        <w:t>，公司</w:t>
      </w:r>
    </w:p>
    <w:p>
      <w:pPr>
        <w:pStyle w:val="BodyText"/>
        <w:spacing w:line="240" w:lineRule="auto" w:before="64"/>
        <w:ind w:left="1134" w:right="0"/>
        <w:jc w:val="left"/>
      </w:pPr>
      <w:r>
        <w:rPr/>
        <w:t>向股票期权激励对象定向发行股票。截止</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日，公司累计已向股票激励对象发行股票</w:t>
      </w:r>
      <w:r>
        <w:rPr>
          <w:spacing w:val="-47"/>
        </w:rPr>
        <w:t> </w:t>
      </w:r>
      <w:r>
        <w:rPr>
          <w:rFonts w:ascii="Times New Roman" w:hAnsi="Times New Roman" w:cs="Times New Roman" w:eastAsia="Times New Roman" w:hint="default"/>
        </w:rPr>
        <w:t>5,113,600</w:t>
      </w:r>
      <w:r>
        <w:rPr>
          <w:rFonts w:ascii="Times New Roman" w:hAnsi="Times New Roman" w:cs="Times New Roman" w:eastAsia="Times New Roman" w:hint="default"/>
          <w:spacing w:val="-2"/>
        </w:rPr>
        <w:t> </w:t>
      </w:r>
      <w:r>
        <w:rPr/>
        <w:t>股。</w:t>
      </w:r>
    </w:p>
    <w:p>
      <w:pPr>
        <w:pStyle w:val="BodyText"/>
        <w:spacing w:line="240" w:lineRule="auto" w:before="102"/>
        <w:ind w:right="0"/>
        <w:jc w:val="left"/>
      </w:pPr>
      <w:r>
        <w:rPr/>
        <w:t>根据公司 </w:t>
      </w:r>
      <w:r>
        <w:rPr>
          <w:rFonts w:ascii="Times New Roman" w:hAnsi="Times New Roman" w:cs="Times New Roman" w:eastAsia="Times New Roman" w:hint="default"/>
        </w:rPr>
        <w:t>2013 </w:t>
      </w:r>
      <w:r>
        <w:rPr>
          <w:rFonts w:ascii="Times New Roman" w:hAnsi="Times New Roman" w:cs="Times New Roman" w:eastAsia="Times New Roman" w:hint="default"/>
          <w:spacing w:val="16"/>
        </w:rPr>
        <w:t> </w:t>
      </w:r>
      <w:r>
        <w:rPr/>
        <w:t>年第一次临时股东大会决议、第二届董事会第二十八次会议决议，并经中国证券监督管理委员会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right="0"/>
        <w:jc w:val="left"/>
      </w:pPr>
      <w:r>
        <w:rPr>
          <w:rFonts w:ascii="Times New Roman" w:hAnsi="Times New Roman" w:cs="Times New Roman" w:eastAsia="Times New Roman" w:hint="default"/>
        </w:rPr>
        <w:t>[2013]1633</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核准，公司向李欣发行</w:t>
      </w:r>
      <w:r>
        <w:rPr>
          <w:spacing w:val="-54"/>
        </w:rPr>
        <w:t> </w:t>
      </w:r>
      <w:r>
        <w:rPr>
          <w:rFonts w:ascii="Times New Roman" w:hAnsi="Times New Roman" w:cs="Times New Roman" w:eastAsia="Times New Roman" w:hint="default"/>
        </w:rPr>
        <w:t>17,587,245</w:t>
      </w:r>
      <w:r>
        <w:rPr>
          <w:rFonts w:ascii="Times New Roman" w:hAnsi="Times New Roman" w:cs="Times New Roman" w:eastAsia="Times New Roman" w:hint="default"/>
          <w:spacing w:val="-9"/>
        </w:rPr>
        <w:t> </w:t>
      </w:r>
      <w:r>
        <w:rPr/>
        <w:t>股股份、向昆山中科昆开创业投资有限公司发行</w:t>
      </w:r>
      <w:r>
        <w:rPr>
          <w:spacing w:val="-54"/>
        </w:rPr>
        <w:t> </w:t>
      </w:r>
      <w:r>
        <w:rPr>
          <w:rFonts w:ascii="Times New Roman" w:hAnsi="Times New Roman" w:cs="Times New Roman" w:eastAsia="Times New Roman" w:hint="default"/>
        </w:rPr>
        <w:t>1,362,518</w:t>
      </w:r>
      <w:r>
        <w:rPr>
          <w:rFonts w:ascii="Times New Roman" w:hAnsi="Times New Roman" w:cs="Times New Roman" w:eastAsia="Times New Roman" w:hint="default"/>
          <w:spacing w:val="-9"/>
        </w:rPr>
        <w:t> </w:t>
      </w:r>
      <w:r>
        <w:rPr>
          <w:spacing w:val="-3"/>
        </w:rPr>
        <w:t>股股份、向兰馨</w:t>
      </w:r>
    </w:p>
    <w:p>
      <w:pPr>
        <w:pStyle w:val="BodyText"/>
        <w:spacing w:line="240" w:lineRule="auto" w:before="63"/>
        <w:ind w:right="0"/>
        <w:jc w:val="left"/>
      </w:pPr>
      <w:r>
        <w:rPr/>
        <w:t>成长（天津）股权投资基金合伙企业（有限合伙）发行</w:t>
      </w:r>
      <w:r>
        <w:rPr>
          <w:spacing w:val="-41"/>
        </w:rPr>
        <w:t> </w:t>
      </w:r>
      <w:r>
        <w:rPr>
          <w:rFonts w:ascii="Times New Roman" w:hAnsi="Times New Roman" w:cs="Times New Roman" w:eastAsia="Times New Roman" w:hint="default"/>
        </w:rPr>
        <w:t>1,362,518</w:t>
      </w:r>
      <w:r>
        <w:rPr>
          <w:rFonts w:ascii="Times New Roman" w:hAnsi="Times New Roman" w:cs="Times New Roman" w:eastAsia="Times New Roman" w:hint="default"/>
          <w:spacing w:val="3"/>
        </w:rPr>
        <w:t> </w:t>
      </w:r>
      <w:r>
        <w:rPr/>
        <w:t>股股份、向杭州众赢成长投资合伙企业（有限合伙）发行</w:t>
      </w:r>
    </w:p>
    <w:p>
      <w:pPr>
        <w:pStyle w:val="BodyText"/>
        <w:spacing w:line="240" w:lineRule="auto" w:before="63"/>
        <w:ind w:right="0"/>
        <w:jc w:val="left"/>
      </w:pPr>
      <w:r>
        <w:rPr>
          <w:rFonts w:ascii="Times New Roman" w:hAnsi="Times New Roman" w:cs="Times New Roman" w:eastAsia="Times New Roman" w:hint="default"/>
        </w:rPr>
        <w:t>1,167,792</w:t>
      </w:r>
      <w:r>
        <w:rPr>
          <w:rFonts w:ascii="Times New Roman" w:hAnsi="Times New Roman" w:cs="Times New Roman" w:eastAsia="Times New Roman" w:hint="default"/>
          <w:spacing w:val="-9"/>
        </w:rPr>
        <w:t> </w:t>
      </w:r>
      <w:r>
        <w:rPr/>
        <w:t>股股份、向江阴长泾中科长赢创业投资有限公司发行</w:t>
      </w:r>
      <w:r>
        <w:rPr>
          <w:spacing w:val="-55"/>
        </w:rPr>
        <w:t> </w:t>
      </w:r>
      <w:r>
        <w:rPr>
          <w:rFonts w:ascii="Times New Roman" w:hAnsi="Times New Roman" w:cs="Times New Roman" w:eastAsia="Times New Roman" w:hint="default"/>
        </w:rPr>
        <w:t>973,254</w:t>
      </w:r>
      <w:r>
        <w:rPr>
          <w:rFonts w:ascii="Times New Roman" w:hAnsi="Times New Roman" w:cs="Times New Roman" w:eastAsia="Times New Roman" w:hint="default"/>
          <w:spacing w:val="-10"/>
        </w:rPr>
        <w:t> </w:t>
      </w:r>
      <w:r>
        <w:rPr/>
        <w:t>股股份、向陈兴华发行</w:t>
      </w:r>
      <w:r>
        <w:rPr>
          <w:spacing w:val="-55"/>
        </w:rPr>
        <w:t> </w:t>
      </w:r>
      <w:r>
        <w:rPr>
          <w:rFonts w:ascii="Times New Roman" w:hAnsi="Times New Roman" w:cs="Times New Roman" w:eastAsia="Times New Roman" w:hint="default"/>
        </w:rPr>
        <w:t>762,143</w:t>
      </w:r>
      <w:r>
        <w:rPr>
          <w:rFonts w:ascii="Times New Roman" w:hAnsi="Times New Roman" w:cs="Times New Roman" w:eastAsia="Times New Roman" w:hint="default"/>
          <w:spacing w:val="-10"/>
        </w:rPr>
        <w:t> </w:t>
      </w:r>
      <w:r>
        <w:rPr/>
        <w:t>股股份、向颜廷健发</w:t>
      </w:r>
    </w:p>
    <w:p>
      <w:pPr>
        <w:pStyle w:val="BodyText"/>
        <w:spacing w:line="240" w:lineRule="auto" w:before="63"/>
        <w:ind w:right="0"/>
        <w:jc w:val="left"/>
        <w:rPr>
          <w:rFonts w:ascii="Times New Roman" w:hAnsi="Times New Roman" w:cs="Times New Roman" w:eastAsia="Times New Roman" w:hint="default"/>
        </w:rPr>
      </w:pPr>
      <w:r>
        <w:rPr/>
        <w:t>行</w:t>
      </w:r>
      <w:r>
        <w:rPr>
          <w:spacing w:val="-44"/>
        </w:rPr>
        <w:t> </w:t>
      </w:r>
      <w:r>
        <w:rPr>
          <w:rFonts w:ascii="Times New Roman" w:hAnsi="Times New Roman" w:cs="Times New Roman" w:eastAsia="Times New Roman" w:hint="default"/>
        </w:rPr>
        <w:t>58,626</w:t>
      </w:r>
      <w:r>
        <w:rPr>
          <w:rFonts w:ascii="Times New Roman" w:hAnsi="Times New Roman" w:cs="Times New Roman" w:eastAsia="Times New Roman" w:hint="default"/>
          <w:spacing w:val="2"/>
        </w:rPr>
        <w:t> </w:t>
      </w:r>
      <w:r>
        <w:rPr>
          <w:spacing w:val="-7"/>
        </w:rPr>
        <w:t>股股份、向于海燕发行</w:t>
      </w:r>
      <w:r>
        <w:rPr>
          <w:spacing w:val="-44"/>
        </w:rPr>
        <w:t> </w:t>
      </w:r>
      <w:r>
        <w:rPr>
          <w:rFonts w:ascii="Times New Roman" w:hAnsi="Times New Roman" w:cs="Times New Roman" w:eastAsia="Times New Roman" w:hint="default"/>
        </w:rPr>
        <w:t>49,836</w:t>
      </w:r>
      <w:r>
        <w:rPr>
          <w:rFonts w:ascii="Times New Roman" w:hAnsi="Times New Roman" w:cs="Times New Roman" w:eastAsia="Times New Roman" w:hint="default"/>
          <w:spacing w:val="1"/>
        </w:rPr>
        <w:t> </w:t>
      </w:r>
      <w:r>
        <w:rPr>
          <w:spacing w:val="-8"/>
        </w:rPr>
        <w:t>股股份、向罗明发行</w:t>
      </w:r>
      <w:r>
        <w:rPr>
          <w:spacing w:val="-44"/>
        </w:rPr>
        <w:t> </w:t>
      </w:r>
      <w:r>
        <w:rPr>
          <w:rFonts w:ascii="Times New Roman" w:hAnsi="Times New Roman" w:cs="Times New Roman" w:eastAsia="Times New Roman" w:hint="default"/>
        </w:rPr>
        <w:t>43,976</w:t>
      </w:r>
      <w:r>
        <w:rPr>
          <w:rFonts w:ascii="Times New Roman" w:hAnsi="Times New Roman" w:cs="Times New Roman" w:eastAsia="Times New Roman" w:hint="default"/>
          <w:spacing w:val="1"/>
        </w:rPr>
        <w:t> </w:t>
      </w:r>
      <w:r>
        <w:rPr>
          <w:spacing w:val="-8"/>
        </w:rPr>
        <w:t>股股份、向张晔发行</w:t>
      </w:r>
      <w:r>
        <w:rPr>
          <w:spacing w:val="-44"/>
        </w:rPr>
        <w:t> </w:t>
      </w:r>
      <w:r>
        <w:rPr>
          <w:rFonts w:ascii="Times New Roman" w:hAnsi="Times New Roman" w:cs="Times New Roman" w:eastAsia="Times New Roman" w:hint="default"/>
        </w:rPr>
        <w:t>29,301</w:t>
      </w:r>
      <w:r>
        <w:rPr>
          <w:rFonts w:ascii="Times New Roman" w:hAnsi="Times New Roman" w:cs="Times New Roman" w:eastAsia="Times New Roman" w:hint="default"/>
          <w:spacing w:val="2"/>
        </w:rPr>
        <w:t> </w:t>
      </w:r>
      <w:r>
        <w:rPr>
          <w:spacing w:val="-7"/>
        </w:rPr>
        <w:t>股股份、向侯世勇发行</w:t>
      </w:r>
      <w:r>
        <w:rPr>
          <w:spacing w:val="-44"/>
        </w:rPr>
        <w:t> </w:t>
      </w:r>
      <w:r>
        <w:rPr>
          <w:rFonts w:ascii="Times New Roman" w:hAnsi="Times New Roman" w:cs="Times New Roman" w:eastAsia="Times New Roman" w:hint="default"/>
        </w:rPr>
        <w:t>14,651</w:t>
      </w:r>
    </w:p>
    <w:p>
      <w:pPr>
        <w:pStyle w:val="BodyText"/>
        <w:spacing w:line="240" w:lineRule="auto" w:before="63"/>
        <w:ind w:right="0"/>
        <w:jc w:val="left"/>
      </w:pPr>
      <w:r>
        <w:rPr/>
        <w:t>股股份、向金鑫发行</w:t>
      </w:r>
      <w:r>
        <w:rPr>
          <w:spacing w:val="-46"/>
        </w:rPr>
        <w:t> </w:t>
      </w:r>
      <w:r>
        <w:rPr>
          <w:rFonts w:ascii="Times New Roman" w:hAnsi="Times New Roman" w:cs="Times New Roman" w:eastAsia="Times New Roman" w:hint="default"/>
        </w:rPr>
        <w:t>14,651</w:t>
      </w:r>
      <w:r>
        <w:rPr>
          <w:rFonts w:ascii="Times New Roman" w:hAnsi="Times New Roman" w:cs="Times New Roman" w:eastAsia="Times New Roman" w:hint="default"/>
          <w:spacing w:val="-1"/>
        </w:rPr>
        <w:t> </w:t>
      </w:r>
      <w:r>
        <w:rPr/>
        <w:t>股股份、向张蓓发行</w:t>
      </w:r>
      <w:r>
        <w:rPr>
          <w:spacing w:val="-46"/>
        </w:rPr>
        <w:t> </w:t>
      </w:r>
      <w:r>
        <w:rPr>
          <w:rFonts w:ascii="Times New Roman" w:hAnsi="Times New Roman" w:cs="Times New Roman" w:eastAsia="Times New Roman" w:hint="default"/>
        </w:rPr>
        <w:t>14,651</w:t>
      </w:r>
      <w:r>
        <w:rPr>
          <w:rFonts w:ascii="Times New Roman" w:hAnsi="Times New Roman" w:cs="Times New Roman" w:eastAsia="Times New Roman" w:hint="default"/>
          <w:spacing w:val="-1"/>
        </w:rPr>
        <w:t> </w:t>
      </w:r>
      <w:r>
        <w:rPr/>
        <w:t>股股份，以购买北京亚太安讯科技股份有限公司</w:t>
      </w:r>
      <w:r>
        <w:rPr>
          <w:spacing w:val="-46"/>
        </w:rPr>
        <w:t> </w:t>
      </w:r>
      <w:r>
        <w:rPr>
          <w:rFonts w:ascii="Times New Roman" w:hAnsi="Times New Roman" w:cs="Times New Roman" w:eastAsia="Times New Roman" w:hint="default"/>
        </w:rPr>
        <w:t>83.3333%</w:t>
      </w:r>
      <w:r>
        <w:rPr/>
        <w:t>的股权；</w:t>
      </w:r>
    </w:p>
    <w:p>
      <w:pPr>
        <w:pStyle w:val="BodyText"/>
        <w:spacing w:line="240" w:lineRule="auto" w:before="63"/>
        <w:ind w:left="1134" w:right="0"/>
        <w:jc w:val="left"/>
        <w:rPr>
          <w:rFonts w:ascii="Times New Roman" w:hAnsi="Times New Roman" w:cs="Times New Roman" w:eastAsia="Times New Roman" w:hint="default"/>
        </w:rPr>
      </w:pPr>
      <w:r>
        <w:rPr/>
        <w:t>同时向华安基金管理有限公司</w:t>
      </w:r>
      <w:r>
        <w:rPr>
          <w:spacing w:val="-88"/>
        </w:rPr>
        <w:t>、</w:t>
      </w:r>
      <w:r>
        <w:rPr/>
        <w:t>常州投资集团有限公司和国泰基金管理有限公司以</w:t>
      </w:r>
      <w:r>
        <w:rPr>
          <w:spacing w:val="-45"/>
        </w:rPr>
        <w:t> </w:t>
      </w:r>
      <w:r>
        <w:rPr>
          <w:rFonts w:ascii="Times New Roman" w:hAnsi="Times New Roman" w:cs="Times New Roman" w:eastAsia="Times New Roman" w:hint="default"/>
        </w:rPr>
        <w:t>24 </w:t>
      </w:r>
      <w:r>
        <w:rPr/>
        <w:t>元</w:t>
      </w:r>
      <w:r>
        <w:rPr>
          <w:rFonts w:ascii="Times New Roman" w:hAnsi="Times New Roman" w:cs="Times New Roman" w:eastAsia="Times New Roman" w:hint="default"/>
        </w:rPr>
        <w:t>/</w:t>
      </w:r>
      <w:r>
        <w:rPr/>
        <w:t>股的发行价格非公开发行</w:t>
      </w:r>
      <w:r>
        <w:rPr>
          <w:spacing w:val="-46"/>
        </w:rPr>
        <w:t> </w:t>
      </w:r>
      <w:r>
        <w:rPr>
          <w:rFonts w:ascii="Times New Roman" w:hAnsi="Times New Roman" w:cs="Times New Roman" w:eastAsia="Times New Roman" w:hint="default"/>
        </w:rPr>
        <w:t>8,333,333</w:t>
      </w:r>
    </w:p>
    <w:p>
      <w:pPr>
        <w:pStyle w:val="BodyText"/>
        <w:spacing w:line="240" w:lineRule="auto" w:before="64"/>
        <w:ind w:right="0"/>
        <w:jc w:val="left"/>
      </w:pP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元）人民币普通股，本次定向增发股份共计新增公司股本</w:t>
      </w:r>
      <w:r>
        <w:rPr>
          <w:spacing w:val="-46"/>
        </w:rPr>
        <w:t> </w:t>
      </w:r>
      <w:r>
        <w:rPr>
          <w:rFonts w:ascii="Times New Roman" w:hAnsi="Times New Roman" w:cs="Times New Roman" w:eastAsia="Times New Roman" w:hint="default"/>
        </w:rPr>
        <w:t>31,774,495</w:t>
      </w:r>
      <w:r>
        <w:rPr>
          <w:rFonts w:ascii="Times New Roman" w:hAnsi="Times New Roman" w:cs="Times New Roman" w:eastAsia="Times New Roman" w:hint="default"/>
          <w:spacing w:val="-1"/>
        </w:rPr>
        <w:t> </w:t>
      </w: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w:t>
      </w:r>
    </w:p>
    <w:p>
      <w:pPr>
        <w:pStyle w:val="BodyText"/>
        <w:spacing w:line="240" w:lineRule="auto" w:before="101"/>
        <w:ind w:right="0"/>
        <w:jc w:val="left"/>
      </w:pPr>
      <w:r>
        <w:rPr/>
        <w:t>公司首期股权激励计划第二个行权期采用自主行权模式，行权期限为</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5"/>
        </w:rPr>
        <w:t>日，行权期内公司</w:t>
      </w:r>
    </w:p>
    <w:p>
      <w:pPr>
        <w:pStyle w:val="BodyText"/>
        <w:spacing w:line="240" w:lineRule="auto" w:before="64"/>
        <w:ind w:left="1134" w:right="0"/>
        <w:jc w:val="left"/>
      </w:pPr>
      <w:r>
        <w:rPr/>
        <w:t>股票期权激励计划首次授予股票期权第二个行权期累计共行权</w:t>
      </w:r>
      <w:r>
        <w:rPr>
          <w:spacing w:val="-46"/>
        </w:rPr>
        <w:t> </w:t>
      </w:r>
      <w:r>
        <w:rPr>
          <w:rFonts w:ascii="Times New Roman" w:hAnsi="Times New Roman" w:cs="Times New Roman" w:eastAsia="Times New Roman" w:hint="default"/>
        </w:rPr>
        <w:t>2,655,000</w:t>
      </w:r>
      <w:r>
        <w:rPr>
          <w:rFonts w:ascii="Times New Roman" w:hAnsi="Times New Roman" w:cs="Times New Roman" w:eastAsia="Times New Roman" w:hint="default"/>
          <w:spacing w:val="-2"/>
        </w:rPr>
        <w:t> </w:t>
      </w:r>
      <w:r>
        <w:rPr/>
        <w:t>股。</w:t>
      </w:r>
    </w:p>
    <w:p>
      <w:pPr>
        <w:pStyle w:val="BodyText"/>
        <w:spacing w:line="240" w:lineRule="auto" w:before="101"/>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15 </w:t>
      </w:r>
      <w:r>
        <w:rPr/>
        <w:t>日</w:t>
      </w:r>
      <w:r>
        <w:rPr>
          <w:spacing w:val="-28"/>
        </w:rPr>
        <w:t>，</w:t>
      </w:r>
      <w:r>
        <w:rPr/>
        <w:t>公司召开的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w:t>
      </w:r>
      <w:r>
        <w:rPr>
          <w:spacing w:val="1"/>
        </w:rPr>
        <w:t>股</w:t>
      </w:r>
      <w:r>
        <w:rPr/>
        <w:t>东大会审议通</w:t>
      </w:r>
      <w:r>
        <w:rPr>
          <w:spacing w:val="-28"/>
        </w:rPr>
        <w:t>过</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1"/>
        </w:rPr>
        <w:t>度</w:t>
      </w:r>
      <w:r>
        <w:rPr/>
        <w:t>利润分配预案</w:t>
      </w:r>
      <w:r>
        <w:rPr>
          <w:spacing w:val="-90"/>
        </w:rPr>
        <w:t>》</w:t>
      </w:r>
      <w:r>
        <w:rPr>
          <w:spacing w:val="-28"/>
        </w:rPr>
        <w:t>，</w:t>
      </w:r>
      <w:r>
        <w:rPr/>
        <w:t>以</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日的公</w:t>
      </w:r>
      <w:r>
        <w:rPr>
          <w:spacing w:val="1"/>
        </w:rPr>
        <w:t>司</w:t>
      </w:r>
      <w:r>
        <w:rPr/>
        <w:t>总股本</w:t>
      </w:r>
    </w:p>
    <w:p>
      <w:pPr>
        <w:pStyle w:val="BodyText"/>
        <w:spacing w:line="240" w:lineRule="auto" w:before="63"/>
        <w:ind w:left="1134" w:right="0"/>
        <w:jc w:val="left"/>
      </w:pPr>
      <w:r>
        <w:rPr>
          <w:rFonts w:ascii="Times New Roman" w:hAnsi="Times New Roman" w:cs="Times New Roman" w:eastAsia="Times New Roman" w:hint="default"/>
        </w:rPr>
        <w:t>277,243,495</w:t>
      </w:r>
      <w:r>
        <w:rPr>
          <w:rFonts w:ascii="Times New Roman" w:hAnsi="Times New Roman" w:cs="Times New Roman" w:eastAsia="Times New Roman" w:hint="default"/>
          <w:spacing w:val="3"/>
        </w:rPr>
        <w:t> </w:t>
      </w:r>
      <w:r>
        <w:rPr>
          <w:spacing w:val="-3"/>
        </w:rPr>
        <w:t>股为基数，向全体股东每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元现金；同时，以资本公积向全体股东每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股。公司分红前总</w:t>
      </w:r>
    </w:p>
    <w:p>
      <w:pPr>
        <w:pStyle w:val="BodyText"/>
        <w:spacing w:line="240" w:lineRule="auto" w:before="64"/>
        <w:ind w:left="1134" w:right="0"/>
        <w:jc w:val="left"/>
      </w:pPr>
      <w:r>
        <w:rPr/>
        <w:t>股本为</w:t>
      </w:r>
      <w:r>
        <w:rPr>
          <w:spacing w:val="-47"/>
        </w:rPr>
        <w:t> </w:t>
      </w:r>
      <w:r>
        <w:rPr>
          <w:rFonts w:ascii="Times New Roman" w:hAnsi="Times New Roman" w:cs="Times New Roman" w:eastAsia="Times New Roman" w:hint="default"/>
        </w:rPr>
        <w:t>277,243,495</w:t>
      </w:r>
      <w:r>
        <w:rPr>
          <w:rFonts w:ascii="Times New Roman" w:hAnsi="Times New Roman" w:cs="Times New Roman" w:eastAsia="Times New Roman" w:hint="default"/>
          <w:spacing w:val="-2"/>
        </w:rPr>
        <w:t> </w:t>
      </w:r>
      <w:r>
        <w:rPr/>
        <w:t>股，分红后总股本增至</w:t>
      </w:r>
      <w:r>
        <w:rPr>
          <w:spacing w:val="-47"/>
        </w:rPr>
        <w:t> </w:t>
      </w:r>
      <w:r>
        <w:rPr>
          <w:rFonts w:ascii="Times New Roman" w:hAnsi="Times New Roman" w:cs="Times New Roman" w:eastAsia="Times New Roman" w:hint="default"/>
        </w:rPr>
        <w:t>609,935,689</w:t>
      </w:r>
      <w:r>
        <w:rPr>
          <w:rFonts w:ascii="Times New Roman" w:hAnsi="Times New Roman" w:cs="Times New Roman" w:eastAsia="Times New Roman" w:hint="default"/>
          <w:spacing w:val="-1"/>
        </w:rPr>
        <w:t> </w:t>
      </w:r>
      <w:r>
        <w:rPr/>
        <w:t>股。</w:t>
      </w:r>
    </w:p>
    <w:p>
      <w:pPr>
        <w:pStyle w:val="BodyText"/>
        <w:spacing w:line="240" w:lineRule="auto" w:before="102"/>
        <w:ind w:left="113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日，公司取得中国证监会《关于核准银江股份有限公司非公开发行股票的批复</w:t>
      </w:r>
      <w:r>
        <w:rPr>
          <w:spacing w:val="-90"/>
        </w:rPr>
        <w:t>》</w:t>
      </w:r>
      <w:r>
        <w:rPr/>
        <w:t>（证监许可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号</w:t>
      </w:r>
      <w:r>
        <w:rPr>
          <w:spacing w:val="-90"/>
        </w:rPr>
        <w:t>）</w:t>
      </w:r>
      <w:r>
        <w:rPr/>
        <w:t>，</w:t>
      </w:r>
    </w:p>
    <w:p>
      <w:pPr>
        <w:pStyle w:val="BodyText"/>
        <w:spacing w:line="240" w:lineRule="auto" w:before="63"/>
        <w:ind w:left="1134" w:right="0"/>
        <w:jc w:val="left"/>
      </w:pPr>
      <w:r>
        <w:rPr/>
        <w:t>核准公司非公开发行不超过</w:t>
      </w:r>
      <w:r>
        <w:rPr>
          <w:spacing w:val="-4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万股股票。由于公司于</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日实施了以资本公积每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股的利润分配</w:t>
      </w:r>
    </w:p>
    <w:p>
      <w:pPr>
        <w:pStyle w:val="BodyText"/>
        <w:spacing w:line="309" w:lineRule="auto" w:before="63"/>
        <w:ind w:right="1130"/>
        <w:jc w:val="both"/>
      </w:pPr>
      <w:r>
        <w:rPr>
          <w:spacing w:val="-1"/>
        </w:rPr>
        <w:t>方案，本次非公开发行股票数量调整为不超过</w:t>
      </w:r>
      <w:r>
        <w:rPr>
          <w:spacing w:val="-36"/>
        </w:rPr>
        <w:t> </w:t>
      </w:r>
      <w:r>
        <w:rPr>
          <w:rFonts w:ascii="Times New Roman" w:hAnsi="Times New Roman" w:cs="Times New Roman" w:eastAsia="Times New Roman" w:hint="default"/>
          <w:spacing w:val="-2"/>
        </w:rPr>
        <w:t>11,000</w:t>
      </w:r>
      <w:r>
        <w:rPr>
          <w:rFonts w:ascii="Times New Roman" w:hAnsi="Times New Roman" w:cs="Times New Roman" w:eastAsia="Times New Roman" w:hint="default"/>
          <w:spacing w:val="10"/>
        </w:rPr>
        <w:t> </w:t>
      </w:r>
      <w:r>
        <w:rPr>
          <w:spacing w:val="-4"/>
        </w:rPr>
        <w:t>万股（含）。该调整事项已经履行了会后事项程序。根据发行对象申购</w:t>
      </w:r>
      <w:r>
        <w:rPr>
          <w:spacing w:val="-87"/>
        </w:rPr>
        <w:t> </w:t>
      </w:r>
      <w:r>
        <w:rPr>
          <w:spacing w:val="-87"/>
        </w:rPr>
      </w:r>
      <w:r>
        <w:rPr>
          <w:spacing w:val="-2"/>
        </w:rPr>
        <w:t>报价情况，本次非公开发行向财通基金管理有限公司、华安未来资产管理（上海）有限公司、上海基金管理有限公司和云南</w:t>
      </w:r>
      <w:r>
        <w:rPr>
          <w:spacing w:val="-66"/>
        </w:rPr>
        <w:t> </w:t>
      </w:r>
      <w:r>
        <w:rPr>
          <w:spacing w:val="-66"/>
        </w:rPr>
      </w:r>
      <w:r>
        <w:rPr/>
        <w:t>惠潮投资合伙企业（有限合伙）以</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股的的发行价格非公开发行</w:t>
      </w:r>
      <w:r>
        <w:rPr>
          <w:spacing w:val="-54"/>
        </w:rPr>
        <w:t> </w:t>
      </w:r>
      <w:r>
        <w:rPr>
          <w:rFonts w:ascii="Times New Roman" w:hAnsi="Times New Roman" w:cs="Times New Roman" w:eastAsia="Times New Roman" w:hint="default"/>
        </w:rPr>
        <w:t>43,391,304</w:t>
      </w:r>
      <w:r>
        <w:rPr>
          <w:rFonts w:ascii="Times New Roman" w:hAnsi="Times New Roman" w:cs="Times New Roman" w:eastAsia="Times New Roman" w:hint="default"/>
          <w:spacing w:val="-9"/>
        </w:rPr>
        <w:t> </w:t>
      </w:r>
      <w:r>
        <w:rPr/>
        <w:t>股（每股面值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元）人民币普通股，本次定</w:t>
      </w:r>
    </w:p>
    <w:p>
      <w:pPr>
        <w:pStyle w:val="BodyText"/>
        <w:spacing w:line="240" w:lineRule="auto" w:before="6"/>
        <w:ind w:right="0"/>
        <w:jc w:val="left"/>
      </w:pPr>
      <w:r>
        <w:rPr/>
        <w:t>向增发股份共计新增公司股本</w:t>
      </w:r>
      <w:r>
        <w:rPr>
          <w:spacing w:val="-46"/>
        </w:rPr>
        <w:t> </w:t>
      </w:r>
      <w:r>
        <w:rPr>
          <w:rFonts w:ascii="Times New Roman" w:hAnsi="Times New Roman" w:cs="Times New Roman" w:eastAsia="Times New Roman" w:hint="default"/>
        </w:rPr>
        <w:t>43,391,304</w:t>
      </w:r>
      <w:r>
        <w:rPr>
          <w:rFonts w:ascii="Times New Roman" w:hAnsi="Times New Roman" w:cs="Times New Roman" w:eastAsia="Times New Roman" w:hint="default"/>
          <w:spacing w:val="-1"/>
        </w:rPr>
        <w:t> </w:t>
      </w: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w:t>
      </w:r>
    </w:p>
    <w:p>
      <w:pPr>
        <w:pStyle w:val="BodyText"/>
        <w:spacing w:line="240" w:lineRule="auto" w:before="101"/>
        <w:ind w:left="1134" w:right="0"/>
        <w:jc w:val="left"/>
      </w:pPr>
      <w:r>
        <w:rPr/>
        <w:t>由于亚太安讯未能完成</w:t>
      </w:r>
      <w:r>
        <w:rPr>
          <w:spacing w:val="-46"/>
        </w:rPr>
        <w:t> </w:t>
      </w:r>
      <w:r>
        <w:rPr>
          <w:rFonts w:ascii="Times New Roman" w:hAnsi="Times New Roman" w:cs="Times New Roman" w:eastAsia="Times New Roman" w:hint="default"/>
        </w:rPr>
        <w:t>2014 </w:t>
      </w:r>
      <w:r>
        <w:rPr/>
        <w:t>年度的承诺业绩</w:t>
      </w:r>
      <w:r>
        <w:rPr>
          <w:spacing w:val="-28"/>
        </w:rPr>
        <w:t>，</w:t>
      </w:r>
      <w:r>
        <w:rPr/>
        <w:t>根据公司与其签订</w:t>
      </w:r>
      <w:r>
        <w:rPr>
          <w:spacing w:val="-28"/>
        </w:rPr>
        <w:t>的</w:t>
      </w:r>
      <w:r>
        <w:rPr/>
        <w:t>《盈利预测补偿协议</w:t>
      </w:r>
      <w:r>
        <w:rPr>
          <w:spacing w:val="-90"/>
        </w:rPr>
        <w:t>》</w:t>
      </w:r>
      <w:r>
        <w:rPr>
          <w:spacing w:val="-28"/>
        </w:rPr>
        <w:t>，</w:t>
      </w:r>
      <w:r>
        <w:rPr/>
        <w:t>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17 </w:t>
      </w:r>
      <w:r>
        <w:rPr/>
        <w:t>日在中国</w:t>
      </w:r>
    </w:p>
    <w:p>
      <w:pPr>
        <w:pStyle w:val="BodyText"/>
        <w:spacing w:line="302" w:lineRule="auto" w:before="63"/>
        <w:ind w:right="1118"/>
        <w:jc w:val="left"/>
      </w:pPr>
      <w:r>
        <w:rPr/>
        <w:t>证券登记结算有限责任公司深圳分公司办理完毕原亚太安讯实际控制人李欣所持有的银江股份</w:t>
      </w:r>
      <w:r>
        <w:rPr>
          <w:spacing w:val="-42"/>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2"/>
        </w:rPr>
        <w:t> </w:t>
      </w:r>
      <w:r>
        <w:rPr/>
        <w:t>股回购股份注销手 续。</w:t>
      </w:r>
    </w:p>
    <w:p>
      <w:pPr>
        <w:pStyle w:val="BodyText"/>
        <w:spacing w:line="240" w:lineRule="auto" w:before="68"/>
        <w:ind w:left="1134" w:right="0"/>
        <w:jc w:val="left"/>
      </w:pPr>
      <w:r>
        <w:rPr/>
        <w:t>公司首期股权激励计划第三个行权期采用自主行权模式，行权期限为</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日起至</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6"/>
        </w:rPr>
        <w:t>日，行权期内公</w:t>
      </w:r>
    </w:p>
    <w:p>
      <w:pPr>
        <w:pStyle w:val="BodyText"/>
        <w:spacing w:line="240" w:lineRule="auto" w:before="64"/>
        <w:ind w:left="1134" w:right="0"/>
        <w:jc w:val="left"/>
      </w:pPr>
      <w:r>
        <w:rPr/>
        <w:t>司股票期权激励计划首次授予股票期权第二个行权期累计共行权</w:t>
      </w:r>
      <w:r>
        <w:rPr>
          <w:spacing w:val="-46"/>
        </w:rPr>
        <w:t> </w:t>
      </w:r>
      <w:r>
        <w:rPr>
          <w:rFonts w:ascii="Times New Roman" w:hAnsi="Times New Roman" w:cs="Times New Roman" w:eastAsia="Times New Roman" w:hint="default"/>
        </w:rPr>
        <w:t>7,536,400</w:t>
      </w:r>
      <w:r>
        <w:rPr>
          <w:rFonts w:ascii="Times New Roman" w:hAnsi="Times New Roman" w:cs="Times New Roman" w:eastAsia="Times New Roman" w:hint="default"/>
          <w:spacing w:val="-2"/>
        </w:rPr>
        <w:t> </w:t>
      </w:r>
      <w:r>
        <w:rPr/>
        <w:t>股。</w:t>
      </w:r>
    </w:p>
    <w:p>
      <w:pPr>
        <w:pStyle w:val="BodyText"/>
        <w:spacing w:line="240" w:lineRule="auto" w:before="103"/>
        <w:ind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日，本公司股本</w:t>
      </w:r>
      <w:r>
        <w:rPr>
          <w:spacing w:val="-46"/>
        </w:rPr>
        <w:t> </w:t>
      </w:r>
      <w:r>
        <w:rPr>
          <w:rFonts w:ascii="Times New Roman" w:hAnsi="Times New Roman" w:cs="Times New Roman" w:eastAsia="Times New Roman" w:hint="default"/>
        </w:rPr>
        <w:t>655,789,086 </w:t>
      </w:r>
      <w:r>
        <w:rPr/>
        <w:t>元，累计发行股票</w:t>
      </w:r>
      <w:r>
        <w:rPr>
          <w:spacing w:val="-46"/>
        </w:rPr>
        <w:t> </w:t>
      </w:r>
      <w:r>
        <w:rPr>
          <w:rFonts w:ascii="Times New Roman" w:hAnsi="Times New Roman" w:cs="Times New Roman" w:eastAsia="Times New Roman" w:hint="default"/>
        </w:rPr>
        <w:t>655,789,086</w:t>
      </w:r>
      <w:r>
        <w:rPr>
          <w:rFonts w:ascii="Times New Roman" w:hAnsi="Times New Roman" w:cs="Times New Roman" w:eastAsia="Times New Roman" w:hint="default"/>
          <w:spacing w:val="-1"/>
        </w:rPr>
        <w:t> </w:t>
      </w:r>
      <w:r>
        <w:rPr/>
        <w:t>股。</w:t>
      </w:r>
    </w:p>
    <w:p>
      <w:pPr>
        <w:pStyle w:val="BodyText"/>
        <w:spacing w:line="240" w:lineRule="auto" w:before="102"/>
        <w:ind w:right="0"/>
        <w:jc w:val="left"/>
      </w:pPr>
      <w:r>
        <w:rPr/>
        <w:t>公司注册地址为浙江省杭州市益乐路</w:t>
      </w:r>
      <w:r>
        <w:rPr>
          <w:spacing w:val="-46"/>
        </w:rPr>
        <w:t> </w:t>
      </w:r>
      <w:r>
        <w:rPr>
          <w:rFonts w:ascii="Times New Roman" w:hAnsi="Times New Roman" w:cs="Times New Roman" w:eastAsia="Times New Roman" w:hint="default"/>
        </w:rPr>
        <w:t>223 </w:t>
      </w:r>
      <w:r>
        <w:rPr/>
        <w:t>号</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幢</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层；总部地址为浙江省杭州市西湖科技园西园八路</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号银江软件园。</w:t>
      </w:r>
    </w:p>
    <w:p>
      <w:pPr>
        <w:pStyle w:val="BodyText"/>
        <w:spacing w:line="321" w:lineRule="auto" w:before="102"/>
        <w:ind w:right="0"/>
        <w:jc w:val="left"/>
      </w:pPr>
      <w:r>
        <w:rPr/>
        <w:t>本财务报表业经本公司董事会于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日决议批准报出。 </w:t>
      </w:r>
      <w:r>
        <w:rPr>
          <w:spacing w:val="-2"/>
        </w:rPr>
        <w:t>本公司经营范围：交通、医疗、建筑、环境、能源、教育智能化及信息化技术开发、技术服务、成果转让、设计，工业自动</w:t>
      </w:r>
      <w:r>
        <w:rPr>
          <w:spacing w:val="-71"/>
        </w:rPr>
        <w:t> </w:t>
      </w:r>
      <w:r>
        <w:rPr>
          <w:spacing w:val="-71"/>
        </w:rPr>
      </w:r>
      <w:r>
        <w:rPr>
          <w:spacing w:val="-2"/>
        </w:rPr>
        <w:t>化工程及产品、电力、电子工程及产品、机电工程及产品的设计、技术开发、技术服务、成果转让，停车服务，城市给排水</w:t>
      </w:r>
      <w:r>
        <w:rPr>
          <w:spacing w:val="-65"/>
        </w:rPr>
        <w:t> </w:t>
      </w:r>
      <w:r>
        <w:rPr>
          <w:spacing w:val="-65"/>
        </w:rPr>
      </w:r>
      <w:r>
        <w:rPr>
          <w:spacing w:val="-2"/>
        </w:rPr>
        <w:t>系统设施的建设、运营、管理，城市地下综合管廊工程的施工、运营、管理，安全技术防范工程的设计、施工、维护，智慧</w:t>
      </w:r>
      <w:r>
        <w:rPr>
          <w:spacing w:val="-70"/>
        </w:rPr>
        <w:t> </w:t>
      </w:r>
      <w:r>
        <w:rPr>
          <w:spacing w:val="-70"/>
        </w:rPr>
      </w:r>
      <w:r>
        <w:rPr>
          <w:spacing w:val="-2"/>
        </w:rPr>
        <w:t>城市信息化的技术研发与咨询服务，计算机系统集成及技术服务，数据处理技术服务，软件开发，电子产品、计算机软硬件</w:t>
      </w:r>
      <w:r>
        <w:rPr>
          <w:spacing w:val="-66"/>
        </w:rPr>
        <w:t> </w:t>
      </w:r>
      <w:r>
        <w:rPr>
          <w:spacing w:val="-66"/>
        </w:rPr>
      </w:r>
      <w:r>
        <w:rPr>
          <w:spacing w:val="-2"/>
        </w:rPr>
        <w:t>及设备的销售，从事进出口业务，实业投资。（依法须经批准的项目，经有关部门批准后方可开展经营活动）</w:t>
      </w:r>
    </w:p>
    <w:p>
      <w:pPr>
        <w:pStyle w:val="BodyText"/>
        <w:spacing w:line="240" w:lineRule="auto" w:before="55"/>
        <w:ind w:right="0"/>
        <w:jc w:val="left"/>
      </w:pPr>
      <w:r>
        <w:rPr/>
        <w:t>本公司主要从事智慧城市、智慧交通和智慧医疗等领域工程项目的开发、实施和维护。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本公司</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年度纳入合并范围的子公司共</w:t>
      </w:r>
      <w:r>
        <w:rPr>
          <w:spacing w:val="-62"/>
        </w:rPr>
        <w:t> </w:t>
      </w:r>
      <w:r>
        <w:rPr>
          <w:rFonts w:ascii="Times New Roman" w:hAnsi="Times New Roman" w:cs="Times New Roman" w:eastAsia="Times New Roman" w:hint="default"/>
        </w:rPr>
        <w:t>41</w:t>
      </w:r>
      <w:r>
        <w:rPr>
          <w:rFonts w:ascii="Times New Roman" w:hAnsi="Times New Roman" w:cs="Times New Roman" w:eastAsia="Times New Roman" w:hint="default"/>
          <w:spacing w:val="-17"/>
        </w:rPr>
        <w:t> </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。本公司本年度合并范围比上年度增</w:t>
      </w:r>
    </w:p>
    <w:p>
      <w:pPr>
        <w:pStyle w:val="BodyText"/>
        <w:spacing w:line="240" w:lineRule="auto" w:before="64"/>
        <w:ind w:right="0"/>
        <w:jc w:val="left"/>
      </w:pPr>
      <w:r>
        <w:rPr/>
        <w:t>加</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户，减少</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72"/>
      <w:bookmarkEnd w:id="17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73"/>
      <w:bookmarkEnd w:id="17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jc w:val="both"/>
      </w:pPr>
      <w:r>
        <w:rPr/>
        <w:t>本公司财务报表以持续经营假设为基础</w:t>
      </w:r>
      <w:r>
        <w:rPr>
          <w:spacing w:val="-44"/>
        </w:rPr>
        <w:t>，</w:t>
      </w:r>
      <w:r>
        <w:rPr/>
        <w:t>根据实际发生的交易和事项</w:t>
      </w:r>
      <w:r>
        <w:rPr>
          <w:spacing w:val="-44"/>
        </w:rPr>
        <w:t>，</w:t>
      </w:r>
      <w:r>
        <w:rPr/>
        <w:t>按照财政部发布</w:t>
      </w:r>
      <w:r>
        <w:rPr>
          <w:spacing w:val="-44"/>
        </w:rPr>
        <w:t>的</w:t>
      </w:r>
      <w:r>
        <w:rPr/>
        <w:t>《企业会计准</w:t>
      </w:r>
      <w:r>
        <w:rPr>
          <w:spacing w:val="1"/>
        </w:rPr>
        <w:t>则</w:t>
      </w:r>
      <w:r>
        <w:rPr>
          <w:rFonts w:ascii="Times New Roman" w:hAnsi="Times New Roman" w:cs="Times New Roman" w:eastAsia="Times New Roman" w:hint="default"/>
        </w:rPr>
        <w:t>——</w:t>
      </w:r>
      <w:r>
        <w:rPr/>
        <w:t>基本准则</w:t>
      </w:r>
      <w:r>
        <w:rPr>
          <w:spacing w:val="-134"/>
        </w:rPr>
        <w:t>》</w:t>
      </w:r>
      <w:r>
        <w:rPr/>
        <w:t>（财</w:t>
      </w:r>
      <w:r>
        <w:rPr/>
        <w:t> 政部令第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spacing w:val="1"/>
        </w:rPr>
        <w:t>号</w:t>
      </w:r>
      <w:r>
        <w:rPr/>
        <w:t>发布</w:t>
      </w:r>
      <w:r>
        <w:rPr>
          <w:spacing w:val="-28"/>
        </w:rPr>
        <w:t>、</w:t>
      </w:r>
      <w:r>
        <w:rPr/>
        <w:t>财政部令第</w:t>
      </w:r>
      <w:r>
        <w:rPr>
          <w:spacing w:val="-46"/>
        </w:rPr>
        <w:t> </w:t>
      </w:r>
      <w:r>
        <w:rPr>
          <w:rFonts w:ascii="Times New Roman" w:hAnsi="Times New Roman" w:cs="Times New Roman" w:eastAsia="Times New Roman" w:hint="default"/>
        </w:rPr>
        <w:t>76</w:t>
      </w:r>
      <w:r>
        <w:rPr>
          <w:rFonts w:ascii="Times New Roman" w:hAnsi="Times New Roman" w:cs="Times New Roman" w:eastAsia="Times New Roman" w:hint="default"/>
          <w:spacing w:val="-1"/>
        </w:rPr>
        <w:t> </w:t>
      </w:r>
      <w:r>
        <w:rPr/>
        <w:t>号修</w:t>
      </w:r>
      <w:r>
        <w:rPr>
          <w:spacing w:val="1"/>
        </w:rPr>
        <w:t>订</w:t>
      </w:r>
      <w:r>
        <w:rPr>
          <w:spacing w:val="-90"/>
        </w:rPr>
        <w:t>）</w:t>
      </w:r>
      <w:r>
        <w:rPr>
          <w:spacing w:val="-28"/>
        </w:rPr>
        <w:t>、</w:t>
      </w:r>
      <w:r>
        <w:rPr/>
        <w:t>于</w:t>
      </w:r>
      <w:r>
        <w:rPr>
          <w:spacing w:val="-46"/>
        </w:rPr>
        <w:t> </w:t>
      </w:r>
      <w:r>
        <w:rPr>
          <w:rFonts w:ascii="Times New Roman" w:hAnsi="Times New Roman" w:cs="Times New Roman" w:eastAsia="Times New Roman" w:hint="default"/>
        </w:rPr>
        <w:t>2006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日及</w:t>
      </w:r>
      <w:r>
        <w:rPr>
          <w:spacing w:val="1"/>
        </w:rPr>
        <w:t>其</w:t>
      </w:r>
      <w:r>
        <w:rPr/>
        <w:t>后颁布和修订的</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项具体</w:t>
      </w:r>
      <w:r>
        <w:rPr>
          <w:spacing w:val="1"/>
        </w:rPr>
        <w:t>会</w:t>
      </w:r>
      <w:r>
        <w:rPr/>
        <w:t>计准则</w:t>
      </w:r>
      <w:r>
        <w:rPr>
          <w:spacing w:val="-28"/>
        </w:rPr>
        <w:t>、</w:t>
      </w:r>
      <w:r>
        <w:rPr/>
        <w:t>企业会计准则</w:t>
      </w:r>
      <w:r>
        <w:rPr/>
        <w:t> 应用</w:t>
      </w:r>
      <w:r>
        <w:rPr>
          <w:spacing w:val="1"/>
        </w:rPr>
        <w:t>指</w:t>
      </w:r>
      <w:r>
        <w:rPr/>
        <w:t>南</w:t>
      </w:r>
      <w:r>
        <w:rPr>
          <w:spacing w:val="1"/>
        </w:rPr>
        <w:t>、企</w:t>
      </w:r>
      <w:r>
        <w:rPr/>
        <w:t>业会</w:t>
      </w:r>
      <w:r>
        <w:rPr>
          <w:spacing w:val="1"/>
        </w:rPr>
        <w:t>计</w:t>
      </w:r>
      <w:r>
        <w:rPr/>
        <w:t>准</w:t>
      </w:r>
      <w:r>
        <w:rPr>
          <w:spacing w:val="1"/>
        </w:rPr>
        <w:t>则解</w:t>
      </w:r>
      <w:r>
        <w:rPr/>
        <w:t>释及</w:t>
      </w:r>
      <w:r>
        <w:rPr>
          <w:spacing w:val="1"/>
        </w:rPr>
        <w:t>其</w:t>
      </w:r>
      <w:r>
        <w:rPr/>
        <w:t>他</w:t>
      </w:r>
      <w:r>
        <w:rPr>
          <w:spacing w:val="1"/>
        </w:rPr>
        <w:t>相关</w:t>
      </w:r>
      <w:r>
        <w:rPr/>
        <w:t>规定</w:t>
      </w:r>
      <w:r>
        <w:rPr>
          <w:spacing w:val="1"/>
        </w:rPr>
        <w:t>（</w:t>
      </w:r>
      <w:r>
        <w:rPr/>
        <w:t>以</w:t>
      </w:r>
      <w:r>
        <w:rPr>
          <w:spacing w:val="1"/>
        </w:rPr>
        <w:t>下合</w:t>
      </w:r>
      <w:r>
        <w:rPr>
          <w:spacing w:val="2"/>
        </w:rPr>
        <w:t>称</w:t>
      </w:r>
      <w:r>
        <w:rPr>
          <w:rFonts w:ascii="Times New Roman" w:hAnsi="Times New Roman" w:cs="Times New Roman" w:eastAsia="Times New Roman" w:hint="default"/>
          <w:w w:val="100"/>
        </w:rPr>
        <w:t>“</w:t>
      </w:r>
      <w:r>
        <w:rPr/>
        <w:t>企</w:t>
      </w:r>
      <w:r>
        <w:rPr>
          <w:spacing w:val="1"/>
        </w:rPr>
        <w:t>业</w:t>
      </w:r>
      <w:r>
        <w:rPr/>
        <w:t>会</w:t>
      </w:r>
      <w:r>
        <w:rPr>
          <w:spacing w:val="1"/>
        </w:rPr>
        <w:t>计准</w:t>
      </w:r>
      <w:r>
        <w:rPr/>
        <w:t>则</w:t>
      </w:r>
      <w:r>
        <w:rPr>
          <w:rFonts w:ascii="Times New Roman" w:hAnsi="Times New Roman" w:cs="Times New Roman" w:eastAsia="Times New Roman" w:hint="default"/>
          <w:w w:val="100"/>
        </w:rPr>
        <w:t>”</w:t>
      </w:r>
      <w:r>
        <w:rPr>
          <w:spacing w:val="-90"/>
        </w:rPr>
        <w:t>）</w:t>
      </w:r>
      <w:r>
        <w:rPr>
          <w:spacing w:val="1"/>
        </w:rPr>
        <w:t>，</w:t>
      </w:r>
      <w:r>
        <w:rPr/>
        <w:t>以</w:t>
      </w:r>
      <w:r>
        <w:rPr>
          <w:spacing w:val="1"/>
        </w:rPr>
        <w:t>及中</w:t>
      </w:r>
      <w:r>
        <w:rPr/>
        <w:t>国证</w:t>
      </w:r>
      <w:r>
        <w:rPr>
          <w:spacing w:val="1"/>
        </w:rPr>
        <w:t>券</w:t>
      </w:r>
      <w:r>
        <w:rPr/>
        <w:t>监</w:t>
      </w:r>
      <w:r>
        <w:rPr>
          <w:spacing w:val="1"/>
        </w:rPr>
        <w:t>督管</w:t>
      </w:r>
      <w:r>
        <w:rPr/>
        <w:t>理委</w:t>
      </w:r>
      <w:r>
        <w:rPr>
          <w:spacing w:val="1"/>
        </w:rPr>
        <w:t>员</w:t>
      </w:r>
      <w:r>
        <w:rPr/>
        <w:t>会</w:t>
      </w:r>
      <w:r>
        <w:rPr>
          <w:spacing w:val="1"/>
        </w:rPr>
        <w:t>《公</w:t>
      </w:r>
      <w:r>
        <w:rPr/>
        <w:t>开发行</w:t>
      </w:r>
      <w:r>
        <w:rPr>
          <w:spacing w:val="-2"/>
        </w:rPr>
        <w:t>证</w:t>
      </w:r>
      <w:r>
        <w:rPr/>
        <w:t>券</w:t>
      </w:r>
      <w:r>
        <w:rPr/>
        <w:t> 的公司信息披露编报规则第</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w:t>
      </w:r>
      <w:r>
        <w:rPr>
          <w:spacing w:val="-90"/>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年修订）的披露规定编制。</w:t>
      </w:r>
    </w:p>
    <w:p>
      <w:pPr>
        <w:pStyle w:val="BodyText"/>
        <w:spacing w:line="319" w:lineRule="auto" w:before="51"/>
        <w:ind w:right="0"/>
        <w:jc w:val="left"/>
      </w:pPr>
      <w:r>
        <w:rPr>
          <w:spacing w:val="-2"/>
        </w:rPr>
        <w:t>根据企业会计准则的相关规定，本公司会计核算以权责发生制为基础。除某些金融工具外，本财务报表均以历史成本为计量</w:t>
      </w:r>
      <w:r>
        <w:rPr>
          <w:spacing w:val="-66"/>
        </w:rPr>
        <w:t> </w:t>
      </w:r>
      <w:r>
        <w:rPr>
          <w:spacing w:val="-66"/>
        </w:rPr>
      </w:r>
      <w:r>
        <w:rPr/>
        <w:t>基础。资产如果发生减值，则按照相关规定计提相应的减值准备。</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持续经营" w:id="174"/>
      <w:bookmarkEnd w:id="17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公司评价了自</w:t>
      </w:r>
      <w:r>
        <w:rPr>
          <w:rFonts w:ascii="Times New Roman" w:hAnsi="Times New Roman" w:cs="Times New Roman" w:eastAsia="Times New Roman" w:hint="default"/>
        </w:rPr>
        <w:t>2017</w:t>
      </w:r>
      <w:r>
        <w:rPr/>
        <w:t>年期末起</w:t>
      </w:r>
      <w:r>
        <w:rPr>
          <w:rFonts w:ascii="Times New Roman" w:hAnsi="Times New Roman" w:cs="Times New Roman" w:eastAsia="Times New Roman" w:hint="default"/>
        </w:rPr>
        <w:t>12</w:t>
      </w:r>
      <w:r>
        <w:rPr/>
        <w:t>个月的持续经营能力，评价结果表明未对持续经营能力产生重大怀疑，能够持续经营。</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5"/>
      <w:bookmarkEnd w:id="17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38" w:lineRule="auto" w:before="28"/>
        <w:ind w:right="0"/>
        <w:jc w:val="left"/>
      </w:pPr>
      <w:r>
        <w:rPr/>
        <w:t>具体会计政策和会计估计提示： </w:t>
      </w:r>
      <w:r>
        <w:rPr>
          <w:spacing w:val="-2"/>
        </w:rPr>
        <w:t>本公司及各子公司根据实际生产经营特点，依据相关企业会计准则的规定，对收入确认、建造合同完工百分比确定、研究开</w:t>
      </w:r>
      <w:r>
        <w:rPr>
          <w:spacing w:val="-66"/>
        </w:rPr>
        <w:t> </w:t>
      </w:r>
      <w:r>
        <w:rPr>
          <w:spacing w:val="-66"/>
        </w:rPr>
      </w:r>
      <w:r>
        <w:rPr>
          <w:spacing w:val="-1"/>
        </w:rPr>
        <w:t>发支出等交易和事项制定了若干项具体会计政策和会计估计，详见本附注四、</w:t>
      </w:r>
      <w:r>
        <w:rPr>
          <w:rFonts w:ascii="Times New Roman" w:hAnsi="Times New Roman" w:cs="Times New Roman" w:eastAsia="Times New Roman" w:hint="default"/>
          <w:spacing w:val="-1"/>
        </w:rPr>
        <w:t>23“</w:t>
      </w:r>
      <w:r>
        <w:rPr>
          <w:spacing w:val="-1"/>
        </w:rPr>
        <w:t>收入</w:t>
      </w:r>
      <w:r>
        <w:rPr>
          <w:rFonts w:ascii="Times New Roman" w:hAnsi="Times New Roman" w:cs="Times New Roman" w:eastAsia="Times New Roman" w:hint="default"/>
          <w:spacing w:val="-1"/>
        </w:rPr>
        <w:t>”</w:t>
      </w:r>
      <w:r>
        <w:rPr>
          <w:spacing w:val="-1"/>
        </w:rPr>
        <w:t>、附注四</w:t>
      </w:r>
      <w:r>
        <w:rPr>
          <w:rFonts w:ascii="Times New Roman" w:hAnsi="Times New Roman" w:cs="Times New Roman" w:eastAsia="Times New Roman" w:hint="default"/>
          <w:spacing w:val="-1"/>
        </w:rPr>
        <w:t>17“</w:t>
      </w:r>
      <w:r>
        <w:rPr>
          <w:spacing w:val="-1"/>
        </w:rPr>
        <w:t>无形资产</w:t>
      </w:r>
      <w:r>
        <w:rPr>
          <w:rFonts w:ascii="Times New Roman" w:hAnsi="Times New Roman" w:cs="Times New Roman" w:eastAsia="Times New Roman" w:hint="default"/>
          <w:spacing w:val="-1"/>
        </w:rPr>
        <w:t>”</w:t>
      </w:r>
      <w:r>
        <w:rPr>
          <w:spacing w:val="-1"/>
        </w:rPr>
        <w:t>各项描述。关</w:t>
      </w:r>
    </w:p>
    <w:p>
      <w:pPr>
        <w:pStyle w:val="BodyText"/>
        <w:spacing w:line="231" w:lineRule="exact"/>
        <w:ind w:right="0"/>
        <w:jc w:val="left"/>
      </w:pPr>
      <w:r>
        <w:rPr/>
        <w:t>于管理层所作出的重大会计判断和估计的说明，请参阅附注四、</w:t>
      </w:r>
      <w:r>
        <w:rPr>
          <w:rFonts w:ascii="Times New Roman" w:hAnsi="Times New Roman" w:cs="Times New Roman" w:eastAsia="Times New Roman" w:hint="default"/>
        </w:rPr>
        <w:t>28“</w:t>
      </w:r>
      <w:r>
        <w:rPr/>
        <w:t>重大会计判断和估计</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遵循企业会计准则的声明" w:id="176"/>
      <w:bookmarkEnd w:id="17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spacing w:val="-3"/>
        </w:rPr>
        <w:t>本公司编制的财务报表符合企业会计准则的要求，真实、完整地反映了本公司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日的财务状况及</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年度的</w:t>
      </w:r>
    </w:p>
    <w:p>
      <w:pPr>
        <w:pStyle w:val="BodyText"/>
        <w:spacing w:line="240" w:lineRule="auto" w:before="63"/>
        <w:ind w:right="0"/>
        <w:jc w:val="left"/>
      </w:pPr>
      <w:r>
        <w:rPr>
          <w:spacing w:val="-3"/>
        </w:rPr>
        <w:t>经营成果和现金流量等有关信息。此外，本公司的财务报表在所有重大方面符合中国证券监督管理委员会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spacing w:val="-10"/>
        </w:rPr>
        <w:t>年修订的《公</w:t>
      </w:r>
    </w:p>
    <w:p>
      <w:pPr>
        <w:pStyle w:val="BodyText"/>
        <w:spacing w:line="240" w:lineRule="auto" w:before="64"/>
        <w:ind w:right="0"/>
        <w:jc w:val="left"/>
      </w:pPr>
      <w:r>
        <w:rPr/>
        <w:t>开发行证券的公司信息披露编报规则第</w:t>
      </w:r>
      <w:r>
        <w:rPr>
          <w:spacing w:val="-46"/>
        </w:rPr>
        <w:t> </w:t>
      </w:r>
      <w:r>
        <w:rPr>
          <w:rFonts w:ascii="Times New Roman" w:hAnsi="Times New Roman" w:cs="Times New Roman" w:eastAsia="Times New Roman" w:hint="default"/>
        </w:rPr>
        <w:t>15 </w:t>
      </w:r>
      <w:r>
        <w:rPr/>
        <w:t>号－财务报告的一般规定》有关财务报表及其附注的披露要求。</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会计期间" w:id="177"/>
      <w:bookmarkEnd w:id="17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日止。</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营业周期" w:id="178"/>
      <w:bookmarkEnd w:id="17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14"/>
        <w:jc w:val="left"/>
      </w:pPr>
      <w:r>
        <w:rPr/>
        <w:t>正常营业周期是指本公司从购买用于加工的资产起至实现现金或现金等价物的期间。本公司以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个月作为一个营业周期， 并以其作为资产和负债的流动性划分标准。</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4、记账本位币" w:id="179"/>
      <w:bookmarkEnd w:id="17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5、同一控制下和非同一控制下企业合并的会计处理方法" w:id="180"/>
      <w:bookmarkEnd w:id="18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33" w:lineRule="auto" w:before="56"/>
        <w:ind w:left="113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57" w:lineRule="auto" w:before="7"/>
        <w:ind w:right="1497"/>
        <w:jc w:val="left"/>
      </w:pPr>
      <w:r>
        <w:rPr>
          <w:spacing w:val="-2"/>
        </w:rPr>
        <w:t>（或发行股份面值总额）的差额，调整资本公积（股本溢价）；资本公积（股本溢价）不足以冲减的，调整留存收益。</w:t>
      </w:r>
      <w:r>
        <w:rPr>
          <w:spacing w:val="-76"/>
        </w:rPr>
        <w:t> </w:t>
      </w:r>
      <w:r>
        <w:rPr>
          <w:spacing w:val="-76"/>
        </w:rPr>
      </w:r>
      <w:r>
        <w:rPr/>
        <w:t>合并方为进行企业合并发生的各项直接费用，于发生时计入当期损益。</w:t>
      </w:r>
    </w:p>
    <w:p>
      <w:pPr>
        <w:pStyle w:val="BodyText"/>
        <w:spacing w:line="328" w:lineRule="auto" w:before="29"/>
        <w:ind w:left="1134" w:right="103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p>
    <w:p>
      <w:pPr>
        <w:pStyle w:val="BodyText"/>
        <w:spacing w:line="338" w:lineRule="auto" w:before="11"/>
        <w:ind w:left="1134" w:right="0"/>
        <w:jc w:val="left"/>
      </w:pP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p>
    <w:p>
      <w:pPr>
        <w:pStyle w:val="BodyText"/>
        <w:spacing w:line="314" w:lineRule="auto" w:before="2"/>
        <w:ind w:right="0"/>
        <w:jc w:val="left"/>
      </w:pPr>
      <w:r>
        <w:rPr>
          <w:spacing w:val="-4"/>
        </w:rPr>
        <w:t>当期损益。购买方作为合并对价发行的权益性证券或债务性证券的交易费用，计入权益性证券或债务性证券的初始确认金额。</w:t>
      </w:r>
      <w:r>
        <w:rPr>
          <w:spacing w:val="-44"/>
        </w:rPr>
        <w:t> </w:t>
      </w:r>
      <w:r>
        <w:rPr>
          <w:spacing w:val="-44"/>
        </w:rPr>
      </w:r>
      <w:r>
        <w:rPr/>
        <w:t>所涉及的或有对价按其在购买日的公允价值计入合并成本，购买日后</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个月内出现对购买日已存在情况的新的或进一步证 </w:t>
      </w:r>
      <w:r>
        <w:rPr>
          <w:spacing w:val="-2"/>
        </w:rPr>
        <w:t>据而需要调整或有对价的，相应调整合并商誉。购买方发生的合并成本及在合并中取得的可辨认净资产按购买日的公允价值</w:t>
      </w:r>
      <w:r>
        <w:rPr>
          <w:spacing w:val="-63"/>
        </w:rPr>
        <w:t> </w:t>
      </w:r>
      <w:r>
        <w:rPr>
          <w:spacing w:val="-63"/>
        </w:rPr>
      </w:r>
      <w:r>
        <w:rPr>
          <w:spacing w:val="-2"/>
        </w:rPr>
        <w:t>计量。合并成本大于合并中取得的被购买方于购买日可辨认净资产公允价值份额的差额，确认为商誉。合并成本小于合并中</w:t>
      </w:r>
      <w:r>
        <w:rPr>
          <w:spacing w:val="-66"/>
        </w:rPr>
        <w:t> </w:t>
      </w:r>
      <w:r>
        <w:rPr>
          <w:spacing w:val="-66"/>
        </w:rPr>
      </w:r>
      <w:r>
        <w:rPr>
          <w:spacing w:val="-2"/>
        </w:rPr>
        <w:t>取得的被购买方可辨认净资产公允价值份额的，首先对取得的被购买方各项可辨认资产、负债及或有负债的公允价值以及合</w:t>
      </w:r>
      <w:r>
        <w:rPr>
          <w:spacing w:val="-64"/>
        </w:rPr>
        <w:t> </w:t>
      </w:r>
      <w:r>
        <w:rPr>
          <w:spacing w:val="-64"/>
        </w:rPr>
      </w:r>
      <w:r>
        <w:rPr>
          <w:spacing w:val="-4"/>
        </w:rPr>
        <w:t>并成本的计量进行复核，复核后合并成本仍小于合并中取得的被购买方可辨认净资产公允价值份额的，其差额计入当期损益。</w:t>
      </w:r>
    </w:p>
    <w:p>
      <w:pPr>
        <w:pStyle w:val="BodyText"/>
        <w:spacing w:line="312" w:lineRule="auto" w:before="60"/>
        <w:ind w:left="1134" w:right="0"/>
        <w:jc w:val="left"/>
      </w:pPr>
      <w:r>
        <w:rPr/>
        <w:t>购买方取得被购买方的可抵扣暂时性差异，在购买日因不符合递延所得税资产确认条件而未予确认的，在购买日后</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 </w:t>
      </w:r>
      <w:r>
        <w:rPr>
          <w:spacing w:val="-2"/>
        </w:rPr>
        <w:t>内，如取得新的或进一步的信息表明购买日的相关情况已经存在，预期被购买方在购买日可抵扣暂时性差异带来的经济利益</w:t>
      </w:r>
      <w:r>
        <w:rPr>
          <w:spacing w:val="-64"/>
        </w:rPr>
        <w:t> </w:t>
      </w:r>
      <w:r>
        <w:rPr>
          <w:spacing w:val="-64"/>
        </w:rPr>
      </w:r>
      <w:r>
        <w:rPr>
          <w:spacing w:val="-4"/>
        </w:rPr>
        <w:t>能够实现的，则确认相关的递延所得税资产，同时减少商誉，商誉不足冲减的，差额部分确认为当期损益；除上述情况以外，</w:t>
      </w:r>
      <w:r>
        <w:rPr>
          <w:spacing w:val="-44"/>
        </w:rPr>
        <w:t> </w:t>
      </w:r>
      <w:r>
        <w:rPr>
          <w:spacing w:val="-44"/>
        </w:rPr>
      </w:r>
      <w:r>
        <w:rPr/>
        <w:t>确认与企业合并相关的递延所得税资产的，计入当期损益。</w:t>
      </w:r>
    </w:p>
    <w:p>
      <w:pPr>
        <w:pStyle w:val="BodyText"/>
        <w:spacing w:line="240" w:lineRule="auto" w:before="61"/>
        <w:ind w:left="1134" w:right="0"/>
        <w:jc w:val="left"/>
      </w:pPr>
      <w:r>
        <w:rPr/>
        <w:t>通过多次交易分步实现的非同一控制下企业合并，根据《财政部关于印发企业会计准则解释第</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号的通知</w:t>
      </w:r>
      <w:r>
        <w:rPr>
          <w:spacing w:val="-90"/>
        </w:rPr>
        <w:t>》</w:t>
      </w:r>
      <w:r>
        <w:rPr/>
        <w:t>（财会〔</w:t>
      </w:r>
      <w:r>
        <w:rPr>
          <w:rFonts w:ascii="Times New Roman" w:hAnsi="Times New Roman" w:cs="Times New Roman" w:eastAsia="Times New Roman" w:hint="default"/>
        </w:rPr>
        <w:t>2012</w:t>
      </w:r>
      <w:r>
        <w:rPr/>
        <w:t>〕</w:t>
      </w:r>
    </w:p>
    <w:p>
      <w:pPr>
        <w:pStyle w:val="BodyText"/>
        <w:spacing w:line="300" w:lineRule="auto" w:before="63"/>
        <w:ind w:right="-5907"/>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号）和《企业会计准则第</w:t>
      </w:r>
      <w:r>
        <w:rPr>
          <w:spacing w:val="-40"/>
        </w:rPr>
        <w:t> </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spacing w:val="-7"/>
          <w:w w:val="100"/>
        </w:rPr>
        <w:t>号</w:t>
      </w:r>
      <w:r>
        <w:rPr>
          <w:rFonts w:ascii="Times New Roman" w:hAnsi="Times New Roman" w:cs="Times New Roman" w:eastAsia="Times New Roman" w:hint="default"/>
          <w:spacing w:val="-7"/>
          <w:w w:val="100"/>
        </w:rPr>
        <w:t>——</w:t>
      </w:r>
      <w:r>
        <w:rPr>
          <w:spacing w:val="-7"/>
          <w:w w:val="100"/>
        </w:rPr>
        <w:t>合并财务报表》第五十一条关于</w:t>
      </w:r>
      <w:r>
        <w:rPr>
          <w:rFonts w:ascii="Times New Roman" w:hAnsi="Times New Roman" w:cs="Times New Roman" w:eastAsia="Times New Roman" w:hint="default"/>
          <w:spacing w:val="-7"/>
          <w:w w:val="100"/>
        </w:rPr>
        <w:t>“</w:t>
      </w:r>
      <w:r>
        <w:rPr>
          <w:spacing w:val="-7"/>
          <w:w w:val="100"/>
        </w:rPr>
        <w:t>一揽子交易</w:t>
      </w:r>
      <w:r>
        <w:rPr>
          <w:rFonts w:ascii="Times New Roman" w:hAnsi="Times New Roman" w:cs="Times New Roman" w:eastAsia="Times New Roman" w:hint="default"/>
          <w:spacing w:val="-7"/>
          <w:w w:val="100"/>
        </w:rPr>
        <w:t>”</w:t>
      </w:r>
      <w:r>
        <w:rPr>
          <w:spacing w:val="-7"/>
          <w:w w:val="100"/>
        </w:rPr>
        <w:t>的判断标准（参见本附注四、</w:t>
      </w:r>
      <w:r>
        <w:rPr>
          <w:rFonts w:ascii="Times New Roman" w:hAnsi="Times New Roman" w:cs="Times New Roman" w:eastAsia="Times New Roman" w:hint="default"/>
          <w:spacing w:val="-7"/>
          <w:w w:val="100"/>
        </w:rPr>
        <w:t>5</w:t>
      </w:r>
      <w:r>
        <w:rPr>
          <w:spacing w:val="-7"/>
          <w:w w:val="100"/>
        </w:rPr>
        <w:t>（</w:t>
      </w:r>
      <w:r>
        <w:rPr>
          <w:rFonts w:ascii="Times New Roman" w:hAnsi="Times New Roman" w:cs="Times New Roman" w:eastAsia="Times New Roman" w:hint="default"/>
          <w:spacing w:val="-7"/>
          <w:w w:val="100"/>
        </w:rPr>
        <w:t>2</w:t>
      </w:r>
      <w:r>
        <w:rPr>
          <w:spacing w:val="-7"/>
          <w:w w:val="100"/>
        </w:rPr>
        <w:t>）），</w:t>
      </w:r>
      <w:r>
        <w:rPr>
          <w:spacing w:val="-1"/>
        </w:rPr>
        <w:t>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的，参考本部分前面各段描述及本附注四、</w:t>
      </w:r>
      <w:r>
        <w:rPr>
          <w:rFonts w:ascii="Times New Roman" w:hAnsi="Times New Roman" w:cs="Times New Roman" w:eastAsia="Times New Roman" w:hint="default"/>
          <w:spacing w:val="-1"/>
        </w:rPr>
        <w:t>12“</w:t>
      </w:r>
      <w:r>
        <w:rPr>
          <w:spacing w:val="-1"/>
        </w:rPr>
        <w:t>长期股权投资</w:t>
      </w:r>
      <w:r>
        <w:rPr>
          <w:rFonts w:ascii="Times New Roman" w:hAnsi="Times New Roman" w:cs="Times New Roman" w:eastAsia="Times New Roman" w:hint="default"/>
          <w:spacing w:val="-1"/>
        </w:rPr>
        <w:t>”</w:t>
      </w:r>
      <w:r>
        <w:rPr>
          <w:spacing w:val="-1"/>
        </w:rPr>
        <w:t>进</w:t>
      </w:r>
      <w:r>
        <w:rPr>
          <w:spacing w:val="-56"/>
        </w:rPr>
        <w:t> </w:t>
      </w: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51"/>
        <w:ind w:right="1132"/>
        <w:jc w:val="both"/>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spacing w:val="-3"/>
        </w:rPr>
        <w:t>债或净资产导致的变动中的相应份额以外，其余转入当期投资收益）。</w:t>
      </w:r>
    </w:p>
    <w:p>
      <w:pPr>
        <w:pStyle w:val="BodyText"/>
        <w:spacing w:line="319" w:lineRule="auto" w:before="56"/>
        <w:ind w:right="1132"/>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spacing w:val="-3"/>
        </w:rPr>
        <w:t>益计划净负债或净资产导致的变动中的相应份额以外，其余转为购买日所属当期投资收益）。</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134" w:right="0"/>
        <w:jc w:val="left"/>
        <w:rPr>
          <w:b w:val="0"/>
          <w:bCs w:val="0"/>
        </w:rPr>
      </w:pPr>
      <w:bookmarkStart w:name="6、合并财务报表的编制方法" w:id="181"/>
      <w:bookmarkEnd w:id="18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54"/>
        <w:ind w:right="0"/>
        <w:jc w:val="left"/>
      </w:pPr>
      <w:r>
        <w:rPr/>
        <w:t>一旦相关事实和情况的变化导致上述控制定义涉及的相关要素发生了变化，本公司将进行重新评估。</w:t>
      </w:r>
    </w:p>
    <w:p>
      <w:pPr>
        <w:pStyle w:val="BodyText"/>
        <w:spacing w:line="321" w:lineRule="auto" w:before="116"/>
        <w:ind w:left="113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5"/>
        </w:rPr>
        <w:t> </w:t>
      </w:r>
      <w:r>
        <w:rPr>
          <w:spacing w:val="-65"/>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的子公司，其自合并当期期初至合并日的经营成果和现金流量已经适当地包括在合并利润表和合并现金流量表中，并且同时</w:t>
      </w:r>
      <w:r>
        <w:rPr>
          <w:spacing w:val="-64"/>
        </w:rPr>
        <w:t> </w:t>
      </w:r>
      <w:r>
        <w:rPr>
          <w:spacing w:val="-64"/>
        </w:rPr>
      </w:r>
      <w:r>
        <w:rPr/>
        <w:t>调整合并财务报表的对比数。</w:t>
      </w:r>
    </w:p>
    <w:p>
      <w:pPr>
        <w:pStyle w:val="BodyText"/>
        <w:spacing w:line="319" w:lineRule="auto" w:before="55"/>
        <w:ind w:left="1134" w:right="1131"/>
        <w:jc w:val="both"/>
      </w:pP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38" w:lineRule="auto" w:before="56"/>
        <w:ind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w:t>
      </w:r>
      <w:r>
        <w:rPr>
          <w:spacing w:val="-9"/>
        </w:rPr>
        <w:t> </w:t>
      </w:r>
      <w:r>
        <w:rPr>
          <w:spacing w:val="-9"/>
        </w:rPr>
      </w:r>
      <w:r>
        <w:rPr/>
        <w:t>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p>
    <w:p>
      <w:pPr>
        <w:pStyle w:val="BodyText"/>
        <w:spacing w:line="230" w:lineRule="exact"/>
        <w:ind w:right="0"/>
        <w:jc w:val="left"/>
      </w:pPr>
      <w:r>
        <w:rPr/>
        <w:t>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w:t>
      </w:r>
    </w:p>
    <w:p>
      <w:pPr>
        <w:pStyle w:val="BodyText"/>
        <w:spacing w:line="338" w:lineRule="auto" w:before="64"/>
        <w:ind w:left="1134" w:right="1118"/>
        <w:jc w:val="left"/>
      </w:pP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p>
    <w:p>
      <w:pPr>
        <w:pStyle w:val="BodyText"/>
        <w:spacing w:line="316" w:lineRule="auto" w:before="2"/>
        <w:ind w:left="1134" w:right="1130"/>
        <w:jc w:val="both"/>
      </w:pP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spacing w:val="-2"/>
        </w:rPr>
        <w:t>债或净资产导致的变动以外，其余一并转为当期投资收益）。其后，对该部分剩余股权按照《企业会计准则第</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长期</w:t>
      </w:r>
    </w:p>
    <w:p>
      <w:pPr>
        <w:pStyle w:val="BodyText"/>
        <w:spacing w:line="316" w:lineRule="auto"/>
        <w:ind w:right="1115"/>
        <w:jc w:val="left"/>
      </w:pPr>
      <w:r>
        <w:rPr>
          <w:spacing w:val="-3"/>
        </w:rPr>
        <w:t>股权投资》或《企业会计准则第</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w:t>
      </w:r>
      <w:r>
        <w:rPr>
          <w:spacing w:val="-75"/>
        </w:rPr>
        <w:t> </w:t>
      </w:r>
      <w:r>
        <w:rPr>
          <w:spacing w:val="-75"/>
        </w:rPr>
      </w:r>
      <w:r>
        <w:rPr/>
        <w:t>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因处置部分股权投资或其他原因丧失了对原有子公司的控</w:t>
      </w:r>
    </w:p>
    <w:p>
      <w:pPr>
        <w:pStyle w:val="BodyText"/>
        <w:spacing w:line="309" w:lineRule="auto"/>
        <w:ind w:left="1134" w:right="1043"/>
        <w:jc w:val="both"/>
      </w:pPr>
      <w:r>
        <w:rPr/>
        <w:t>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（详见前段）适用的原则进行会计处理。处置对子公司股权投资直至丧失控制权的各项交易属于一揽子交易的，将各</w:t>
      </w:r>
      <w:r>
        <w:rPr>
          <w:spacing w:val="-77"/>
        </w:rPr>
        <w:t> </w:t>
      </w:r>
      <w:r>
        <w:rPr>
          <w:spacing w:val="-77"/>
        </w:rPr>
      </w:r>
      <w:r>
        <w:rPr>
          <w:spacing w:val="-2"/>
        </w:rPr>
        <w:t>项交易作为一项处置子公司并丧失控制权的交易进行会计处理；但是，在丧失控制权之前每一次处置价款与处置投资对应的</w:t>
      </w:r>
      <w:r>
        <w:rPr>
          <w:spacing w:val="-63"/>
        </w:rPr>
        <w:t> </w:t>
      </w:r>
      <w:r>
        <w:rPr>
          <w:spacing w:val="-63"/>
        </w:rPr>
      </w:r>
      <w:r>
        <w:rPr>
          <w:spacing w:val="-4"/>
        </w:rPr>
        <w:t>享有该子公司净资产份额的差额，在合并财务报表中确认为其他综合收益，在丧失控制权时一并转入丧失控制权当期的损益。</w:t>
      </w:r>
    </w:p>
    <w:p>
      <w:pPr>
        <w:spacing w:line="240" w:lineRule="auto" w:before="10"/>
        <w:rPr>
          <w:rFonts w:ascii="宋体" w:hAnsi="宋体" w:cs="宋体" w:eastAsia="宋体" w:hint="default"/>
          <w:sz w:val="22"/>
          <w:szCs w:val="22"/>
        </w:rPr>
      </w:pPr>
    </w:p>
    <w:p>
      <w:pPr>
        <w:pStyle w:val="Heading4"/>
        <w:spacing w:line="240" w:lineRule="auto"/>
        <w:ind w:left="1134" w:right="0"/>
        <w:jc w:val="left"/>
        <w:rPr>
          <w:b w:val="0"/>
          <w:bCs w:val="0"/>
        </w:rPr>
      </w:pPr>
      <w:bookmarkStart w:name="7、合营安排分类及共同经营会计处理方法" w:id="182"/>
      <w:bookmarkEnd w:id="18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0"/>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48" w:lineRule="auto" w:before="44"/>
        <w:ind w:right="0"/>
        <w:jc w:val="left"/>
      </w:pPr>
      <w:r>
        <w:rPr/>
        <w:t>是指本公司仅对该安排的净资产享有权利的合营安排。 </w:t>
      </w:r>
      <w:r>
        <w:rPr>
          <w:spacing w:val="-2"/>
        </w:rPr>
        <w:t>本公司对合营企业的投资采用权益法核算，按照本附注四、</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w:t>
      </w:r>
      <w:r>
        <w:rPr>
          <w:spacing w:val="-2"/>
        </w:rPr>
        <w:t>）②</w:t>
      </w:r>
      <w:r>
        <w:rPr>
          <w:rFonts w:ascii="Times New Roman" w:hAnsi="Times New Roman" w:cs="Times New Roman" w:eastAsia="Times New Roman" w:hint="default"/>
          <w:spacing w:val="-2"/>
        </w:rPr>
        <w:t>“</w:t>
      </w:r>
      <w:r>
        <w:rPr>
          <w:spacing w:val="-2"/>
        </w:rPr>
        <w:t>权益法核算的长期股权投资</w:t>
      </w:r>
      <w:r>
        <w:rPr>
          <w:rFonts w:ascii="Times New Roman" w:hAnsi="Times New Roman" w:cs="Times New Roman" w:eastAsia="Times New Roman" w:hint="default"/>
          <w:spacing w:val="-2"/>
        </w:rPr>
        <w:t>”</w:t>
      </w:r>
      <w:r>
        <w:rPr>
          <w:spacing w:val="-2"/>
        </w:rPr>
        <w:t>中所述的会计政策处理。</w:t>
      </w:r>
      <w:r>
        <w:rPr>
          <w:spacing w:val="-39"/>
        </w:rPr>
        <w:t> </w:t>
      </w:r>
      <w:r>
        <w:rPr>
          <w:spacing w:val="-2"/>
        </w:rPr>
        <w:t>本公司作为合营方对共同经营，确认本公司单独持有的资产、单独所承担的负债，以及按本公司份额确认共同持有的资产和</w:t>
      </w:r>
    </w:p>
    <w:p>
      <w:pPr>
        <w:pStyle w:val="BodyText"/>
        <w:spacing w:line="319" w:lineRule="auto"/>
        <w:ind w:left="1134" w:right="0"/>
        <w:jc w:val="left"/>
      </w:pP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w:t>
      </w:r>
    </w:p>
    <w:p>
      <w:pPr>
        <w:pStyle w:val="BodyText"/>
        <w:spacing w:line="312" w:lineRule="auto" w:before="55"/>
        <w:ind w:right="1131"/>
        <w:jc w:val="both"/>
      </w:pPr>
      <w:r>
        <w:rPr>
          <w:spacing w:val="-2"/>
        </w:rPr>
        <w:t>当本公司作为合营方向共同经营投出或出售资产（该资产不构成业务，下同）、或者自共同经营购买资产时，在该等资产出</w:t>
      </w:r>
      <w:r>
        <w:rPr>
          <w:spacing w:val="-65"/>
        </w:rPr>
        <w:t> </w:t>
      </w:r>
      <w:r>
        <w:rPr>
          <w:spacing w:val="-65"/>
        </w:rPr>
      </w:r>
      <w:r>
        <w:rPr>
          <w:spacing w:val="-2"/>
        </w:rPr>
        <w:t>售给第三方之前，本公司仅确认因该交易产生的损益中归属于共同经营其他参与方的部分。该等资产发生符合《企业会计准</w:t>
      </w:r>
      <w:r>
        <w:rPr>
          <w:spacing w:val="-65"/>
        </w:rPr>
        <w:t> </w:t>
      </w:r>
      <w:r>
        <w:rPr>
          <w:spacing w:val="-65"/>
        </w:rPr>
      </w:r>
      <w:r>
        <w:rPr/>
        <w:t>则第</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资产减值》等规定的资产减值损失的，对于由本公司向共同经营投出或出售资产的情况，本公司全额确认该损</w:t>
      </w:r>
      <w:r>
        <w:rPr>
          <w:spacing w:val="-88"/>
        </w:rPr>
        <w:t> </w:t>
      </w:r>
      <w:r>
        <w:rPr>
          <w:spacing w:val="-88"/>
        </w:rPr>
      </w:r>
      <w:r>
        <w:rPr/>
        <w:t>失；对于本公司自共同经营购买资产的情况，本公司按承担的份额确认该损失。</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8、现金及现金等价物的确定标准" w:id="183"/>
      <w:bookmarkEnd w:id="18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本公司现金及现金等价物包括库存现金、可以随时用于支付的存款以及本公司持有的期限短（一般为从购买日起三个月内到</w:t>
      </w:r>
      <w:r>
        <w:rPr>
          <w:spacing w:val="-64"/>
        </w:rPr>
        <w:t> </w:t>
      </w:r>
      <w:r>
        <w:rPr>
          <w:spacing w:val="-64"/>
        </w:rPr>
      </w:r>
      <w:r>
        <w:rPr>
          <w:spacing w:val="-3"/>
        </w:rPr>
        <w:t>期）、流动性强、易于转换为已知金额现金、价值变动风险很小的投资。</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84"/>
      <w:bookmarkEnd w:id="18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left="113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本公司发生的外币交易在初始确认时，按交易日的即期汇率折算为记账本位币金额，但公司发生的外币兑换业务或涉及外币</w:t>
      </w:r>
      <w:r>
        <w:rPr>
          <w:spacing w:val="-64"/>
        </w:rPr>
        <w:t> </w:t>
      </w:r>
      <w:r>
        <w:rPr>
          <w:spacing w:val="-64"/>
        </w:rPr>
      </w:r>
      <w:r>
        <w:rPr/>
        <w:t>兑换的交易事项，按照实际采用的汇率折算为记账本位币金额。</w:t>
      </w:r>
    </w:p>
    <w:p>
      <w:pPr>
        <w:pStyle w:val="BodyText"/>
        <w:spacing w:line="324" w:lineRule="auto" w:before="50"/>
        <w:ind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条件的资产相关的外币专门借款产生的汇兑差额按照借款费用资本化的原则处理；②以及可供出售的外币货币性项目除摊余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9" w:lineRule="auto" w:before="52"/>
        <w:ind w:right="1131"/>
        <w:jc w:val="both"/>
      </w:pP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w:t>
      </w:r>
    </w:p>
    <w:p>
      <w:pPr>
        <w:pStyle w:val="BodyText"/>
        <w:spacing w:line="321" w:lineRule="auto" w:before="58"/>
        <w:ind w:right="1033"/>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44"/>
        </w:rPr>
        <w:t> </w:t>
      </w:r>
      <w:r>
        <w:rPr>
          <w:spacing w:val="-44"/>
        </w:rPr>
      </w:r>
      <w:r>
        <w:rPr>
          <w:spacing w:val="-2"/>
        </w:rPr>
        <w:t>发生日的即期汇率折算。年初未分配利润为上一年折算后的年末未分配利润；年末未分配利润按折算后的利润分配各项目计</w:t>
      </w:r>
      <w:r>
        <w:rPr>
          <w:spacing w:val="-64"/>
        </w:rPr>
        <w:t> </w:t>
      </w:r>
      <w:r>
        <w:rPr>
          <w:spacing w:val="-64"/>
        </w:rPr>
      </w:r>
      <w:r>
        <w:rPr/>
        <w:t>算列示；折算后资产类项目与负债类项目和股东权益类项目合计数的差额，作为外币报表折算差额，确认为其他综合收益。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pStyle w:val="BodyText"/>
        <w:spacing w:line="357" w:lineRule="auto" w:before="56"/>
        <w:ind w:left="1134" w:right="1032"/>
        <w:jc w:val="left"/>
      </w:pPr>
      <w:r>
        <w:rPr/>
        <w:t>外币现金流量，采用现金流量发生日的即期汇率折算。汇率变动对现金的影响额作为调节项目，在现金流量表中单独列报。 年初数和上年实际数按照上年财务报表折算后的数额列示。</w:t>
      </w:r>
    </w:p>
    <w:p>
      <w:pPr>
        <w:pStyle w:val="BodyText"/>
        <w:spacing w:line="319" w:lineRule="auto" w:before="26"/>
        <w:ind w:right="0"/>
        <w:jc w:val="left"/>
      </w:pP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w:t>
      </w:r>
    </w:p>
    <w:p>
      <w:pPr>
        <w:pStyle w:val="BodyText"/>
        <w:spacing w:line="319" w:lineRule="auto" w:before="56"/>
        <w:ind w:right="1131"/>
        <w:jc w:val="both"/>
      </w:pP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0、金融工具" w:id="185"/>
      <w:bookmarkEnd w:id="18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21" w:lineRule="auto" w:before="56"/>
        <w:ind w:left="113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28" w:lineRule="auto" w:before="55"/>
        <w:ind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57" w:lineRule="auto" w:before="50"/>
        <w:ind w:right="1394"/>
        <w:jc w:val="left"/>
      </w:pPr>
      <w:r>
        <w:rPr/>
        <w:t>①以公允价值计量且其变动计入当期损益的金融资产 包括交易性金融资产和指定为以公允价值计量且其变动计入当期损益的金融资产。</w:t>
      </w:r>
    </w:p>
    <w:p>
      <w:pPr>
        <w:pStyle w:val="BodyText"/>
        <w:spacing w:line="307" w:lineRule="auto" w:before="26"/>
        <w:ind w:right="1048"/>
        <w:jc w:val="left"/>
      </w:pP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spacing w:val="-44"/>
        </w:rPr>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w:t>
      </w:r>
    </w:p>
    <w:p>
      <w:pPr>
        <w:pStyle w:val="BodyText"/>
        <w:spacing w:line="307" w:lineRule="auto" w:before="65"/>
        <w:ind w:right="113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3"/>
        </w:rPr>
        <w:t> </w:t>
      </w:r>
      <w:r>
        <w:rPr>
          <w:spacing w:val="-63"/>
        </w:rPr>
      </w:r>
      <w:r>
        <w:rPr/>
        <w:t>理、评价并向关键管理人员报告。</w:t>
      </w:r>
    </w:p>
    <w:p>
      <w:pPr>
        <w:pStyle w:val="BodyText"/>
        <w:spacing w:line="319" w:lineRule="auto" w:before="64"/>
        <w:ind w:left="1134" w:right="0"/>
        <w:jc w:val="left"/>
      </w:pP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60" w:lineRule="auto" w:before="56"/>
        <w:ind w:left="1134" w:right="2652"/>
        <w:jc w:val="left"/>
      </w:pPr>
      <w:r>
        <w:rPr/>
        <w:t>②持有至到期投资 是指到期日固定、回收金额固定或可确定，且本公司有明确意图和能力持有至到期的非衍生金融资产。</w:t>
      </w:r>
    </w:p>
    <w:p>
      <w:pPr>
        <w:pStyle w:val="BodyText"/>
        <w:spacing w:line="319" w:lineRule="auto" w:before="25"/>
        <w:ind w:left="1134" w:right="1118"/>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w:t>
      </w:r>
    </w:p>
    <w:p>
      <w:pPr>
        <w:pStyle w:val="BodyText"/>
        <w:spacing w:line="319" w:lineRule="auto" w:before="55"/>
        <w:ind w:left="1134" w:right="1130"/>
        <w:jc w:val="both"/>
      </w:pPr>
      <w:r>
        <w:rPr>
          <w:spacing w:val="-2"/>
        </w:rPr>
        <w:t>实际利率法是指按照金融资产或金融负债（含一组金融资产或金融负债）的实际利率计算其摊余成本及各期利息收入或支出</w:t>
      </w:r>
      <w:r>
        <w:rPr>
          <w:spacing w:val="-63"/>
        </w:rPr>
        <w:t> </w:t>
      </w:r>
      <w:r>
        <w:rPr>
          <w:spacing w:val="-63"/>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w:t>
      </w:r>
    </w:p>
    <w:p>
      <w:pPr>
        <w:pStyle w:val="BodyText"/>
        <w:spacing w:line="319" w:lineRule="auto" w:before="56"/>
        <w:ind w:left="1134" w:right="1131"/>
        <w:jc w:val="both"/>
      </w:pPr>
      <w:r>
        <w:rPr/>
        <w:t>在计算实际利率时，本公司将在考虑金融资产或金融负债所有合同条款的基础上预计未来现金流量（不考虑未来的信用损</w:t>
      </w:r>
      <w:r>
        <w:rPr>
          <w:spacing w:val="-9"/>
        </w:rPr>
        <w:t> </w:t>
      </w:r>
      <w:r>
        <w:rPr>
          <w:spacing w:val="-9"/>
        </w:rPr>
      </w:r>
      <w:r>
        <w:rPr>
          <w:spacing w:val="-2"/>
        </w:rPr>
        <w:t>失），同时还将考虑金融资产或金融负债合同各方之间支付或收取的、属于实际利率组成部分的各项收费、交易费用及折价</w:t>
      </w:r>
      <w:r>
        <w:rPr>
          <w:spacing w:val="-65"/>
        </w:rPr>
        <w:t> </w:t>
      </w:r>
      <w:r>
        <w:rPr>
          <w:spacing w:val="-65"/>
        </w:rPr>
      </w:r>
      <w:r>
        <w:rPr/>
        <w:t>或溢价等。</w:t>
      </w:r>
    </w:p>
    <w:p>
      <w:pPr>
        <w:pStyle w:val="BodyText"/>
        <w:spacing w:line="338" w:lineRule="auto" w:before="56"/>
        <w:ind w:left="1134" w:right="0"/>
        <w:jc w:val="left"/>
      </w:pPr>
      <w:r>
        <w:rPr/>
        <w:t>③贷款和应收款项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w:t>
      </w:r>
    </w:p>
    <w:p>
      <w:pPr>
        <w:pStyle w:val="BodyText"/>
        <w:spacing w:line="319" w:lineRule="auto" w:before="42"/>
        <w:ind w:left="1134" w:right="1118"/>
        <w:jc w:val="left"/>
      </w:pP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240" w:lineRule="auto" w:before="56"/>
        <w:ind w:left="1134" w:right="0"/>
        <w:jc w:val="left"/>
      </w:pPr>
      <w:r>
        <w:rPr/>
        <w:t>④可供出售金融资产</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w:t>
      </w:r>
    </w:p>
    <w:p>
      <w:pPr>
        <w:pStyle w:val="BodyText"/>
        <w:spacing w:line="319" w:lineRule="auto" w:before="55"/>
        <w:ind w:right="1131"/>
        <w:jc w:val="both"/>
      </w:pP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w:t>
      </w:r>
    </w:p>
    <w:p>
      <w:pPr>
        <w:pStyle w:val="BodyText"/>
        <w:spacing w:line="319" w:lineRule="auto" w:before="56"/>
        <w:ind w:right="1131"/>
        <w:jc w:val="both"/>
      </w:pP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w:t>
      </w:r>
    </w:p>
    <w:p>
      <w:pPr>
        <w:pStyle w:val="BodyText"/>
        <w:spacing w:line="240" w:lineRule="auto" w:before="56"/>
        <w:ind w:right="0"/>
        <w:jc w:val="left"/>
      </w:pPr>
      <w:r>
        <w:rPr/>
        <w:t>可供出售金融资产持有期间取得的利息及被投资单位宣告发放的现金股利，计入投资收益。</w:t>
      </w:r>
    </w:p>
    <w:p>
      <w:pPr>
        <w:pStyle w:val="BodyText"/>
        <w:spacing w:line="338" w:lineRule="auto" w:before="116"/>
        <w:ind w:left="1134" w:right="0"/>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除了以公允价值计量且其变动计入当期损益的金融资产外，本公司在每个资产负债表日对其他金融资产的账面价值进行检</w:t>
      </w:r>
      <w:r>
        <w:rPr>
          <w:spacing w:val="-9"/>
        </w:rPr>
        <w:t> </w:t>
      </w:r>
      <w:r>
        <w:rPr>
          <w:spacing w:val="-9"/>
        </w:rPr>
      </w:r>
      <w:r>
        <w:rPr/>
        <w:t>查，有客观证据表明金融资产发生减值的，计提减值准备。 </w:t>
      </w:r>
      <w:r>
        <w:rPr>
          <w:spacing w:val="-2"/>
        </w:rPr>
        <w:t>本公司对单项金额重大的金融资产单独进行减值测试；对单项金额不重大的金融资产，单独进行减值测试或包括在具有类似</w:t>
      </w:r>
    </w:p>
    <w:p>
      <w:pPr>
        <w:pStyle w:val="BodyText"/>
        <w:spacing w:line="319" w:lineRule="auto" w:before="2"/>
        <w:ind w:left="1134" w:right="0"/>
        <w:jc w:val="left"/>
      </w:pPr>
      <w:r>
        <w:rPr>
          <w:spacing w:val="-4"/>
        </w:rPr>
        <w:t>信用风险特征的金融资产组合中进行减值测试。单独测试未发生减值的金融资产（包括单项金额重大和不重大的金融资产），</w:t>
      </w:r>
      <w:r>
        <w:rPr>
          <w:spacing w:val="-42"/>
        </w:rPr>
        <w:t> </w:t>
      </w:r>
      <w:r>
        <w:rPr>
          <w:spacing w:val="-42"/>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38" w:lineRule="auto" w:before="56"/>
        <w:ind w:right="1033"/>
        <w:jc w:val="left"/>
      </w:pPr>
      <w:r>
        <w:rPr/>
        <w:t>①持有至到期投资、贷款和应收款项减值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p>
    <w:p>
      <w:pPr>
        <w:pStyle w:val="BodyText"/>
        <w:spacing w:line="319" w:lineRule="auto" w:before="2"/>
        <w:ind w:right="1118"/>
        <w:jc w:val="left"/>
      </w:pP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38" w:lineRule="auto" w:before="56"/>
        <w:ind w:right="1118"/>
        <w:jc w:val="left"/>
      </w:pPr>
      <w:r>
        <w:rPr/>
        <w:t>②可供出售金融资产减值 当综合相关因素判断可供出售权益工具投资公允价值下跌是严重或非暂时性下跌时，表明该可供出售权益工具投资发生减 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spacing w:val="-35"/>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个月，持续</w:t>
      </w:r>
    </w:p>
    <w:p>
      <w:pPr>
        <w:pStyle w:val="BodyText"/>
        <w:spacing w:line="218" w:lineRule="exact"/>
        <w:ind w:right="0"/>
        <w:jc w:val="left"/>
      </w:pPr>
      <w:r>
        <w:rPr/>
        <w:t>下跌期间的确定依据为三年。</w:t>
      </w:r>
    </w:p>
    <w:p>
      <w:pPr>
        <w:pStyle w:val="BodyText"/>
        <w:spacing w:line="319" w:lineRule="auto" w:before="116"/>
        <w:ind w:right="0"/>
        <w:jc w:val="left"/>
      </w:pP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w:t>
      </w:r>
    </w:p>
    <w:p>
      <w:pPr>
        <w:pStyle w:val="BodyText"/>
        <w:spacing w:line="319" w:lineRule="auto" w:before="55"/>
        <w:ind w:right="1131"/>
        <w:jc w:val="both"/>
      </w:pP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w:t>
      </w:r>
    </w:p>
    <w:p>
      <w:pPr>
        <w:pStyle w:val="BodyText"/>
        <w:spacing w:line="319" w:lineRule="auto" w:before="55"/>
        <w:ind w:right="0"/>
        <w:jc w:val="left"/>
      </w:pP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328" w:lineRule="auto" w:before="58"/>
        <w:ind w:left="1134"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p>
    <w:p>
      <w:pPr>
        <w:pStyle w:val="BodyText"/>
        <w:spacing w:line="338" w:lineRule="auto" w:before="11"/>
        <w:ind w:left="1134" w:right="0"/>
        <w:jc w:val="left"/>
      </w:pPr>
      <w:r>
        <w:rPr/>
        <w:t>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p>
    <w:p>
      <w:pPr>
        <w:pStyle w:val="BodyText"/>
        <w:spacing w:line="338" w:lineRule="auto" w:before="4"/>
        <w:ind w:left="1134" w:right="0"/>
        <w:jc w:val="left"/>
      </w:pP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金融资产部分转移满足终止确认条件的，将所转移金融资产的账面价值在终止确认及未终止确认部分之间按其相对的公允价</w:t>
      </w:r>
      <w:r>
        <w:rPr>
          <w:spacing w:val="-63"/>
        </w:rPr>
        <w:t> </w:t>
      </w:r>
      <w:r>
        <w:rPr>
          <w:spacing w:val="-63"/>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w:t>
      </w:r>
    </w:p>
    <w:p>
      <w:pPr>
        <w:pStyle w:val="BodyText"/>
        <w:spacing w:line="319" w:lineRule="auto" w:before="55"/>
        <w:ind w:right="1132"/>
        <w:jc w:val="both"/>
      </w:pP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24" w:lineRule="auto" w:before="58"/>
        <w:ind w:left="113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57" w:lineRule="auto" w:before="53"/>
        <w:ind w:right="0"/>
        <w:jc w:val="left"/>
      </w:pPr>
      <w:r>
        <w:rPr/>
        <w:t>①以公允价值计量且其变动计入当期损益的金融负债 分类为交易性金融负债和在初始确认时指定为以公允价值计量且其变动计入当期损益的金融负债的条件与分类为交易性金</w:t>
      </w:r>
    </w:p>
    <w:p>
      <w:pPr>
        <w:pStyle w:val="BodyText"/>
        <w:spacing w:line="338" w:lineRule="auto"/>
        <w:ind w:right="0"/>
        <w:jc w:val="left"/>
      </w:pPr>
      <w:r>
        <w:rPr/>
        <w:t>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38" w:lineRule="auto" w:before="42"/>
        <w:ind w:right="0"/>
        <w:jc w:val="left"/>
      </w:pPr>
      <w:r>
        <w:rPr/>
        <w:t>②其他金融负债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38" w:lineRule="auto" w:before="42"/>
        <w:ind w:right="1121"/>
        <w:jc w:val="left"/>
      </w:pPr>
      <w:r>
        <w:rPr/>
        <w:t>③财务担保合同 </w:t>
      </w:r>
      <w:r>
        <w:rPr>
          <w:spacing w:val="-2"/>
        </w:rPr>
        <w:t>不属于指定为以公允价值计量且其变动计入当期损益的金融负债的财务担保合同，以公允价值进行初始确认，在初始确认后</w:t>
      </w:r>
      <w:r>
        <w:rPr>
          <w:spacing w:val="-64"/>
        </w:rPr>
        <w:t> </w:t>
      </w:r>
      <w:r>
        <w:rPr>
          <w:spacing w:val="-64"/>
        </w:rPr>
      </w:r>
      <w:r>
        <w:rPr>
          <w:spacing w:val="-3"/>
        </w:rPr>
        <w:t>按照《企业会计准则第</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或有事项》确定的金额和初始确认金额扣除按照《企业会计准则第</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收入》的原则</w:t>
      </w:r>
    </w:p>
    <w:p>
      <w:pPr>
        <w:pStyle w:val="BodyText"/>
        <w:spacing w:line="218" w:lineRule="exact"/>
        <w:ind w:right="0"/>
        <w:jc w:val="left"/>
      </w:pPr>
      <w:r>
        <w:rPr/>
        <w:t>确定的累计摊销额后的余额之中的较高者进行后续计量。</w:t>
      </w:r>
    </w:p>
    <w:p>
      <w:pPr>
        <w:pStyle w:val="BodyText"/>
        <w:spacing w:line="324" w:lineRule="auto" w:before="117"/>
        <w:ind w:left="113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w:t>
      </w:r>
    </w:p>
    <w:p>
      <w:pPr>
        <w:pStyle w:val="BodyText"/>
        <w:spacing w:line="319" w:lineRule="auto" w:before="52"/>
        <w:ind w:left="1134" w:right="1032"/>
        <w:jc w:val="left"/>
      </w:pPr>
      <w:r>
        <w:rPr/>
        <w:t>金融负债全部或部分终止确认的，将终止确认部分的账面价值与支付的对价（包括转出的非现金资产或承担的新金融负债） 之间的差额，计入当期损益。</w:t>
      </w:r>
    </w:p>
    <w:p>
      <w:pPr>
        <w:pStyle w:val="BodyText"/>
        <w:spacing w:line="324" w:lineRule="auto" w:before="58"/>
        <w:ind w:left="113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w:t>
      </w:r>
    </w:p>
    <w:p>
      <w:pPr>
        <w:pStyle w:val="BodyText"/>
        <w:spacing w:line="319" w:lineRule="auto" w:before="52"/>
        <w:ind w:left="1134" w:right="1132"/>
        <w:jc w:val="both"/>
      </w:pP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24" w:lineRule="auto" w:before="58"/>
        <w:ind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240" w:lineRule="auto" w:before="53"/>
        <w:ind w:left="1134" w:right="0"/>
        <w:jc w:val="left"/>
      </w:pPr>
      <w:r>
        <w:rPr/>
        <w:t>（</w:t>
      </w:r>
      <w:r>
        <w:rPr>
          <w:rFonts w:ascii="Times New Roman" w:hAnsi="Times New Roman" w:cs="Times New Roman" w:eastAsia="Times New Roman" w:hint="default"/>
        </w:rPr>
        <w:t>9</w:t>
      </w:r>
      <w:r>
        <w:rPr/>
        <w:t>）权益工具</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spacing w:val="-2"/>
        </w:rPr>
        <w:t>权益工具是指能证明拥有本公司在扣除所有负债后的资产中的剩余权益的合同。本公司发行（含再融资）、回购、出售或注</w:t>
      </w:r>
      <w:r>
        <w:rPr>
          <w:spacing w:val="-65"/>
        </w:rPr>
        <w:t> </w:t>
      </w:r>
      <w:r>
        <w:rPr>
          <w:spacing w:val="-65"/>
        </w:rPr>
      </w:r>
      <w:r>
        <w:rPr/>
        <w:t>销权益工具作为权益的变动处理。本公司不确认权益工具的公允价值变动。与权益性交易相关的交易费用从权益中扣减。 </w:t>
      </w:r>
      <w:r>
        <w:rPr>
          <w:spacing w:val="-2"/>
        </w:rPr>
        <w:t>本公司对权益工具持有方的各种分配（不包括股票股利），减少股东权益。本公司不确认权益工具的公允价值变动额。</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11、应收款项" w:id="186"/>
      <w:bookmarkEnd w:id="18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87"/>
      <w:bookmarkEnd w:id="18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本公司将应收款项余额前五的应收款项确认为单项金额重大 的应收款项。</w:t>
            </w:r>
          </w:p>
        </w:tc>
      </w:tr>
      <w:tr>
        <w:trPr>
          <w:trHeight w:val="165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88"/>
      <w:bookmarkEnd w:id="18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9"/>
      <w:bookmarkEnd w:id="18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2.068279pt;width:479.2pt;height:65.4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诉讼、仲裁的应收款项；已有明显迹象表明债务人很可能无 法履行还款义务的应收款项等。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12、存货" w:id="190"/>
      <w:bookmarkEnd w:id="19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38" w:lineRule="auto" w:before="29"/>
        <w:ind w:left="1134" w:right="4092"/>
        <w:jc w:val="left"/>
      </w:pPr>
      <w:r>
        <w:rPr/>
        <w:t>（</w:t>
      </w:r>
      <w:r>
        <w:rPr>
          <w:rFonts w:ascii="Times New Roman" w:hAnsi="Times New Roman" w:cs="Times New Roman" w:eastAsia="Times New Roman" w:hint="default"/>
        </w:rPr>
        <w:t>1</w:t>
      </w:r>
      <w:r>
        <w:rPr/>
        <w:t>）存货的分类 存货主要包括原材料、库存商品、发出商品、建造合同形成的已完工未结算资产等。</w:t>
      </w:r>
    </w:p>
    <w:p>
      <w:pPr>
        <w:pStyle w:val="BodyText"/>
        <w:spacing w:line="340" w:lineRule="auto" w:before="42"/>
        <w:ind w:right="19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存货在取得时按实际成本计价，存货成本包括采购成本、加工成本和其他成本。领用和发出时按个别认定法计价</w:t>
      </w:r>
    </w:p>
    <w:p>
      <w:pPr>
        <w:pStyle w:val="BodyText"/>
        <w:spacing w:line="328" w:lineRule="auto" w:before="40"/>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w:t>
      </w:r>
    </w:p>
    <w:p>
      <w:pPr>
        <w:pStyle w:val="BodyText"/>
        <w:spacing w:line="319" w:lineRule="auto" w:before="49"/>
        <w:ind w:right="1131"/>
        <w:jc w:val="both"/>
      </w:pPr>
      <w:r>
        <w:rPr>
          <w:spacing w:val="-2"/>
        </w:rPr>
        <w:t>在资产负债表日，存货按照成本与可变现净值孰低计量。当其可变现净值低于成本时，提取存货跌价准备。存货跌价准备通</w:t>
      </w:r>
      <w:r>
        <w:rPr>
          <w:spacing w:val="-66"/>
        </w:rPr>
        <w:t> </w:t>
      </w:r>
      <w:r>
        <w:rPr>
          <w:spacing w:val="-66"/>
        </w:rPr>
      </w:r>
      <w:r>
        <w:rPr>
          <w:spacing w:val="-2"/>
        </w:rPr>
        <w:t>常按单个存货项目的成本高于其可变现净值的差额提取。但对于数量繁多、单价较低的存货，按照存货类别计提存货跌价准</w:t>
      </w:r>
      <w:r>
        <w:rPr>
          <w:spacing w:val="-66"/>
        </w:rPr>
        <w:t> </w:t>
      </w:r>
      <w:r>
        <w:rPr>
          <w:spacing w:val="-66"/>
        </w:rPr>
      </w:r>
      <w:r>
        <w:rPr/>
        <w:t>备。</w:t>
      </w:r>
    </w:p>
    <w:p>
      <w:pPr>
        <w:pStyle w:val="BodyText"/>
        <w:spacing w:line="319" w:lineRule="auto" w:before="55"/>
        <w:ind w:left="1134" w:right="0"/>
        <w:jc w:val="left"/>
      </w:pP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340" w:lineRule="auto" w:before="57"/>
        <w:ind w:left="1134" w:right="9042"/>
        <w:jc w:val="left"/>
      </w:pPr>
      <w:r>
        <w:rPr/>
        <w:t>（</w:t>
      </w:r>
      <w:r>
        <w:rPr>
          <w:rFonts w:ascii="Times New Roman" w:hAnsi="Times New Roman" w:cs="Times New Roman" w:eastAsia="Times New Roman" w:hint="default"/>
        </w:rPr>
        <w:t>4</w:t>
      </w:r>
      <w:r>
        <w:rPr/>
        <w:t>）存货的盘存制度 采用永续盘存制。</w:t>
      </w:r>
    </w:p>
    <w:p>
      <w:pPr>
        <w:pStyle w:val="BodyText"/>
        <w:spacing w:line="324" w:lineRule="auto" w:before="40"/>
        <w:ind w:right="1118"/>
        <w:jc w:val="left"/>
      </w:pPr>
      <w:r>
        <w:rPr/>
        <w:t>（</w:t>
      </w:r>
      <w:r>
        <w:rPr>
          <w:rFonts w:ascii="Times New Roman" w:hAnsi="Times New Roman" w:cs="Times New Roman" w:eastAsia="Times New Roman" w:hint="default"/>
        </w:rPr>
        <w:t>5</w:t>
      </w:r>
      <w:r>
        <w:rPr/>
        <w:t>）建造合同 </w:t>
      </w:r>
      <w:r>
        <w:rPr>
          <w:spacing w:val="-2"/>
        </w:rPr>
        <w:t>建造合同按实际成本计量，包括从合同签订开始至合同完成止所发生的、与执行合同有关的直接费用和间接费用。为订立合</w:t>
      </w:r>
      <w:r>
        <w:rPr>
          <w:spacing w:val="-66"/>
        </w:rPr>
        <w:t> </w:t>
      </w:r>
      <w:r>
        <w:rPr>
          <w:spacing w:val="-66"/>
        </w:rPr>
      </w:r>
      <w:r>
        <w:rPr>
          <w:spacing w:val="-2"/>
        </w:rPr>
        <w:t>同而发生的差旅费、投标费等，能够单独区分和可靠计量且合同很可能订立的，在取得合同时计入合同成本；未满足上述条</w:t>
      </w:r>
      <w:r>
        <w:rPr>
          <w:spacing w:val="-66"/>
        </w:rPr>
        <w:t> </w:t>
      </w:r>
      <w:r>
        <w:rPr>
          <w:spacing w:val="-66"/>
        </w:rPr>
      </w:r>
      <w:r>
        <w:rPr/>
        <w:t>件的，则计入当期损益。</w:t>
      </w:r>
    </w:p>
    <w:p>
      <w:pPr>
        <w:pStyle w:val="BodyText"/>
        <w:spacing w:line="319" w:lineRule="auto" w:before="53"/>
        <w:ind w:left="1134" w:right="1133"/>
        <w:jc w:val="both"/>
      </w:pPr>
      <w:r>
        <w:rPr>
          <w:spacing w:val="-2"/>
        </w:rPr>
        <w:t>在建合同累计已发生的成本和累计已确认的毛利（亏损）与已结算的价款在资产负债表中以抵销后的净额列示。在建合同累</w:t>
      </w:r>
      <w:r>
        <w:rPr>
          <w:spacing w:val="-66"/>
        </w:rPr>
        <w:t> </w:t>
      </w:r>
      <w:r>
        <w:rPr>
          <w:spacing w:val="-66"/>
        </w:rPr>
      </w:r>
      <w:r>
        <w:rPr>
          <w:spacing w:val="-2"/>
        </w:rPr>
        <w:t>计已发生的成本和累计已确认的毛利（亏损）之和超过已结算价款的部分作为存货列示；在建合同已结算的价款超过累计已</w:t>
      </w:r>
      <w:r>
        <w:rPr>
          <w:spacing w:val="-66"/>
        </w:rPr>
        <w:t> </w:t>
      </w:r>
      <w:r>
        <w:rPr>
          <w:spacing w:val="-66"/>
        </w:rPr>
      </w:r>
      <w:r>
        <w:rPr/>
        <w:t>发生的成本与累计已确认的毛利（亏损）之和的部分作为预收款项列示。</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3、持有待售资产" w:id="191"/>
      <w:bookmarkEnd w:id="19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4、长期股权投资" w:id="192"/>
      <w:bookmarkEnd w:id="19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21" w:lineRule="auto"/>
        <w:ind w:right="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38" w:lineRule="auto" w:before="55"/>
        <w:ind w:left="113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w:t>
      </w:r>
      <w:r>
        <w:rPr>
          <w:spacing w:val="-76"/>
        </w:rPr>
        <w:t> </w:t>
      </w:r>
      <w:r>
        <w:rPr/>
        <w:t>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40"/>
        </w:rPr>
        <w:t> </w:t>
      </w:r>
      <w:r>
        <w:rPr/>
        <w:t>在合并日按照应享有被合并方股东权益在最终控制方合并财务报表中的账面价值的份额作为长期股权投资的初始投资成本，</w:t>
      </w:r>
      <w:r>
        <w:rPr/>
        <w:t>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59"/>
        <w:ind w:right="0"/>
        <w:jc w:val="left"/>
      </w:pP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6"/>
        </w:rPr>
        <w:t> </w:t>
      </w:r>
      <w:r>
        <w:rPr>
          <w:spacing w:val="-66"/>
        </w:rPr>
      </w:r>
      <w:r>
        <w:rPr/>
        <w:t>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 </w:t>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338" w:lineRule="auto" w:before="63"/>
        <w:ind w:right="1033"/>
        <w:jc w:val="left"/>
      </w:pPr>
      <w:r>
        <w:rPr/>
        <w:t>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p>
    <w:p>
      <w:pPr>
        <w:pStyle w:val="BodyText"/>
        <w:spacing w:line="312" w:lineRule="auto" w:before="2"/>
        <w:ind w:right="1131"/>
        <w:jc w:val="both"/>
      </w:pP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t>的，长期股权投资成本为按照《企业会计准则第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金融工具确认和计量》确定的原持有股权投资的公允价值加上新 增投资成本之和。</w:t>
      </w:r>
    </w:p>
    <w:p>
      <w:pPr>
        <w:pStyle w:val="BodyText"/>
        <w:spacing w:line="328" w:lineRule="auto" w:before="62"/>
        <w:ind w:left="113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38" w:lineRule="auto" w:before="49"/>
        <w:ind w:left="1134" w:right="0"/>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p>
    <w:p>
      <w:pPr>
        <w:pStyle w:val="BodyText"/>
        <w:spacing w:line="240" w:lineRule="auto" w:before="4"/>
        <w:ind w:left="1134" w:right="0"/>
        <w:jc w:val="left"/>
      </w:pPr>
      <w:r>
        <w:rPr/>
        <w:t>或利润确认。</w:t>
      </w:r>
    </w:p>
    <w:p>
      <w:pPr>
        <w:pStyle w:val="BodyText"/>
        <w:spacing w:line="338" w:lineRule="auto" w:before="117"/>
        <w:ind w:left="1134"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pStyle w:val="BodyText"/>
        <w:spacing w:line="338" w:lineRule="auto" w:before="4"/>
        <w:ind w:left="1134" w:right="0"/>
        <w:jc w:val="left"/>
      </w:pP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pStyle w:val="BodyText"/>
        <w:spacing w:line="316" w:lineRule="auto" w:before="2"/>
        <w:ind w:left="1134" w:right="1131"/>
        <w:jc w:val="both"/>
      </w:pP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1131"/>
        <w:jc w:val="both"/>
      </w:pP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5"/>
        </w:rPr>
        <w:t> </w:t>
      </w:r>
      <w:r>
        <w:rPr>
          <w:spacing w:val="-65"/>
        </w:rPr>
      </w:r>
      <w:r>
        <w:rPr>
          <w:spacing w:val="-2"/>
        </w:rPr>
        <w:t>公司向合营企业或联营企业出售的资产构成业务的，取得的对价与业务的账面价值之差，全额计入当期损益。本公司自联营</w:t>
      </w:r>
      <w:r>
        <w:rPr>
          <w:spacing w:val="-66"/>
        </w:rPr>
        <w:t> </w:t>
      </w:r>
      <w:r>
        <w:rPr>
          <w:spacing w:val="-66"/>
        </w:rPr>
      </w:r>
      <w:r>
        <w:rPr/>
        <w:t>企业及合营企业购入的资产构成业务的，按《企业会计准则第</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企业合并》的规定进行会计处理，全额确认与交易 相关的利得或损失。</w:t>
      </w:r>
    </w:p>
    <w:p>
      <w:pPr>
        <w:pStyle w:val="BodyText"/>
        <w:spacing w:line="319" w:lineRule="auto" w:before="59"/>
        <w:ind w:left="1134" w:right="1131"/>
        <w:jc w:val="both"/>
      </w:pP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19" w:lineRule="auto" w:before="56"/>
        <w:ind w:left="1134" w:right="1131"/>
        <w:jc w:val="both"/>
      </w:pPr>
      <w:r>
        <w:rPr>
          <w:spacing w:val="-2"/>
        </w:rPr>
        <w:t>对于本公司首次执行新会计准则之前已经持有的对联营企业和合营企业的长期股权投资，如存在与该投资相关的股权投资借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pStyle w:val="BodyText"/>
        <w:spacing w:line="338" w:lineRule="auto" w:before="56"/>
        <w:ind w:left="1134" w:right="1032"/>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38" w:lineRule="auto" w:before="43"/>
        <w:ind w:left="1134" w:right="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p>
    <w:p>
      <w:pPr>
        <w:pStyle w:val="BodyText"/>
        <w:spacing w:line="348" w:lineRule="auto" w:before="4"/>
        <w:ind w:left="1134" w:right="0"/>
        <w:jc w:val="left"/>
      </w:pPr>
      <w:r>
        <w:rPr/>
        <w:t>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p>
    <w:p>
      <w:pPr>
        <w:pStyle w:val="BodyText"/>
        <w:spacing w:line="319" w:lineRule="auto"/>
        <w:ind w:left="1134" w:right="1130"/>
        <w:jc w:val="both"/>
      </w:pPr>
      <w:r>
        <w:rPr>
          <w:spacing w:val="-2"/>
        </w:rPr>
        <w:t>按相应的比例采用与被投资单位直接处置相关资产或负债相同的基础进行会计处理。因被投资方除净损益、其他综合收益和</w:t>
      </w:r>
      <w:r>
        <w:rPr>
          <w:spacing w:val="-63"/>
        </w:rPr>
        <w:t> </w:t>
      </w:r>
      <w:r>
        <w:rPr>
          <w:spacing w:val="-63"/>
        </w:rPr>
      </w:r>
      <w:r>
        <w:rPr/>
        <w:t>利润分配以外的其他所有者权益变动而确认的所有者权益，按比例结转入当期损益。</w:t>
      </w:r>
    </w:p>
    <w:p>
      <w:pPr>
        <w:pStyle w:val="BodyText"/>
        <w:spacing w:line="319" w:lineRule="auto" w:before="56"/>
        <w:ind w:left="1134" w:right="1131"/>
        <w:jc w:val="both"/>
      </w:pP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w:t>
      </w:r>
    </w:p>
    <w:p>
      <w:pPr>
        <w:pStyle w:val="BodyText"/>
        <w:spacing w:line="319" w:lineRule="auto" w:before="55"/>
        <w:ind w:left="1134" w:right="1131"/>
        <w:jc w:val="both"/>
      </w:pP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w:t>
      </w:r>
    </w:p>
    <w:p>
      <w:pPr>
        <w:pStyle w:val="BodyText"/>
        <w:spacing w:line="319" w:lineRule="auto" w:before="56"/>
        <w:ind w:left="1134" w:right="1130"/>
        <w:jc w:val="both"/>
      </w:pP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3"/>
        </w:rPr>
        <w:t> </w:t>
      </w:r>
      <w:r>
        <w:rPr>
          <w:spacing w:val="-63"/>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w:t>
      </w:r>
    </w:p>
    <w:p>
      <w:pPr>
        <w:pStyle w:val="BodyText"/>
        <w:spacing w:line="319" w:lineRule="auto" w:before="56"/>
        <w:ind w:left="1134" w:right="1131"/>
        <w:jc w:val="both"/>
      </w:pP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134" w:right="0"/>
        <w:jc w:val="both"/>
        <w:rPr>
          <w:b w:val="0"/>
          <w:bCs w:val="0"/>
        </w:rPr>
      </w:pPr>
      <w:bookmarkStart w:name="15、投资性房地产" w:id="193"/>
      <w:bookmarkEnd w:id="19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134" w:right="0"/>
        <w:jc w:val="both"/>
        <w:rPr>
          <w:b w:val="0"/>
          <w:bCs w:val="0"/>
        </w:rPr>
      </w:pPr>
      <w:bookmarkStart w:name="16、固定资产" w:id="194"/>
      <w:bookmarkEnd w:id="19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134" w:right="0"/>
        <w:jc w:val="both"/>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0"/>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3"/>
        </w:rPr>
        <w:t> </w:t>
      </w:r>
      <w:r>
        <w:rPr>
          <w:spacing w:val="-63"/>
        </w:rPr>
      </w:r>
      <w:r>
        <w:rPr/>
        <w:t>中较短的期间内计提折旧。</w:t>
      </w:r>
    </w:p>
    <w:p>
      <w:pPr>
        <w:spacing w:line="240" w:lineRule="auto" w:before="3"/>
        <w:rPr>
          <w:rFonts w:ascii="宋体" w:hAnsi="宋体" w:cs="宋体" w:eastAsia="宋体" w:hint="default"/>
          <w:sz w:val="22"/>
          <w:szCs w:val="22"/>
        </w:rPr>
      </w:pPr>
    </w:p>
    <w:p>
      <w:pPr>
        <w:pStyle w:val="Heading4"/>
        <w:spacing w:line="240" w:lineRule="auto"/>
        <w:ind w:left="1134" w:right="0"/>
        <w:jc w:val="both"/>
        <w:rPr>
          <w:b w:val="0"/>
          <w:bCs w:val="0"/>
        </w:rPr>
      </w:pPr>
      <w:bookmarkStart w:name="17、在建工程" w:id="198"/>
      <w:bookmarkEnd w:id="19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38" w:lineRule="auto" w:before="28"/>
        <w:ind w:right="0"/>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在建工程的减值测试方法和减值准备计提方法详见附注四、</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bookmarkStart w:name="18、借款费用" w:id="199"/>
      <w:bookmarkEnd w:id="19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w:t>
      </w:r>
    </w:p>
    <w:p>
      <w:pPr>
        <w:pStyle w:val="BodyText"/>
        <w:spacing w:line="316" w:lineRule="auto" w:before="56"/>
        <w:ind w:left="1134" w:right="1032"/>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0"/>
        <w:jc w:val="left"/>
      </w:pPr>
      <w:r>
        <w:rPr/>
        <w:t>确定资本化金额。资本化率根据一般借款的加权平均利率计算确定。 资本化期间内，外币专门借款的汇兑差额全部予以资本化；外币一般借款的汇兑差额计入当期损益。</w:t>
      </w:r>
    </w:p>
    <w:p>
      <w:pPr>
        <w:pStyle w:val="BodyText"/>
        <w:spacing w:line="319" w:lineRule="auto" w:before="28"/>
        <w:ind w:right="0"/>
        <w:jc w:val="left"/>
      </w:pP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w:t>
      </w:r>
    </w:p>
    <w:p>
      <w:pPr>
        <w:pStyle w:val="BodyText"/>
        <w:spacing w:line="302" w:lineRule="auto" w:before="56"/>
        <w:ind w:right="1031"/>
        <w:jc w:val="left"/>
      </w:pPr>
      <w:r>
        <w:rPr>
          <w:spacing w:val="-3"/>
        </w:rPr>
        <w:t>如果符合资本化条件的资产在购建或生产过程中发生非正常中断、并且中断时间连续超过</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6"/>
        </w:rPr>
        <w:t>个月的，暂停借款费用的资本化，</w:t>
      </w:r>
      <w:r>
        <w:rPr>
          <w:spacing w:val="-87"/>
        </w:rPr>
        <w:t> </w:t>
      </w:r>
      <w:r>
        <w:rPr>
          <w:spacing w:val="-87"/>
        </w:rPr>
      </w:r>
      <w:r>
        <w:rPr/>
        <w:t>直至资产的购建或生产活动重新开始。</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19、生物资产" w:id="200"/>
      <w:bookmarkEnd w:id="20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20、油气资产" w:id="201"/>
      <w:bookmarkEnd w:id="20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1、无形资产" w:id="202"/>
      <w:bookmarkEnd w:id="20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203"/>
      <w:bookmarkEnd w:id="20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38" w:lineRule="auto" w:before="26"/>
        <w:ind w:right="0"/>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w:t>
      </w:r>
    </w:p>
    <w:p>
      <w:pPr>
        <w:pStyle w:val="BodyText"/>
        <w:spacing w:line="319" w:lineRule="auto" w:before="42"/>
        <w:ind w:right="1131"/>
        <w:jc w:val="both"/>
      </w:pP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w:t>
      </w:r>
    </w:p>
    <w:p>
      <w:pPr>
        <w:pStyle w:val="BodyText"/>
        <w:spacing w:line="319" w:lineRule="auto" w:before="55"/>
        <w:ind w:right="0"/>
        <w:jc w:val="left"/>
      </w:pP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w:t>
      </w:r>
    </w:p>
    <w:p>
      <w:pPr>
        <w:pStyle w:val="BodyText"/>
        <w:spacing w:line="319" w:lineRule="auto" w:before="55"/>
        <w:ind w:right="1131"/>
        <w:jc w:val="both"/>
      </w:pP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内部研究开发支出会计政策" w:id="204"/>
      <w:bookmarkEnd w:id="20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26"/>
        <w:ind w:right="0"/>
        <w:jc w:val="left"/>
      </w:pPr>
      <w:r>
        <w:rPr/>
        <w:t>① 完成该无形资产以使其能够使用或出售在技术上具有可行性；</w:t>
      </w:r>
    </w:p>
    <w:p>
      <w:pPr>
        <w:pStyle w:val="BodyText"/>
        <w:spacing w:line="240" w:lineRule="auto" w:before="117"/>
        <w:ind w:right="0"/>
        <w:jc w:val="left"/>
      </w:pPr>
      <w:r>
        <w:rPr/>
        <w:t>② 具有完成该无形资产并使用或出售的意图；</w:t>
      </w:r>
    </w:p>
    <w:p>
      <w:pPr>
        <w:pStyle w:val="BodyText"/>
        <w:spacing w:line="319" w:lineRule="auto" w:before="115"/>
        <w:ind w:left="1134" w:right="1115"/>
        <w:jc w:val="left"/>
      </w:pPr>
      <w:r>
        <w:rPr/>
        <w:t>③</w:t>
      </w:r>
      <w:r>
        <w:rPr>
          <w:spacing w:val="7"/>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57"/>
        <w:ind w:left="1134" w:right="0"/>
        <w:jc w:val="left"/>
      </w:pPr>
      <w:r>
        <w:rPr/>
        <w:t>④ 有足够的技术、财务资源和其他资源支持，以完成该无形资产的开发，并有能力使用或出售该无形资产；</w:t>
      </w:r>
    </w:p>
    <w:p>
      <w:pPr>
        <w:pStyle w:val="BodyText"/>
        <w:spacing w:line="357" w:lineRule="auto" w:before="117"/>
        <w:ind w:left="1134" w:right="4272"/>
        <w:jc w:val="left"/>
      </w:pPr>
      <w:r>
        <w:rPr/>
        <w:t>⑤ 归属于该无形资产开发阶段的支出能够可靠地计量。 无法区分研究阶段支出和开发阶段支出的，将发生的研发支出全部计入当期损益。</w:t>
      </w:r>
    </w:p>
    <w:p>
      <w:pPr>
        <w:pStyle w:val="BodyText"/>
        <w:spacing w:line="240" w:lineRule="auto" w:before="28"/>
        <w:ind w:right="0"/>
        <w:jc w:val="left"/>
      </w:pPr>
      <w:r>
        <w:rPr/>
        <w:t>（</w:t>
      </w:r>
      <w:r>
        <w:rPr>
          <w:rFonts w:ascii="Times New Roman" w:hAnsi="Times New Roman" w:cs="Times New Roman" w:eastAsia="Times New Roman" w:hint="default"/>
        </w:rPr>
        <w:t>3</w:t>
      </w:r>
      <w:r>
        <w:rPr/>
        <w:t>）无形资产的减值测试方法及减值准备计提方法</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无形资产的减值测试方法和减值准备计提方法详见附注四、</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2、长期资产减值" w:id="205"/>
      <w:bookmarkEnd w:id="20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5"/>
        </w:rPr>
        <w:t> </w:t>
      </w:r>
      <w:r>
        <w:rPr>
          <w:spacing w:val="-65"/>
        </w:rPr>
      </w:r>
      <w:r>
        <w:rPr/>
        <w:t>进行减值测试。</w:t>
      </w:r>
    </w:p>
    <w:p>
      <w:pPr>
        <w:pStyle w:val="BodyText"/>
        <w:spacing w:line="319" w:lineRule="auto" w:before="55"/>
        <w:ind w:left="1134" w:right="0"/>
        <w:jc w:val="left"/>
      </w:pP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pStyle w:val="BodyText"/>
        <w:spacing w:line="319" w:lineRule="auto" w:before="56"/>
        <w:ind w:left="1134" w:right="1032"/>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w:t>
      </w:r>
      <w:r>
        <w:rPr/>
        <w:t>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w:t>
      </w:r>
    </w:p>
    <w:p>
      <w:pPr>
        <w:pStyle w:val="BodyText"/>
        <w:spacing w:line="240" w:lineRule="auto" w:before="56"/>
        <w:ind w:left="1134" w:right="0"/>
        <w:jc w:val="both"/>
      </w:pPr>
      <w:r>
        <w:rPr/>
        <w:t>上述资产减值损失一经确认，以后期间不予转回价值得以恢复的部分。</w:t>
      </w:r>
    </w:p>
    <w:p>
      <w:pPr>
        <w:spacing w:line="240" w:lineRule="auto" w:before="10"/>
        <w:rPr>
          <w:rFonts w:ascii="宋体" w:hAnsi="宋体" w:cs="宋体" w:eastAsia="宋体" w:hint="default"/>
          <w:sz w:val="26"/>
          <w:szCs w:val="26"/>
        </w:rPr>
      </w:pPr>
    </w:p>
    <w:p>
      <w:pPr>
        <w:pStyle w:val="Heading4"/>
        <w:spacing w:line="240" w:lineRule="auto"/>
        <w:ind w:left="1134" w:right="0"/>
        <w:jc w:val="both"/>
        <w:rPr>
          <w:b w:val="0"/>
          <w:bCs w:val="0"/>
        </w:rPr>
      </w:pPr>
      <w:bookmarkStart w:name="23、长期待摊费用" w:id="206"/>
      <w:bookmarkEnd w:id="20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装修费等。长期待摊费用在预计受益期间按直线法摊销。</w:t>
      </w:r>
    </w:p>
    <w:p>
      <w:pPr>
        <w:spacing w:line="240" w:lineRule="auto" w:before="3"/>
        <w:rPr>
          <w:rFonts w:ascii="宋体" w:hAnsi="宋体" w:cs="宋体" w:eastAsia="宋体" w:hint="default"/>
          <w:sz w:val="22"/>
          <w:szCs w:val="22"/>
        </w:rPr>
      </w:pPr>
    </w:p>
    <w:p>
      <w:pPr>
        <w:pStyle w:val="Heading4"/>
        <w:spacing w:line="240" w:lineRule="auto"/>
        <w:ind w:left="1134" w:right="0"/>
        <w:jc w:val="both"/>
        <w:rPr>
          <w:b w:val="0"/>
          <w:bCs w:val="0"/>
        </w:rPr>
      </w:pPr>
      <w:bookmarkStart w:name="24、职工薪酬" w:id="207"/>
      <w:bookmarkEnd w:id="20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both"/>
        <w:rPr>
          <w:b w:val="0"/>
          <w:bCs w:val="0"/>
        </w:rPr>
      </w:pPr>
      <w:bookmarkStart w:name="（1）短期薪酬的会计处理方法" w:id="208"/>
      <w:bookmarkEnd w:id="20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bookmarkStart w:name="（2）离职后福利的会计处理方法" w:id="209"/>
      <w:bookmarkEnd w:id="20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离职后福利主要包括设定提存计划及设定受益计划。其中设定提存计划主要包括基本养老保险、失业保险以及年金等，相应</w:t>
      </w:r>
      <w:r>
        <w:rPr>
          <w:spacing w:val="-66"/>
        </w:rPr>
        <w:t> </w:t>
      </w:r>
      <w:r>
        <w:rPr>
          <w:spacing w:val="-66"/>
        </w:rPr>
      </w:r>
      <w:r>
        <w:rPr>
          <w:spacing w:val="-2"/>
        </w:rPr>
        <w:t>的应缴存金额于发生时计入相关资产成本或当期损益。本公司的设定受益计划，具体为根据预期累计福利单位法确定的公式</w:t>
      </w:r>
      <w:r>
        <w:rPr>
          <w:spacing w:val="-64"/>
        </w:rPr>
        <w:t> </w:t>
      </w:r>
      <w:r>
        <w:rPr>
          <w:spacing w:val="-64"/>
        </w:rPr>
      </w:r>
      <w:r>
        <w:rPr>
          <w:spacing w:val="-2"/>
        </w:rPr>
        <w:t>将设定受益计划产生的福利义务归属于职工提供服务的期间，并计入当期损益或相关资产成本。设定受益计划义务现值减去</w:t>
      </w:r>
      <w:r>
        <w:rPr>
          <w:spacing w:val="-64"/>
        </w:rPr>
        <w:t> </w:t>
      </w:r>
      <w:r>
        <w:rPr>
          <w:spacing w:val="-64"/>
        </w:rPr>
      </w:r>
      <w:r>
        <w:rPr>
          <w:spacing w:val="-2"/>
        </w:rPr>
        <w:t>设定受益计划资产公允价值所形成的赤字或盈余确认为一项设定受益计划净负债或净资产。设定受益计划存在盈余的，本公</w:t>
      </w:r>
      <w:r>
        <w:rPr>
          <w:spacing w:val="-64"/>
        </w:rPr>
        <w:t> </w:t>
      </w:r>
      <w:r>
        <w:rPr>
          <w:spacing w:val="-64"/>
        </w:rPr>
      </w:r>
      <w:r>
        <w:rPr/>
        <w:t>司以设定受益计划的盈余和资产上限两项的孰低者计量设定受益计划净资产。</w:t>
      </w:r>
    </w:p>
    <w:p>
      <w:pPr>
        <w:pStyle w:val="BodyText"/>
        <w:spacing w:line="319" w:lineRule="auto" w:before="56"/>
        <w:ind w:right="1132"/>
        <w:jc w:val="both"/>
      </w:pP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spacing w:val="-2"/>
        </w:rPr>
        <w:t>设定受益计划产生的服务成本和设定受益计划净负债或净资产的利息净额计入当期损益或相关资产成本；重新计量设定受益</w:t>
      </w:r>
      <w:r>
        <w:rPr>
          <w:spacing w:val="-64"/>
        </w:rPr>
        <w:t> </w:t>
      </w:r>
      <w:r>
        <w:rPr>
          <w:spacing w:val="-64"/>
        </w:rPr>
      </w:r>
      <w:r>
        <w:rPr/>
        <w:t>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辞退福利的会计处理方法" w:id="210"/>
      <w:bookmarkEnd w:id="21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w:t>
      </w:r>
      <w:r>
        <w:rPr>
          <w:spacing w:val="-9"/>
        </w:rPr>
        <w:t> </w:t>
      </w:r>
      <w:r>
        <w:rPr>
          <w:spacing w:val="-9"/>
        </w:rPr>
      </w:r>
      <w:r>
        <w:rPr/>
        <w:t>日，确认辞退福利产生的职工薪酬负债，并计入当期损益。但辞退福利预期在年度报告期结束后十二个月不能完全支付的， 按照其他长期职工薪酬处理。</w:t>
      </w:r>
    </w:p>
    <w:p>
      <w:pPr>
        <w:pStyle w:val="BodyText"/>
        <w:spacing w:line="319" w:lineRule="auto" w:before="56"/>
        <w:ind w:right="1115"/>
        <w:jc w:val="left"/>
      </w:pPr>
      <w:r>
        <w:rPr/>
        <w:t>职工内部退休计划采用与上述辞退福利相同的原则处理</w:t>
      </w:r>
      <w:r>
        <w:rPr>
          <w:spacing w:val="-82"/>
        </w:rPr>
        <w:t>。</w:t>
      </w:r>
      <w:r>
        <w:rPr/>
        <w:t>本公司将自职工停止提供服务日至正常退休日的期间拟支付的内退</w:t>
      </w:r>
      <w:r>
        <w:rPr/>
        <w:t> 人员工资和缴纳的社会保险费等，在符合预计负债确认条件时，计入当期损益（辞退福利</w:t>
      </w:r>
      <w:r>
        <w:rPr>
          <w:spacing w:val="-90"/>
        </w:rPr>
        <w:t>）</w:t>
      </w:r>
      <w:r>
        <w:rPr/>
        <w:t>。</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11"/>
      <w:bookmarkEnd w:id="21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本公司向职工提供的其他长期职工福利，符合设定提存计划的，按照设定提存计划进行会计处理，除此之外按照设定受益计</w:t>
      </w:r>
      <w:r>
        <w:rPr>
          <w:spacing w:val="-66"/>
        </w:rPr>
        <w:t> </w:t>
      </w:r>
      <w:r>
        <w:rPr>
          <w:spacing w:val="-66"/>
        </w:rPr>
      </w:r>
      <w:r>
        <w:rPr/>
        <w:t>划进行会计处理。</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5、预计负债" w:id="212"/>
      <w:bookmarkEnd w:id="21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5"/>
        </w:rPr>
        <w:t>当与或有事项相关的义务同时符合以下条件，确认为预计负债：（</w:t>
      </w:r>
      <w:r>
        <w:rPr>
          <w:rFonts w:ascii="Times New Roman" w:hAnsi="Times New Roman" w:cs="Times New Roman" w:eastAsia="Times New Roman" w:hint="default"/>
          <w:spacing w:val="-5"/>
        </w:rPr>
        <w:t>1</w:t>
      </w:r>
      <w:r>
        <w:rPr>
          <w:spacing w:val="-5"/>
        </w:rPr>
        <w:t>）该义务是本公司承担的现时义务；（</w:t>
      </w:r>
      <w:r>
        <w:rPr>
          <w:rFonts w:ascii="Times New Roman" w:hAnsi="Times New Roman" w:cs="Times New Roman" w:eastAsia="Times New Roman" w:hint="default"/>
          <w:spacing w:val="-5"/>
        </w:rPr>
        <w:t>2</w:t>
      </w:r>
      <w:r>
        <w:rPr>
          <w:spacing w:val="-5"/>
        </w:rPr>
        <w:t>）履行该义务很可</w:t>
      </w:r>
      <w:r>
        <w:rPr>
          <w:spacing w:val="-74"/>
        </w:rPr>
        <w:t> </w:t>
      </w:r>
      <w:r>
        <w:rPr>
          <w:spacing w:val="-74"/>
        </w:rPr>
      </w:r>
      <w:r>
        <w:rPr>
          <w:spacing w:val="-4"/>
        </w:rPr>
        <w:t>能导致经济利益流出；（</w:t>
      </w:r>
      <w:r>
        <w:rPr>
          <w:rFonts w:ascii="Times New Roman" w:hAnsi="Times New Roman" w:cs="Times New Roman" w:eastAsia="Times New Roman" w:hint="default"/>
          <w:spacing w:val="-4"/>
        </w:rPr>
        <w:t>3</w:t>
      </w:r>
      <w:r>
        <w:rPr>
          <w:spacing w:val="-4"/>
        </w:rPr>
        <w:t>）该义务的金额能够可靠地计量。</w:t>
      </w:r>
      <w:r>
        <w:rPr>
          <w:spacing w:val="-72"/>
        </w:rPr>
        <w:t>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w:t>
      </w:r>
    </w:p>
    <w:p>
      <w:pPr>
        <w:pStyle w:val="BodyText"/>
        <w:spacing w:line="319" w:lineRule="auto" w:before="56"/>
        <w:ind w:left="1134" w:right="0"/>
        <w:jc w:val="left"/>
      </w:pP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24" w:lineRule="auto" w:before="56"/>
        <w:ind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3"/>
        </w:rPr>
        <w:t> </w:t>
      </w:r>
      <w:r>
        <w:rPr>
          <w:spacing w:val="-63"/>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28" w:lineRule="auto" w:before="54"/>
        <w:ind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t>定预计负债金额。</w:t>
      </w:r>
    </w:p>
    <w:p>
      <w:pPr>
        <w:spacing w:line="240" w:lineRule="auto" w:before="8"/>
        <w:rPr>
          <w:rFonts w:ascii="宋体" w:hAnsi="宋体" w:cs="宋体" w:eastAsia="宋体" w:hint="default"/>
          <w:sz w:val="21"/>
          <w:szCs w:val="21"/>
        </w:rPr>
      </w:pPr>
    </w:p>
    <w:p>
      <w:pPr>
        <w:pStyle w:val="Heading4"/>
        <w:spacing w:line="240" w:lineRule="auto"/>
        <w:ind w:left="1134" w:right="0"/>
        <w:jc w:val="left"/>
        <w:rPr>
          <w:b w:val="0"/>
          <w:bCs w:val="0"/>
        </w:rPr>
      </w:pPr>
      <w:bookmarkStart w:name="26、股份支付" w:id="213"/>
      <w:bookmarkEnd w:id="21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left="113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38" w:lineRule="auto" w:before="51"/>
        <w:ind w:left="1134" w:right="0"/>
        <w:jc w:val="left"/>
      </w:pPr>
      <w:r>
        <w:rPr/>
        <w:t>① 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p>
    <w:p>
      <w:pPr>
        <w:pStyle w:val="BodyText"/>
        <w:spacing w:line="240" w:lineRule="auto" w:before="4"/>
        <w:ind w:left="1134" w:right="0"/>
        <w:jc w:val="left"/>
      </w:pP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w:t>
      </w:r>
    </w:p>
    <w:p>
      <w:pPr>
        <w:pStyle w:val="BodyText"/>
        <w:spacing w:line="319" w:lineRule="auto" w:before="55"/>
        <w:ind w:right="1131"/>
        <w:jc w:val="both"/>
      </w:pP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38" w:lineRule="auto" w:before="58"/>
        <w:ind w:left="1134" w:right="0"/>
        <w:jc w:val="left"/>
      </w:pPr>
      <w:r>
        <w:rPr/>
        <w:t>② 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p>
    <w:p>
      <w:pPr>
        <w:pStyle w:val="BodyText"/>
        <w:spacing w:line="338" w:lineRule="auto" w:before="2"/>
        <w:ind w:left="1134" w:right="1118"/>
        <w:jc w:val="left"/>
      </w:pP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24" w:lineRule="auto" w:before="43"/>
        <w:ind w:left="113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p>
    <w:p>
      <w:pPr>
        <w:pStyle w:val="BodyText"/>
        <w:spacing w:line="338" w:lineRule="auto" w:before="14"/>
        <w:ind w:left="1134" w:right="0"/>
        <w:jc w:val="left"/>
      </w:pP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p>
    <w:p>
      <w:pPr>
        <w:pStyle w:val="BodyText"/>
        <w:spacing w:line="240" w:lineRule="auto" w:before="4"/>
        <w:ind w:left="1134" w:right="0"/>
        <w:jc w:val="left"/>
      </w:pPr>
      <w:r>
        <w:rPr/>
        <w:t>作为授予权益工具的取消处理。</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7、优先股、永续债等其他金融工具" w:id="214"/>
      <w:bookmarkEnd w:id="21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8、收入" w:id="215"/>
      <w:bookmarkEnd w:id="21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24" w:lineRule="auto" w:before="26"/>
        <w:ind w:left="113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3"/>
        </w:rPr>
        <w:t> </w:t>
      </w:r>
      <w:r>
        <w:rPr>
          <w:spacing w:val="-63"/>
        </w:rPr>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pStyle w:val="BodyText"/>
        <w:spacing w:line="240" w:lineRule="auto" w:before="54"/>
        <w:ind w:left="1134" w:right="0"/>
        <w:jc w:val="left"/>
      </w:pPr>
      <w:r>
        <w:rPr/>
        <w:t>本公司按照销售商品收入确认方法，制定如下具体收入确认方法：</w:t>
      </w:r>
    </w:p>
    <w:p>
      <w:pPr>
        <w:pStyle w:val="BodyText"/>
        <w:spacing w:line="319" w:lineRule="auto" w:before="115"/>
        <w:ind w:right="0"/>
        <w:jc w:val="left"/>
      </w:pPr>
      <w:r>
        <w:rPr>
          <w:spacing w:val="-2"/>
        </w:rPr>
        <w:t>①系统集成销售收入确认原则：公司系统集成类产品的销售包括为客户提供方案设计、设备安装、调试及系统试运行等配套</w:t>
      </w:r>
      <w:r>
        <w:rPr>
          <w:spacing w:val="-66"/>
        </w:rPr>
        <w:t> </w:t>
      </w:r>
      <w:r>
        <w:rPr>
          <w:spacing w:val="-66"/>
        </w:rPr>
      </w:r>
      <w:r>
        <w:rPr/>
        <w:t>服务，经验收合格后确认销售收入。</w:t>
      </w:r>
    </w:p>
    <w:p>
      <w:pPr>
        <w:pStyle w:val="BodyText"/>
        <w:spacing w:line="240" w:lineRule="auto" w:before="56"/>
        <w:ind w:right="0"/>
        <w:jc w:val="left"/>
      </w:pPr>
      <w:r>
        <w:rPr/>
        <w:t>②其他一般销售商品收入，于发货经客户签收时确认收入。</w:t>
      </w:r>
    </w:p>
    <w:p>
      <w:pPr>
        <w:pStyle w:val="BodyText"/>
        <w:spacing w:line="328" w:lineRule="auto" w:before="117"/>
        <w:ind w:left="1134" w:right="0"/>
        <w:jc w:val="left"/>
      </w:pPr>
      <w:r>
        <w:rPr/>
        <w:t>（</w:t>
      </w:r>
      <w:r>
        <w:rPr>
          <w:rFonts w:ascii="Times New Roman" w:hAnsi="Times New Roman" w:cs="Times New Roman" w:eastAsia="Times New Roman" w:hint="default"/>
        </w:rPr>
        <w:t>2</w:t>
      </w:r>
      <w:r>
        <w:rPr/>
        <w:t>）提供劳务收入 </w:t>
      </w:r>
      <w:r>
        <w:rPr>
          <w:spacing w:val="-2"/>
        </w:rPr>
        <w:t>在资产负债表日提供劳务交易的结果能够可靠估计的，采用完工百分比法确认提供劳务收入。提供劳务交易的完工进度，按</w:t>
      </w:r>
      <w:r>
        <w:rPr>
          <w:spacing w:val="-65"/>
        </w:rPr>
        <w:t> </w:t>
      </w:r>
      <w:r>
        <w:rPr>
          <w:spacing w:val="-65"/>
        </w:rPr>
      </w:r>
      <w:r>
        <w:rPr/>
        <w:t>照累计实际发生的合同成本占合同预计总成本的比例确定。</w:t>
      </w:r>
    </w:p>
    <w:p>
      <w:pPr>
        <w:pStyle w:val="BodyText"/>
        <w:spacing w:line="319" w:lineRule="auto" w:before="48"/>
        <w:ind w:right="1132"/>
        <w:jc w:val="both"/>
      </w:pP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w:t>
      </w:r>
    </w:p>
    <w:p>
      <w:pPr>
        <w:pStyle w:val="BodyText"/>
        <w:spacing w:line="240" w:lineRule="auto" w:before="58"/>
        <w:ind w:right="0"/>
        <w:jc w:val="left"/>
      </w:pPr>
      <w:r>
        <w:rPr/>
        <w:t>在资产负债表日提供劳务交易结果不能够可靠估计的，分别下列情况处理：</w:t>
      </w:r>
    </w:p>
    <w:p>
      <w:pPr>
        <w:pStyle w:val="BodyText"/>
        <w:spacing w:line="240" w:lineRule="auto" w:before="116"/>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033"/>
        <w:jc w:val="left"/>
      </w:pPr>
      <w:r>
        <w:rPr/>
        <w:t>②已经发生的劳务成本预计不能够得到补偿的，将已经发生的劳务成本计入当期损益，不确认提供劳务收入。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w:t>
      </w:r>
    </w:p>
    <w:p>
      <w:pPr>
        <w:pStyle w:val="BodyText"/>
        <w:spacing w:line="240" w:lineRule="auto" w:before="4"/>
        <w:ind w:right="0"/>
        <w:jc w:val="left"/>
      </w:pPr>
      <w:r>
        <w:rPr/>
        <w:t>将该合同全部作为销售商品处理。</w:t>
      </w:r>
    </w:p>
    <w:p>
      <w:pPr>
        <w:pStyle w:val="BodyText"/>
        <w:spacing w:line="338" w:lineRule="auto" w:before="117"/>
        <w:ind w:right="0"/>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在建造合同的结果能够可靠估计的情况下，于资产负债表日按照完工百分比法确认合同收入和合同费用。合同完工进度按累</w:t>
      </w:r>
      <w:r>
        <w:rPr>
          <w:spacing w:val="-63"/>
        </w:rPr>
        <w:t> </w:t>
      </w:r>
      <w:r>
        <w:rPr>
          <w:spacing w:val="-63"/>
        </w:rPr>
      </w:r>
      <w:r>
        <w:rPr/>
        <w:t>计实际发生的合同成本占合同预计总成本的比例确定。 </w:t>
      </w:r>
      <w:r>
        <w:rPr>
          <w:spacing w:val="-2"/>
        </w:rPr>
        <w:t>建造合同的结果能够可靠估计是指同时满足：①合同总收入能够可靠地计量；②与合同相关的经济利益很可能流入企业；③</w:t>
      </w:r>
      <w:r>
        <w:rPr>
          <w:spacing w:val="-66"/>
        </w:rPr>
        <w:t> </w:t>
      </w:r>
      <w:r>
        <w:rPr>
          <w:spacing w:val="-66"/>
        </w:rPr>
      </w:r>
      <w:r>
        <w:rPr/>
        <w:t>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如建造合同的结果不能可靠地估计，但合同成本能够收回的，合同收入根据能够收回的实际合同成本予以确认，合同成本在</w:t>
      </w:r>
    </w:p>
    <w:p>
      <w:pPr>
        <w:pStyle w:val="BodyText"/>
        <w:spacing w:line="338" w:lineRule="auto" w:before="2"/>
        <w:ind w:right="0"/>
        <w:jc w:val="left"/>
      </w:pPr>
      <w:r>
        <w:rPr>
          <w:spacing w:val="-2"/>
        </w:rPr>
        <w:t>其发生的当期确认为合同费用；合同成本不可能收回的，在发生时立即确认为合同费用，不确认合同收入。使建造合同的结</w:t>
      </w:r>
      <w:r>
        <w:rPr>
          <w:spacing w:val="-66"/>
        </w:rPr>
        <w:t> </w:t>
      </w:r>
      <w:r>
        <w:rPr>
          <w:spacing w:val="-66"/>
        </w:rPr>
      </w:r>
      <w:r>
        <w:rPr/>
        <w:t>果不能可靠估计的不确定因素不复存在的，按照完工百分比法确定与建造合同有关的收入和费用。 合同预计总成本超过合同总收入的，将预计损失确认为当期费用。</w:t>
      </w:r>
    </w:p>
    <w:p>
      <w:pPr>
        <w:pStyle w:val="BodyText"/>
        <w:spacing w:line="300" w:lineRule="auto" w:before="41"/>
        <w:ind w:right="1131"/>
        <w:jc w:val="both"/>
      </w:pP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与已结算的价款在资产负债表中以抵销后的净额列示。在建合同累计</w:t>
      </w:r>
      <w:r>
        <w:rPr>
          <w:spacing w:val="-57"/>
        </w:rPr>
        <w:t> </w:t>
      </w:r>
      <w:r>
        <w:rPr>
          <w:spacing w:val="-57"/>
        </w:rPr>
      </w:r>
      <w:r>
        <w:rPr>
          <w:spacing w:val="-1"/>
        </w:rPr>
        <w:t>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之和超过已结算价款的部分作为存货列示；在建合同已结算的价款超过累计已发生</w:t>
      </w:r>
      <w:r>
        <w:rPr>
          <w:spacing w:val="-57"/>
        </w:rPr>
        <w:t> </w:t>
      </w:r>
      <w:r>
        <w:rPr>
          <w:spacing w:val="-57"/>
        </w:rPr>
      </w:r>
      <w:r>
        <w:rPr/>
        <w:t>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9" w:lineRule="auto" w:before="52"/>
        <w:ind w:right="1132"/>
        <w:jc w:val="both"/>
      </w:pPr>
      <w:r>
        <w:rPr/>
        <w:t>公司</w:t>
      </w:r>
      <w:r>
        <w:rPr>
          <w:spacing w:val="-46"/>
        </w:rPr>
        <w:t> </w:t>
      </w:r>
      <w:r>
        <w:rPr>
          <w:rFonts w:ascii="Times New Roman" w:hAnsi="Times New Roman" w:cs="Times New Roman" w:eastAsia="Times New Roman" w:hint="default"/>
        </w:rPr>
        <w:t>BT </w:t>
      </w:r>
      <w:r>
        <w:rPr/>
        <w:t>业务的按照《企业会计准</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建造合同》确认相关的收入和成本，建造合同收入按应收取对价的公允价值计 </w:t>
      </w:r>
      <w:r>
        <w:rPr>
          <w:spacing w:val="-2"/>
        </w:rPr>
        <w:t>量，同时确认长期应收款。长期应收款采用摊余成本计量并按期确认利息收入，实际利率在长期应收款存续期间内一般保持</w:t>
      </w:r>
      <w:r>
        <w:rPr>
          <w:spacing w:val="-66"/>
        </w:rPr>
        <w:t> </w:t>
      </w:r>
      <w:r>
        <w:rPr>
          <w:spacing w:val="-66"/>
        </w:rPr>
      </w:r>
      <w:r>
        <w:rPr/>
        <w:t>不变。</w:t>
      </w:r>
    </w:p>
    <w:p>
      <w:pPr>
        <w:pStyle w:val="BodyText"/>
        <w:spacing w:line="302" w:lineRule="auto" w:before="62"/>
        <w:ind w:right="1114"/>
        <w:jc w:val="left"/>
      </w:pP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项目涉及的长期应收款原则上不计提坏账准备，如有确凿证据表明不能收回或收回可能性不大时，则按其不可收回金额 计提坏账准备。</w:t>
      </w:r>
    </w:p>
    <w:p>
      <w:pPr>
        <w:pStyle w:val="BodyText"/>
        <w:spacing w:line="340" w:lineRule="auto" w:before="69"/>
        <w:ind w:left="1134" w:right="69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38" w:lineRule="auto" w:before="40"/>
        <w:ind w:right="607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29、政府补助" w:id="216"/>
      <w:bookmarkEnd w:id="21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217"/>
      <w:bookmarkEnd w:id="21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jc w:val="left"/>
      </w:pPr>
      <w:r>
        <w:rPr>
          <w:spacing w:val="-2"/>
        </w:rPr>
        <w:t>政府补助是指本公司从政府无偿取得货币性资产和非货币性资产，不包括政府以投资者身份并享有相应所有者权益而投入的</w:t>
      </w:r>
      <w:r>
        <w:rPr>
          <w:spacing w:val="-64"/>
        </w:rPr>
        <w:t> </w:t>
      </w:r>
      <w:r>
        <w:rPr>
          <w:spacing w:val="-64"/>
        </w:rPr>
      </w:r>
      <w:r>
        <w:rPr>
          <w:spacing w:val="-2"/>
        </w:rPr>
        <w:t>资本。政府补助分为与资产相关的政府补助和与收益相关的政府补助。本公司将所取得的用于构建或以其他方式形成长期资</w:t>
      </w:r>
      <w:r>
        <w:rPr>
          <w:spacing w:val="-64"/>
        </w:rPr>
        <w:t> </w:t>
      </w:r>
      <w:r>
        <w:rPr>
          <w:spacing w:val="-64"/>
        </w:rPr>
      </w:r>
      <w:r>
        <w:rPr>
          <w:spacing w:val="-4"/>
        </w:rPr>
        <w:t>产的政府补助界定为与资产相关的政府补助；其余政府补助界定为与收益相关的政府补助。若政府文件未明确规定补助对象，</w:t>
      </w:r>
      <w:r>
        <w:rPr>
          <w:spacing w:val="-44"/>
        </w:rPr>
        <w:t> </w:t>
      </w:r>
      <w:r>
        <w:rPr>
          <w:spacing w:val="-44"/>
        </w:rPr>
      </w:r>
      <w:r>
        <w:rPr>
          <w:spacing w:val="-4"/>
        </w:rPr>
        <w:t>则采用以下方式将补助款划分为与资产相关的政府补助和与收益相关的政府补助：（</w:t>
      </w:r>
      <w:r>
        <w:rPr>
          <w:rFonts w:ascii="Times New Roman" w:hAnsi="Times New Roman" w:cs="Times New Roman" w:eastAsia="Times New Roman" w:hint="default"/>
          <w:spacing w:val="-4"/>
        </w:rPr>
        <w:t>1</w:t>
      </w:r>
      <w:r>
        <w:rPr>
          <w:spacing w:val="-4"/>
        </w:rPr>
        <w:t>）政府文件明确了补助所针对的特定目</w:t>
      </w:r>
      <w:r>
        <w:rPr>
          <w:spacing w:val="-42"/>
        </w:rPr>
        <w:t> </w:t>
      </w:r>
      <w:r>
        <w:rPr>
          <w:spacing w:val="-42"/>
        </w:rPr>
      </w:r>
      <w:r>
        <w:rPr>
          <w:spacing w:val="-2"/>
        </w:rPr>
        <w:t>的，根据该特定项目的预算中将形成资产的支出金额和计入费用的支出金额的相对比例进行划分，对该划分比例需在每个资</w:t>
      </w:r>
      <w:r>
        <w:rPr>
          <w:spacing w:val="-64"/>
        </w:rPr>
        <w:t> </w:t>
      </w:r>
      <w:r>
        <w:rPr>
          <w:spacing w:val="-64"/>
        </w:rPr>
      </w:r>
      <w:r>
        <w:rPr>
          <w:spacing w:val="-4"/>
        </w:rPr>
        <w:t>产负债表日进行复核，必要时进行变更；（</w:t>
      </w:r>
      <w:r>
        <w:rPr>
          <w:rFonts w:ascii="Times New Roman" w:hAnsi="Times New Roman" w:cs="Times New Roman" w:eastAsia="Times New Roman" w:hint="default"/>
          <w:spacing w:val="-4"/>
        </w:rPr>
        <w:t>2</w:t>
      </w:r>
      <w:r>
        <w:rPr>
          <w:spacing w:val="-4"/>
        </w:rPr>
        <w:t>）政府文件中对用途仅做一般性表述，没有指明特定项目的，作为与收益相关的</w:t>
      </w:r>
      <w:r>
        <w:rPr>
          <w:spacing w:val="-45"/>
        </w:rPr>
        <w:t> </w:t>
      </w:r>
      <w:r>
        <w:rPr>
          <w:spacing w:val="-45"/>
        </w:rPr>
      </w:r>
      <w:r>
        <w:rPr>
          <w:spacing w:val="-2"/>
        </w:rPr>
        <w:t>政府补助。政府补助为货币性资产的，按照收到或应收的金额计量。政府补助为非货币性资产的，按照公允价值计量；公允</w:t>
      </w:r>
      <w:r>
        <w:rPr>
          <w:spacing w:val="-66"/>
        </w:rPr>
        <w:t> </w:t>
      </w:r>
      <w:r>
        <w:rPr>
          <w:spacing w:val="-66"/>
        </w:rPr>
      </w:r>
      <w:r>
        <w:rPr/>
        <w:t>价值不能够可靠取得的，按照名义金额计量。按照名义金额计量的政府补助，直接计入当期损益。</w:t>
      </w:r>
    </w:p>
    <w:p>
      <w:pPr>
        <w:pStyle w:val="BodyText"/>
        <w:spacing w:line="309" w:lineRule="auto" w:before="62"/>
        <w:ind w:right="0"/>
        <w:jc w:val="left"/>
      </w:pPr>
      <w:r>
        <w:rPr>
          <w:spacing w:val="-2"/>
        </w:rPr>
        <w:t>本公司对于政府补助通常在实际收到时，按照实收金额予以确认和计量。但对于期末有确凿证据表明能够符合财政扶持政策</w:t>
      </w:r>
      <w:r>
        <w:rPr>
          <w:spacing w:val="-64"/>
        </w:rPr>
        <w:t> </w:t>
      </w:r>
      <w:r>
        <w:rPr>
          <w:spacing w:val="-64"/>
        </w:rPr>
      </w:r>
      <w:r>
        <w:rPr>
          <w:spacing w:val="-5"/>
        </w:rPr>
        <w:t>规定的相关条件预计能够收到财政扶持资金，按照应收的金额计量。按照应收金额计量的政府补助应同时符合以下条件：（</w:t>
      </w:r>
      <w:r>
        <w:rPr>
          <w:rFonts w:ascii="Times New Roman" w:hAnsi="Times New Roman" w:cs="Times New Roman" w:eastAsia="Times New Roman" w:hint="default"/>
          <w:spacing w:val="-5"/>
        </w:rPr>
        <w:t>1</w:t>
      </w:r>
      <w:r>
        <w:rPr>
          <w:spacing w:val="-5"/>
        </w:rPr>
        <w:t>）</w:t>
      </w:r>
      <w:r>
        <w:rPr>
          <w:spacing w:val="-73"/>
        </w:rPr>
        <w:t> </w:t>
      </w:r>
      <w:r>
        <w:rPr>
          <w:spacing w:val="-2"/>
        </w:rPr>
        <w:t>应收补助款的金额已经过有权政府部门发文确认，或者可根据正式发布的财政资金管理办法的有关规定自行合理测算，且预</w:t>
      </w:r>
      <w:r>
        <w:rPr>
          <w:spacing w:val="-64"/>
        </w:rPr>
        <w:t> </w:t>
      </w:r>
      <w:r>
        <w:rPr>
          <w:spacing w:val="-64"/>
        </w:rPr>
      </w:r>
      <w:r>
        <w:rPr>
          <w:spacing w:val="-4"/>
        </w:rPr>
        <w:t>计其金额不存在重大不确定性；（</w:t>
      </w:r>
      <w:r>
        <w:rPr>
          <w:rFonts w:ascii="Times New Roman" w:hAnsi="Times New Roman" w:cs="Times New Roman" w:eastAsia="Times New Roman" w:hint="default"/>
          <w:spacing w:val="-4"/>
        </w:rPr>
        <w:t>2</w:t>
      </w:r>
      <w:r>
        <w:rPr>
          <w:spacing w:val="-4"/>
        </w:rPr>
        <w:t>）所依据的是当地财政部门正式发布并按照《政府信息公开条例》的规定予以主动公开的</w:t>
      </w:r>
      <w:r>
        <w:rPr>
          <w:spacing w:val="-44"/>
        </w:rPr>
        <w:t> </w:t>
      </w:r>
      <w:r>
        <w:rPr>
          <w:spacing w:val="-44"/>
        </w:rPr>
      </w:r>
      <w:r>
        <w:rPr>
          <w:spacing w:val="-2"/>
        </w:rPr>
        <w:t>财政扶持项目及其财政资金管理办法，且该管理办法应当是普惠性的（任何符合规定条件的企业均可申请），而不是专门针</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4"/>
        </w:rPr>
        <w:t>对特定企业制定的；（</w:t>
      </w:r>
      <w:r>
        <w:rPr>
          <w:rFonts w:ascii="Times New Roman" w:hAnsi="Times New Roman" w:cs="Times New Roman" w:eastAsia="Times New Roman" w:hint="default"/>
          <w:spacing w:val="-4"/>
        </w:rPr>
        <w:t>3</w:t>
      </w:r>
      <w:r>
        <w:rPr>
          <w:spacing w:val="-4"/>
        </w:rPr>
        <w:t>）相关的补助款批文中已明确承诺了拨付期限，且该款项的拨付是有相应财政预算作为保障的，因而</w:t>
      </w:r>
      <w:r>
        <w:rPr>
          <w:spacing w:val="-44"/>
        </w:rPr>
        <w:t> </w:t>
      </w:r>
      <w:r>
        <w:rPr>
          <w:spacing w:val="-44"/>
        </w:rPr>
      </w:r>
      <w:r>
        <w:rPr>
          <w:spacing w:val="-4"/>
        </w:rPr>
        <w:t>可以合理保证其可在规定期限内收到；（</w:t>
      </w:r>
      <w:r>
        <w:rPr>
          <w:rFonts w:ascii="Times New Roman" w:hAnsi="Times New Roman" w:cs="Times New Roman" w:eastAsia="Times New Roman" w:hint="default"/>
          <w:spacing w:val="-4"/>
        </w:rPr>
        <w:t>4</w:t>
      </w:r>
      <w:r>
        <w:rPr>
          <w:spacing w:val="-4"/>
        </w:rPr>
        <w:t>）根据本公司和该补助事项的具体情况，应满足的其他相关条件（如有）。</w:t>
      </w:r>
      <w:r>
        <w:rPr>
          <w:spacing w:val="-62"/>
        </w:rPr>
        <w:t> </w:t>
      </w:r>
      <w:r>
        <w:rPr>
          <w:spacing w:val="-62"/>
        </w:rPr>
      </w:r>
      <w:r>
        <w:rPr>
          <w:spacing w:val="-2"/>
        </w:rPr>
        <w:t>与资产相关的政府补助，确认为递延收益，并在相关资产的使用寿命内按照合理、系统的方法分期计入当期损益。与收益相</w:t>
      </w:r>
      <w:r>
        <w:rPr>
          <w:spacing w:val="-66"/>
        </w:rPr>
        <w:t> </w:t>
      </w:r>
      <w:r>
        <w:rPr>
          <w:spacing w:val="-66"/>
        </w:rPr>
      </w:r>
      <w:r>
        <w:rPr>
          <w:spacing w:val="-2"/>
        </w:rPr>
        <w:t>关的政府补助，用于补偿以后期间的相关成本费用或损失的，确认为递延收益，并在确认相关成本费用或损失的期间计入当</w:t>
      </w:r>
      <w:r>
        <w:rPr>
          <w:spacing w:val="-66"/>
        </w:rPr>
        <w:t> </w:t>
      </w:r>
      <w:r>
        <w:rPr>
          <w:spacing w:val="-66"/>
        </w:rPr>
      </w:r>
      <w:r>
        <w:rPr/>
        <w:t>期损益；用于补偿已经发生的相关成本费用或损失的，直接计入当期损益。</w:t>
      </w:r>
    </w:p>
    <w:p>
      <w:pPr>
        <w:pStyle w:val="BodyText"/>
        <w:spacing w:line="319" w:lineRule="auto" w:before="56"/>
        <w:ind w:right="0"/>
        <w:jc w:val="left"/>
      </w:pPr>
      <w:r>
        <w:rPr>
          <w:spacing w:val="-2"/>
        </w:rPr>
        <w:t>同时包含与资产相关部分和与收益相关部分的政府补助，区分不同部分分别进行会计处理；难以区分的，将其整体归类为与</w:t>
      </w:r>
      <w:r>
        <w:rPr>
          <w:spacing w:val="-66"/>
        </w:rPr>
        <w:t> </w:t>
      </w:r>
      <w:r>
        <w:rPr>
          <w:spacing w:val="-66"/>
        </w:rPr>
      </w:r>
      <w:r>
        <w:rPr/>
        <w:t>收益相关的政府补助。</w:t>
      </w:r>
    </w:p>
    <w:p>
      <w:pPr>
        <w:pStyle w:val="BodyText"/>
        <w:spacing w:line="338" w:lineRule="auto" w:before="55"/>
        <w:ind w:right="0"/>
        <w:jc w:val="left"/>
      </w:pPr>
      <w:r>
        <w:rPr>
          <w:spacing w:val="-4"/>
        </w:rPr>
        <w:t>与本公司日常活动相关的政府补助，按照经济业务的实质，计入其他收益或冲减相关成本费用；与日常活动无关的政府补助，</w:t>
      </w:r>
      <w:r>
        <w:rPr>
          <w:spacing w:val="-44"/>
        </w:rPr>
        <w:t> </w:t>
      </w:r>
      <w:r>
        <w:rPr>
          <w:spacing w:val="-44"/>
        </w:rPr>
      </w:r>
      <w:r>
        <w:rPr/>
        <w:t>计入营业外收支。 </w:t>
      </w:r>
      <w:r>
        <w:rPr>
          <w:spacing w:val="-2"/>
        </w:rPr>
        <w:t>已确认的政府补助需要退回时，存在相关递延收益余额的，冲减相关递延收益账面余额，超出部分计入当期损益或对初始确</w:t>
      </w:r>
    </w:p>
    <w:p>
      <w:pPr>
        <w:pStyle w:val="BodyText"/>
        <w:spacing w:line="240" w:lineRule="auto" w:before="4"/>
        <w:ind w:right="0"/>
        <w:jc w:val="left"/>
      </w:pPr>
      <w:r>
        <w:rPr/>
        <w:t>认时冲减相关资产账面价值的与资产相关的政府补助）调整资产账面价值；属于其他情况的，直接计入当期损益。</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与收益相关的政府补助判断依据及会计处理方法" w:id="218"/>
      <w:bookmarkEnd w:id="21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与收益相关的政府补助，用于补偿以后期间的相关成本费用或损失的，确认为递延收益，并在确认相关成本费用或损失的期</w:t>
      </w:r>
      <w:r>
        <w:rPr>
          <w:spacing w:val="-66"/>
        </w:rPr>
        <w:t> </w:t>
      </w:r>
      <w:r>
        <w:rPr>
          <w:spacing w:val="-66"/>
        </w:rPr>
      </w:r>
      <w:r>
        <w:rPr/>
        <w:t>间计入当期损益；用于补偿已经发生的相关成本费用或损失的，直接计入当期损益。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30、递延所得税资产/递延所得税负债" w:id="219"/>
      <w:bookmarkEnd w:id="21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26" w:lineRule="auto"/>
        <w:ind w:left="1134" w:right="1118"/>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4"/>
        </w:rPr>
        <w:t> </w:t>
      </w:r>
      <w:r>
        <w:rPr>
          <w:spacing w:val="-64"/>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24" w:lineRule="auto" w:before="51"/>
        <w:ind w:right="1118"/>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w:t>
      </w:r>
      <w:r>
        <w:rPr>
          <w:spacing w:val="4"/>
        </w:rPr>
        <w:t> </w:t>
      </w:r>
      <w:r>
        <w:rPr>
          <w:spacing w:val="4"/>
        </w:rPr>
      </w:r>
      <w:r>
        <w:rPr/>
        <w:t>债。</w:t>
      </w:r>
    </w:p>
    <w:p>
      <w:pPr>
        <w:pStyle w:val="BodyText"/>
        <w:spacing w:line="319" w:lineRule="auto" w:before="53"/>
        <w:ind w:left="1134" w:right="1131"/>
        <w:jc w:val="both"/>
      </w:pP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w:t>
      </w:r>
    </w:p>
    <w:p>
      <w:pPr>
        <w:pStyle w:val="BodyText"/>
        <w:spacing w:line="319" w:lineRule="auto" w:before="55"/>
        <w:ind w:left="1134" w:right="1049"/>
        <w:jc w:val="both"/>
      </w:pP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w:t>
      </w:r>
    </w:p>
    <w:p>
      <w:pPr>
        <w:pStyle w:val="BodyText"/>
        <w:spacing w:line="319" w:lineRule="auto" w:before="55"/>
        <w:ind w:left="1134" w:right="1032"/>
        <w:jc w:val="left"/>
      </w:pPr>
      <w:r>
        <w:rPr/>
        <w:t>对于能够结转以后年度的可抵扣亏损和税款抵减，以很可能获得用来抵扣可抵扣亏损和税款抵减的未来应纳税所得额为限， 确认相应的递延所得税资产。</w:t>
      </w:r>
    </w:p>
    <w:p>
      <w:pPr>
        <w:pStyle w:val="BodyText"/>
        <w:spacing w:line="338" w:lineRule="auto" w:before="57"/>
        <w:ind w:left="1134" w:right="1118"/>
        <w:jc w:val="left"/>
      </w:pPr>
      <w:r>
        <w:rPr>
          <w:spacing w:val="-2"/>
        </w:rPr>
        <w:t>资产负债表日，对于递延所得税资产和递延所得税负债，根据税法规定，按照预期收回相关资产或清偿相关负债期间的适用</w:t>
      </w:r>
      <w:r>
        <w:rPr>
          <w:spacing w:val="-66"/>
        </w:rPr>
        <w:t> </w:t>
      </w:r>
      <w:r>
        <w:rPr>
          <w:spacing w:val="-66"/>
        </w:rPr>
      </w:r>
      <w:r>
        <w:rPr/>
        <w:t>税率计量。 </w:t>
      </w:r>
      <w:r>
        <w:rPr>
          <w:spacing w:val="-2"/>
        </w:rPr>
        <w:t>于资产负债表日，对递延所得税资产的账面价值进行复核，如果未来很可能无法获得足够的应纳税所得额用以抵扣递延所得</w:t>
      </w:r>
    </w:p>
    <w:p>
      <w:pPr>
        <w:pStyle w:val="BodyText"/>
        <w:spacing w:line="240" w:lineRule="auto" w:before="4"/>
        <w:ind w:left="1134" w:right="0"/>
        <w:jc w:val="left"/>
      </w:pPr>
      <w:r>
        <w:rPr/>
        <w:t>税资产的利益，则减记递延所得税资产的账面价值。在很可能获得足够的应纳税所得额时，减记的金额予以转回。</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13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42"/>
        <w:ind w:left="1134" w:right="0"/>
        <w:jc w:val="left"/>
      </w:pPr>
      <w:r>
        <w:rPr>
          <w:spacing w:val="-2"/>
        </w:rPr>
        <w:t>除确认为其他综合收益或直接计入股东权益的交易和事项相关的当期所得税和递延所得税计入其他综合收益或股东权益，以</w:t>
      </w:r>
      <w:r>
        <w:rPr>
          <w:spacing w:val="-63"/>
        </w:rPr>
        <w:t> </w:t>
      </w:r>
      <w:r>
        <w:rPr>
          <w:spacing w:val="-63"/>
        </w:rPr>
      </w:r>
      <w:r>
        <w:rPr/>
        <w:t>及企业合并产生的递延所得税调整商誉的账面价值外，其余当期所得税和递延所得税费用或收益计入当期损益。</w:t>
      </w:r>
    </w:p>
    <w:p>
      <w:pPr>
        <w:pStyle w:val="BodyText"/>
        <w:spacing w:line="328" w:lineRule="auto" w:before="57"/>
        <w:ind w:left="113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w:t>
      </w:r>
    </w:p>
    <w:p>
      <w:pPr>
        <w:pStyle w:val="BodyText"/>
        <w:spacing w:line="319" w:lineRule="auto" w:before="49"/>
        <w:ind w:left="1134" w:right="113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3"/>
        <w:rPr>
          <w:rFonts w:ascii="宋体" w:hAnsi="宋体" w:cs="宋体" w:eastAsia="宋体" w:hint="default"/>
          <w:sz w:val="22"/>
          <w:szCs w:val="22"/>
        </w:rPr>
      </w:pPr>
    </w:p>
    <w:p>
      <w:pPr>
        <w:pStyle w:val="Heading4"/>
        <w:spacing w:line="240" w:lineRule="auto"/>
        <w:ind w:left="1134" w:right="0"/>
        <w:jc w:val="left"/>
        <w:rPr>
          <w:b w:val="0"/>
          <w:bCs w:val="0"/>
        </w:rPr>
      </w:pPr>
      <w:bookmarkStart w:name="31、租赁" w:id="220"/>
      <w:bookmarkEnd w:id="220"/>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融资租赁为实质上转移了与资产所有权有关的全部风险和报酬的租赁，其所有权最终可能转移，也可能不转移。融资租赁以</w:t>
      </w:r>
      <w:r>
        <w:rPr>
          <w:spacing w:val="-66"/>
        </w:rPr>
        <w:t> </w:t>
      </w:r>
      <w:r>
        <w:rPr>
          <w:spacing w:val="-66"/>
        </w:rPr>
      </w:r>
      <w:r>
        <w:rPr/>
        <w:t>外的其他租赁为经营租赁。</w:t>
      </w:r>
    </w:p>
    <w:p>
      <w:pPr>
        <w:pStyle w:val="BodyText"/>
        <w:spacing w:line="328" w:lineRule="auto" w:before="56"/>
        <w:ind w:left="1134"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24" w:lineRule="auto" w:before="51"/>
        <w:ind w:right="1033"/>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pStyle w:val="BodyText"/>
        <w:spacing w:line="324" w:lineRule="auto" w:before="53"/>
        <w:ind w:left="1134" w:right="0"/>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5"/>
        </w:rPr>
        <w:t> </w:t>
      </w:r>
      <w:r>
        <w:rPr>
          <w:spacing w:val="-65"/>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w:t>
      </w:r>
    </w:p>
    <w:p>
      <w:pPr>
        <w:pStyle w:val="BodyText"/>
        <w:spacing w:line="240" w:lineRule="auto" w:before="53"/>
        <w:ind w:left="1134" w:right="0"/>
        <w:jc w:val="left"/>
      </w:pPr>
      <w:r>
        <w:rPr/>
        <w:t>未确认融资费用在租赁期内采用实际利率法计算确认当期的融资费用。或有租金于实际发生时计入当期损益。</w:t>
      </w:r>
    </w:p>
    <w:p>
      <w:pPr>
        <w:pStyle w:val="BodyText"/>
        <w:spacing w:line="328" w:lineRule="auto" w:before="116"/>
        <w:ind w:right="0"/>
        <w:jc w:val="left"/>
      </w:pPr>
      <w:r>
        <w:rPr/>
        <w:t>（</w:t>
      </w:r>
      <w:r>
        <w:rPr>
          <w:rFonts w:ascii="Times New Roman" w:hAnsi="Times New Roman" w:cs="Times New Roman" w:eastAsia="Times New Roman" w:hint="default"/>
        </w:rPr>
        <w:t>4</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p>
    <w:p>
      <w:pPr>
        <w:pStyle w:val="BodyText"/>
        <w:spacing w:line="357" w:lineRule="auto" w:before="11"/>
        <w:ind w:right="2113"/>
        <w:jc w:val="left"/>
      </w:pP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融资租赁的会计处理方法" w:id="222"/>
      <w:bookmarkEnd w:id="22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融资租赁为实质上转移了与资产所有权有关的全部风险和报酬的租赁，其所有权最终可能转移，也可能不转移。融资租赁以</w:t>
      </w:r>
      <w:r>
        <w:rPr>
          <w:spacing w:val="-66"/>
        </w:rPr>
        <w:t> </w:t>
      </w:r>
      <w:r>
        <w:rPr>
          <w:spacing w:val="-66"/>
        </w:rPr>
      </w:r>
      <w:r>
        <w:rPr/>
        <w:t>外的其他租赁为经营租赁。</w:t>
      </w:r>
    </w:p>
    <w:p>
      <w:pPr>
        <w:pStyle w:val="BodyText"/>
        <w:spacing w:line="240" w:lineRule="auto" w:before="56"/>
        <w:ind w:right="0"/>
        <w:jc w:val="left"/>
      </w:pPr>
      <w:r>
        <w:rPr/>
        <w:t>（</w:t>
      </w:r>
      <w:r>
        <w:rPr>
          <w:rFonts w:ascii="Times New Roman" w:hAnsi="Times New Roman" w:cs="Times New Roman" w:eastAsia="Times New Roman" w:hint="default"/>
        </w:rPr>
        <w:t>1</w:t>
      </w:r>
      <w:r>
        <w:rPr/>
        <w:t>）本公司作为承租人记录经营租赁业务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26" w:lineRule="auto" w:before="56"/>
        <w:ind w:right="1033"/>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pStyle w:val="BodyText"/>
        <w:spacing w:line="324" w:lineRule="auto" w:before="51"/>
        <w:ind w:left="1134" w:right="0"/>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5"/>
        </w:rPr>
        <w:t> </w:t>
      </w:r>
      <w:r>
        <w:rPr>
          <w:spacing w:val="-65"/>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w:t>
      </w:r>
    </w:p>
    <w:p>
      <w:pPr>
        <w:pStyle w:val="BodyText"/>
        <w:spacing w:line="240" w:lineRule="auto" w:before="54"/>
        <w:ind w:left="1134" w:right="0"/>
        <w:jc w:val="left"/>
      </w:pPr>
      <w:r>
        <w:rPr/>
        <w:t>未确认融资费用在租赁期内采用实际利率法计算确认当期的融资费用。或有租金于实际发生时计入当期损益。</w:t>
      </w:r>
    </w:p>
    <w:p>
      <w:pPr>
        <w:pStyle w:val="BodyText"/>
        <w:spacing w:line="324" w:lineRule="auto" w:before="116"/>
        <w:ind w:right="0"/>
        <w:jc w:val="left"/>
      </w:pPr>
      <w:r>
        <w:rPr/>
        <w:t>（</w:t>
      </w:r>
      <w:r>
        <w:rPr>
          <w:rFonts w:ascii="Times New Roman" w:hAnsi="Times New Roman" w:cs="Times New Roman" w:eastAsia="Times New Roman" w:hint="default"/>
        </w:rPr>
        <w:t>4</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w:t>
      </w:r>
    </w:p>
    <w:p>
      <w:pPr>
        <w:pStyle w:val="BodyText"/>
        <w:spacing w:line="240" w:lineRule="auto" w:before="54"/>
        <w:ind w:right="0"/>
        <w:jc w:val="left"/>
      </w:pPr>
      <w:r>
        <w:rPr/>
        <w:t>未实现融资收益在租赁期内采用实际利率法计算确认当期的融资收入。或有租金于实际发生时计入当期损益。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其他重要的会计政策和会计估计" w:id="223"/>
      <w:bookmarkEnd w:id="22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）会计政策变更</w:t>
      </w:r>
    </w:p>
    <w:p>
      <w:pPr>
        <w:pStyle w:val="BodyText"/>
        <w:spacing w:line="240" w:lineRule="auto" w:before="103"/>
        <w:ind w:left="1134" w:right="0"/>
        <w:jc w:val="left"/>
      </w:pPr>
      <w:r>
        <w:rPr/>
        <w:t>①因执行新企业会计准则导致的会计政策变更</w:t>
      </w:r>
    </w:p>
    <w:p>
      <w:pPr>
        <w:pStyle w:val="BodyText"/>
        <w:spacing w:line="240" w:lineRule="auto" w:before="115"/>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7"/>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日，财政部以财会</w:t>
      </w:r>
      <w:r>
        <w:rPr>
          <w:rFonts w:ascii="Times New Roman" w:hAnsi="Times New Roman" w:cs="Times New Roman" w:eastAsia="Times New Roman" w:hint="default"/>
        </w:rPr>
        <w:t>[2017]13</w:t>
      </w:r>
      <w:r>
        <w:rPr>
          <w:rFonts w:ascii="Times New Roman" w:hAnsi="Times New Roman" w:cs="Times New Roman" w:eastAsia="Times New Roman" w:hint="default"/>
          <w:spacing w:val="8"/>
        </w:rPr>
        <w:t> </w:t>
      </w:r>
      <w:r>
        <w:rPr/>
        <w:t>号发布了《企业会计准则第</w:t>
      </w:r>
      <w:r>
        <w:rPr>
          <w:spacing w:val="-37"/>
        </w:rPr>
        <w:t> </w:t>
      </w:r>
      <w:r>
        <w:rPr>
          <w:rFonts w:ascii="Times New Roman" w:hAnsi="Times New Roman" w:cs="Times New Roman" w:eastAsia="Times New Roman" w:hint="default"/>
        </w:rPr>
        <w:t>42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持有待售的非流动资产、处置组和终止经</w:t>
      </w:r>
    </w:p>
    <w:p>
      <w:pPr>
        <w:pStyle w:val="BodyText"/>
        <w:spacing w:line="240" w:lineRule="auto" w:before="63"/>
        <w:ind w:left="1134" w:right="0"/>
        <w:jc w:val="left"/>
      </w:pPr>
      <w:r>
        <w:rPr/>
        <w:t>营</w:t>
      </w:r>
      <w:r>
        <w:rPr>
          <w:spacing w:val="-90"/>
        </w:rPr>
        <w:t>》</w:t>
      </w:r>
      <w:r>
        <w:rPr>
          <w:spacing w:val="-6"/>
        </w:rPr>
        <w:t>，</w:t>
      </w:r>
      <w:r>
        <w:rPr/>
        <w:t>自</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1"/>
        </w:rPr>
        <w:t>起</w:t>
      </w:r>
      <w:r>
        <w:rPr/>
        <w:t>实施</w:t>
      </w:r>
      <w:r>
        <w:rPr>
          <w:spacing w:val="-6"/>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日</w:t>
      </w:r>
      <w:r>
        <w:rPr>
          <w:spacing w:val="-6"/>
        </w:rPr>
        <w:t>，</w:t>
      </w:r>
      <w:r>
        <w:rPr>
          <w:spacing w:val="1"/>
        </w:rPr>
        <w:t>财</w:t>
      </w:r>
      <w:r>
        <w:rPr/>
        <w:t>政部以财会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号发布</w:t>
      </w:r>
      <w:r>
        <w:rPr>
          <w:spacing w:val="-5"/>
        </w:rPr>
        <w:t>了</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政</w:t>
      </w:r>
      <w:r>
        <w:rPr>
          <w:spacing w:val="1"/>
        </w:rPr>
        <w:t>府</w:t>
      </w:r>
      <w:r>
        <w:rPr/>
        <w:t>补</w:t>
      </w:r>
    </w:p>
    <w:p>
      <w:pPr>
        <w:pStyle w:val="BodyText"/>
        <w:spacing w:line="302" w:lineRule="auto" w:before="63"/>
        <w:ind w:right="1117"/>
        <w:jc w:val="left"/>
      </w:pPr>
      <w:r>
        <w:rPr/>
        <w:t>助（</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26"/>
        </w:rPr>
        <w:t>年修订）》，自</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日起实施。经本公司第四届董事会第十六次会议于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日决议通过，本 公司按照财政部的要求时间开始执行前述两项会计准则。</w:t>
      </w:r>
    </w:p>
    <w:p>
      <w:pPr>
        <w:pStyle w:val="BodyText"/>
        <w:spacing w:line="300" w:lineRule="auto" w:before="69"/>
        <w:ind w:left="1134" w:right="1113"/>
        <w:jc w:val="left"/>
        <w:rPr>
          <w:rFonts w:ascii="Times New Roman" w:hAnsi="Times New Roman" w:cs="Times New Roman" w:eastAsia="Times New Roman" w:hint="default"/>
        </w:rPr>
      </w:pPr>
      <w:r>
        <w:rPr/>
        <w:t>执行《企业会计准则第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spacing w:val="-3"/>
        </w:rPr>
        <w:t>年修订）》之前，本公司将取得的政府补助计入营业外收入；与资产相关</w:t>
      </w:r>
      <w:r>
        <w:rPr/>
        <w:t> 的政府补助确认为递延收益，在资产使用寿命内平均摊销计入当期损益。执行《企业会计准则第</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p>
    <w:p>
      <w:pPr>
        <w:pStyle w:val="BodyText"/>
        <w:spacing w:line="302" w:lineRule="auto" w:before="13"/>
        <w:ind w:right="1037"/>
        <w:jc w:val="left"/>
      </w:pPr>
      <w:r>
        <w:rPr>
          <w:spacing w:val="-10"/>
        </w:rPr>
        <w:t>年修订）》之后，对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日之后发生的与日常活动相关的政府补助，计入其他收益；与日常活动无关的政府补助， 计入营业外收支。</w:t>
      </w:r>
    </w:p>
    <w:p>
      <w:pPr>
        <w:pStyle w:val="BodyText"/>
        <w:spacing w:line="240" w:lineRule="auto" w:before="69"/>
        <w:ind w:right="0"/>
        <w:jc w:val="left"/>
      </w:pPr>
      <w:r>
        <w:rPr/>
        <w:t>②本公司本年无其他会计政策变更。</w:t>
      </w:r>
    </w:p>
    <w:p>
      <w:pPr>
        <w:pStyle w:val="BodyText"/>
        <w:spacing w:line="324" w:lineRule="auto" w:before="116"/>
        <w:ind w:right="0"/>
        <w:jc w:val="left"/>
      </w:pPr>
      <w:r>
        <w:rPr/>
        <w:t>（</w:t>
      </w:r>
      <w:r>
        <w:rPr>
          <w:rFonts w:ascii="Times New Roman" w:hAnsi="Times New Roman" w:cs="Times New Roman" w:eastAsia="Times New Roman" w:hint="default"/>
        </w:rPr>
        <w:t>2</w:t>
      </w:r>
      <w:r>
        <w:rPr/>
        <w:t>）本公司本年无会计估计变更。 </w:t>
      </w: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所导致的实际结果可能与本公司管理层当前的估计存在差异，进而造成对未来受影响的资产或负债的账面金额进行重大调</w:t>
      </w:r>
    </w:p>
    <w:p>
      <w:pPr>
        <w:pStyle w:val="BodyText"/>
        <w:spacing w:line="338" w:lineRule="auto" w:before="14"/>
        <w:ind w:right="1118"/>
        <w:jc w:val="left"/>
      </w:pPr>
      <w:r>
        <w:rPr/>
        <w:t>整。 </w:t>
      </w:r>
      <w:r>
        <w:rPr>
          <w:spacing w:val="-2"/>
        </w:rPr>
        <w:t>本公司对前述判断、估计和假设在持续经营的基础上进行定期复核，会计估计的变更仅影响变更当期的，其影响数在变更当</w:t>
      </w:r>
      <w:r>
        <w:rPr>
          <w:spacing w:val="-66"/>
        </w:rPr>
        <w:t> </w:t>
      </w:r>
      <w:r>
        <w:rPr>
          <w:spacing w:val="-66"/>
        </w:rPr>
      </w:r>
      <w:r>
        <w:rPr/>
        <w:t>期予以确认；既影响变更当期又影响未来期间的，其影响数在变更当期和未来期间予以确认。</w:t>
      </w:r>
    </w:p>
    <w:p>
      <w:pPr>
        <w:pStyle w:val="BodyText"/>
        <w:spacing w:line="240" w:lineRule="auto" w:before="42"/>
        <w:ind w:right="0"/>
        <w:jc w:val="left"/>
      </w:pPr>
      <w:r>
        <w:rPr/>
        <w:t>于资产负债表日，本公司需对财务报表项目金额进行判断、估计和假设的重要领域如下：</w:t>
      </w:r>
    </w:p>
    <w:p>
      <w:pPr>
        <w:pStyle w:val="BodyText"/>
        <w:spacing w:line="338" w:lineRule="auto" w:before="117"/>
        <w:ind w:left="1134" w:right="0"/>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在建造合同结果可以可靠估计时，本公司采用完工百分比法在资产负债表日确认合同收入。合同的完工百分比是依照本附注</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24" w:lineRule="auto" w:before="44"/>
        <w:ind w:right="0"/>
        <w:jc w:val="left"/>
      </w:pPr>
      <w:r>
        <w:rPr/>
        <w:t>四、</w:t>
      </w:r>
      <w:r>
        <w:rPr>
          <w:rFonts w:ascii="Times New Roman" w:hAnsi="Times New Roman" w:cs="Times New Roman" w:eastAsia="Times New Roman" w:hint="default"/>
        </w:rPr>
        <w:t>23</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在确定完工百分比、已发生的合同成本、预计合同总收入和总成本，以及合同可回收性时，需要作出重大判断。项目管理层</w:t>
      </w:r>
      <w:r>
        <w:rPr>
          <w:spacing w:val="-66"/>
        </w:rPr>
        <w:t> </w:t>
      </w:r>
      <w:r>
        <w:rPr>
          <w:spacing w:val="-66"/>
        </w:rPr>
      </w:r>
      <w:r>
        <w:rPr>
          <w:spacing w:val="-2"/>
        </w:rPr>
        <w:t>主要依靠过去的经验和工作作出判断。预计合同总收入和总成本，以及合同执行结果的估计变更都可能对变更当期或以后期</w:t>
      </w:r>
      <w:r>
        <w:rPr>
          <w:spacing w:val="-64"/>
        </w:rPr>
        <w:t> </w:t>
      </w:r>
      <w:r>
        <w:rPr>
          <w:spacing w:val="-64"/>
        </w:rPr>
      </w:r>
      <w:r>
        <w:rPr/>
        <w:t>间的营业收入、营业成本，以及期间损益产生影响，且可能构成重大影响。</w:t>
      </w:r>
    </w:p>
    <w:p>
      <w:pPr>
        <w:pStyle w:val="BodyText"/>
        <w:spacing w:line="240" w:lineRule="auto" w:before="54"/>
        <w:ind w:right="0"/>
        <w:jc w:val="left"/>
      </w:pPr>
      <w:r>
        <w:rPr/>
        <w:t>（</w:t>
      </w:r>
      <w:r>
        <w:rPr>
          <w:rFonts w:ascii="Times New Roman" w:hAnsi="Times New Roman" w:cs="Times New Roman" w:eastAsia="Times New Roman" w:hint="default"/>
        </w:rPr>
        <w:t>2</w:t>
      </w:r>
      <w:r>
        <w:rPr/>
        <w:t>）租赁的归类</w:t>
      </w:r>
    </w:p>
    <w:p>
      <w:pPr>
        <w:pStyle w:val="BodyText"/>
        <w:spacing w:line="309" w:lineRule="auto" w:before="101"/>
        <w:ind w:right="1131"/>
        <w:jc w:val="both"/>
      </w:pPr>
      <w:r>
        <w:rPr/>
        <w:t>本公司根据《企业会计准则第</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租赁》的规定，将租赁归类为经营租赁和融资租赁，在进行归类时，管理层需要对 </w:t>
      </w:r>
      <w:r>
        <w:rPr>
          <w:spacing w:val="-2"/>
        </w:rPr>
        <w:t>是否已将与租出资产所有权有关的全部风险和报酬实质上转移给承租人，或者本公司是否已经实质上承担与租入资产所有权</w:t>
      </w:r>
      <w:r>
        <w:rPr>
          <w:spacing w:val="-64"/>
        </w:rPr>
        <w:t> </w:t>
      </w:r>
      <w:r>
        <w:rPr>
          <w:spacing w:val="-64"/>
        </w:rPr>
      </w:r>
      <w:r>
        <w:rPr/>
        <w:t>有关的全部风险和报酬，作出分析和判断。</w:t>
      </w:r>
    </w:p>
    <w:p>
      <w:pPr>
        <w:pStyle w:val="BodyText"/>
        <w:spacing w:line="326" w:lineRule="auto" w:before="64"/>
        <w:ind w:left="1134" w:right="0"/>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本公司根据应收款项的会计政策，采用备抵法核算坏账损失。应收账款减值是基于评估应收账款的可收回性。鉴定应收账款</w:t>
      </w:r>
      <w:r>
        <w:rPr>
          <w:spacing w:val="-66"/>
        </w:rPr>
        <w:t> </w:t>
      </w:r>
      <w:r>
        <w:rPr>
          <w:spacing w:val="-66"/>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24" w:lineRule="auto" w:before="51"/>
        <w:ind w:left="1134" w:right="0"/>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本公司根据存货会计政策，按照成本与可变现净值孰低计量，对成本高于可变现净值及陈旧和滞销的存货，计提存货跌价准</w:t>
      </w:r>
      <w:r>
        <w:rPr>
          <w:spacing w:val="-66"/>
        </w:rPr>
        <w:t> </w:t>
      </w:r>
      <w:r>
        <w:rPr>
          <w:spacing w:val="-66"/>
        </w:rPr>
      </w:r>
      <w:r>
        <w:rPr>
          <w:spacing w:val="-2"/>
        </w:rPr>
        <w:t>备。存货减值至可变现净值是基于评估存货的可售性及其可变现净值。鉴定存货减值要求管理层在取得确凿证据，并且考虑</w:t>
      </w:r>
      <w:r>
        <w:rPr>
          <w:spacing w:val="-66"/>
        </w:rPr>
        <w:t> </w:t>
      </w:r>
      <w:r>
        <w:rPr>
          <w:spacing w:val="-66"/>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24" w:lineRule="auto" w:before="54"/>
        <w:ind w:left="1134" w:right="1032"/>
        <w:jc w:val="left"/>
      </w:pPr>
      <w:r>
        <w:rPr/>
        <w:t>（</w:t>
      </w:r>
      <w:r>
        <w:rPr>
          <w:rFonts w:ascii="Times New Roman" w:hAnsi="Times New Roman" w:cs="Times New Roman" w:eastAsia="Times New Roman" w:hint="default"/>
        </w:rPr>
        <w:t>5</w:t>
      </w:r>
      <w:r>
        <w:rPr/>
        <w:t>）金融工具公允价值 对不存在活跃交易市场的金融工具，本公司通过各种估值方法确定其公允价值。这些估值方法包括贴现现金流模型分析等。 </w:t>
      </w:r>
      <w:r>
        <w:rPr>
          <w:spacing w:val="-2"/>
        </w:rPr>
        <w:t>估值时本公司需对未来现金流量、信用风险、市场波动率和相关性等方面进行估计，并选择适当的折现率。这些相关假设具</w:t>
      </w:r>
      <w:r>
        <w:rPr>
          <w:spacing w:val="-66"/>
        </w:rPr>
        <w:t> </w:t>
      </w:r>
      <w:r>
        <w:rPr>
          <w:spacing w:val="-66"/>
        </w:rPr>
      </w:r>
      <w:r>
        <w:rPr/>
        <w:t>有不确定性，其变化会对金融工具的公允价值产生影响。</w:t>
      </w:r>
    </w:p>
    <w:p>
      <w:pPr>
        <w:pStyle w:val="BodyText"/>
        <w:spacing w:line="326" w:lineRule="auto" w:before="53"/>
        <w:ind w:left="1134" w:right="0"/>
        <w:jc w:val="left"/>
      </w:pPr>
      <w:r>
        <w:rPr/>
        <w:t>（</w:t>
      </w:r>
      <w:r>
        <w:rPr>
          <w:rFonts w:ascii="Times New Roman" w:hAnsi="Times New Roman" w:cs="Times New Roman" w:eastAsia="Times New Roman" w:hint="default"/>
        </w:rPr>
        <w:t>6</w:t>
      </w:r>
      <w:r>
        <w:rPr/>
        <w:t>）可供出售金融资产减值 </w:t>
      </w:r>
      <w:r>
        <w:rPr>
          <w:spacing w:val="-2"/>
        </w:rPr>
        <w:t>本公司确定可供出售金融资产是否减值在很大程度上依赖于管理层的判断和假设，以确定是否需要在利润表中确认其减值损</w:t>
      </w:r>
      <w:r>
        <w:rPr>
          <w:spacing w:val="-64"/>
        </w:rPr>
        <w:t> </w:t>
      </w:r>
      <w:r>
        <w:rPr>
          <w:spacing w:val="-64"/>
        </w:rPr>
      </w:r>
      <w:r>
        <w:rPr>
          <w:spacing w:val="-2"/>
        </w:rPr>
        <w:t>失。在进行判断和作出假设的过程中，本公司需评估该项投资的公允价值低于成本的程度和持续期间，以及被投资对象的财</w:t>
      </w:r>
      <w:r>
        <w:rPr>
          <w:spacing w:val="-66"/>
        </w:rPr>
        <w:t> </w:t>
      </w:r>
      <w:r>
        <w:rPr>
          <w:spacing w:val="-66"/>
        </w:rPr>
      </w:r>
      <w:r>
        <w:rPr/>
        <w:t>务状况和短期业务展望，包括行业状况、技术变革、信用评级、违约率和对手方的风险。</w:t>
      </w:r>
    </w:p>
    <w:p>
      <w:pPr>
        <w:pStyle w:val="BodyText"/>
        <w:spacing w:line="324" w:lineRule="auto" w:before="51"/>
        <w:ind w:right="1033"/>
        <w:jc w:val="left"/>
      </w:pPr>
      <w:r>
        <w:rPr/>
        <w:t>（</w:t>
      </w:r>
      <w:r>
        <w:rPr>
          <w:rFonts w:ascii="Times New Roman" w:hAnsi="Times New Roman" w:cs="Times New Roman" w:eastAsia="Times New Roman" w:hint="default"/>
        </w:rPr>
        <w:t>7</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w:t>
      </w:r>
    </w:p>
    <w:p>
      <w:pPr>
        <w:pStyle w:val="BodyText"/>
        <w:spacing w:line="338" w:lineRule="auto" w:before="53"/>
        <w:ind w:right="0"/>
        <w:jc w:val="left"/>
      </w:pP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p>
    <w:p>
      <w:pPr>
        <w:pStyle w:val="BodyText"/>
        <w:spacing w:line="338" w:lineRule="auto" w:before="4"/>
        <w:ind w:left="1134" w:right="0"/>
        <w:jc w:val="left"/>
      </w:pP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p>
    <w:p>
      <w:pPr>
        <w:pStyle w:val="BodyText"/>
        <w:spacing w:line="338" w:lineRule="auto" w:before="4"/>
        <w:ind w:left="1134" w:right="0"/>
        <w:jc w:val="left"/>
      </w:pP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p>
    <w:p>
      <w:pPr>
        <w:pStyle w:val="BodyText"/>
        <w:spacing w:line="240" w:lineRule="auto" w:before="4"/>
        <w:ind w:left="1134" w:right="0"/>
        <w:jc w:val="left"/>
      </w:pPr>
      <w:r>
        <w:rPr/>
        <w:t>未来现金流量的现值。</w:t>
      </w:r>
    </w:p>
    <w:p>
      <w:pPr>
        <w:pStyle w:val="BodyText"/>
        <w:spacing w:line="328" w:lineRule="auto" w:before="116"/>
        <w:ind w:left="1134" w:right="0"/>
        <w:jc w:val="left"/>
      </w:pPr>
      <w:r>
        <w:rPr/>
        <w:t>（</w:t>
      </w:r>
      <w:r>
        <w:rPr>
          <w:rFonts w:ascii="Times New Roman" w:hAnsi="Times New Roman" w:cs="Times New Roman" w:eastAsia="Times New Roman" w:hint="default"/>
        </w:rPr>
        <w:t>8</w:t>
      </w:r>
      <w:r>
        <w:rPr/>
        <w:t>）折旧和摊销 </w:t>
      </w:r>
      <w:r>
        <w:rPr>
          <w:spacing w:val="-2"/>
        </w:rPr>
        <w:t>本公司对投资性房地产、固定资产和无形资产在考虑其残值后，在使用寿命内按直线法计提折旧和摊销。本公司定期复核使</w:t>
      </w:r>
      <w:r>
        <w:rPr>
          <w:spacing w:val="-66"/>
        </w:rPr>
        <w:t> </w:t>
      </w:r>
      <w:r>
        <w:rPr>
          <w:spacing w:val="-66"/>
        </w:rPr>
      </w:r>
      <w:r>
        <w:rPr>
          <w:spacing w:val="-2"/>
        </w:rPr>
        <w:t>用寿命，以决定将计入每个报告期的折旧和摊销费用数额。使用寿命是本公司根据对同类资产的以往经验并结合预期的技术</w:t>
      </w:r>
    </w:p>
    <w:p>
      <w:pPr>
        <w:spacing w:after="0" w:line="32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更新而确定的。如果以前的估计发生重大变化，则会在未来期间对折旧和摊销费用进行调整。</w:t>
      </w:r>
    </w:p>
    <w:p>
      <w:pPr>
        <w:pStyle w:val="BodyText"/>
        <w:spacing w:line="340" w:lineRule="auto" w:before="116"/>
        <w:ind w:right="1118"/>
        <w:jc w:val="left"/>
      </w:pPr>
      <w:r>
        <w:rPr/>
        <w:t>（</w:t>
      </w:r>
      <w:r>
        <w:rPr>
          <w:rFonts w:ascii="Times New Roman" w:hAnsi="Times New Roman" w:cs="Times New Roman" w:eastAsia="Times New Roman" w:hint="default"/>
        </w:rPr>
        <w:t>9</w:t>
      </w:r>
      <w:r>
        <w:rPr/>
        <w:t>）开发支出 确定资本化的金额时，本公司管理层需要作出有关资产的预计未来现金流量、适用的折现率以及预计受益期间的假设。</w:t>
      </w:r>
    </w:p>
    <w:p>
      <w:pPr>
        <w:pStyle w:val="BodyText"/>
        <w:spacing w:line="314" w:lineRule="auto" w:before="39"/>
        <w:ind w:right="1033"/>
        <w:jc w:val="left"/>
      </w:pPr>
      <w:r>
        <w:rPr/>
        <w:t>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日，本公司自行开发的无形资产在资产负债表中的账面价值为人民币</w:t>
      </w:r>
      <w:r>
        <w:rPr>
          <w:spacing w:val="-47"/>
        </w:rPr>
        <w:t> </w:t>
      </w:r>
      <w:r>
        <w:rPr>
          <w:rFonts w:ascii="Times New Roman" w:hAnsi="Times New Roman" w:cs="Times New Roman" w:eastAsia="Times New Roman" w:hint="default"/>
        </w:rPr>
        <w:t>72,332,933.12</w:t>
      </w:r>
      <w:r>
        <w:rPr>
          <w:rFonts w:ascii="Times New Roman" w:hAnsi="Times New Roman" w:cs="Times New Roman" w:eastAsia="Times New Roman" w:hint="default"/>
          <w:spacing w:val="-2"/>
        </w:rPr>
        <w:t> </w:t>
      </w:r>
      <w:r>
        <w:rPr>
          <w:spacing w:val="-3"/>
        </w:rPr>
        <w:t>元。本公司管理层</w:t>
      </w:r>
      <w:r>
        <w:rPr/>
        <w:t> </w:t>
      </w:r>
      <w:r>
        <w:rPr>
          <w:spacing w:val="-2"/>
        </w:rPr>
        <w:t>认为该业务的前景和目前的发展良好，市场对以该无形资产生产的产品的反应也证实了管理层之前对这一项目预期收入的估</w:t>
      </w:r>
      <w:r>
        <w:rPr>
          <w:spacing w:val="-64"/>
        </w:rPr>
        <w:t> </w:t>
      </w:r>
      <w:r>
        <w:rPr>
          <w:spacing w:val="-64"/>
        </w:rPr>
      </w:r>
      <w:r>
        <w:rPr>
          <w:spacing w:val="-2"/>
        </w:rPr>
        <w:t>计。但是日益增加的竞争也使得管理层重新考虑对市场份额和有关产品的预计毛利等方面的假设。经过全面的检视后，本公</w:t>
      </w:r>
      <w:r>
        <w:rPr>
          <w:spacing w:val="-65"/>
        </w:rPr>
        <w:t> </w:t>
      </w:r>
      <w:r>
        <w:rPr>
          <w:spacing w:val="-65"/>
        </w:rPr>
      </w:r>
      <w:r>
        <w:rPr/>
        <w:t>司管理层认为即使在产品回报率出现下调的情况下，仍可以全额收回无形资产账面价值。本公司将继续密切检视有关情况， 一旦有迹象表明需要调整相关会计估计的假设，本公司将在有关迹象发生的期间作出调整。</w:t>
      </w:r>
    </w:p>
    <w:p>
      <w:pPr>
        <w:pStyle w:val="BodyText"/>
        <w:spacing w:line="326" w:lineRule="auto" w:before="60"/>
        <w:ind w:left="1134" w:right="1118"/>
        <w:jc w:val="left"/>
      </w:pPr>
      <w:r>
        <w:rPr/>
        <w:t>（</w:t>
      </w:r>
      <w:r>
        <w:rPr>
          <w:rFonts w:ascii="Times New Roman" w:hAnsi="Times New Roman" w:cs="Times New Roman" w:eastAsia="Times New Roman" w:hint="default"/>
        </w:rPr>
        <w:t>10</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24" w:lineRule="auto" w:before="51"/>
        <w:ind w:left="1134" w:right="1118"/>
        <w:jc w:val="left"/>
      </w:pPr>
      <w:r>
        <w:rPr/>
        <w:t>（</w:t>
      </w:r>
      <w:r>
        <w:rPr>
          <w:rFonts w:ascii="Times New Roman" w:hAnsi="Times New Roman" w:cs="Times New Roman" w:eastAsia="Times New Roman" w:hint="default"/>
        </w:rPr>
        <w:t>11</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24" w:lineRule="auto" w:before="54"/>
        <w:ind w:right="0"/>
        <w:jc w:val="left"/>
      </w:pPr>
      <w:r>
        <w:rPr/>
        <w:t>（</w:t>
      </w:r>
      <w:r>
        <w:rPr>
          <w:rFonts w:ascii="Times New Roman" w:hAnsi="Times New Roman" w:cs="Times New Roman" w:eastAsia="Times New Roman" w:hint="default"/>
        </w:rPr>
        <w:t>12</w:t>
      </w:r>
      <w:r>
        <w:rPr/>
        <w:t>）预计负债 </w:t>
      </w:r>
      <w:r>
        <w:rPr>
          <w:spacing w:val="-2"/>
        </w:rPr>
        <w:t>本公司根据合约条款、现有知识及历史经验，对产品质量保证、预计合同亏损、延迟交货违约金等估计并计提相应准备。在</w:t>
      </w:r>
      <w:r>
        <w:rPr>
          <w:spacing w:val="-66"/>
        </w:rPr>
        <w:t> </w:t>
      </w:r>
      <w:r>
        <w:rPr>
          <w:spacing w:val="-66"/>
        </w:rPr>
      </w: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3"/>
        </w:rPr>
        <w:t> </w:t>
      </w:r>
      <w:r>
        <w:rPr>
          <w:spacing w:val="-63"/>
        </w:rPr>
      </w:r>
      <w:r>
        <w:rPr/>
        <w:t>行判断过程中本公司需评估该等或有事项相关的风险、不确定性及货币时间价值等因素。</w:t>
      </w:r>
    </w:p>
    <w:p>
      <w:pPr>
        <w:pStyle w:val="BodyText"/>
        <w:spacing w:line="319" w:lineRule="auto" w:before="52"/>
        <w:ind w:right="1033"/>
        <w:jc w:val="left"/>
      </w:pPr>
      <w:r>
        <w:rPr>
          <w:spacing w:val="-2"/>
        </w:rPr>
        <w:t>其中，本公司会就出售、维修及改造所售商品向客户提供的售后质量维修承诺预计负债。预计负债时已考虑本公司近期的维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w:t>
      </w:r>
    </w:p>
    <w:p>
      <w:pPr>
        <w:spacing w:line="240" w:lineRule="auto" w:before="4"/>
        <w:rPr>
          <w:rFonts w:ascii="宋体" w:hAnsi="宋体" w:cs="宋体" w:eastAsia="宋体" w:hint="default"/>
          <w:sz w:val="22"/>
          <w:szCs w:val="22"/>
        </w:rPr>
      </w:pPr>
    </w:p>
    <w:p>
      <w:pPr>
        <w:pStyle w:val="Heading4"/>
        <w:spacing w:line="240" w:lineRule="auto"/>
        <w:ind w:left="1134" w:right="0"/>
        <w:jc w:val="left"/>
        <w:rPr>
          <w:b w:val="0"/>
          <w:bCs w:val="0"/>
        </w:rPr>
      </w:pPr>
      <w:bookmarkStart w:name="33、重要会计政策和会计估计变更" w:id="224"/>
      <w:bookmarkEnd w:id="22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25"/>
      <w:bookmarkEnd w:id="22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26"/>
      <w:bookmarkEnd w:id="22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27"/>
      <w:bookmarkEnd w:id="22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8"/>
      <w:bookmarkEnd w:id="228"/>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9"/>
      <w:bookmarkEnd w:id="229"/>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40"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的税率计算销项税，并按扣除当期允许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13"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42"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抵扣的进项税额后的差额计缴增值税。 详见注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计缴，核定征收。详见注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按房产原值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计缴和按租金收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税收优惠" w:id="230"/>
      <w:bookmarkEnd w:id="23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1"/>
        <w:jc w:val="left"/>
      </w:pPr>
      <w:r>
        <w:rPr/>
        <w:t>本公司</w:t>
      </w:r>
      <w:r>
        <w:rPr>
          <w:spacing w:val="-45"/>
        </w:rPr>
        <w:t> </w:t>
      </w:r>
      <w:r>
        <w:rPr>
          <w:rFonts w:ascii="Times New Roman" w:hAnsi="Times New Roman" w:cs="Times New Roman" w:eastAsia="Times New Roman" w:hint="default"/>
        </w:rPr>
        <w:t>2017 </w:t>
      </w:r>
      <w:r>
        <w:rPr>
          <w:spacing w:val="-1"/>
        </w:rPr>
        <w:t>年度通过了国家高新技术企业复审，认定有效期为</w:t>
      </w:r>
      <w:r>
        <w:rPr>
          <w:spacing w:val="-45"/>
        </w:rPr>
        <w:t> </w:t>
      </w:r>
      <w:r>
        <w:rPr>
          <w:rFonts w:ascii="Times New Roman" w:hAnsi="Times New Roman" w:cs="Times New Roman" w:eastAsia="Times New Roman" w:hint="default"/>
        </w:rPr>
        <w:t>3 </w:t>
      </w:r>
      <w:r>
        <w:rPr>
          <w:spacing w:val="-4"/>
        </w:rPr>
        <w:t>年（</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-2019 </w:t>
      </w:r>
      <w:r>
        <w:rPr>
          <w:spacing w:val="-13"/>
        </w:rPr>
        <w:t>年），本报告期按照</w:t>
      </w:r>
      <w:r>
        <w:rPr>
          <w:spacing w:val="-45"/>
        </w:rPr>
        <w:t> </w:t>
      </w:r>
      <w:r>
        <w:rPr>
          <w:rFonts w:ascii="Times New Roman" w:hAnsi="Times New Roman" w:cs="Times New Roman" w:eastAsia="Times New Roman" w:hint="default"/>
        </w:rPr>
        <w:t>15%</w:t>
      </w:r>
      <w:r>
        <w:rPr/>
        <w:t>的税率计缴企业 所得税。</w:t>
      </w:r>
    </w:p>
    <w:p>
      <w:pPr>
        <w:pStyle w:val="BodyText"/>
        <w:spacing w:line="302" w:lineRule="auto" w:before="68"/>
        <w:ind w:left="1134" w:right="1122"/>
        <w:jc w:val="left"/>
      </w:pPr>
      <w:r>
        <w:rPr/>
        <w:t>子公司浙江银江智慧交通集团有限公司</w:t>
      </w:r>
      <w:r>
        <w:rPr>
          <w:spacing w:val="-45"/>
        </w:rPr>
        <w:t> </w:t>
      </w:r>
      <w:r>
        <w:rPr>
          <w:rFonts w:ascii="Times New Roman" w:hAnsi="Times New Roman" w:cs="Times New Roman" w:eastAsia="Times New Roman" w:hint="default"/>
        </w:rPr>
        <w:t>2014 </w:t>
      </w:r>
      <w:r>
        <w:rPr>
          <w:spacing w:val="-1"/>
        </w:rPr>
        <w:t>年度被认定为国家高新技术企业，认定有效期为</w:t>
      </w:r>
      <w:r>
        <w:rPr>
          <w:spacing w:val="-44"/>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-2016 </w:t>
      </w:r>
      <w:r>
        <w:rPr>
          <w:spacing w:val="-16"/>
        </w:rPr>
        <w:t>年），</w:t>
      </w:r>
      <w:r>
        <w:rPr>
          <w:rFonts w:ascii="Times New Roman" w:hAnsi="Times New Roman" w:cs="Times New Roman" w:eastAsia="Times New Roman" w:hint="default"/>
          <w:spacing w:val="-16"/>
        </w:rPr>
        <w:t>2017</w:t>
      </w:r>
      <w:r>
        <w:rPr>
          <w:rFonts w:ascii="Times New Roman" w:hAnsi="Times New Roman" w:cs="Times New Roman" w:eastAsia="Times New Roman" w:hint="default"/>
        </w:rPr>
        <w:t> </w:t>
      </w:r>
      <w:r>
        <w:rPr/>
        <w:t>年度通过了复审，本报告期按照</w:t>
      </w:r>
      <w:r>
        <w:rPr>
          <w:spacing w:val="-46"/>
        </w:rPr>
        <w:t> </w:t>
      </w:r>
      <w:r>
        <w:rPr>
          <w:rFonts w:ascii="Times New Roman" w:hAnsi="Times New Roman" w:cs="Times New Roman" w:eastAsia="Times New Roman" w:hint="default"/>
        </w:rPr>
        <w:t>15%</w:t>
      </w:r>
      <w:r>
        <w:rPr/>
        <w:t>的税率计缴企业所得税。</w:t>
      </w:r>
    </w:p>
    <w:p>
      <w:pPr>
        <w:pStyle w:val="BodyText"/>
        <w:spacing w:line="302" w:lineRule="auto" w:before="50"/>
        <w:ind w:right="1121"/>
        <w:jc w:val="left"/>
      </w:pPr>
      <w:r>
        <w:rPr/>
        <w:t>子公司浙江银江交通技术有限公司</w:t>
      </w:r>
      <w:r>
        <w:rPr>
          <w:spacing w:val="-45"/>
        </w:rPr>
        <w:t> </w:t>
      </w:r>
      <w:r>
        <w:rPr>
          <w:rFonts w:ascii="Times New Roman" w:hAnsi="Times New Roman" w:cs="Times New Roman" w:eastAsia="Times New Roman" w:hint="default"/>
        </w:rPr>
        <w:t>2017 </w:t>
      </w:r>
      <w:r>
        <w:rPr>
          <w:spacing w:val="-1"/>
        </w:rPr>
        <w:t>年度通过了国家高新技术企业复审，认定有效期为</w:t>
      </w:r>
      <w:r>
        <w:rPr>
          <w:spacing w:val="-45"/>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-2019 </w:t>
      </w:r>
      <w:r>
        <w:rPr>
          <w:spacing w:val="-18"/>
        </w:rPr>
        <w:t>年），本报告</w:t>
      </w:r>
      <w:r>
        <w:rPr/>
        <w:t> 期按照</w:t>
      </w:r>
      <w:r>
        <w:rPr>
          <w:spacing w:val="-46"/>
        </w:rPr>
        <w:t> </w:t>
      </w:r>
      <w:r>
        <w:rPr>
          <w:rFonts w:ascii="Times New Roman" w:hAnsi="Times New Roman" w:cs="Times New Roman" w:eastAsia="Times New Roman" w:hint="default"/>
        </w:rPr>
        <w:t>15%</w:t>
      </w:r>
      <w:r>
        <w:rPr/>
        <w:t>的税率计缴企业所得税。</w:t>
      </w:r>
    </w:p>
    <w:p>
      <w:pPr>
        <w:pStyle w:val="BodyText"/>
        <w:spacing w:line="302" w:lineRule="auto" w:before="50"/>
        <w:ind w:left="1134" w:right="1120"/>
        <w:jc w:val="left"/>
      </w:pPr>
      <w:r>
        <w:rPr/>
        <w:t>子公司西安银江智慧城市技术有限公司</w:t>
      </w:r>
      <w:r>
        <w:rPr>
          <w:spacing w:val="-45"/>
        </w:rPr>
        <w:t> </w:t>
      </w:r>
      <w:r>
        <w:rPr>
          <w:rFonts w:ascii="Times New Roman" w:hAnsi="Times New Roman" w:cs="Times New Roman" w:eastAsia="Times New Roman" w:hint="default"/>
        </w:rPr>
        <w:t>2017 </w:t>
      </w:r>
      <w:r>
        <w:rPr>
          <w:spacing w:val="-1"/>
        </w:rPr>
        <w:t>年度被认定为国家高新技术企业，认定有效期为</w:t>
      </w:r>
      <w:r>
        <w:rPr>
          <w:spacing w:val="-44"/>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-2019 </w:t>
      </w:r>
      <w:r>
        <w:rPr>
          <w:spacing w:val="-22"/>
        </w:rPr>
        <w:t>年），本报</w:t>
      </w:r>
      <w:r>
        <w:rPr/>
        <w:t> 告期按照</w:t>
      </w:r>
      <w:r>
        <w:rPr>
          <w:spacing w:val="-46"/>
        </w:rPr>
        <w:t> </w:t>
      </w:r>
      <w:r>
        <w:rPr>
          <w:rFonts w:ascii="Times New Roman" w:hAnsi="Times New Roman" w:cs="Times New Roman" w:eastAsia="Times New Roman" w:hint="default"/>
        </w:rPr>
        <w:t>15%</w:t>
      </w:r>
      <w:r>
        <w:rPr/>
        <w:t>的税率计缴企业所得税。</w:t>
      </w:r>
    </w:p>
    <w:p>
      <w:pPr>
        <w:pStyle w:val="BodyText"/>
        <w:spacing w:line="302" w:lineRule="auto" w:before="49"/>
        <w:ind w:right="1031"/>
        <w:jc w:val="left"/>
      </w:pPr>
      <w:r>
        <w:rPr/>
        <w:t>子公司杭州银江智慧城市技术集团有限公司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4"/>
        </w:rPr>
        <w:t>年度通过了国家高新技术企业复审，认定有效期为</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12"/>
        </w:rPr>
        <w:t>年（</w:t>
      </w:r>
      <w:r>
        <w:rPr>
          <w:rFonts w:ascii="Times New Roman" w:hAnsi="Times New Roman" w:cs="Times New Roman" w:eastAsia="Times New Roman" w:hint="default"/>
          <w:spacing w:val="-12"/>
        </w:rPr>
        <w:t>2016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30"/>
        </w:rPr>
        <w:t>年），</w:t>
      </w:r>
      <w:r>
        <w:rPr/>
        <w:t> 本报告期按照</w:t>
      </w:r>
      <w:r>
        <w:rPr>
          <w:spacing w:val="-46"/>
        </w:rPr>
        <w:t> </w:t>
      </w:r>
      <w:r>
        <w:rPr>
          <w:rFonts w:ascii="Times New Roman" w:hAnsi="Times New Roman" w:cs="Times New Roman" w:eastAsia="Times New Roman" w:hint="default"/>
        </w:rPr>
        <w:t>15%</w:t>
      </w:r>
      <w:r>
        <w:rPr/>
        <w:t>的税率计缴企业所得税。</w:t>
      </w:r>
    </w:p>
    <w:p>
      <w:pPr>
        <w:pStyle w:val="BodyText"/>
        <w:spacing w:line="302" w:lineRule="auto" w:before="50"/>
        <w:ind w:right="1124"/>
        <w:jc w:val="left"/>
      </w:pPr>
      <w:r>
        <w:rPr/>
        <w:t>子公司浙江智尔信息技术有限公司</w:t>
      </w:r>
      <w:r>
        <w:rPr>
          <w:spacing w:val="-45"/>
        </w:rPr>
        <w:t> </w:t>
      </w:r>
      <w:r>
        <w:rPr>
          <w:rFonts w:ascii="Times New Roman" w:hAnsi="Times New Roman" w:cs="Times New Roman" w:eastAsia="Times New Roman" w:hint="default"/>
        </w:rPr>
        <w:t>2017 </w:t>
      </w:r>
      <w:r>
        <w:rPr>
          <w:spacing w:val="-1"/>
        </w:rPr>
        <w:t>年度被认定为国家高新技术企业，认定有效期为</w:t>
      </w:r>
      <w:r>
        <w:rPr>
          <w:spacing w:val="-45"/>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-2019 </w:t>
      </w:r>
      <w:r>
        <w:rPr>
          <w:spacing w:val="-16"/>
        </w:rPr>
        <w:t>年），本报告期</w:t>
      </w:r>
      <w:r>
        <w:rPr/>
        <w:t> 按照</w:t>
      </w:r>
      <w:r>
        <w:rPr>
          <w:spacing w:val="-46"/>
        </w:rPr>
        <w:t> </w:t>
      </w:r>
      <w:r>
        <w:rPr>
          <w:rFonts w:ascii="Times New Roman" w:hAnsi="Times New Roman" w:cs="Times New Roman" w:eastAsia="Times New Roman" w:hint="default"/>
        </w:rPr>
        <w:t>15%</w:t>
      </w:r>
      <w:r>
        <w:rPr/>
        <w:t>的税率计缴企业所得税。</w:t>
      </w:r>
    </w:p>
    <w:p>
      <w:pPr>
        <w:pStyle w:val="BodyText"/>
        <w:spacing w:line="319" w:lineRule="auto" w:before="49"/>
        <w:ind w:left="1134" w:right="1122"/>
        <w:jc w:val="left"/>
      </w:pPr>
      <w:r>
        <w:rPr/>
        <w:t>子公司北京亚太安讯科技有限责任公司</w:t>
      </w:r>
      <w:r>
        <w:rPr>
          <w:spacing w:val="-45"/>
        </w:rPr>
        <w:t> </w:t>
      </w:r>
      <w:r>
        <w:rPr>
          <w:rFonts w:ascii="Times New Roman" w:hAnsi="Times New Roman" w:cs="Times New Roman" w:eastAsia="Times New Roman" w:hint="default"/>
        </w:rPr>
        <w:t>2014 </w:t>
      </w:r>
      <w:r>
        <w:rPr>
          <w:spacing w:val="-1"/>
        </w:rPr>
        <w:t>年度被认定为国家高新技术企业，认定有效期为</w:t>
      </w:r>
      <w:r>
        <w:rPr>
          <w:spacing w:val="-44"/>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-2016 </w:t>
      </w:r>
      <w:r>
        <w:rPr>
          <w:spacing w:val="-16"/>
        </w:rPr>
        <w:t>年），</w:t>
      </w:r>
      <w:r>
        <w:rPr>
          <w:rFonts w:ascii="Times New Roman" w:hAnsi="Times New Roman" w:cs="Times New Roman" w:eastAsia="Times New Roman" w:hint="default"/>
          <w:spacing w:val="-16"/>
        </w:rPr>
        <w:t>2017</w:t>
      </w:r>
      <w:r>
        <w:rPr>
          <w:rFonts w:ascii="Times New Roman" w:hAnsi="Times New Roman" w:cs="Times New Roman" w:eastAsia="Times New Roman" w:hint="default"/>
        </w:rPr>
        <w:t> </w:t>
      </w:r>
      <w:r>
        <w:rPr/>
        <w:t>年度通过了复审，本报告期按照</w:t>
      </w:r>
      <w:r>
        <w:rPr>
          <w:spacing w:val="-46"/>
        </w:rPr>
        <w:t> </w:t>
      </w:r>
      <w:r>
        <w:rPr>
          <w:rFonts w:ascii="Times New Roman" w:hAnsi="Times New Roman" w:cs="Times New Roman" w:eastAsia="Times New Roman" w:hint="default"/>
        </w:rPr>
        <w:t>15%</w:t>
      </w:r>
      <w:r>
        <w:rPr/>
        <w:t>的税率计缴企业所得税。 </w:t>
      </w:r>
      <w:r>
        <w:rPr>
          <w:spacing w:val="-2"/>
        </w:rPr>
        <w:t>子公司杭州银江智慧医疗集团有限公司经杭州市滨江区国家税务局核准，被认定为软件及集成电路企业。自获利年度起，第</w:t>
      </w:r>
    </w:p>
    <w:p>
      <w:pPr>
        <w:pStyle w:val="BodyText"/>
        <w:spacing w:line="302" w:lineRule="auto" w:before="17"/>
        <w:ind w:left="1134" w:right="104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年和第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6"/>
        </w:rPr>
        <w:t>年免征企业所得税，第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年至第</w:t>
      </w:r>
      <w:r>
        <w:rPr>
          <w:spacing w:val="-45"/>
        </w:rPr>
        <w:t> </w:t>
      </w:r>
      <w:r>
        <w:rPr>
          <w:rFonts w:ascii="Times New Roman" w:hAnsi="Times New Roman" w:cs="Times New Roman" w:eastAsia="Times New Roman" w:hint="default"/>
        </w:rPr>
        <w:t>5 </w:t>
      </w:r>
      <w:r>
        <w:rPr>
          <w:spacing w:val="-4"/>
        </w:rPr>
        <w:t>年减半征收企业所得税，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
        </w:rPr>
        <w:t> </w:t>
      </w:r>
      <w:r>
        <w:rPr/>
        <w:t>年度为获利第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年，实际应减半征收企业所得税，</w:t>
      </w:r>
      <w:r>
        <w:rPr/>
        <w:t> 但本年度年无应纳税所得额，不需征收企业所得税。</w:t>
      </w:r>
    </w:p>
    <w:p>
      <w:pPr>
        <w:pStyle w:val="BodyText"/>
        <w:spacing w:line="324" w:lineRule="auto" w:before="69"/>
        <w:ind w:right="1116"/>
        <w:jc w:val="left"/>
      </w:pPr>
      <w:r>
        <w:rPr>
          <w:spacing w:val="-2"/>
        </w:rPr>
        <w:t>子公司浙江银江云计算技术有限公司经浙江省经济和信息化委员会核准，被认定为软件及集成电路企业。自获利年度起，第</w:t>
      </w:r>
      <w:r>
        <w:rPr>
          <w:spacing w:val="-66"/>
        </w:rPr>
        <w:t> </w:t>
      </w:r>
      <w:r>
        <w:rPr>
          <w:spacing w:val="-66"/>
        </w:rPr>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年和第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年免征企业所得税，第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年至第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年减半征收企业所得税，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年度为获利第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年，免征企业所得税。 子公司杭州银江医联网技术有限公司 </w:t>
      </w:r>
      <w:r>
        <w:rPr>
          <w:rFonts w:ascii="Times New Roman" w:hAnsi="Times New Roman" w:cs="Times New Roman" w:eastAsia="Times New Roman" w:hint="default"/>
        </w:rPr>
        <w:t>2014 </w:t>
      </w:r>
      <w:r>
        <w:rPr/>
        <w:t>年度被认定为国家高新技术企业，认定有效期为 </w:t>
      </w:r>
      <w:r>
        <w:rPr>
          <w:rFonts w:ascii="Times New Roman" w:hAnsi="Times New Roman" w:cs="Times New Roman" w:eastAsia="Times New Roman" w:hint="default"/>
        </w:rPr>
        <w:t>3 </w:t>
      </w:r>
      <w:r>
        <w:rPr/>
        <w:t>年（</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38"/>
        </w:rPr>
        <w:t> </w:t>
      </w:r>
      <w:r>
        <w:rPr>
          <w:spacing w:val="-13"/>
        </w:rPr>
        <w:t>年），</w:t>
      </w:r>
      <w:r>
        <w:rPr>
          <w:rFonts w:ascii="Times New Roman" w:hAnsi="Times New Roman" w:cs="Times New Roman" w:eastAsia="Times New Roman" w:hint="default"/>
          <w:spacing w:val="-13"/>
        </w:rPr>
        <w:t>2017</w:t>
      </w:r>
      <w:r>
        <w:rPr>
          <w:rFonts w:ascii="Times New Roman" w:hAnsi="Times New Roman" w:cs="Times New Roman" w:eastAsia="Times New Roman" w:hint="default"/>
        </w:rPr>
        <w:t> </w:t>
      </w:r>
      <w:r>
        <w:rPr/>
        <w:t>年度通过了复审，本报告期按照</w:t>
      </w:r>
      <w:r>
        <w:rPr>
          <w:spacing w:val="-46"/>
        </w:rPr>
        <w:t> </w:t>
      </w:r>
      <w:r>
        <w:rPr>
          <w:rFonts w:ascii="Times New Roman" w:hAnsi="Times New Roman" w:cs="Times New Roman" w:eastAsia="Times New Roman" w:hint="default"/>
        </w:rPr>
        <w:t>15%</w:t>
      </w:r>
      <w:r>
        <w:rPr/>
        <w:t>的税率计缴企业所得税。 子公司浙江浙大健康管理有限公司为小型微利企业，其所得减按</w:t>
      </w:r>
      <w:r>
        <w:rPr>
          <w:spacing w:val="-45"/>
        </w:rPr>
        <w:t> </w:t>
      </w:r>
      <w:r>
        <w:rPr>
          <w:rFonts w:ascii="Times New Roman" w:hAnsi="Times New Roman" w:cs="Times New Roman" w:eastAsia="Times New Roman" w:hint="default"/>
        </w:rPr>
        <w:t>50%</w:t>
      </w:r>
      <w:r>
        <w:rPr/>
        <w:t>计入应纳税所得额，按</w:t>
      </w:r>
      <w:r>
        <w:rPr>
          <w:spacing w:val="-46"/>
        </w:rPr>
        <w:t> </w:t>
      </w:r>
      <w:r>
        <w:rPr>
          <w:rFonts w:ascii="Times New Roman" w:hAnsi="Times New Roman" w:cs="Times New Roman" w:eastAsia="Times New Roman" w:hint="default"/>
        </w:rPr>
        <w:t>20%</w:t>
      </w:r>
      <w:r>
        <w:rPr/>
        <w:t>的税率缴纳企业所得税。</w:t>
      </w:r>
    </w:p>
    <w:p>
      <w:pPr>
        <w:pStyle w:val="BodyText"/>
        <w:spacing w:line="240" w:lineRule="auto" w:before="32"/>
        <w:ind w:left="1134" w:right="0"/>
        <w:jc w:val="left"/>
        <w:rPr>
          <w:rFonts w:ascii="Times New Roman" w:hAnsi="Times New Roman" w:cs="Times New Roman" w:eastAsia="Times New Roman" w:hint="default"/>
        </w:rPr>
      </w:pPr>
      <w:r>
        <w:rPr>
          <w:spacing w:val="-1"/>
        </w:rPr>
        <w:t>子公司浙江银江研究院有限公司经浙江省经济和信息化委员会局核准，被认定为软件及集成电路企业。自获利年度起，第</w:t>
      </w:r>
      <w:r>
        <w:rPr>
          <w:spacing w:val="-31"/>
        </w:rPr>
        <w:t> </w:t>
      </w:r>
      <w:r>
        <w:rPr>
          <w:rFonts w:ascii="Times New Roman" w:hAnsi="Times New Roman" w:cs="Times New Roman" w:eastAsia="Times New Roman" w:hint="default"/>
        </w:rPr>
        <w:t>1</w:t>
      </w:r>
    </w:p>
    <w:p>
      <w:pPr>
        <w:pStyle w:val="BodyText"/>
        <w:spacing w:line="240" w:lineRule="auto" w:before="64"/>
        <w:ind w:left="1134" w:right="0"/>
        <w:jc w:val="left"/>
      </w:pPr>
      <w:r>
        <w:rPr/>
        <w:t>年和第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年免征企业所得税，第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年至第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年减半征收企业所得税，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年度为获利第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年，减半征收企业所得税。</w:t>
      </w:r>
    </w:p>
    <w:p>
      <w:pPr>
        <w:pStyle w:val="BodyText"/>
        <w:spacing w:line="319" w:lineRule="auto" w:before="101"/>
        <w:ind w:right="1120"/>
        <w:jc w:val="left"/>
        <w:rPr>
          <w:rFonts w:ascii="Times New Roman" w:hAnsi="Times New Roman" w:cs="Times New Roman" w:eastAsia="Times New Roman" w:hint="default"/>
        </w:rPr>
      </w:pPr>
      <w:r>
        <w:rPr/>
        <w:t>子公司杭州清普信息技术有限公司</w:t>
      </w:r>
      <w:r>
        <w:rPr>
          <w:spacing w:val="-45"/>
        </w:rPr>
        <w:t> </w:t>
      </w:r>
      <w:r>
        <w:rPr>
          <w:rFonts w:ascii="Times New Roman" w:hAnsi="Times New Roman" w:cs="Times New Roman" w:eastAsia="Times New Roman" w:hint="default"/>
        </w:rPr>
        <w:t>2017 </w:t>
      </w:r>
      <w:r>
        <w:rPr>
          <w:spacing w:val="-1"/>
        </w:rPr>
        <w:t>年度通过了国家高新技术企业复审，认定有效期为</w:t>
      </w:r>
      <w:r>
        <w:rPr>
          <w:spacing w:val="-44"/>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-2019 </w:t>
      </w:r>
      <w:r>
        <w:rPr>
          <w:spacing w:val="-18"/>
        </w:rPr>
        <w:t>年），本报告</w:t>
      </w:r>
      <w:r>
        <w:rPr/>
        <w:t> 期按照</w:t>
      </w:r>
      <w:r>
        <w:rPr>
          <w:spacing w:val="-46"/>
        </w:rPr>
        <w:t> </w:t>
      </w:r>
      <w:r>
        <w:rPr>
          <w:rFonts w:ascii="Times New Roman" w:hAnsi="Times New Roman" w:cs="Times New Roman" w:eastAsia="Times New Roman" w:hint="default"/>
        </w:rPr>
        <w:t>15%</w:t>
      </w:r>
      <w:r>
        <w:rPr/>
        <w:t>的税率计缴企业所得税。 </w:t>
      </w:r>
      <w:r>
        <w:rPr>
          <w:spacing w:val="-3"/>
        </w:rPr>
        <w:t>根据杭州市地方税务局高新（滨江）税务分局发布的《税费事项通知书》（减免税核准通知）（杭地税高新通【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53442</w:t>
      </w:r>
    </w:p>
    <w:p>
      <w:pPr>
        <w:spacing w:after="0" w:line="319"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号</w:t>
      </w:r>
      <w:r>
        <w:rPr>
          <w:spacing w:val="-90"/>
        </w:rPr>
        <w:t>）</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月收</w:t>
      </w:r>
      <w:r>
        <w:rPr>
          <w:spacing w:val="1"/>
        </w:rPr>
        <w:t>到</w:t>
      </w:r>
      <w:r>
        <w:rPr/>
        <w:t>水利基金退税</w:t>
      </w:r>
      <w:r>
        <w:rPr>
          <w:spacing w:val="-46"/>
        </w:rPr>
        <w:t> </w:t>
      </w:r>
      <w:r>
        <w:rPr>
          <w:rFonts w:ascii="Times New Roman" w:hAnsi="Times New Roman" w:cs="Times New Roman" w:eastAsia="Times New Roman" w:hint="default"/>
        </w:rPr>
        <w:t>152,142.94 </w:t>
      </w:r>
      <w:r>
        <w:rPr/>
        <w:t>元</w:t>
      </w:r>
      <w:r>
        <w:rPr>
          <w:spacing w:val="-2"/>
        </w:rPr>
        <w:t>，</w:t>
      </w:r>
      <w:r>
        <w:rPr/>
        <w:t>计入营业外收入。</w:t>
      </w:r>
    </w:p>
    <w:p>
      <w:pPr>
        <w:pStyle w:val="BodyText"/>
        <w:spacing w:line="314" w:lineRule="auto" w:before="101"/>
        <w:ind w:right="1027"/>
        <w:jc w:val="left"/>
      </w:pPr>
      <w:r>
        <w:rPr>
          <w:spacing w:val="-9"/>
        </w:rPr>
        <w:t>根据杭国税滨发（</w:t>
      </w:r>
      <w:r>
        <w:rPr>
          <w:rFonts w:ascii="Times New Roman" w:hAnsi="Times New Roman" w:cs="Times New Roman" w:eastAsia="Times New Roman" w:hint="default"/>
          <w:spacing w:val="-9"/>
        </w:rPr>
        <w:t>2013</w:t>
      </w:r>
      <w:r>
        <w:rPr>
          <w:spacing w:val="-9"/>
        </w:rPr>
        <w:t>）</w:t>
      </w:r>
      <w:r>
        <w:rPr>
          <w:rFonts w:ascii="Times New Roman" w:hAnsi="Times New Roman" w:cs="Times New Roman" w:eastAsia="Times New Roman" w:hint="default"/>
          <w:spacing w:val="-9"/>
        </w:rPr>
        <w:t>237</w:t>
      </w:r>
      <w:r>
        <w:rPr>
          <w:rFonts w:ascii="Times New Roman" w:hAnsi="Times New Roman" w:cs="Times New Roman" w:eastAsia="Times New Roman" w:hint="default"/>
          <w:spacing w:val="7"/>
        </w:rPr>
        <w:t> </w:t>
      </w:r>
      <w:r>
        <w:rPr>
          <w:spacing w:val="-4"/>
        </w:rPr>
        <w:t>号《杭州市滨江区国家税务局关于杭州银江电子病历软件有限公司软件产品增值税退税的批复》，</w:t>
      </w:r>
      <w:r>
        <w:rPr/>
        <w:t> 子公司杭州银江医联网技术有限公司于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月收到软件产品退税</w:t>
      </w:r>
      <w:r>
        <w:rPr>
          <w:spacing w:val="-47"/>
        </w:rPr>
        <w:t> </w:t>
      </w:r>
      <w:r>
        <w:rPr>
          <w:rFonts w:ascii="Times New Roman" w:hAnsi="Times New Roman" w:cs="Times New Roman" w:eastAsia="Times New Roman" w:hint="default"/>
        </w:rPr>
        <w:t>29,366.66</w:t>
      </w:r>
      <w:r>
        <w:rPr>
          <w:rFonts w:ascii="Times New Roman" w:hAnsi="Times New Roman" w:cs="Times New Roman" w:eastAsia="Times New Roman" w:hint="default"/>
          <w:spacing w:val="-2"/>
        </w:rPr>
        <w:t> </w:t>
      </w:r>
      <w:r>
        <w:rPr/>
        <w:t>元，计入营业外收入。 </w:t>
      </w:r>
      <w:r>
        <w:rPr>
          <w:spacing w:val="-2"/>
        </w:rPr>
        <w:t>根据杭州市余杭区国家税务局发布的《关于杭州清普信息技术有限公司软件产品已征增值税实行超税负退税的批复》（余国</w:t>
      </w:r>
      <w:r>
        <w:rPr>
          <w:spacing w:val="-67"/>
        </w:rPr>
        <w:t> </w:t>
      </w:r>
      <w:r>
        <w:rPr>
          <w:spacing w:val="-67"/>
        </w:rPr>
      </w:r>
      <w:r>
        <w:rPr/>
        <w:t>税函【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54</w:t>
      </w:r>
      <w:r>
        <w:rPr>
          <w:rFonts w:ascii="Times New Roman" w:hAnsi="Times New Roman" w:cs="Times New Roman" w:eastAsia="Times New Roman" w:hint="default"/>
          <w:spacing w:val="8"/>
        </w:rPr>
        <w:t> </w:t>
      </w:r>
      <w:r>
        <w:rPr>
          <w:spacing w:val="-5"/>
        </w:rPr>
        <w:t>号），子公司杭州清普信息技术有限公司于</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8"/>
        </w:rPr>
        <w:t> </w:t>
      </w:r>
      <w:r>
        <w:rPr/>
        <w:t>月收到软件产品退税</w:t>
      </w:r>
      <w:r>
        <w:rPr>
          <w:spacing w:val="-36"/>
        </w:rPr>
        <w:t> </w:t>
      </w:r>
      <w:r>
        <w:rPr>
          <w:rFonts w:ascii="Times New Roman" w:hAnsi="Times New Roman" w:cs="Times New Roman" w:eastAsia="Times New Roman" w:hint="default"/>
          <w:spacing w:val="-1"/>
        </w:rPr>
        <w:t>19,145.30</w:t>
      </w:r>
      <w:r>
        <w:rPr>
          <w:rFonts w:ascii="Times New Roman" w:hAnsi="Times New Roman" w:cs="Times New Roman" w:eastAsia="Times New Roman" w:hint="default"/>
          <w:spacing w:val="9"/>
        </w:rPr>
        <w:t> </w:t>
      </w:r>
      <w:r>
        <w:rPr/>
        <w:t>元，计入营业外收</w:t>
      </w:r>
      <w:r>
        <w:rPr>
          <w:spacing w:val="-88"/>
        </w:rPr>
        <w:t> </w:t>
      </w:r>
      <w:r>
        <w:rPr/>
        <w:t>入。</w:t>
      </w:r>
    </w:p>
    <w:p>
      <w:pPr>
        <w:spacing w:line="240" w:lineRule="auto" w:before="6"/>
        <w:rPr>
          <w:rFonts w:ascii="宋体" w:hAnsi="宋体" w:cs="宋体" w:eastAsia="宋体" w:hint="default"/>
          <w:sz w:val="22"/>
          <w:szCs w:val="22"/>
        </w:rPr>
      </w:pPr>
    </w:p>
    <w:p>
      <w:pPr>
        <w:pStyle w:val="Heading4"/>
        <w:spacing w:line="240" w:lineRule="auto"/>
        <w:ind w:left="1134" w:right="0"/>
        <w:jc w:val="left"/>
        <w:rPr>
          <w:b w:val="0"/>
          <w:bCs w:val="0"/>
        </w:rPr>
      </w:pPr>
      <w:bookmarkStart w:name="3、其他" w:id="231"/>
      <w:bookmarkEnd w:id="231"/>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1131"/>
        <w:jc w:val="both"/>
      </w:pPr>
      <w:r>
        <w:rPr/>
        <w:t>注</w:t>
      </w:r>
      <w:r>
        <w:rPr>
          <w:spacing w:val="-56"/>
        </w:rPr>
        <w:t> </w:t>
      </w:r>
      <w:r>
        <w:rPr>
          <w:rFonts w:ascii="Times New Roman" w:hAnsi="Times New Roman" w:cs="Times New Roman" w:eastAsia="Times New Roman" w:hint="default"/>
        </w:rPr>
        <w:t>1</w:t>
      </w:r>
      <w:r>
        <w:rPr/>
        <w:t>：公司及其分公司产品销售收入根据销售额的</w:t>
      </w:r>
      <w:r>
        <w:rPr>
          <w:spacing w:val="-55"/>
        </w:rPr>
        <w:t> </w:t>
      </w:r>
      <w:r>
        <w:rPr>
          <w:rFonts w:ascii="Times New Roman" w:hAnsi="Times New Roman" w:cs="Times New Roman" w:eastAsia="Times New Roman" w:hint="default"/>
        </w:rPr>
        <w:t>17%</w:t>
      </w:r>
      <w:r>
        <w:rPr/>
        <w:t>计算销项税额，建筑业收入根据销售额的</w:t>
      </w:r>
      <w:r>
        <w:rPr>
          <w:spacing w:val="-56"/>
        </w:rPr>
        <w:t> </w:t>
      </w:r>
      <w:r>
        <w:rPr>
          <w:rFonts w:ascii="Times New Roman" w:hAnsi="Times New Roman" w:cs="Times New Roman" w:eastAsia="Times New Roman" w:hint="default"/>
          <w:spacing w:val="-3"/>
        </w:rPr>
        <w:t>11%</w:t>
      </w:r>
      <w:r>
        <w:rPr>
          <w:spacing w:val="-3"/>
        </w:rPr>
        <w:t>计算销项税额，租赁收</w:t>
      </w:r>
      <w:r>
        <w:rPr/>
        <w:t> 入按照租赁收入的</w:t>
      </w:r>
      <w:r>
        <w:rPr>
          <w:spacing w:val="-58"/>
        </w:rPr>
        <w:t> </w:t>
      </w:r>
      <w:r>
        <w:rPr>
          <w:rFonts w:ascii="Times New Roman" w:hAnsi="Times New Roman" w:cs="Times New Roman" w:eastAsia="Times New Roman" w:hint="default"/>
        </w:rPr>
        <w:t>5%</w:t>
      </w:r>
      <w:r>
        <w:rPr/>
        <w:t>计算销项税额，技术服务收入根据销售额的</w:t>
      </w:r>
      <w:r>
        <w:rPr>
          <w:spacing w:val="-58"/>
        </w:rPr>
        <w:t> </w:t>
      </w:r>
      <w:r>
        <w:rPr>
          <w:rFonts w:ascii="Times New Roman" w:hAnsi="Times New Roman" w:cs="Times New Roman" w:eastAsia="Times New Roman" w:hint="default"/>
        </w:rPr>
        <w:t>6%</w:t>
      </w:r>
      <w:r>
        <w:rPr/>
        <w:t>计算销项税额，新疆项目收入根据销售额的</w:t>
      </w:r>
      <w:r>
        <w:rPr>
          <w:spacing w:val="-58"/>
        </w:rPr>
        <w:t> </w:t>
      </w:r>
      <w:r>
        <w:rPr>
          <w:rFonts w:ascii="Times New Roman" w:hAnsi="Times New Roman" w:cs="Times New Roman" w:eastAsia="Times New Roman" w:hint="default"/>
        </w:rPr>
        <w:t>3%</w:t>
      </w:r>
      <w:r>
        <w:rPr/>
        <w:t>计算销 项税额，再按规定扣除进项税额后缴纳。</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月前建筑业收入按照简易办法征收，即按照扣除分包收入后的销售额按 照</w:t>
      </w:r>
      <w:r>
        <w:rPr>
          <w:spacing w:val="-46"/>
        </w:rPr>
        <w:t> </w:t>
      </w:r>
      <w:r>
        <w:rPr>
          <w:rFonts w:ascii="Times New Roman" w:hAnsi="Times New Roman" w:cs="Times New Roman" w:eastAsia="Times New Roman" w:hint="default"/>
        </w:rPr>
        <w:t>3%</w:t>
      </w:r>
      <w:r>
        <w:rPr/>
        <w:t>税率计算缴纳增值税。</w:t>
      </w:r>
    </w:p>
    <w:p>
      <w:pPr>
        <w:pStyle w:val="BodyText"/>
        <w:spacing w:line="319" w:lineRule="auto" w:before="51"/>
        <w:ind w:left="1134" w:right="1032"/>
        <w:jc w:val="left"/>
      </w:pPr>
      <w:r>
        <w:rPr>
          <w:spacing w:val="-2"/>
        </w:rPr>
        <w:t>子公司浙江银江智慧交通集团有限公司、江苏银江交通技术有限公司、江西银江智慧城市信息技术有限公司、浙江银江交通</w:t>
      </w:r>
      <w:r>
        <w:rPr>
          <w:spacing w:val="-66"/>
        </w:rPr>
        <w:t> </w:t>
      </w:r>
      <w:r>
        <w:rPr>
          <w:spacing w:val="-66"/>
        </w:rPr>
      </w:r>
      <w:r>
        <w:rPr>
          <w:spacing w:val="-2"/>
        </w:rPr>
        <w:t>技术有限公司、广东银江交通技术有限公司、西安银江智慧城市技术有限公司、湖南银江交通技术有限公司、杭州银江智慧</w:t>
      </w:r>
      <w:r>
        <w:rPr>
          <w:spacing w:val="-66"/>
        </w:rPr>
        <w:t> </w:t>
      </w:r>
      <w:r>
        <w:rPr>
          <w:spacing w:val="-66"/>
        </w:rPr>
      </w:r>
      <w:r>
        <w:rPr>
          <w:spacing w:val="-2"/>
        </w:rPr>
        <w:t>医疗集团有限公司、浙江银江云计算技术有限公司、杭州银江医联网技术有限公司、银江（北京）物联网技术有限公司、杭</w:t>
      </w:r>
      <w:r>
        <w:rPr>
          <w:spacing w:val="-67"/>
        </w:rPr>
        <w:t> </w:t>
      </w:r>
      <w:r>
        <w:rPr>
          <w:spacing w:val="-67"/>
        </w:rPr>
      </w:r>
      <w:r>
        <w:rPr/>
        <w:t>州银江智慧城市技术集团有限公司、浙江智尔信息技术有限公司、浙江银江研究院有限公司、健康宝互联网技术有限公司、 北京亚太安讯科技有限责任公司、杭州清普信息技术有限公司产品销售收入根据销售额的 </w:t>
      </w:r>
      <w:r>
        <w:rPr>
          <w:rFonts w:ascii="Times New Roman" w:hAnsi="Times New Roman" w:cs="Times New Roman" w:eastAsia="Times New Roman" w:hint="default"/>
        </w:rPr>
        <w:t>17%</w:t>
      </w:r>
      <w:r>
        <w:rPr/>
        <w:t>计算销项税额，技术服务收</w:t>
      </w:r>
      <w:r>
        <w:rPr>
          <w:spacing w:val="-54"/>
        </w:rPr>
        <w:t> </w:t>
      </w:r>
      <w:r>
        <w:rPr>
          <w:spacing w:val="-54"/>
        </w:rPr>
      </w:r>
      <w:r>
        <w:rPr/>
        <w:t>入根据销售额的</w:t>
      </w:r>
      <w:r>
        <w:rPr>
          <w:spacing w:val="-46"/>
        </w:rPr>
        <w:t> </w:t>
      </w:r>
      <w:r>
        <w:rPr>
          <w:rFonts w:ascii="Times New Roman" w:hAnsi="Times New Roman" w:cs="Times New Roman" w:eastAsia="Times New Roman" w:hint="default"/>
        </w:rPr>
        <w:t>6%</w:t>
      </w:r>
      <w:r>
        <w:rPr/>
        <w:t>计算销项税额，再按规定扣除进项税额后缴纳。 除以上子公司外其他子公司均为小规模纳税人，按照产品销售收入的</w:t>
      </w:r>
      <w:r>
        <w:rPr>
          <w:spacing w:val="-45"/>
        </w:rPr>
        <w:t> </w:t>
      </w:r>
      <w:r>
        <w:rPr>
          <w:rFonts w:ascii="Times New Roman" w:hAnsi="Times New Roman" w:cs="Times New Roman" w:eastAsia="Times New Roman" w:hint="default"/>
        </w:rPr>
        <w:t>3%</w:t>
      </w:r>
      <w:r>
        <w:rPr/>
        <w:t>缴纳增值税。</w:t>
      </w:r>
    </w:p>
    <w:p>
      <w:pPr>
        <w:pStyle w:val="BodyText"/>
        <w:spacing w:line="307" w:lineRule="auto" w:before="36"/>
        <w:ind w:right="1034"/>
        <w:jc w:val="left"/>
      </w:pPr>
      <w:r>
        <w:rPr/>
        <w:t>注</w:t>
      </w:r>
      <w:r>
        <w:rPr>
          <w:spacing w:val="-19"/>
        </w:rPr>
        <w:t> </w:t>
      </w:r>
      <w:r>
        <w:rPr>
          <w:rFonts w:ascii="Times New Roman" w:hAnsi="Times New Roman" w:cs="Times New Roman" w:eastAsia="Times New Roman" w:hint="default"/>
          <w:spacing w:val="-3"/>
        </w:rPr>
        <w:t>2</w:t>
      </w:r>
      <w:r>
        <w:rPr>
          <w:spacing w:val="-3"/>
        </w:rPr>
        <w:t>：本公司、子公司浙江银江智慧交通集团有限公司、杭州银江智慧城市技术集团有限公司、浙江银江交通技术有限公司、</w:t>
      </w:r>
      <w:r>
        <w:rPr>
          <w:spacing w:val="-84"/>
        </w:rPr>
        <w:t> </w:t>
      </w:r>
      <w:r>
        <w:rPr>
          <w:spacing w:val="-84"/>
        </w:rPr>
      </w:r>
      <w:r>
        <w:rPr>
          <w:spacing w:val="-2"/>
        </w:rPr>
        <w:t>西安银江智慧城市技术有限公司、杭州银江智慧城市技术集团有限公司、浙江智尔信息技术有限公司、北京亚太安讯科技有</w:t>
      </w:r>
      <w:r>
        <w:rPr>
          <w:spacing w:val="-66"/>
        </w:rPr>
        <w:t> </w:t>
      </w:r>
      <w:r>
        <w:rPr>
          <w:spacing w:val="-66"/>
        </w:rPr>
      </w:r>
      <w:r>
        <w:rPr/>
        <w:t>限责任公司、杭州银江医联网技术有限公司、杭州清普信息技术有限公司为国家高新技术企业，企业所得税按 </w:t>
      </w:r>
      <w:r>
        <w:rPr>
          <w:rFonts w:ascii="Times New Roman" w:hAnsi="Times New Roman" w:cs="Times New Roman" w:eastAsia="Times New Roman" w:hint="default"/>
        </w:rPr>
        <w:t>15%</w:t>
      </w:r>
      <w:r>
        <w:rPr/>
        <w:t>税率计</w:t>
      </w:r>
      <w:r>
        <w:rPr>
          <w:spacing w:val="-52"/>
        </w:rPr>
        <w:t> </w:t>
      </w:r>
      <w:r>
        <w:rPr>
          <w:spacing w:val="-52"/>
        </w:rPr>
      </w:r>
      <w:r>
        <w:rPr>
          <w:spacing w:val="-2"/>
        </w:rPr>
        <w:t>缴。子公司杭州银江智慧医疗集团有限公司、浙江银江云计算技术有限公司、浙江银江研究院有限公司为软件及集成电路企</w:t>
      </w:r>
      <w:r>
        <w:rPr>
          <w:spacing w:val="-66"/>
        </w:rPr>
        <w:t> </w:t>
      </w:r>
      <w:r>
        <w:rPr>
          <w:spacing w:val="-66"/>
        </w:rPr>
      </w:r>
      <w:r>
        <w:rPr>
          <w:spacing w:val="-5"/>
        </w:rPr>
        <w:t>业，自获利年度起，第</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年和第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年免征企业所得税，第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年至第</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年减半征收企业所得税。子公司浙江浙大健康管理有限 公司为小型微利企业，其所得减按 </w:t>
      </w:r>
      <w:r>
        <w:rPr>
          <w:rFonts w:ascii="Times New Roman" w:hAnsi="Times New Roman" w:cs="Times New Roman" w:eastAsia="Times New Roman" w:hint="default"/>
        </w:rPr>
        <w:t>50%</w:t>
      </w:r>
      <w:r>
        <w:rPr/>
        <w:t>计入应纳税所得额，按</w:t>
      </w:r>
      <w:r>
        <w:rPr>
          <w:spacing w:val="-22"/>
        </w:rPr>
        <w:t> </w:t>
      </w:r>
      <w:r>
        <w:rPr>
          <w:rFonts w:ascii="Times New Roman" w:hAnsi="Times New Roman" w:cs="Times New Roman" w:eastAsia="Times New Roman" w:hint="default"/>
        </w:rPr>
        <w:t>20%</w:t>
      </w:r>
      <w:r>
        <w:rPr/>
        <w:t>的税率缴纳企业所得税。子公司吉林银江信息技术有限 公司企业所得税为核定征收。</w:t>
      </w:r>
    </w:p>
    <w:p>
      <w:pPr>
        <w:pStyle w:val="BodyText"/>
        <w:spacing w:line="240" w:lineRule="auto" w:before="65"/>
        <w:ind w:right="0"/>
        <w:jc w:val="left"/>
      </w:pPr>
      <w:r>
        <w:rPr/>
        <w:t>其他分子公司企业所得税按</w:t>
      </w:r>
      <w:r>
        <w:rPr>
          <w:spacing w:val="-46"/>
        </w:rPr>
        <w:t> </w:t>
      </w:r>
      <w:r>
        <w:rPr>
          <w:rFonts w:ascii="Times New Roman" w:hAnsi="Times New Roman" w:cs="Times New Roman" w:eastAsia="Times New Roman" w:hint="default"/>
        </w:rPr>
        <w:t>25%</w:t>
      </w:r>
      <w:r>
        <w:rPr/>
        <w:t>税率计缴。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32"/>
      <w:bookmarkEnd w:id="232"/>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33"/>
      <w:bookmarkEnd w:id="23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596,745.16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1,066,575,552.39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1,022,820,959.20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139,462,845.20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47,989,636.16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1,206,397,843.41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1,071,407,340.52</w:t>
            </w:r>
          </w:p>
        </w:tc>
      </w:tr>
    </w:tbl>
    <w:p>
      <w:pPr>
        <w:pStyle w:val="BodyText"/>
        <w:spacing w:line="240" w:lineRule="auto" w:before="51"/>
        <w:ind w:left="1134" w:right="0"/>
        <w:jc w:val="left"/>
      </w:pPr>
      <w:r>
        <w:rPr/>
        <w:t>其他说明</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070"/>
        <w:gridCol w:w="3072"/>
        <w:gridCol w:w="3072"/>
      </w:tblGrid>
      <w:tr>
        <w:trPr>
          <w:trHeight w:val="356"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tabs>
                <w:tab w:pos="545"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07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年初余额</w:t>
            </w:r>
          </w:p>
        </w:tc>
      </w:tr>
    </w:tbl>
    <w:p>
      <w:pPr>
        <w:spacing w:after="0" w:line="271" w:lineRule="exact"/>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070"/>
        <w:gridCol w:w="3072"/>
        <w:gridCol w:w="3072"/>
      </w:tblGrid>
      <w:tr>
        <w:trPr>
          <w:trHeight w:val="355"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35,883,986.30</w:t>
            </w:r>
          </w:p>
        </w:tc>
        <w:tc>
          <w:tcPr>
            <w:tcW w:w="30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22,512,775.11</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39,945,581.28</w:t>
            </w:r>
          </w:p>
        </w:tc>
        <w:tc>
          <w:tcPr>
            <w:tcW w:w="3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22,657,531.94</w:t>
            </w: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农民工保证金</w:t>
            </w:r>
          </w:p>
        </w:tc>
        <w:tc>
          <w:tcPr>
            <w:tcW w:w="3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1,916,538.77</w:t>
            </w:r>
          </w:p>
        </w:tc>
        <w:tc>
          <w:tcPr>
            <w:tcW w:w="3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958,314.60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定期存单质押</w:t>
            </w:r>
          </w:p>
        </w:tc>
        <w:tc>
          <w:tcPr>
            <w:tcW w:w="3072" w:type="dxa"/>
            <w:tcBorders>
              <w:top w:val="single" w:sz="12" w:space="0" w:color="000000"/>
              <w:left w:val="single" w:sz="6" w:space="0" w:color="000000"/>
              <w:bottom w:val="single" w:sz="12" w:space="0" w:color="000000"/>
              <w:right w:val="single" w:sz="6" w:space="0" w:color="000000"/>
            </w:tcBorders>
          </w:tcPr>
          <w:p>
            <w:pPr/>
          </w:p>
        </w:tc>
        <w:tc>
          <w:tcPr>
            <w:tcW w:w="3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37,800,000.00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tabs>
                <w:tab w:pos="545"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77,746,106.35</w:t>
            </w:r>
          </w:p>
        </w:tc>
        <w:tc>
          <w:tcPr>
            <w:tcW w:w="3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83,928,621.65</w:t>
            </w:r>
          </w:p>
        </w:tc>
      </w:tr>
    </w:tbl>
    <w:p>
      <w:pPr>
        <w:pStyle w:val="BodyText"/>
        <w:spacing w:line="240" w:lineRule="auto" w:before="51"/>
        <w:ind w:left="1134"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日，公司受限货币资金明细情况如下：</w:t>
      </w:r>
    </w:p>
    <w:p>
      <w:pPr>
        <w:pStyle w:val="BodyText"/>
        <w:spacing w:line="240" w:lineRule="auto" w:before="102"/>
        <w:ind w:left="1134" w:right="0"/>
        <w:jc w:val="left"/>
        <w:rPr>
          <w:rFonts w:ascii="Times New Roman" w:hAnsi="Times New Roman" w:cs="Times New Roman" w:eastAsia="Times New Roman" w:hint="default"/>
        </w:rPr>
      </w:pPr>
      <w:r>
        <w:rPr/>
        <w:t>①本公司以人民币 </w:t>
      </w:r>
      <w:r>
        <w:rPr>
          <w:rFonts w:ascii="Times New Roman" w:hAnsi="Times New Roman" w:cs="Times New Roman" w:eastAsia="Times New Roman" w:hint="default"/>
        </w:rPr>
        <w:t>15,721,411.04 </w:t>
      </w:r>
      <w:r>
        <w:rPr/>
        <w:t>元银行承兑汇票保证金为质押，取得中信银行股份有限公司杭州分行人民币</w:t>
      </w:r>
      <w:r>
        <w:rPr>
          <w:spacing w:val="-40"/>
        </w:rPr>
        <w:t> </w:t>
      </w:r>
      <w:r>
        <w:rPr>
          <w:rFonts w:ascii="Times New Roman" w:hAnsi="Times New Roman" w:cs="Times New Roman" w:eastAsia="Times New Roman" w:hint="default"/>
        </w:rPr>
        <w:t>52,400,006.00</w:t>
      </w:r>
    </w:p>
    <w:p>
      <w:pPr>
        <w:pStyle w:val="BodyText"/>
        <w:spacing w:line="240" w:lineRule="auto" w:before="64"/>
        <w:ind w:right="0"/>
        <w:jc w:val="left"/>
      </w:pPr>
      <w:r>
        <w:rPr/>
        <w:t>元银行承兑汇票，期限为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101"/>
        <w:ind w:right="0"/>
        <w:jc w:val="left"/>
        <w:rPr>
          <w:rFonts w:ascii="Times New Roman" w:hAnsi="Times New Roman" w:cs="Times New Roman" w:eastAsia="Times New Roman" w:hint="default"/>
        </w:rPr>
      </w:pPr>
      <w:r>
        <w:rPr/>
        <w:t>②本公司以人民币 </w:t>
      </w:r>
      <w:r>
        <w:rPr>
          <w:rFonts w:ascii="Times New Roman" w:hAnsi="Times New Roman" w:cs="Times New Roman" w:eastAsia="Times New Roman" w:hint="default"/>
        </w:rPr>
        <w:t>3,895,921.88  </w:t>
      </w:r>
      <w:r>
        <w:rPr/>
        <w:t>元银行承兑汇票保证金为质押，取得杭州银行股份有限公司西城支行人民币</w:t>
      </w:r>
      <w:r>
        <w:rPr>
          <w:spacing w:val="5"/>
        </w:rPr>
        <w:t> </w:t>
      </w:r>
      <w:r>
        <w:rPr>
          <w:rFonts w:ascii="Times New Roman" w:hAnsi="Times New Roman" w:cs="Times New Roman" w:eastAsia="Times New Roman" w:hint="default"/>
        </w:rPr>
        <w:t>12,953,918.50</w:t>
      </w:r>
    </w:p>
    <w:p>
      <w:pPr>
        <w:pStyle w:val="BodyText"/>
        <w:spacing w:line="240" w:lineRule="auto" w:before="64"/>
        <w:ind w:right="0"/>
        <w:jc w:val="left"/>
      </w:pPr>
      <w:r>
        <w:rPr/>
        <w:t>元银行承兑汇票，期限为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02"/>
        <w:ind w:right="0"/>
        <w:jc w:val="left"/>
        <w:rPr>
          <w:rFonts w:ascii="Times New Roman" w:hAnsi="Times New Roman" w:cs="Times New Roman" w:eastAsia="Times New Roman" w:hint="default"/>
        </w:rPr>
      </w:pPr>
      <w:r>
        <w:rPr/>
        <w:t>③本公司以人民币 </w:t>
      </w:r>
      <w:r>
        <w:rPr>
          <w:rFonts w:ascii="Times New Roman" w:hAnsi="Times New Roman" w:cs="Times New Roman" w:eastAsia="Times New Roman" w:hint="default"/>
        </w:rPr>
        <w:t>7,140,223.19  </w:t>
      </w:r>
      <w:r>
        <w:rPr/>
        <w:t>元银行承兑汇票保证金为质押，取得杭州联合农村商业银行科技支行人民币</w:t>
      </w:r>
      <w:r>
        <w:rPr>
          <w:spacing w:val="5"/>
        </w:rPr>
        <w:t> </w:t>
      </w:r>
      <w:r>
        <w:rPr>
          <w:rFonts w:ascii="Times New Roman" w:hAnsi="Times New Roman" w:cs="Times New Roman" w:eastAsia="Times New Roman" w:hint="default"/>
        </w:rPr>
        <w:t>23,800,743.79</w:t>
      </w:r>
    </w:p>
    <w:p>
      <w:pPr>
        <w:pStyle w:val="BodyText"/>
        <w:spacing w:line="240" w:lineRule="auto" w:before="64"/>
        <w:ind w:right="0"/>
        <w:jc w:val="left"/>
      </w:pPr>
      <w:r>
        <w:rPr/>
        <w:t>元银行承兑汇票，期限为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01"/>
        <w:ind w:left="1134" w:right="0"/>
        <w:jc w:val="left"/>
        <w:rPr>
          <w:rFonts w:ascii="Times New Roman" w:hAnsi="Times New Roman" w:cs="Times New Roman" w:eastAsia="Times New Roman" w:hint="default"/>
        </w:rPr>
      </w:pPr>
      <w:r>
        <w:rPr/>
        <w:t>④本公司以人民币 </w:t>
      </w:r>
      <w:r>
        <w:rPr>
          <w:rFonts w:ascii="Times New Roman" w:hAnsi="Times New Roman" w:cs="Times New Roman" w:eastAsia="Times New Roman" w:hint="default"/>
        </w:rPr>
        <w:t>9,121,506.02  </w:t>
      </w:r>
      <w:r>
        <w:rPr/>
        <w:t>元银行承兑汇票保证金为质押，取得招商银行股份有限公司凤起支行人民币</w:t>
      </w:r>
      <w:r>
        <w:rPr>
          <w:spacing w:val="5"/>
        </w:rPr>
        <w:t> </w:t>
      </w:r>
      <w:r>
        <w:rPr>
          <w:rFonts w:ascii="Times New Roman" w:hAnsi="Times New Roman" w:cs="Times New Roman" w:eastAsia="Times New Roman" w:hint="default"/>
        </w:rPr>
        <w:t>30,405,020.03</w:t>
      </w:r>
    </w:p>
    <w:p>
      <w:pPr>
        <w:pStyle w:val="BodyText"/>
        <w:spacing w:line="240" w:lineRule="auto" w:before="64"/>
        <w:ind w:right="0"/>
        <w:jc w:val="left"/>
      </w:pPr>
      <w:r>
        <w:rPr/>
        <w:t>元银行承兑汇票，期限为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302" w:lineRule="auto" w:before="101"/>
        <w:ind w:right="1119"/>
        <w:jc w:val="left"/>
      </w:pPr>
      <w:r>
        <w:rPr/>
        <w:t>⑤截至</w:t>
      </w:r>
      <w:r>
        <w:rPr>
          <w:spacing w:val="-44"/>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日，本公司尚有人民币</w:t>
      </w:r>
      <w:r>
        <w:rPr>
          <w:spacing w:val="-44"/>
        </w:rPr>
        <w:t> </w:t>
      </w:r>
      <w:r>
        <w:rPr>
          <w:rFonts w:ascii="Times New Roman" w:hAnsi="Times New Roman" w:cs="Times New Roman" w:eastAsia="Times New Roman" w:hint="default"/>
        </w:rPr>
        <w:t>4,924.17</w:t>
      </w:r>
      <w:r>
        <w:rPr>
          <w:rFonts w:ascii="Times New Roman" w:hAnsi="Times New Roman" w:cs="Times New Roman" w:eastAsia="Times New Roman" w:hint="default"/>
          <w:spacing w:val="1"/>
        </w:rPr>
        <w:t> </w:t>
      </w:r>
      <w:r>
        <w:rPr/>
        <w:t>元银行承兑汇票保证金存于工商银行股份有限公司庆春支行，年末 处于受限状态。</w:t>
      </w:r>
    </w:p>
    <w:p>
      <w:pPr>
        <w:pStyle w:val="BodyText"/>
        <w:spacing w:line="240" w:lineRule="auto" w:before="69"/>
        <w:ind w:right="0"/>
        <w:jc w:val="left"/>
        <w:rPr>
          <w:rFonts w:ascii="Times New Roman" w:hAnsi="Times New Roman" w:cs="Times New Roman" w:eastAsia="Times New Roman" w:hint="default"/>
        </w:rPr>
      </w:pPr>
      <w:r>
        <w:rPr/>
        <w:t>⑥本公司以人民币</w:t>
      </w:r>
      <w:r>
        <w:rPr>
          <w:spacing w:val="-36"/>
        </w:rPr>
        <w:t> </w:t>
      </w:r>
      <w:r>
        <w:rPr>
          <w:rFonts w:ascii="Times New Roman" w:hAnsi="Times New Roman" w:cs="Times New Roman" w:eastAsia="Times New Roman" w:hint="default"/>
        </w:rPr>
        <w:t>4,160,652.08</w:t>
      </w:r>
      <w:r>
        <w:rPr>
          <w:rFonts w:ascii="Times New Roman" w:hAnsi="Times New Roman" w:cs="Times New Roman" w:eastAsia="Times New Roman" w:hint="default"/>
          <w:spacing w:val="9"/>
        </w:rPr>
        <w:t> </w:t>
      </w:r>
      <w:r>
        <w:rPr/>
        <w:t>元为质押，取得招商银行股份有限公司凤起支行人民币</w:t>
      </w:r>
      <w:r>
        <w:rPr>
          <w:spacing w:val="-36"/>
        </w:rPr>
        <w:t> </w:t>
      </w:r>
      <w:r>
        <w:rPr>
          <w:rFonts w:ascii="Times New Roman" w:hAnsi="Times New Roman" w:cs="Times New Roman" w:eastAsia="Times New Roman" w:hint="default"/>
        </w:rPr>
        <w:t>24,153,382.75</w:t>
      </w:r>
      <w:r>
        <w:rPr>
          <w:rFonts w:ascii="Times New Roman" w:hAnsi="Times New Roman" w:cs="Times New Roman" w:eastAsia="Times New Roman" w:hint="default"/>
          <w:spacing w:val="9"/>
        </w:rPr>
        <w:t> </w:t>
      </w:r>
      <w:r>
        <w:rPr/>
        <w:t>元保函，期限为</w:t>
      </w:r>
      <w:r>
        <w:rPr>
          <w:spacing w:val="-36"/>
        </w:rPr>
        <w:t> </w:t>
      </w:r>
      <w:r>
        <w:rPr>
          <w:rFonts w:ascii="Times New Roman" w:hAnsi="Times New Roman" w:cs="Times New Roman" w:eastAsia="Times New Roman" w:hint="default"/>
        </w:rPr>
        <w:t>2017</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01"/>
        <w:ind w:left="1134" w:right="0"/>
        <w:jc w:val="left"/>
        <w:rPr>
          <w:rFonts w:ascii="Times New Roman" w:hAnsi="Times New Roman" w:cs="Times New Roman" w:eastAsia="Times New Roman" w:hint="default"/>
        </w:rPr>
      </w:pPr>
      <w:r>
        <w:rPr/>
        <w:t>⑦本公司以人民币</w:t>
      </w:r>
      <w:r>
        <w:rPr>
          <w:spacing w:val="-50"/>
        </w:rPr>
        <w:t> </w:t>
      </w:r>
      <w:r>
        <w:rPr>
          <w:rFonts w:ascii="Times New Roman" w:hAnsi="Times New Roman" w:cs="Times New Roman" w:eastAsia="Times New Roman" w:hint="default"/>
        </w:rPr>
        <w:t>24,821,046.57</w:t>
      </w:r>
      <w:r>
        <w:rPr>
          <w:rFonts w:ascii="Times New Roman" w:hAnsi="Times New Roman" w:cs="Times New Roman" w:eastAsia="Times New Roman" w:hint="default"/>
          <w:spacing w:val="-4"/>
        </w:rPr>
        <w:t> </w:t>
      </w:r>
      <w:r>
        <w:rPr/>
        <w:t>元为质押，取得中信银行股份有限公司杭州分行人民币</w:t>
      </w:r>
      <w:r>
        <w:rPr>
          <w:spacing w:val="-50"/>
        </w:rPr>
        <w:t> </w:t>
      </w:r>
      <w:r>
        <w:rPr>
          <w:rFonts w:ascii="Times New Roman" w:hAnsi="Times New Roman" w:cs="Times New Roman" w:eastAsia="Times New Roman" w:hint="default"/>
        </w:rPr>
        <w:t>90,390,866.30</w:t>
      </w:r>
      <w:r>
        <w:rPr>
          <w:rFonts w:ascii="Times New Roman" w:hAnsi="Times New Roman" w:cs="Times New Roman" w:eastAsia="Times New Roman" w:hint="default"/>
          <w:spacing w:val="-4"/>
        </w:rPr>
        <w:t> </w:t>
      </w:r>
      <w:r>
        <w:rPr>
          <w:spacing w:val="-3"/>
        </w:rPr>
        <w:t>元保函，期限为</w:t>
      </w:r>
      <w:r>
        <w:rPr>
          <w:spacing w:val="-50"/>
        </w:rPr>
        <w:t> </w:t>
      </w:r>
      <w:r>
        <w:rPr>
          <w:rFonts w:ascii="Times New Roman" w:hAnsi="Times New Roman" w:cs="Times New Roman" w:eastAsia="Times New Roman" w:hint="default"/>
        </w:rPr>
        <w:t>2015</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p>
    <w:p>
      <w:pPr>
        <w:pStyle w:val="BodyText"/>
        <w:spacing w:line="240" w:lineRule="auto" w:before="101"/>
        <w:ind w:right="0"/>
        <w:jc w:val="left"/>
        <w:rPr>
          <w:rFonts w:ascii="Times New Roman" w:hAnsi="Times New Roman" w:cs="Times New Roman" w:eastAsia="Times New Roman" w:hint="default"/>
        </w:rPr>
      </w:pPr>
      <w:r>
        <w:rPr/>
        <w:t>⑧本公司以人民币 </w:t>
      </w:r>
      <w:r>
        <w:rPr>
          <w:rFonts w:ascii="Times New Roman" w:hAnsi="Times New Roman" w:cs="Times New Roman" w:eastAsia="Times New Roman" w:hint="default"/>
        </w:rPr>
        <w:t>1,998,142.58 </w:t>
      </w:r>
      <w:r>
        <w:rPr/>
        <w:t>元为质押，取得杭州银行有限公司西城支行人民币 </w:t>
      </w:r>
      <w:r>
        <w:rPr>
          <w:rFonts w:ascii="Times New Roman" w:hAnsi="Times New Roman" w:cs="Times New Roman" w:eastAsia="Times New Roman" w:hint="default"/>
        </w:rPr>
        <w:t>5,972,660.82 </w:t>
      </w:r>
      <w:r>
        <w:rPr/>
        <w:t>元保函，期限为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9</w:t>
      </w:r>
    </w:p>
    <w:p>
      <w:pPr>
        <w:pStyle w:val="BodyText"/>
        <w:spacing w:line="240" w:lineRule="auto" w:before="64"/>
        <w:ind w:right="0"/>
        <w:jc w:val="left"/>
      </w:pP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p>
    <w:p>
      <w:pPr>
        <w:pStyle w:val="BodyText"/>
        <w:spacing w:line="240" w:lineRule="auto" w:before="102"/>
        <w:ind w:left="1134" w:right="0"/>
        <w:jc w:val="left"/>
        <w:rPr>
          <w:rFonts w:ascii="Times New Roman" w:hAnsi="Times New Roman" w:cs="Times New Roman" w:eastAsia="Times New Roman" w:hint="default"/>
        </w:rPr>
      </w:pPr>
      <w:r>
        <w:rPr/>
        <w:t>⑨本公司以人民币</w:t>
      </w:r>
      <w:r>
        <w:rPr>
          <w:spacing w:val="-36"/>
        </w:rPr>
        <w:t> </w:t>
      </w:r>
      <w:r>
        <w:rPr>
          <w:rFonts w:ascii="Times New Roman" w:hAnsi="Times New Roman" w:cs="Times New Roman" w:eastAsia="Times New Roman" w:hint="default"/>
        </w:rPr>
        <w:t>8,965,740.05</w:t>
      </w:r>
      <w:r>
        <w:rPr>
          <w:rFonts w:ascii="Times New Roman" w:hAnsi="Times New Roman" w:cs="Times New Roman" w:eastAsia="Times New Roman" w:hint="default"/>
          <w:spacing w:val="9"/>
        </w:rPr>
        <w:t> </w:t>
      </w:r>
      <w:r>
        <w:rPr/>
        <w:t>元为质押，取得杭州联合农村商业银行科技支行人民币</w:t>
      </w:r>
      <w:r>
        <w:rPr>
          <w:spacing w:val="-36"/>
        </w:rPr>
        <w:t> </w:t>
      </w:r>
      <w:r>
        <w:rPr>
          <w:rFonts w:ascii="Times New Roman" w:hAnsi="Times New Roman" w:cs="Times New Roman" w:eastAsia="Times New Roman" w:hint="default"/>
        </w:rPr>
        <w:t>29,607,299.35</w:t>
      </w:r>
      <w:r>
        <w:rPr>
          <w:rFonts w:ascii="Times New Roman" w:hAnsi="Times New Roman" w:cs="Times New Roman" w:eastAsia="Times New Roman" w:hint="default"/>
          <w:spacing w:val="10"/>
        </w:rPr>
        <w:t> </w:t>
      </w:r>
      <w:r>
        <w:rPr/>
        <w:t>元保函，期限为</w:t>
      </w:r>
      <w:r>
        <w:rPr>
          <w:spacing w:val="-36"/>
        </w:rPr>
        <w:t> </w:t>
      </w:r>
      <w:r>
        <w:rPr>
          <w:rFonts w:ascii="Times New Roman" w:hAnsi="Times New Roman" w:cs="Times New Roman" w:eastAsia="Times New Roman" w:hint="default"/>
        </w:rPr>
        <w:t>2016</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2021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102"/>
        <w:ind w:left="1134" w:right="0"/>
        <w:jc w:val="left"/>
      </w:pPr>
      <w:r>
        <w:rPr/>
        <w:t>⑩公司存入指定银行账户农民工保证金金额 </w:t>
      </w:r>
      <w:r>
        <w:rPr>
          <w:rFonts w:ascii="Times New Roman" w:hAnsi="Times New Roman" w:cs="Times New Roman" w:eastAsia="Times New Roman" w:hint="default"/>
        </w:rPr>
        <w:t>1,916,538.77</w:t>
      </w:r>
      <w:r>
        <w:rPr>
          <w:rFonts w:ascii="Times New Roman" w:hAnsi="Times New Roman" w:cs="Times New Roman" w:eastAsia="Times New Roman" w:hint="default"/>
          <w:spacing w:val="-25"/>
        </w:rPr>
        <w:t> </w:t>
      </w:r>
      <w:r>
        <w:rPr>
          <w:spacing w:val="-5"/>
        </w:rPr>
        <w:t>元，为公司外地项目聘请农民工事项提供保证，年末处于受限状态。</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以公允价值计量且其变动计入当期损益的金融资产" w:id="234"/>
      <w:bookmarkEnd w:id="23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35"/>
      <w:bookmarkEnd w:id="23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应收票据" w:id="236"/>
      <w:bookmarkEnd w:id="23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37"/>
      <w:bookmarkEnd w:id="23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18,089,384.00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21,626,384.00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公司已质押的应收票据" w:id="238"/>
      <w:bookmarkEnd w:id="23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公司已背书或贴现且在资产负债表日尚未到期的应收票据" w:id="239"/>
      <w:bookmarkEnd w:id="23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7,599,742.68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7,599,742.68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40"/>
      <w:bookmarkEnd w:id="24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应收账款" w:id="241"/>
      <w:bookmarkEnd w:id="24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42"/>
      <w:bookmarkEnd w:id="24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1,317,08</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8,225.76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285,303,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886.59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21.66%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1,031,784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,339.17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1,517,8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43,860.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249,011,7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18.31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1,268,832,1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42.63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695,400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1,317,78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285,999,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1,031,784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1,518,5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39,260.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249,707,1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1,268,832,1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40"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3,625.76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Times New Roman" w:hAnsi="Times New Roman" w:cs="Times New Roman" w:eastAsia="Times New Roman" w:hint="default"/>
                <w:sz w:val="18"/>
                <w:szCs w:val="18"/>
              </w:rPr>
            </w:pPr>
            <w:r>
              <w:rPr>
                <w:rFonts w:ascii="Times New Roman"/>
                <w:sz w:val="18"/>
              </w:rPr>
              <w:t>286.59</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Times New Roman" w:hAnsi="Times New Roman" w:cs="Times New Roman" w:eastAsia="Times New Roman" w:hint="default"/>
                <w:sz w:val="18"/>
                <w:szCs w:val="18"/>
              </w:rPr>
            </w:pPr>
            <w:r>
              <w:rPr>
                <w:rFonts w:ascii="Times New Roman"/>
                <w:sz w:val="18"/>
              </w:rPr>
              <w:t>,339.17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6" w:right="0"/>
              <w:jc w:val="left"/>
              <w:rPr>
                <w:rFonts w:ascii="Times New Roman" w:hAnsi="Times New Roman" w:cs="Times New Roman" w:eastAsia="Times New Roman" w:hint="default"/>
                <w:sz w:val="18"/>
                <w:szCs w:val="18"/>
              </w:rPr>
            </w:pPr>
            <w:r>
              <w:rPr>
                <w:rFonts w:ascii="Times New Roman"/>
                <w:sz w:val="18"/>
              </w:rPr>
              <w:t>18.31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4" w:right="0"/>
              <w:jc w:val="left"/>
              <w:rPr>
                <w:rFonts w:ascii="Times New Roman" w:hAnsi="Times New Roman" w:cs="Times New Roman" w:eastAsia="Times New Roman" w:hint="default"/>
                <w:sz w:val="18"/>
                <w:szCs w:val="18"/>
              </w:rPr>
            </w:pPr>
            <w:r>
              <w:rPr>
                <w:rFonts w:ascii="Times New Roman"/>
                <w:sz w:val="18"/>
              </w:rPr>
              <w:t>42.63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534,874,953.80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26,743,747.70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237,289,448.27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23,728,944.85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238,203,015.94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47,640,603.20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193,764,092.75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96,882,046.41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45,296,341.19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22,648,170.62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67,660,373.81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67,660,373.81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1,317,088,225.76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285,303,886.59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21.66%</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91,292,624.77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244"/>
      <w:bookmarkEnd w:id="24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按欠款方归集的期末余额前五名的应收账款情况" w:id="245"/>
      <w:bookmarkEnd w:id="24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2" w:lineRule="auto" w:before="28"/>
        <w:ind w:left="1134" w:right="1112"/>
        <w:jc w:val="left"/>
      </w:pPr>
      <w:r>
        <w:rPr/>
        <w:t>公司按欠款方归集的年末余额前五名应收账款汇总金额为</w:t>
      </w:r>
      <w:r>
        <w:rPr>
          <w:spacing w:val="-46"/>
        </w:rPr>
        <w:t> </w:t>
      </w:r>
      <w:r>
        <w:rPr>
          <w:rFonts w:ascii="Times New Roman" w:hAnsi="Times New Roman" w:cs="Times New Roman" w:eastAsia="Times New Roman" w:hint="default"/>
        </w:rPr>
        <w:t>101,881,397.47</w:t>
      </w:r>
      <w:r>
        <w:rPr>
          <w:rFonts w:ascii="Times New Roman" w:hAnsi="Times New Roman" w:cs="Times New Roman" w:eastAsia="Times New Roman" w:hint="default"/>
          <w:spacing w:val="-2"/>
        </w:rPr>
        <w:t> </w:t>
      </w:r>
      <w:r>
        <w:rPr/>
        <w:t>元，占应收账款年末余额合计数的比例为</w:t>
      </w:r>
      <w:r>
        <w:rPr>
          <w:spacing w:val="-47"/>
        </w:rPr>
        <w:t> </w:t>
      </w:r>
      <w:r>
        <w:rPr>
          <w:rFonts w:ascii="Times New Roman" w:hAnsi="Times New Roman" w:cs="Times New Roman" w:eastAsia="Times New Roman" w:hint="default"/>
        </w:rPr>
        <w:t>7.73%</w:t>
      </w:r>
      <w:r>
        <w:rPr/>
        <w:t>， 相应计提的坏账准备年末余额金额为</w:t>
      </w:r>
      <w:r>
        <w:rPr>
          <w:spacing w:val="-47"/>
        </w:rPr>
        <w:t> </w:t>
      </w:r>
      <w:r>
        <w:rPr>
          <w:rFonts w:ascii="Times New Roman" w:hAnsi="Times New Roman" w:cs="Times New Roman" w:eastAsia="Times New Roman" w:hint="default"/>
        </w:rPr>
        <w:t>6,421,090.88</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5）因金融资产转移而终止确认的应收账款" w:id="246"/>
      <w:bookmarkEnd w:id="24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6）转移应收账款且继续涉入形成的资产、负债金额" w:id="247"/>
      <w:bookmarkEnd w:id="24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预付款项" w:id="248"/>
      <w:bookmarkEnd w:id="24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49"/>
      <w:bookmarkEnd w:id="24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167,680,694.66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70,410,223.46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23,344,936.10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17,045,530.88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11,430,477.25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8,206,655.21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14,098,718.90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7,852,262.63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216,554,826.91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103,514,672.18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50"/>
      <w:bookmarkEnd w:id="25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4" w:right="1029"/>
        <w:jc w:val="left"/>
      </w:pPr>
      <w:r>
        <w:rPr/>
        <w:t>公司按预付对象归集的年末余额前五名预付账款汇总金额为</w:t>
      </w:r>
      <w:r>
        <w:rPr>
          <w:spacing w:val="-38"/>
        </w:rPr>
        <w:t> </w:t>
      </w:r>
      <w:r>
        <w:rPr>
          <w:rFonts w:ascii="Times New Roman" w:hAnsi="Times New Roman" w:cs="Times New Roman" w:eastAsia="Times New Roman" w:hint="default"/>
          <w:spacing w:val="-1"/>
        </w:rPr>
        <w:t>75,047,687.84</w:t>
      </w:r>
      <w:r>
        <w:rPr>
          <w:rFonts w:ascii="Times New Roman" w:hAnsi="Times New Roman" w:cs="Times New Roman" w:eastAsia="Times New Roman" w:hint="default"/>
          <w:spacing w:val="6"/>
        </w:rPr>
        <w:t> </w:t>
      </w:r>
      <w:r>
        <w:rPr>
          <w:spacing w:val="-6"/>
        </w:rPr>
        <w:t>元，占预付账款年末余额合计数的比例为</w:t>
      </w:r>
      <w:r>
        <w:rPr>
          <w:spacing w:val="-39"/>
        </w:rPr>
        <w:t> </w:t>
      </w:r>
      <w:r>
        <w:rPr>
          <w:rFonts w:ascii="Times New Roman" w:hAnsi="Times New Roman" w:cs="Times New Roman" w:eastAsia="Times New Roman" w:hint="default"/>
        </w:rPr>
        <w:t>34.66%</w:t>
      </w:r>
      <w:r>
        <w:rPr/>
        <w:t>。</w:t>
      </w:r>
      <w:r>
        <w:rPr>
          <w:spacing w:val="-88"/>
        </w:rPr>
        <w:t> </w:t>
      </w:r>
      <w:r>
        <w:rPr/>
        <w:t>其他说明：</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7、应收利息" w:id="251"/>
      <w:bookmarkEnd w:id="251"/>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利息分类" w:id="252"/>
      <w:bookmarkEnd w:id="25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逾期利息" w:id="253"/>
      <w:bookmarkEnd w:id="253"/>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应收股利" w:id="254"/>
      <w:bookmarkEnd w:id="254"/>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股利" w:id="255"/>
      <w:bookmarkEnd w:id="255"/>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的账龄超过1年的应收股利" w:id="256"/>
      <w:bookmarkEnd w:id="256"/>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57"/>
      <w:bookmarkEnd w:id="257"/>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58"/>
      <w:bookmarkEnd w:id="25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490,436,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106,104,</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041.56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21.63%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384,332,8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79.41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469,648</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,116.51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101,936,3</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43.34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367,711,77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3.17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4,696,1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4,696,153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490,723,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020.21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106,390,</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140.80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21.68%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384,332,8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79.41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474,344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,270.05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106,632,4</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96.88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367,711,77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3.17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259,033,225.11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12,951,661.31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58,836,008.57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5,883,600.85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71,784,174.07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14,356,834.81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37,959,860.10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18,979,930.08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17,783,277.27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8,891,638.66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45,040,375.85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45,040,375.85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490,436,920.97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106,104,041.56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21.63%</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52"/>
        <w:ind w:left="1613" w:right="0"/>
        <w:jc w:val="left"/>
      </w:pPr>
      <w:r>
        <w:rPr/>
        <w:t>年末单项金额不重大但单独计提坏账准备的其他应收款</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512"/>
        <w:gridCol w:w="1560"/>
        <w:gridCol w:w="1559"/>
        <w:gridCol w:w="1134"/>
        <w:gridCol w:w="1450"/>
      </w:tblGrid>
      <w:tr>
        <w:trPr>
          <w:trHeight w:val="347" w:hRule="exact"/>
        </w:trPr>
        <w:tc>
          <w:tcPr>
            <w:tcW w:w="3512" w:type="dxa"/>
            <w:vMerge w:val="restart"/>
            <w:tcBorders>
              <w:top w:val="single" w:sz="6" w:space="0" w:color="000000"/>
              <w:left w:val="single" w:sz="6" w:space="0" w:color="000000"/>
              <w:right w:val="single" w:sz="6" w:space="0" w:color="000000"/>
            </w:tcBorders>
          </w:tcPr>
          <w:p>
            <w:pPr>
              <w:pStyle w:val="TableParagraph"/>
              <w:spacing w:line="270" w:lineRule="exact"/>
              <w:ind w:left="697"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703" w:type="dxa"/>
            <w:gridSpan w:val="4"/>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7" w:hRule="exact"/>
        </w:trPr>
        <w:tc>
          <w:tcPr>
            <w:tcW w:w="351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95"/>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马鞍山斯瑞奇建材销售有限公司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286,099.24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286,099.24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95"/>
              <w:jc w:val="right"/>
              <w:rPr>
                <w:rFonts w:ascii="宋体" w:hAnsi="宋体" w:cs="宋体" w:eastAsia="宋体" w:hint="default"/>
                <w:sz w:val="21"/>
                <w:szCs w:val="21"/>
              </w:rPr>
            </w:pPr>
            <w:r>
              <w:rPr>
                <w:rFonts w:ascii="宋体" w:hAnsi="宋体" w:cs="宋体" w:eastAsia="宋体" w:hint="default"/>
                <w:sz w:val="21"/>
                <w:szCs w:val="21"/>
              </w:rPr>
              <w:t>无法收回</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286,099.24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286,099.24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100.00%</w:t>
            </w:r>
          </w:p>
        </w:tc>
        <w:tc>
          <w:tcPr>
            <w:tcW w:w="1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计提、收回或转回的坏账准备情况" w:id="259"/>
      <w:bookmarkEnd w:id="25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10,172,424.89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260"/>
      <w:bookmarkEnd w:id="26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应收款按款项性质分类情况" w:id="261"/>
      <w:bookmarkEnd w:id="26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135,979,077.66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225,147,231.94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8,121,287.28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7,840,631.90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182,105,108.23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209,497,004.61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22,622,508.97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13,529,401.60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141,895,038.07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490,723,020.21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474,344,270.05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262"/>
      <w:bookmarkEnd w:id="26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北京银泰瑞合科技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股权结算款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青岛智慧城市产业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15,183,902.11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759,195.11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杭州合建股份经济 合作社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江苏谷德运维信息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山东华高控股有限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6,978,869.30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6,956,869.30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1,392,473.86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174,162,771.41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11,251,668.97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263"/>
      <w:bookmarkEnd w:id="26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因金融资产转移而终止确认的其他应收款" w:id="264"/>
      <w:bookmarkEnd w:id="26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转移其他应收款且继续涉入形成的资产、负债金额" w:id="265"/>
      <w:bookmarkEnd w:id="26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0、存货" w:id="266"/>
      <w:bookmarkEnd w:id="266"/>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1）存货分类" w:id="267"/>
      <w:bookmarkEnd w:id="26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9,183,403.77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9,183,403.77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950,254.39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950,254.39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15,151,097.28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10,860,904.33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11,234,387.15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6,944,194.20</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1,460,172,509.59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1,460,172,509.59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1,042,323,300.06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1,042,323,300.06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79,555,459.08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79,555,459.08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116,439,464.91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116,439,464.91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1,564,062,469.72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1,559,772,276.77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1,170,947,406.51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1,166,657,213.56</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2）存货跌价准备" w:id="268"/>
      <w:bookmarkEnd w:id="26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1358"/>
        <w:gridCol w:w="490"/>
        <w:gridCol w:w="878"/>
        <w:gridCol w:w="1367"/>
        <w:gridCol w:w="449"/>
        <w:gridCol w:w="918"/>
        <w:gridCol w:w="1208"/>
        <w:gridCol w:w="160"/>
        <w:gridCol w:w="1367"/>
        <w:gridCol w:w="883"/>
        <w:gridCol w:w="484"/>
      </w:tblGrid>
      <w:tr>
        <w:trPr>
          <w:trHeight w:val="205"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vMerge/>
            <w:tcBorders>
              <w:left w:val="single" w:sz="4" w:space="0" w:color="000000"/>
              <w:bottom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right w:val="single" w:sz="4" w:space="0" w:color="000000"/>
            </w:tcBorders>
            <w:shd w:val="clear" w:color="auto" w:fill="D2D2D2"/>
          </w:tcPr>
          <w:p>
            <w:pPr/>
          </w:p>
        </w:tc>
      </w:tr>
      <w:tr>
        <w:trPr>
          <w:trHeight w:val="20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8" w:type="dxa"/>
            <w:gridSpan w:val="2"/>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gridSpan w:val="2"/>
            <w:vMerge/>
            <w:tcBorders>
              <w:left w:val="single" w:sz="4" w:space="0" w:color="000000"/>
              <w:right w:val="single" w:sz="4" w:space="0" w:color="000000"/>
            </w:tcBorders>
            <w:shd w:val="clear" w:color="auto" w:fill="D2D2D2"/>
          </w:tcPr>
          <w:p>
            <w:pP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r>
      <w:tr>
        <w:trPr>
          <w:trHeight w:val="404" w:hRule="exact"/>
        </w:trPr>
        <w:tc>
          <w:tcPr>
            <w:tcW w:w="1358"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13" w:space="0" w:color="D2D2D2"/>
              <w:bottom w:val="single" w:sz="6"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4,290,192.95</w:t>
            </w: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
        </w:tc>
        <w:tc>
          <w:tcPr>
            <w:tcW w:w="1368" w:type="dxa"/>
            <w:gridSpan w:val="2"/>
            <w:tcBorders>
              <w:top w:val="single" w:sz="4" w:space="0" w:color="000000"/>
              <w:left w:val="single" w:sz="4" w:space="0" w:color="000000"/>
              <w:bottom w:val="single" w:sz="6" w:space="0" w:color="000000"/>
              <w:right w:val="single" w:sz="4" w:space="0" w:color="000000"/>
            </w:tcBorders>
          </w:tcPr>
          <w:p>
            <w:pP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4,290,192.95</w:t>
            </w:r>
          </w:p>
        </w:tc>
      </w:tr>
      <w:tr>
        <w:trPr>
          <w:trHeight w:val="667" w:hRule="exact"/>
        </w:trPr>
        <w:tc>
          <w:tcPr>
            <w:tcW w:w="184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69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234" w:right="78" w:hanging="1156"/>
              <w:jc w:val="left"/>
              <w:rPr>
                <w:rFonts w:ascii="宋体" w:hAnsi="宋体" w:cs="宋体" w:eastAsia="宋体" w:hint="default"/>
                <w:sz w:val="21"/>
                <w:szCs w:val="21"/>
              </w:rPr>
            </w:pPr>
            <w:r>
              <w:rPr>
                <w:rFonts w:ascii="宋体" w:hAnsi="宋体" w:cs="宋体" w:eastAsia="宋体" w:hint="default"/>
                <w:sz w:val="21"/>
                <w:szCs w:val="21"/>
              </w:rPr>
              <w:t>计提存货跌价准备的具体依 据</w:t>
            </w:r>
          </w:p>
        </w:tc>
        <w:tc>
          <w:tcPr>
            <w:tcW w:w="212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740" w:right="5" w:hanging="735"/>
              <w:jc w:val="left"/>
              <w:rPr>
                <w:rFonts w:ascii="宋体" w:hAnsi="宋体" w:cs="宋体" w:eastAsia="宋体" w:hint="default"/>
                <w:sz w:val="21"/>
                <w:szCs w:val="21"/>
              </w:rPr>
            </w:pPr>
            <w:r>
              <w:rPr>
                <w:rFonts w:ascii="宋体" w:hAnsi="宋体" w:cs="宋体" w:eastAsia="宋体" w:hint="default"/>
                <w:sz w:val="21"/>
                <w:szCs w:val="21"/>
              </w:rPr>
              <w:t>本年转回存货跌价准备 的原因</w:t>
            </w:r>
          </w:p>
        </w:tc>
        <w:tc>
          <w:tcPr>
            <w:tcW w:w="2410" w:type="dxa"/>
            <w:gridSpan w:val="3"/>
            <w:tcBorders>
              <w:top w:val="single" w:sz="6" w:space="0" w:color="000000"/>
              <w:left w:val="single" w:sz="6" w:space="0" w:color="000000"/>
              <w:bottom w:val="single" w:sz="12" w:space="0" w:color="000000"/>
              <w:right w:val="nil" w:sz="6" w:space="0" w:color="auto"/>
            </w:tcBorders>
          </w:tcPr>
          <w:p>
            <w:pPr>
              <w:pStyle w:val="TableParagraph"/>
              <w:spacing w:line="273" w:lineRule="auto"/>
              <w:ind w:left="986" w:right="48" w:hanging="945"/>
              <w:jc w:val="left"/>
              <w:rPr>
                <w:rFonts w:ascii="宋体" w:hAnsi="宋体" w:cs="宋体" w:eastAsia="宋体" w:hint="default"/>
                <w:sz w:val="21"/>
                <w:szCs w:val="21"/>
              </w:rPr>
            </w:pPr>
            <w:r>
              <w:rPr>
                <w:rFonts w:ascii="宋体" w:hAnsi="宋体" w:cs="宋体" w:eastAsia="宋体" w:hint="default"/>
                <w:sz w:val="21"/>
                <w:szCs w:val="21"/>
              </w:rPr>
              <w:t>本年转销存货跌价准备的 原因</w:t>
            </w:r>
          </w:p>
        </w:tc>
        <w:tc>
          <w:tcPr>
            <w:tcW w:w="484" w:type="dxa"/>
            <w:vMerge w:val="restart"/>
            <w:tcBorders>
              <w:top w:val="single" w:sz="4" w:space="0" w:color="000000"/>
              <w:left w:val="nil" w:sz="6" w:space="0" w:color="auto"/>
              <w:right w:val="nil" w:sz="6" w:space="0" w:color="auto"/>
            </w:tcBorders>
          </w:tcPr>
          <w:p>
            <w:pPr/>
          </w:p>
        </w:tc>
      </w:tr>
      <w:tr>
        <w:trPr>
          <w:trHeight w:val="352" w:hRule="exact"/>
        </w:trPr>
        <w:tc>
          <w:tcPr>
            <w:tcW w:w="1848"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9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94"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z w:val="21"/>
                <w:szCs w:val="21"/>
              </w:rPr>
              <w:t>可变现净值低于账面价值</w:t>
            </w:r>
          </w:p>
        </w:tc>
        <w:tc>
          <w:tcPr>
            <w:tcW w:w="212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2410"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w:t>
            </w:r>
          </w:p>
        </w:tc>
        <w:tc>
          <w:tcPr>
            <w:tcW w:w="484" w:type="dxa"/>
            <w:vMerge/>
            <w:tcBorders>
              <w:left w:val="nil" w:sz="6" w:space="0" w:color="auto"/>
              <w:bottom w:val="nil" w:sz="6" w:space="0" w:color="auto"/>
              <w:right w:val="nil" w:sz="6" w:space="0" w:color="auto"/>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存货期末余额含有借款费用资本化金额的说明" w:id="269"/>
      <w:bookmarkEnd w:id="26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70"/>
      <w:bookmarkEnd w:id="27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2,797,030,304.78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849,952,776.87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2,186,810,572.06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1,460,172,509.59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71"/>
      <w:bookmarkEnd w:id="271"/>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72"/>
      <w:bookmarkEnd w:id="27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73"/>
      <w:bookmarkEnd w:id="27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1,985,409.20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1,153,430.87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1,985,409.20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1,153,430.87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74"/>
      <w:bookmarkEnd w:id="274"/>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75"/>
      <w:bookmarkEnd w:id="27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001"/>
        <w:gridCol w:w="1184"/>
        <w:gridCol w:w="1196"/>
        <w:gridCol w:w="1196"/>
        <w:gridCol w:w="1249"/>
        <w:gridCol w:w="1367"/>
        <w:gridCol w:w="1355"/>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457,190,362.64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457,190,362.64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429,361,305.95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429,361,305.95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356,437,325.95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356,437,325.95</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130,738,603.16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130,738,603.16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72,923,980.00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72,923,980.00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457,190,362.64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457,190,362.64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429,361,305.95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429,361,305.95</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公允价值计量的可供出售金融资产" w:id="276"/>
      <w:bookmarkEnd w:id="27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154,280,000.00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按成本计量的可供出售金融资产" w:id="277"/>
      <w:bookmarkEnd w:id="27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山东博安 智能科技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广州创显 科教股份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3,375,660.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3,375,660.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杭州银江 健康云科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44"/>
              <w:jc w:val="left"/>
              <w:rPr>
                <w:rFonts w:ascii="Times New Roman" w:hAnsi="Times New Roman" w:cs="Times New Roman" w:eastAsia="Times New Roman" w:hint="default"/>
                <w:sz w:val="18"/>
                <w:szCs w:val="18"/>
              </w:rPr>
            </w:pPr>
            <w:r>
              <w:rPr>
                <w:rFonts w:ascii="Times New Roman"/>
                <w:sz w:val="18"/>
              </w:rPr>
              <w:t>MAGIC</w:t>
            </w:r>
            <w:r>
              <w:rPr>
                <w:rFonts w:ascii="Times New Roman"/>
                <w:w w:val="99"/>
                <w:sz w:val="18"/>
              </w:rPr>
              <w:t> </w:t>
            </w:r>
            <w:r>
              <w:rPr>
                <w:rFonts w:ascii="Times New Roman"/>
                <w:spacing w:val="-3"/>
                <w:sz w:val="18"/>
              </w:rPr>
              <w:t>LEAP,INC</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浙江亿邦 通信科技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杭州天迈 网络有限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4,565,943.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4,565,943.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70738603.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130,738,60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3.16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报告期内可供出售金融资产减值的变动情况" w:id="278"/>
      <w:bookmarkEnd w:id="27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可供出售权益工具期末公允价值严重下跌或非暂时性下跌但未计提减值准备的相关说" w:id="279"/>
      <w:bookmarkEnd w:id="27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持有至到期投资" w:id="280"/>
      <w:bookmarkEnd w:id="280"/>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81"/>
      <w:bookmarkEnd w:id="28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重要的持有至到期投资" w:id="282"/>
      <w:bookmarkEnd w:id="28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重分类的持有至到期投资" w:id="283"/>
      <w:bookmarkEnd w:id="28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16、长期应收款" w:id="284"/>
      <w:bookmarkEnd w:id="284"/>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应收款情况" w:id="285"/>
      <w:bookmarkEnd w:id="28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92"/>
        <w:gridCol w:w="1168"/>
        <w:gridCol w:w="1167"/>
        <w:gridCol w:w="1167"/>
        <w:gridCol w:w="1167"/>
        <w:gridCol w:w="1169"/>
        <w:gridCol w:w="1153"/>
        <w:gridCol w:w="1177"/>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3489" w:type="dxa"/>
            <w:gridSpan w:val="3"/>
            <w:vMerge/>
            <w:tcBorders>
              <w:left w:val="single" w:sz="4" w:space="0" w:color="000000"/>
              <w:bottom w:val="single" w:sz="4" w:space="0" w:color="000000"/>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10,263,802.48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10,263,802.48</w:t>
            </w:r>
          </w:p>
        </w:tc>
        <w:tc>
          <w:tcPr>
            <w:tcW w:w="11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-2,289,442.04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-2,289,442.04</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129,234,950.9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129,234,950.9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105,147,245.4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139,498,753.3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139,498,753.3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因金融资产转移而终止确认的长期应收款" w:id="286"/>
      <w:bookmarkEnd w:id="28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转移长期应收款且继续涉入形成的资产、负债金额" w:id="287"/>
      <w:bookmarkEnd w:id="28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88"/>
      <w:bookmarkEnd w:id="28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上海银江 智慧智能 化技术有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8,826,822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504,783.6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9,331,606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21,827,22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-2,956,11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18,871,11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11,764,93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83,560.66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11,848,49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杭州天迈 网络有限 公司（注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4,565,943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-4,565,94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5,607,049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2,473,662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8,080,711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4,766,471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-364,786.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4,401,684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杭州天尊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2,579,848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874,040.8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3,453,889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7,854,812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1,050,942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8,905,755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美国华人 执业医生 网络医院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287,058,6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-13,207,6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276,851,0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20.67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医联网技 术股份有 限公司</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-39,843.8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2,093,869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9,014,025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24,799,18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24,925,94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-434,733.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29,565,26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373,971,0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39,960,00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-11,889,3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22,327,10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424,368,8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373,971,0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39,960,00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-11,889,3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22,327,10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424,368,8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12.52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302" w:lineRule="auto" w:before="116"/>
        <w:ind w:left="1134" w:right="1120"/>
        <w:jc w:val="left"/>
      </w:pPr>
      <w:r>
        <w:rPr/>
        <w:t>注</w:t>
      </w:r>
      <w:r>
        <w:rPr>
          <w:spacing w:val="-35"/>
        </w:rPr>
        <w:t> </w:t>
      </w:r>
      <w:r>
        <w:rPr>
          <w:rFonts w:ascii="Times New Roman" w:hAnsi="Times New Roman" w:cs="Times New Roman" w:eastAsia="Times New Roman" w:hint="default"/>
          <w:spacing w:val="-1"/>
        </w:rPr>
        <w:t>1</w:t>
      </w:r>
      <w:r>
        <w:rPr>
          <w:spacing w:val="-1"/>
        </w:rPr>
        <w:t>、公司对杭州天迈网络有限公司的投资年初在长期股权投资科目，本年因持股比例进一步下降，且公司委派的董事本年</w:t>
      </w:r>
      <w:r>
        <w:rPr>
          <w:spacing w:val="-88"/>
        </w:rPr>
        <w:t> </w:t>
      </w:r>
      <w:r>
        <w:rPr>
          <w:spacing w:val="-88"/>
        </w:rPr>
      </w:r>
      <w:r>
        <w:rPr/>
        <w:t>度离职，公司未委派新的董事，导致公司对其不再具有重大影响，本年将其分类至可供出售金融资产科目列示。</w:t>
      </w:r>
    </w:p>
    <w:p>
      <w:pPr>
        <w:pStyle w:val="BodyText"/>
        <w:spacing w:line="302" w:lineRule="auto" w:before="68"/>
        <w:ind w:left="1134" w:right="1129"/>
        <w:jc w:val="left"/>
      </w:pPr>
      <w:r>
        <w:rPr/>
        <w:t>注</w:t>
      </w:r>
      <w:r>
        <w:rPr>
          <w:spacing w:val="-64"/>
        </w:rPr>
        <w:t> </w:t>
      </w:r>
      <w:r>
        <w:rPr>
          <w:rFonts w:ascii="Times New Roman" w:hAnsi="Times New Roman" w:cs="Times New Roman" w:eastAsia="Times New Roman" w:hint="default"/>
        </w:rPr>
        <w:t>2</w:t>
      </w:r>
      <w:r>
        <w:rPr/>
        <w:t>、杭州银江医联网技术股份有限公司上年为本公司控股子公司，因其他股东增资，导致公司持有其股权下降到</w:t>
      </w:r>
      <w:r>
        <w:rPr>
          <w:spacing w:val="-63"/>
        </w:rPr>
        <w:t> </w:t>
      </w:r>
      <w:r>
        <w:rPr>
          <w:rFonts w:ascii="Times New Roman" w:hAnsi="Times New Roman" w:cs="Times New Roman" w:eastAsia="Times New Roman" w:hint="default"/>
          <w:spacing w:val="-6"/>
        </w:rPr>
        <w:t>30%</w:t>
      </w:r>
      <w:r>
        <w:rPr>
          <w:spacing w:val="-6"/>
        </w:rPr>
        <w:t>，并</w:t>
      </w:r>
      <w:r>
        <w:rPr>
          <w:spacing w:val="-14"/>
        </w:rPr>
        <w:t> </w:t>
      </w:r>
      <w:r>
        <w:rPr/>
        <w:t>不再控制杭州银江医联网技术股份有限公司，本年对其投资转换为权益法核算。</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064"/>
        <w:jc w:val="left"/>
      </w:pPr>
      <w:r>
        <w:rPr/>
        <w:t>注</w:t>
      </w:r>
      <w:r>
        <w:rPr>
          <w:spacing w:val="-46"/>
        </w:rPr>
        <w:t> </w:t>
      </w:r>
      <w:r>
        <w:rPr>
          <w:rFonts w:ascii="Times New Roman" w:hAnsi="Times New Roman" w:cs="Times New Roman" w:eastAsia="Times New Roman" w:hint="default"/>
        </w:rPr>
        <w:t>3</w:t>
      </w:r>
      <w:r>
        <w:rPr/>
        <w:t>、杭州清普信息技术有限公司上年为本公司控股子公司，公司本年因返还杭州清普信息技术有限公司原股东</w:t>
      </w:r>
      <w:r>
        <w:rPr>
          <w:spacing w:val="-45"/>
        </w:rPr>
        <w:t> </w:t>
      </w:r>
      <w:r>
        <w:rPr>
          <w:rFonts w:ascii="Times New Roman" w:hAnsi="Times New Roman" w:cs="Times New Roman" w:eastAsia="Times New Roman" w:hint="default"/>
        </w:rPr>
        <w:t>49%</w:t>
      </w:r>
      <w:r>
        <w:rPr/>
        <w:t>股权， 剩余</w:t>
      </w:r>
      <w:r>
        <w:rPr>
          <w:spacing w:val="-46"/>
        </w:rPr>
        <w:t> </w:t>
      </w:r>
      <w:r>
        <w:rPr>
          <w:rFonts w:ascii="Times New Roman" w:hAnsi="Times New Roman" w:cs="Times New Roman" w:eastAsia="Times New Roman" w:hint="default"/>
        </w:rPr>
        <w:t>21%</w:t>
      </w:r>
      <w:r>
        <w:rPr/>
        <w:t>股权，导致不再控制杭州清普信息技术有限公司，本年对其的剩余投资转换为权益法核算。</w:t>
      </w:r>
    </w:p>
    <w:p>
      <w:pPr>
        <w:spacing w:line="240" w:lineRule="auto" w:before="10"/>
        <w:rPr>
          <w:rFonts w:ascii="宋体" w:hAnsi="宋体" w:cs="宋体" w:eastAsia="宋体" w:hint="default"/>
          <w:sz w:val="21"/>
          <w:szCs w:val="21"/>
        </w:rPr>
      </w:pPr>
    </w:p>
    <w:p>
      <w:pPr>
        <w:pStyle w:val="Heading4"/>
        <w:spacing w:line="240" w:lineRule="auto"/>
        <w:ind w:left="1134" w:right="0"/>
        <w:jc w:val="left"/>
        <w:rPr>
          <w:b w:val="0"/>
          <w:bCs w:val="0"/>
        </w:rPr>
      </w:pPr>
      <w:bookmarkStart w:name="18、投资性房地产" w:id="289"/>
      <w:bookmarkEnd w:id="28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采用成本计量模式的投资性房地产" w:id="290"/>
      <w:bookmarkEnd w:id="29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91"/>
      <w:bookmarkEnd w:id="29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92"/>
      <w:bookmarkEnd w:id="29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9、固定资产" w:id="293"/>
      <w:bookmarkEnd w:id="293"/>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94"/>
      <w:bookmarkEnd w:id="29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电子设备及其它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201,654,183.43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42,507,339.66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39,387,218.80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283,548,741.89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949,677.55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4,142,130.73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5,091,808.28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949,677.55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4,142,130.73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5,091,808.28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17,658,240.00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3,905,885.13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3,030,398.13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24,594,523.26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384,136.92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企业处置减少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17,658,240.00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3,544,885.13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3,007,261.21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24,210,386.34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183,995,943.43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39,551,132.08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40,498,951.40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264,046,026.91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26,173,345.90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28,224,317.34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26,448,498.78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80,846,162.02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9,461,521.32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3,723,276.72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17,192,651.22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9,461,521.32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3,723,276.72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17,192,651.22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5,177,570.51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2,809,938.98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1,099,050.13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9,086,559.62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249,723.21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270,345.31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5,177,570.51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2,560,215.77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1,078,428.03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8,816,214.31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30,457,296.71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29,422,231.54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29,072,725.37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88,952,253.62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153,538,646.72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10,128,900.54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11,426,226.03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175,093,773.29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175,480,837.53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14,283,022.32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12,938,720.02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202,702,579.87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暂时闲置的固定资产情况" w:id="295"/>
      <w:bookmarkEnd w:id="29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通过融资租赁租入的固定资产情况" w:id="296"/>
      <w:bookmarkEnd w:id="29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通过经营租赁租出的固定资产" w:id="297"/>
      <w:bookmarkEnd w:id="29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49,152,339.75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办妥产权证书的固定资产情况" w:id="298"/>
      <w:bookmarkEnd w:id="29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6,500,481.95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38" w:lineRule="auto" w:before="51"/>
        <w:ind w:right="1118"/>
        <w:jc w:val="left"/>
      </w:pPr>
      <w:r>
        <w:rPr/>
        <w:t>其他说明 </w:t>
      </w:r>
      <w:r>
        <w:rPr>
          <w:spacing w:val="-2"/>
        </w:rPr>
        <w:t>注：企业处置减少固定资产原值及累计折旧系处置子公司北京亚太安讯科技有限责任公司、杭州清普信息技术有限公司及杭</w:t>
      </w:r>
      <w:r>
        <w:rPr>
          <w:spacing w:val="-64"/>
        </w:rPr>
        <w:t> </w:t>
      </w:r>
      <w:r>
        <w:rPr>
          <w:spacing w:val="-64"/>
        </w:rPr>
      </w:r>
      <w:r>
        <w:rPr/>
        <w:t>州银江医联网技术股份有限公司导致。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0、在建工程" w:id="299"/>
      <w:bookmarkEnd w:id="29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300"/>
      <w:bookmarkEnd w:id="30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中国智谷</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万套信息采集及 识别和安全设备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388,932.35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388,932.35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388,932.35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388,932.35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301"/>
      <w:bookmarkEnd w:id="30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计提在建工程减值准备情况" w:id="302"/>
      <w:bookmarkEnd w:id="30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工程物资" w:id="303"/>
      <w:bookmarkEnd w:id="303"/>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2、固定资产清理" w:id="304"/>
      <w:bookmarkEnd w:id="304"/>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305"/>
      <w:bookmarkEnd w:id="30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306"/>
      <w:bookmarkEnd w:id="30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307"/>
      <w:bookmarkEnd w:id="30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4、油气资产" w:id="308"/>
      <w:bookmarkEnd w:id="30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5、无形资产" w:id="309"/>
      <w:bookmarkEnd w:id="30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310"/>
      <w:bookmarkEnd w:id="31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406" w:right="50"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158,838,214.25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6,314,026.79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198,995,241.04</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21,638,653.22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101,636.29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22,772,409.51</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101,636.29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1,133,756.29</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21,638,653.22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21,638,653.22</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77,837,339.39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77,837,339.39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77,837,339.39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77,837,339.39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34,872,120.00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102,639,528.08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6,415,663.08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143,930,311.16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72,784,503.16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913,615.71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73,926,718.87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694,002.00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16,329,250.75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404,953.68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17,428,206.43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694,002.00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16,329,250.75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404,953.68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17,428,206.43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58,807,158.95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58,807,158.95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58,807,158.95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58,807,158.95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919,602.00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30,306,594.96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1,318,569.39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32,547,766.35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10.120003pt;margin-top:655.659973pt;width:52.65pt;height:15.6pt;mso-position-horizontal-relative:page;mso-position-vertical-relative:page;z-index:-1221832" coordorigin="2202,13113" coordsize="1053,312">
            <v:shape style="position:absolute;left:2202;top:13113;width:1053;height:312" coordorigin="2202,13113" coordsize="1053,312" path="m2202,13425l3255,13425,3255,13113,2202,13113,2202,134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33,952,518.00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72,332,933.12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5,097,093.69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111,382,544.81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33,614,400.00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86,053,711.09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5,400,411.08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125,068,522.17</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71.31%</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311"/>
      <w:bookmarkEnd w:id="31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pStyle w:val="BodyText"/>
        <w:spacing w:line="302" w:lineRule="auto" w:before="116"/>
        <w:ind w:left="1134" w:right="1116"/>
        <w:jc w:val="left"/>
      </w:pPr>
      <w:r>
        <w:rPr/>
        <w:t>注</w:t>
      </w:r>
      <w:r>
        <w:rPr>
          <w:spacing w:val="-31"/>
        </w:rPr>
        <w:t> </w:t>
      </w:r>
      <w:r>
        <w:rPr>
          <w:rFonts w:ascii="Times New Roman" w:hAnsi="Times New Roman" w:cs="Times New Roman" w:eastAsia="Times New Roman" w:hint="default"/>
          <w:spacing w:val="-1"/>
        </w:rPr>
        <w:t>1</w:t>
      </w:r>
      <w:r>
        <w:rPr>
          <w:spacing w:val="-1"/>
        </w:rPr>
        <w:t>：企业处置减少无形资产原值及累计摊销系处置子公司北京亚太安讯科技有限责任公司、杭州清普信息技术有限公司及</w:t>
      </w:r>
      <w:r>
        <w:rPr/>
        <w:t> 杭州银江医联网技术股份有限公司导致。</w:t>
      </w:r>
    </w:p>
    <w:p>
      <w:pPr>
        <w:pStyle w:val="BodyText"/>
        <w:spacing w:line="240" w:lineRule="auto" w:before="69"/>
        <w:ind w:left="1134" w:right="0"/>
        <w:jc w:val="left"/>
      </w:pPr>
      <w:r>
        <w:rPr/>
        <w:t>注</w:t>
      </w:r>
      <w:r>
        <w:rPr>
          <w:spacing w:val="-46"/>
        </w:rPr>
        <w:t> </w:t>
      </w:r>
      <w:r>
        <w:rPr>
          <w:rFonts w:ascii="Times New Roman" w:hAnsi="Times New Roman" w:cs="Times New Roman" w:eastAsia="Times New Roman" w:hint="default"/>
        </w:rPr>
        <w:t>2</w:t>
      </w:r>
      <w:r>
        <w:rPr/>
        <w:t>：本年末通过公司内部研究开发形成的无形资产占无形资产余额的比例为</w:t>
      </w:r>
      <w:r>
        <w:rPr>
          <w:spacing w:val="-45"/>
        </w:rPr>
        <w:t> </w:t>
      </w:r>
      <w:r>
        <w:rPr>
          <w:rFonts w:ascii="Times New Roman" w:hAnsi="Times New Roman" w:cs="Times New Roman" w:eastAsia="Times New Roman" w:hint="default"/>
        </w:rPr>
        <w:t>71.31%</w:t>
      </w:r>
      <w:r>
        <w:rPr/>
        <w:t>。</w:t>
      </w:r>
    </w:p>
    <w:p>
      <w:pPr>
        <w:pStyle w:val="BodyText"/>
        <w:spacing w:line="240" w:lineRule="auto" w:before="103"/>
        <w:ind w:right="0"/>
        <w:jc w:val="left"/>
      </w:pPr>
      <w:r>
        <w:rPr/>
        <w:t>注</w:t>
      </w:r>
      <w:r>
        <w:rPr>
          <w:spacing w:val="-46"/>
        </w:rPr>
        <w:t> </w:t>
      </w:r>
      <w:r>
        <w:rPr>
          <w:rFonts w:ascii="Times New Roman" w:hAnsi="Times New Roman" w:cs="Times New Roman" w:eastAsia="Times New Roman" w:hint="default"/>
        </w:rPr>
        <w:t>3</w:t>
      </w:r>
      <w:r>
        <w:rPr/>
        <w:t>：本年新增土地使用权为本年购入编号为浙</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余杭区不动产权第</w:t>
      </w:r>
      <w:r>
        <w:rPr>
          <w:spacing w:val="-46"/>
        </w:rPr>
        <w:t> </w:t>
      </w:r>
      <w:r>
        <w:rPr>
          <w:rFonts w:ascii="Times New Roman" w:hAnsi="Times New Roman" w:cs="Times New Roman" w:eastAsia="Times New Roman" w:hint="default"/>
        </w:rPr>
        <w:t>0046978</w:t>
      </w:r>
      <w:r>
        <w:rPr>
          <w:rFonts w:ascii="Times New Roman" w:hAnsi="Times New Roman" w:cs="Times New Roman" w:eastAsia="Times New Roman" w:hint="default"/>
          <w:spacing w:val="-1"/>
        </w:rPr>
        <w:t> </w:t>
      </w:r>
      <w:r>
        <w:rPr/>
        <w:t>号的土地所缴纳的契税。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6、开发支出" w:id="312"/>
      <w:bookmarkEnd w:id="31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快速路网交 通态势可视 化系统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595,281.26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397,264.11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406,321.63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586,223.74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基于主动反 馈的交通控 制与开放服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4,439,751.61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2,435,663.91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2,004,087.70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银江公安交 通管理与指 挥平台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352,477.22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3,264,711.53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2,269,194.49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1,347,994.26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个人健康云 </w:t>
            </w:r>
            <w:r>
              <w:rPr>
                <w:rFonts w:ascii="宋体" w:hAnsi="宋体" w:cs="宋体" w:eastAsia="宋体" w:hint="default"/>
                <w:spacing w:val="-13"/>
                <w:sz w:val="18"/>
                <w:szCs w:val="18"/>
              </w:rPr>
              <w:t>服务平台（芭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乐健康项目）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518,146.33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815,373.85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91,557.65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1,241,962.53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找陪护项目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APP+PC</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241,459.27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241,459.27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一种车辆快 速接警出警 系统及方法</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1,657.08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1,657.08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医护网平台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136,641.21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136,641.21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健康宝体检 信息管理系 统软件项目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199,703.97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199,703.97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交通大数据 智能分析与 服务平台研 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6,798,943.25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48,852.84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6,798,943.25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48,852.84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针对老年慢 病的智慧医 疗解决方案 与示范工程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747,892.58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747,892.58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智慧城市运 行模拟预测 与管理决策 支持关键技 术研究与示 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561,057.91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5,002,985.94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5,564,043.85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的智能交通 设备状态动 态监测与运 维系统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12,090.52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12,090.52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基于出行安 全的智能管 控服务平台 应用示范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8,338,766.30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32,440,294.5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8,338,766.30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32,440,294.5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交通指挥优 化决策支持 </w:t>
            </w:r>
            <w:r>
              <w:rPr>
                <w:rFonts w:ascii="宋体" w:hAnsi="宋体" w:cs="宋体" w:eastAsia="宋体" w:hint="default"/>
                <w:spacing w:val="-12"/>
                <w:sz w:val="18"/>
                <w:szCs w:val="18"/>
              </w:rPr>
              <w:t>系统（原：警</w:t>
            </w:r>
            <w:r>
              <w:rPr>
                <w:rFonts w:ascii="宋体" w:hAnsi="宋体" w:cs="宋体" w:eastAsia="宋体" w:hint="default"/>
                <w:sz w:val="18"/>
                <w:szCs w:val="18"/>
              </w:rPr>
              <w:t> 情分析研判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3,054,100.22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61,132.29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3,054,100.22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61,132.29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结构化大数 据管理支撑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1,310,758.42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66,691.86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1,310,758.42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66,691.86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Hadoop </w:t>
            </w:r>
            <w:r>
              <w:rPr>
                <w:rFonts w:ascii="宋体" w:hAnsi="宋体" w:cs="宋体" w:eastAsia="宋体" w:hint="default"/>
                <w:sz w:val="18"/>
                <w:szCs w:val="18"/>
              </w:rPr>
              <w:t>的交通大数 据分析平台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银江技术共 享平台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1,074,883.50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3,544,207.81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2,136,085.03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2,483,006.28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分布式实时 计算分析平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292,546.85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33,854.79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326,401.64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银江三维地 图基础平台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634,846.34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51,503.24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686,349.58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多方式路网 交通状态估 计与信息发 布技术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50,938.59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50,938.59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自助式医疗 健康云服务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面向医院的 基于云模式 城市级智慧 医疗操作系 统软件研发 及应用示范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浙江省智慧 医疗操作系 统重点企业 研究院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7,194.37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7,194.37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视频图像共 享技术与管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97,975.00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97,975.00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智慧水务管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3,345,993.27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3,345,993.27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基于医疗信 息智能挖掘 与服务的云 计算软件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18,545,078.7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18,545,078.7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人民矛盾调 解与社会风 险研判系统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590,013.53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590,013.53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司法行政大 数据服务网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333,851.99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333,851.99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大数据驱动 的新型城市 智能交通系 统研究与应 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6,782,141.58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1,743,721.39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5,038,420.19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医疗健康大 数据分析技 术与平台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1,383,731.71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18,834.06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1,364,897.65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91"/>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Enloop-Hub </w:t>
            </w:r>
            <w:r>
              <w:rPr>
                <w:rFonts w:ascii="宋体" w:hAnsi="宋体" w:cs="宋体" w:eastAsia="宋体" w:hint="default"/>
                <w:sz w:val="18"/>
                <w:szCs w:val="18"/>
              </w:rPr>
              <w:t>共性技术平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1,571,569.35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1,542,659.46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机动车违法 抓拍与执法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455,844.20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455,844.20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静态交通管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474,142.22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474,142.22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城市级停车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1,281,394.33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1,281,394.33</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数据驱动的 智慧教育云 平台研发及 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3,413,655.15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32,646.23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3,381,008.92</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智慧旅游服 务的关键技 术与应用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175,255.24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175,255.24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面向智慧旅 游的精确导 览关键技术 与系统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575,196.11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14,362.10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560,834.01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区域人口健 康信息云平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383,877.94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383,877.94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基于云计算 的海量非结 构视频图像 处理技术与 应用系统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8,861,545.93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7,802,201.38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1,059,344.55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银江城市公 共信息服务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3,478,231.05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2,508,470.00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969,761.05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银江志愿服 务指挥平台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1,161,804.99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601,733.00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560,071.99</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城市交通精 细化管控技 术与系统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2,465,514.47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115,610.76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2,349,903.71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基于深度学 习技术的车 辆特征识别 与搜索系统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1,990,420.00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190,420.00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智能车载机 器人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324,508.21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324,508.21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银江警察机 器人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1,279,114.52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1,005,190.00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273,924.52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电子政务平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986,432.69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15,385.00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971,047.69</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大数据背景 下新型突发 事件应急保 </w:t>
            </w:r>
            <w:r>
              <w:rPr>
                <w:rFonts w:ascii="宋体" w:hAnsi="宋体" w:cs="宋体" w:eastAsia="宋体" w:hint="default"/>
                <w:spacing w:val="-13"/>
                <w:sz w:val="18"/>
                <w:szCs w:val="18"/>
              </w:rPr>
              <w:t>障系统、装备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研发与应用 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71,093.46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71,093.46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银江区域基 层医疗卫生 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1,180,616.89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1,180,616.89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银江人口健 康信息平台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831,316.47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831,316.47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智慧水务物 联网应用及 大数据服务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1,236,198.19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1,236,198.19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智能互联的 智慧医院感 控安全操作 系统项目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851,281.42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851,281.42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卫计一体化 整合系统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1,032,949.08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471,604.58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1,504,553.66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区域信息人 口健康平台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1,148,428.42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427,516.07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1,575,944.49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智能病房信 息整合平台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474,904.03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474,904.03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医院精细化 护理绩效管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412,242.05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412,242.05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医生态</w:t>
            </w:r>
            <w:r>
              <w:rPr>
                <w:rFonts w:ascii="Times New Roman" w:hAnsi="Times New Roman" w:cs="Times New Roman" w:eastAsia="Times New Roman" w:hint="default"/>
                <w:sz w:val="18"/>
                <w:szCs w:val="18"/>
              </w:rPr>
              <w:t>”</w:t>
            </w:r>
            <w:r>
              <w:rPr>
                <w:rFonts w:ascii="宋体" w:hAnsi="宋体" w:cs="宋体" w:eastAsia="宋体" w:hint="default"/>
                <w:sz w:val="18"/>
                <w:szCs w:val="18"/>
              </w:rPr>
              <w:t>智慧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3,313,909.43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3,313,909.43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医疗生态系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互联网医院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441,133.34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441,133.34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智慧健康综 合服务云平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324,298.25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324,298.25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30,152,936.7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117,122,125.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21,638,653.2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97,066,523.2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3,845,929.74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24,723,956.3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3013"/>
        <w:jc w:val="left"/>
      </w:pPr>
      <w:r>
        <w:rPr/>
        <w:t>其他说明 注：其他减少系处置子公司杭州清普信息技术有限公司及杭州银江医联网技术股份有限公司导致。</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7、商誉" w:id="313"/>
      <w:bookmarkEnd w:id="313"/>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314"/>
      <w:bookmarkEnd w:id="31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北京城城速通网 络信息技术有限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杭州清普信息技 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63,607,097.33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63,607,097.33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390,743,501.72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389,208,941.10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商誉减值准备" w:id="315"/>
      <w:bookmarkEnd w:id="31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1,534,560.62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325,591,643.77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327,126,204.39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325,591,643.77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1,534,560.62</w:t>
            </w:r>
          </w:p>
        </w:tc>
      </w:tr>
    </w:tbl>
    <w:p>
      <w:pPr>
        <w:pStyle w:val="BodyText"/>
        <w:spacing w:line="240" w:lineRule="auto" w:before="51"/>
        <w:ind w:left="1134" w:right="0"/>
        <w:jc w:val="left"/>
      </w:pPr>
      <w:r>
        <w:rPr/>
        <w:t>说明商誉减值测试过程、参数及商誉减值损失的确认方法：</w:t>
      </w:r>
    </w:p>
    <w:p>
      <w:pPr>
        <w:pStyle w:val="BodyText"/>
        <w:spacing w:line="240" w:lineRule="auto" w:before="117"/>
        <w:ind w:left="1134" w:right="0"/>
        <w:jc w:val="left"/>
      </w:pPr>
      <w:r>
        <w:rPr/>
        <w:t>（</w:t>
      </w:r>
      <w:r>
        <w:rPr>
          <w:rFonts w:ascii="Times New Roman" w:hAnsi="Times New Roman" w:cs="Times New Roman" w:eastAsia="Times New Roman" w:hint="default"/>
        </w:rPr>
        <w:t>1</w:t>
      </w:r>
      <w:r>
        <w:rPr/>
        <w:t>）商誉的计算过程</w:t>
      </w:r>
    </w:p>
    <w:p>
      <w:pPr>
        <w:pStyle w:val="BodyText"/>
        <w:spacing w:line="240" w:lineRule="auto" w:before="101"/>
        <w:ind w:left="1134" w:right="0"/>
        <w:jc w:val="left"/>
      </w:pPr>
      <w:r>
        <w:rPr/>
        <w:t>①公司</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年支付人民币</w:t>
      </w:r>
      <w:r>
        <w:rPr>
          <w:spacing w:val="-39"/>
        </w:rPr>
        <w:t> </w:t>
      </w:r>
      <w:r>
        <w:rPr>
          <w:rFonts w:ascii="Times New Roman" w:hAnsi="Times New Roman" w:cs="Times New Roman" w:eastAsia="Times New Roman" w:hint="default"/>
        </w:rPr>
        <w:t>3,076,220.00</w:t>
      </w:r>
      <w:r>
        <w:rPr>
          <w:rFonts w:ascii="Times New Roman" w:hAnsi="Times New Roman" w:cs="Times New Roman" w:eastAsia="Times New Roman" w:hint="default"/>
          <w:spacing w:val="6"/>
        </w:rPr>
        <w:t> </w:t>
      </w:r>
      <w:r>
        <w:rPr/>
        <w:t>元收购了浙江浙大健康管理有限公司</w:t>
      </w:r>
      <w:r>
        <w:rPr>
          <w:spacing w:val="-39"/>
        </w:rPr>
        <w:t> </w:t>
      </w:r>
      <w:r>
        <w:rPr>
          <w:rFonts w:ascii="Times New Roman" w:hAnsi="Times New Roman" w:cs="Times New Roman" w:eastAsia="Times New Roman" w:hint="default"/>
        </w:rPr>
        <w:t>49%</w:t>
      </w:r>
      <w:r>
        <w:rPr/>
        <w:t>的权益，合并成本超过获得的浙江浙大健</w:t>
      </w:r>
    </w:p>
    <w:p>
      <w:pPr>
        <w:pStyle w:val="BodyText"/>
        <w:spacing w:line="240" w:lineRule="auto" w:before="64"/>
        <w:ind w:left="1134" w:right="0"/>
        <w:jc w:val="left"/>
      </w:pPr>
      <w:r>
        <w:rPr/>
        <w:t>康管理有限公司可辨认资产、负债公允价值的份额</w:t>
      </w:r>
      <w:r>
        <w:rPr>
          <w:spacing w:val="-46"/>
        </w:rPr>
        <w:t> </w:t>
      </w:r>
      <w:r>
        <w:rPr>
          <w:rFonts w:ascii="Times New Roman" w:hAnsi="Times New Roman" w:cs="Times New Roman" w:eastAsia="Times New Roman" w:hint="default"/>
        </w:rPr>
        <w:t>1,534,560.62</w:t>
      </w:r>
      <w:r>
        <w:rPr>
          <w:rFonts w:ascii="Times New Roman" w:hAnsi="Times New Roman" w:cs="Times New Roman" w:eastAsia="Times New Roman" w:hint="default"/>
          <w:spacing w:val="-2"/>
        </w:rPr>
        <w:t> </w:t>
      </w:r>
      <w:r>
        <w:rPr/>
        <w:t>元，确认为与浙江浙大健康管理有限公司相关的商誉。</w:t>
      </w:r>
    </w:p>
    <w:p>
      <w:pPr>
        <w:pStyle w:val="BodyText"/>
        <w:spacing w:line="240" w:lineRule="auto" w:before="102"/>
        <w:ind w:left="1134" w:right="0"/>
        <w:jc w:val="left"/>
      </w:pPr>
      <w:r>
        <w:rPr/>
        <w:t>②公司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年支付现金</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元，发行权益</w:t>
      </w:r>
      <w:r>
        <w:rPr>
          <w:spacing w:val="-47"/>
        </w:rPr>
        <w:t> </w:t>
      </w:r>
      <w:r>
        <w:rPr>
          <w:rFonts w:ascii="Times New Roman" w:hAnsi="Times New Roman" w:cs="Times New Roman" w:eastAsia="Times New Roman" w:hint="default"/>
        </w:rPr>
        <w:t>500,000,000.00</w:t>
      </w:r>
      <w:r>
        <w:rPr>
          <w:rFonts w:ascii="Times New Roman" w:hAnsi="Times New Roman" w:cs="Times New Roman" w:eastAsia="Times New Roman" w:hint="default"/>
          <w:spacing w:val="-1"/>
        </w:rPr>
        <w:t> </w:t>
      </w:r>
      <w:r>
        <w:rPr/>
        <w:t>元收购北京亚太安讯科技有限责任公司</w:t>
      </w:r>
      <w:r>
        <w:rPr>
          <w:spacing w:val="-47"/>
        </w:rPr>
        <w:t> </w:t>
      </w:r>
      <w:r>
        <w:rPr>
          <w:rFonts w:ascii="Times New Roman" w:hAnsi="Times New Roman" w:cs="Times New Roman" w:eastAsia="Times New Roman" w:hint="default"/>
        </w:rPr>
        <w:t>100%</w:t>
      </w:r>
      <w:r>
        <w:rPr/>
        <w:t>的权益，</w:t>
      </w:r>
    </w:p>
    <w:p>
      <w:pPr>
        <w:pStyle w:val="BodyText"/>
        <w:spacing w:line="302" w:lineRule="auto" w:before="63"/>
        <w:ind w:left="1134" w:right="1113"/>
        <w:jc w:val="left"/>
      </w:pPr>
      <w:r>
        <w:rPr/>
        <w:t>合并成本超过获得的北京亚太安讯科技有限责任公司可辨认资产、负债公允价值的份额</w:t>
      </w:r>
      <w:r>
        <w:rPr>
          <w:spacing w:val="-63"/>
        </w:rPr>
        <w:t> </w:t>
      </w:r>
      <w:r>
        <w:rPr>
          <w:rFonts w:ascii="Times New Roman" w:hAnsi="Times New Roman" w:cs="Times New Roman" w:eastAsia="Times New Roman" w:hint="default"/>
        </w:rPr>
        <w:t>325,591,643.77</w:t>
      </w:r>
      <w:r>
        <w:rPr>
          <w:rFonts w:ascii="Times New Roman" w:hAnsi="Times New Roman" w:cs="Times New Roman" w:eastAsia="Times New Roman" w:hint="default"/>
          <w:spacing w:val="-18"/>
        </w:rPr>
        <w:t> </w:t>
      </w:r>
      <w:r>
        <w:rPr/>
        <w:t>元，确认为与北京亚 太安讯科技有限责任公司相关的商誉。公司本年转让其</w:t>
      </w:r>
      <w:r>
        <w:rPr>
          <w:spacing w:val="-45"/>
        </w:rPr>
        <w:t> </w:t>
      </w:r>
      <w:r>
        <w:rPr>
          <w:rFonts w:ascii="Times New Roman" w:hAnsi="Times New Roman" w:cs="Times New Roman" w:eastAsia="Times New Roman" w:hint="default"/>
        </w:rPr>
        <w:t>100%</w:t>
      </w:r>
      <w:r>
        <w:rPr/>
        <w:t>股权，导致商誉减少。</w:t>
      </w:r>
    </w:p>
    <w:p>
      <w:pPr>
        <w:pStyle w:val="BodyText"/>
        <w:spacing w:line="240" w:lineRule="auto" w:before="49"/>
        <w:ind w:right="0"/>
        <w:jc w:val="left"/>
      </w:pPr>
      <w:r>
        <w:rPr/>
        <w:t>③公司</w:t>
      </w:r>
      <w:r>
        <w:rPr>
          <w:spacing w:val="-3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年支付人民币</w:t>
      </w:r>
      <w:r>
        <w:rPr>
          <w:spacing w:val="-39"/>
        </w:rPr>
        <w:t> </w:t>
      </w:r>
      <w:r>
        <w:rPr>
          <w:rFonts w:ascii="Times New Roman" w:hAnsi="Times New Roman" w:cs="Times New Roman" w:eastAsia="Times New Roman" w:hint="default"/>
        </w:rPr>
        <w:t>2,040,000.00</w:t>
      </w:r>
      <w:r>
        <w:rPr>
          <w:rFonts w:ascii="Times New Roman" w:hAnsi="Times New Roman" w:cs="Times New Roman" w:eastAsia="Times New Roman" w:hint="default"/>
          <w:spacing w:val="7"/>
        </w:rPr>
        <w:t> </w:t>
      </w:r>
      <w:r>
        <w:rPr/>
        <w:t>元收购了北京城城速通网络信息技术有限公司</w:t>
      </w:r>
      <w:r>
        <w:rPr>
          <w:spacing w:val="-38"/>
        </w:rPr>
        <w:t> </w:t>
      </w:r>
      <w:r>
        <w:rPr>
          <w:rFonts w:ascii="Times New Roman" w:hAnsi="Times New Roman" w:cs="Times New Roman" w:eastAsia="Times New Roman" w:hint="default"/>
        </w:rPr>
        <w:t>51%</w:t>
      </w:r>
      <w:r>
        <w:rPr/>
        <w:t>的权益，合并成本超过获得的北</w:t>
      </w:r>
    </w:p>
    <w:p>
      <w:pPr>
        <w:pStyle w:val="BodyText"/>
        <w:spacing w:line="302" w:lineRule="auto" w:before="63"/>
        <w:ind w:right="1117"/>
        <w:jc w:val="left"/>
      </w:pPr>
      <w:r>
        <w:rPr/>
        <w:t>京城城速通网络信息技术有限公司可辨认资产、负债公允价值的份额</w:t>
      </w:r>
      <w:r>
        <w:rPr>
          <w:spacing w:val="-42"/>
        </w:rPr>
        <w:t> </w:t>
      </w:r>
      <w:r>
        <w:rPr>
          <w:rFonts w:ascii="Times New Roman" w:hAnsi="Times New Roman" w:cs="Times New Roman" w:eastAsia="Times New Roman" w:hint="default"/>
        </w:rPr>
        <w:t>10,200.00</w:t>
      </w:r>
      <w:r>
        <w:rPr>
          <w:rFonts w:ascii="Times New Roman" w:hAnsi="Times New Roman" w:cs="Times New Roman" w:eastAsia="Times New Roman" w:hint="default"/>
          <w:spacing w:val="3"/>
        </w:rPr>
        <w:t> </w:t>
      </w:r>
      <w:r>
        <w:rPr/>
        <w:t>元，确认为与北京城城速通网络信息技术有 限公司相关的商誉。公司本年转让其</w:t>
      </w:r>
      <w:r>
        <w:rPr>
          <w:spacing w:val="-46"/>
        </w:rPr>
        <w:t> </w:t>
      </w:r>
      <w:r>
        <w:rPr>
          <w:rFonts w:ascii="Times New Roman" w:hAnsi="Times New Roman" w:cs="Times New Roman" w:eastAsia="Times New Roman" w:hint="default"/>
        </w:rPr>
        <w:t>100%</w:t>
      </w:r>
      <w:r>
        <w:rPr/>
        <w:t>股权，导致商誉减少。</w:t>
      </w:r>
    </w:p>
    <w:p>
      <w:pPr>
        <w:pStyle w:val="BodyText"/>
        <w:spacing w:line="240" w:lineRule="auto" w:before="49"/>
        <w:ind w:right="0"/>
        <w:jc w:val="left"/>
      </w:pPr>
      <w:r>
        <w:rPr/>
        <w:t>④公司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年以</w:t>
      </w:r>
      <w:r>
        <w:rPr>
          <w:spacing w:val="-43"/>
        </w:rPr>
        <w:t> </w:t>
      </w:r>
      <w:r>
        <w:rPr>
          <w:rFonts w:ascii="Times New Roman" w:hAnsi="Times New Roman" w:cs="Times New Roman" w:eastAsia="Times New Roman" w:hint="default"/>
        </w:rPr>
        <w:t>77,350,000.00</w:t>
      </w:r>
      <w:r>
        <w:rPr>
          <w:rFonts w:ascii="Times New Roman" w:hAnsi="Times New Roman" w:cs="Times New Roman" w:eastAsia="Times New Roman" w:hint="default"/>
          <w:spacing w:val="3"/>
        </w:rPr>
        <w:t> </w:t>
      </w:r>
      <w:r>
        <w:rPr/>
        <w:t>元的对价收购杭州清普信息技术有限公司</w:t>
      </w:r>
      <w:r>
        <w:rPr>
          <w:spacing w:val="-43"/>
        </w:rPr>
        <w:t> </w:t>
      </w:r>
      <w:r>
        <w:rPr>
          <w:rFonts w:ascii="Times New Roman" w:hAnsi="Times New Roman" w:cs="Times New Roman" w:eastAsia="Times New Roman" w:hint="default"/>
          <w:spacing w:val="-3"/>
        </w:rPr>
        <w:t>70%</w:t>
      </w:r>
      <w:r>
        <w:rPr>
          <w:spacing w:val="-3"/>
        </w:rPr>
        <w:t>的股权，合并成本超过获得的杭州清普信息技</w:t>
      </w:r>
    </w:p>
    <w:p>
      <w:pPr>
        <w:pStyle w:val="BodyText"/>
        <w:spacing w:line="302" w:lineRule="auto" w:before="63"/>
        <w:ind w:right="1117"/>
        <w:jc w:val="left"/>
      </w:pPr>
      <w:r>
        <w:rPr/>
        <w:t>术有限公司可辨认资产、负债公允价值的份额 </w:t>
      </w:r>
      <w:r>
        <w:rPr>
          <w:rFonts w:ascii="Times New Roman" w:hAnsi="Times New Roman" w:cs="Times New Roman" w:eastAsia="Times New Roman" w:hint="default"/>
        </w:rPr>
        <w:t>63,607,097.33</w:t>
      </w:r>
      <w:r>
        <w:rPr>
          <w:rFonts w:ascii="Times New Roman" w:hAnsi="Times New Roman" w:cs="Times New Roman" w:eastAsia="Times New Roman" w:hint="default"/>
          <w:spacing w:val="6"/>
        </w:rPr>
        <w:t> </w:t>
      </w:r>
      <w:r>
        <w:rPr/>
        <w:t>元，确认为与杭州清普信息技术有限公司相关的商誉。公司本 年向其原股东退回</w:t>
      </w:r>
      <w:r>
        <w:rPr>
          <w:spacing w:val="-46"/>
        </w:rPr>
        <w:t> </w:t>
      </w:r>
      <w:r>
        <w:rPr>
          <w:rFonts w:ascii="Times New Roman" w:hAnsi="Times New Roman" w:cs="Times New Roman" w:eastAsia="Times New Roman" w:hint="default"/>
        </w:rPr>
        <w:t>49%</w:t>
      </w:r>
      <w:r>
        <w:rPr/>
        <w:t>股权，丧失对杭州清普信息技术有限公司的控制权，剩余投资按照权益法核算，导致商誉减少。</w:t>
      </w:r>
    </w:p>
    <w:p>
      <w:pPr>
        <w:pStyle w:val="BodyText"/>
        <w:spacing w:line="328" w:lineRule="auto" w:before="52"/>
        <w:ind w:left="1134" w:right="0"/>
        <w:jc w:val="left"/>
      </w:pPr>
      <w:r>
        <w:rPr/>
        <w:t>（</w:t>
      </w:r>
      <w:r>
        <w:rPr>
          <w:rFonts w:ascii="Times New Roman" w:hAnsi="Times New Roman" w:cs="Times New Roman" w:eastAsia="Times New Roman" w:hint="default"/>
        </w:rPr>
        <w:t>2</w:t>
      </w:r>
      <w:r>
        <w:rPr/>
        <w:t>）商誉减值测试的方法 </w:t>
      </w:r>
      <w:r>
        <w:rPr>
          <w:spacing w:val="-2"/>
        </w:rPr>
        <w:t>因浙江浙大健康管理有限公司过去三年处于亏损状态，同时未来五年财务预测的现金流存在较大不确定性，公司出于谨慎性</w:t>
      </w:r>
      <w:r>
        <w:rPr>
          <w:spacing w:val="-64"/>
        </w:rPr>
        <w:t> </w:t>
      </w:r>
      <w:r>
        <w:rPr>
          <w:spacing w:val="-64"/>
        </w:rPr>
      </w:r>
      <w:r>
        <w:rPr/>
        <w:t>考虑，对浙江浙大健康管理有限公司形成的商誉在</w:t>
      </w:r>
      <w:r>
        <w:rPr>
          <w:spacing w:val="-45"/>
        </w:rPr>
        <w:t> </w:t>
      </w:r>
      <w:r>
        <w:rPr>
          <w:rFonts w:ascii="Times New Roman" w:hAnsi="Times New Roman" w:cs="Times New Roman" w:eastAsia="Times New Roman" w:hint="default"/>
        </w:rPr>
        <w:t>2014 </w:t>
      </w:r>
      <w:r>
        <w:rPr/>
        <w:t>年度全额计提商誉减值准备。</w:t>
      </w:r>
    </w:p>
    <w:p>
      <w:pPr>
        <w:pStyle w:val="BodyText"/>
        <w:spacing w:line="240" w:lineRule="auto" w:before="28"/>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长期待摊费用" w:id="316"/>
      <w:bookmarkEnd w:id="316"/>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3,332,249.92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1,728,460.22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1,931,105.59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772,925.00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2,356,679.55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26,615.77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26,615.77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219,960.00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3,358,865.69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2,033,020.22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2,042,321.36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772,925.00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2,576,639.55</w:t>
            </w:r>
          </w:p>
        </w:tc>
      </w:tr>
    </w:tbl>
    <w:p>
      <w:pPr>
        <w:pStyle w:val="BodyText"/>
        <w:spacing w:line="240" w:lineRule="auto" w:before="51"/>
        <w:ind w:left="1134" w:right="0"/>
        <w:jc w:val="left"/>
      </w:pPr>
      <w:r>
        <w:rPr/>
        <w:t>其他说明</w:t>
      </w:r>
    </w:p>
    <w:p>
      <w:pPr>
        <w:pStyle w:val="Heading5"/>
        <w:spacing w:line="240" w:lineRule="auto" w:before="90"/>
        <w:ind w:left="1554" w:right="0"/>
        <w:jc w:val="left"/>
      </w:pPr>
      <w:r>
        <w:rPr/>
        <w:t>注：其他减少系处置子公司杭州清普信息技术有限公司导致。</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9、递延所得税资产/递延所得税负债" w:id="317"/>
      <w:bookmarkEnd w:id="31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18"/>
      <w:bookmarkEnd w:id="31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348,597,293.39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55,407,246.90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332,592,546.02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52,524,178.58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应付款暂估形成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88,380,613.79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13,257,092.07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110,808,523.45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16,621,278.52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436,977,907.18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68,664,338.97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443,401,069.47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69,145,457.10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经抵销的递延所得税负债" w:id="319"/>
      <w:bookmarkEnd w:id="31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202,157,325.95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30,323,598.89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172,171,759.48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202,157,325.95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30,323,598.89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320"/>
      <w:bookmarkEnd w:id="32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68,664,338.97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69,145,457.10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25,825,763.92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30,323,598.89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未确认递延所得税资产明细" w:id="321"/>
      <w:bookmarkEnd w:id="32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坏账形成可抵扣暂时性差异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43,792,134.00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23,747,069.17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存货跌价准备形成的暂时性差异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4,290,192.95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4,290,192.95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商誉减值形成的可抵扣暂时性差异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1,534,560.62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327,126,204.39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49,616,887.57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355,163,466.51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确认递延所得税资产的可抵扣亏损将于以下年度到期" w:id="322"/>
      <w:bookmarkEnd w:id="32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38" w:lineRule="auto" w:before="51"/>
        <w:ind w:right="1118"/>
        <w:jc w:val="left"/>
      </w:pPr>
      <w:r>
        <w:rPr/>
        <w:t>其他说明： </w:t>
      </w:r>
      <w:r>
        <w:rPr>
          <w:spacing w:val="-2"/>
        </w:rPr>
        <w:t>注：本期因处置北京亚太安讯有限责任公司、杭州清普信息技术有限公司和杭州银江医联网技术股份有限公司，导致递延所</w:t>
      </w:r>
      <w:r>
        <w:rPr>
          <w:spacing w:val="-66"/>
        </w:rPr>
        <w:t> </w:t>
      </w:r>
      <w:r>
        <w:rPr>
          <w:spacing w:val="-66"/>
        </w:rPr>
      </w:r>
      <w:r>
        <w:rPr/>
        <w:t>得税资产减少</w:t>
      </w:r>
      <w:r>
        <w:rPr>
          <w:spacing w:val="-47"/>
        </w:rPr>
        <w:t> </w:t>
      </w:r>
      <w:r>
        <w:rPr>
          <w:rFonts w:ascii="Times New Roman" w:hAnsi="Times New Roman" w:cs="Times New Roman" w:eastAsia="Times New Roman" w:hint="default"/>
        </w:rPr>
        <w:t>9,724,356.68</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19"/>
          <w:szCs w:val="19"/>
        </w:rPr>
      </w:pPr>
    </w:p>
    <w:p>
      <w:pPr>
        <w:pStyle w:val="Heading4"/>
        <w:spacing w:line="240" w:lineRule="auto"/>
        <w:ind w:left="1134" w:right="0"/>
        <w:jc w:val="left"/>
        <w:rPr>
          <w:b w:val="0"/>
          <w:bCs w:val="0"/>
        </w:rPr>
      </w:pPr>
      <w:bookmarkStart w:name="30、其他非流动资产" w:id="323"/>
      <w:bookmarkEnd w:id="32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短期借款" w:id="324"/>
      <w:bookmarkEnd w:id="32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325"/>
      <w:bookmarkEnd w:id="32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65,517,440.00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475,517,440.00</w:t>
            </w:r>
          </w:p>
        </w:tc>
      </w:tr>
    </w:tbl>
    <w:p>
      <w:pPr>
        <w:pStyle w:val="BodyText"/>
        <w:spacing w:line="240" w:lineRule="auto" w:before="51"/>
        <w:ind w:left="1134" w:right="0"/>
        <w:jc w:val="left"/>
      </w:pPr>
      <w:r>
        <w:rPr/>
        <w:t>短期借款分类的说明：</w:t>
      </w:r>
    </w:p>
    <w:p>
      <w:pPr>
        <w:pStyle w:val="BodyText"/>
        <w:spacing w:line="300" w:lineRule="auto" w:before="116"/>
        <w:ind w:left="1134" w:right="1123"/>
        <w:jc w:val="left"/>
      </w:pPr>
      <w:r>
        <w:rPr/>
        <w:t>注</w:t>
      </w:r>
      <w:r>
        <w:rPr>
          <w:spacing w:val="-48"/>
        </w:rPr>
        <w:t> </w:t>
      </w:r>
      <w:r>
        <w:rPr>
          <w:rFonts w:ascii="Times New Roman" w:hAnsi="Times New Roman" w:cs="Times New Roman" w:eastAsia="Times New Roman" w:hint="default"/>
          <w:spacing w:val="-5"/>
        </w:rPr>
        <w:t>1</w:t>
      </w:r>
      <w:r>
        <w:rPr>
          <w:spacing w:val="-5"/>
        </w:rPr>
        <w:t>：截至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日，公司与中国工商银行股份有限公司杭州庆春路支行签订了编号为</w:t>
      </w:r>
      <w:r>
        <w:rPr>
          <w:spacing w:val="-47"/>
        </w:rPr>
        <w:t> </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EFR</w:t>
      </w:r>
      <w:r>
        <w:rPr>
          <w:spacing w:val="-3"/>
        </w:rPr>
        <w:t>）</w:t>
      </w:r>
      <w:r>
        <w:rPr>
          <w:rFonts w:ascii="Times New Roman" w:hAnsi="Times New Roman" w:cs="Times New Roman" w:eastAsia="Times New Roman" w:hint="default"/>
          <w:spacing w:val="-3"/>
        </w:rPr>
        <w:t>00005 </w:t>
      </w:r>
      <w:r>
        <w:rPr>
          <w:spacing w:val="-7"/>
        </w:rPr>
        <w:t>的《国</w:t>
      </w:r>
      <w:r>
        <w:rPr/>
        <w:t> </w:t>
      </w:r>
      <w:r>
        <w:rPr>
          <w:spacing w:val="-7"/>
        </w:rPr>
        <w:t>内保理业务合同》，以账面价值为人民币</w:t>
      </w:r>
      <w:r>
        <w:rPr>
          <w:spacing w:val="-38"/>
        </w:rPr>
        <w:t> </w:t>
      </w:r>
      <w:r>
        <w:rPr>
          <w:rFonts w:ascii="Times New Roman" w:hAnsi="Times New Roman" w:cs="Times New Roman" w:eastAsia="Times New Roman" w:hint="default"/>
        </w:rPr>
        <w:t>38,743,866.20</w:t>
      </w:r>
      <w:r>
        <w:rPr>
          <w:rFonts w:ascii="Times New Roman" w:hAnsi="Times New Roman" w:cs="Times New Roman" w:eastAsia="Times New Roman" w:hint="default"/>
          <w:spacing w:val="8"/>
        </w:rPr>
        <w:t> </w:t>
      </w:r>
      <w:r>
        <w:rPr>
          <w:spacing w:val="-2"/>
        </w:rPr>
        <w:t>元的应收账款作为质押物，为公司在该行金额为</w:t>
      </w:r>
      <w:r>
        <w:rPr>
          <w:spacing w:val="-38"/>
        </w:rPr>
        <w:t> </w:t>
      </w:r>
      <w:r>
        <w:rPr>
          <w:rFonts w:ascii="Times New Roman" w:hAnsi="Times New Roman" w:cs="Times New Roman" w:eastAsia="Times New Roman" w:hint="default"/>
          <w:spacing w:val="-1"/>
        </w:rPr>
        <w:t>30,000,000.00</w:t>
      </w:r>
      <w:r>
        <w:rPr>
          <w:rFonts w:ascii="Times New Roman" w:hAnsi="Times New Roman" w:cs="Times New Roman" w:eastAsia="Times New Roman" w:hint="default"/>
          <w:spacing w:val="8"/>
        </w:rPr>
        <w:t> </w:t>
      </w:r>
      <w:r>
        <w:rPr>
          <w:spacing w:val="-10"/>
        </w:rPr>
        <w:t>元，期</w:t>
      </w:r>
    </w:p>
    <w:p>
      <w:pPr>
        <w:pStyle w:val="BodyText"/>
        <w:spacing w:line="240" w:lineRule="auto" w:before="14"/>
        <w:ind w:left="1134" w:right="0"/>
        <w:jc w:val="left"/>
      </w:pPr>
      <w:r>
        <w:rPr/>
        <w:t>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日的短期借款提供担保。</w:t>
      </w:r>
    </w:p>
    <w:p>
      <w:pPr>
        <w:pStyle w:val="BodyText"/>
        <w:spacing w:line="302" w:lineRule="auto" w:before="101"/>
        <w:ind w:left="1134" w:right="1122"/>
        <w:jc w:val="left"/>
      </w:pPr>
      <w:r>
        <w:rPr/>
        <w:t>注</w:t>
      </w:r>
      <w:r>
        <w:rPr>
          <w:spacing w:val="-53"/>
        </w:rPr>
        <w:t> </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日，公司全资子公司浙江银江智慧交通集团有限公司与杭州银行有限公司西城支行签订的保证担保金 额为 </w:t>
      </w:r>
      <w:r>
        <w:rPr>
          <w:rFonts w:ascii="Times New Roman" w:hAnsi="Times New Roman" w:cs="Times New Roman" w:eastAsia="Times New Roman" w:hint="default"/>
        </w:rPr>
        <w:t>13,200.00 </w:t>
      </w:r>
      <w:r>
        <w:rPr/>
        <w:t>万元的</w:t>
      </w:r>
      <w:r>
        <w:rPr>
          <w:spacing w:val="-60"/>
        </w:rPr>
        <w:t> </w:t>
      </w:r>
      <w:r>
        <w:rPr>
          <w:rFonts w:ascii="Times New Roman" w:hAnsi="Times New Roman" w:cs="Times New Roman" w:eastAsia="Times New Roman" w:hint="default"/>
          <w:spacing w:val="-4"/>
        </w:rPr>
        <w:t>146C5112017000111</w:t>
      </w:r>
      <w:r>
        <w:rPr>
          <w:spacing w:val="-4"/>
        </w:rPr>
        <w:t>《保证合同》，为公司以下借款提供担保：</w:t>
      </w:r>
    </w:p>
    <w:p>
      <w:pPr>
        <w:pStyle w:val="BodyText"/>
        <w:spacing w:line="240" w:lineRule="auto" w:before="50"/>
        <w:ind w:right="0"/>
        <w:jc w:val="left"/>
      </w:pPr>
      <w:r>
        <w:rPr/>
        <w:t>①为公司金额为</w:t>
      </w:r>
      <w:r>
        <w:rPr>
          <w:spacing w:val="-41"/>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日）的短期借款提供担保，截至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5,000.00 </w:t>
      </w:r>
      <w:r>
        <w:rPr/>
        <w:t>万元；</w:t>
      </w:r>
    </w:p>
    <w:p>
      <w:pPr>
        <w:pStyle w:val="BodyText"/>
        <w:spacing w:line="240" w:lineRule="auto" w:before="101"/>
        <w:ind w:right="0"/>
        <w:jc w:val="left"/>
      </w:pPr>
      <w:r>
        <w:rPr/>
        <w:t>②为公司金额为</w:t>
      </w:r>
      <w:r>
        <w:rPr>
          <w:spacing w:val="-41"/>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日）的短期借款提供担保，截至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2,000.00 </w:t>
      </w:r>
      <w:r>
        <w:rPr/>
        <w:t>万元；</w:t>
      </w:r>
    </w:p>
    <w:p>
      <w:pPr>
        <w:pStyle w:val="BodyText"/>
        <w:spacing w:line="240" w:lineRule="auto" w:before="101"/>
        <w:ind w:right="0"/>
        <w:jc w:val="left"/>
      </w:pPr>
      <w:r>
        <w:rPr/>
        <w:t>③为公司金额为</w:t>
      </w:r>
      <w:r>
        <w:rPr>
          <w:spacing w:val="-45"/>
        </w:rPr>
        <w:t> </w:t>
      </w:r>
      <w:r>
        <w:rPr>
          <w:rFonts w:ascii="Times New Roman" w:hAnsi="Times New Roman" w:cs="Times New Roman" w:eastAsia="Times New Roman" w:hint="default"/>
        </w:rPr>
        <w:t>2,000.00 </w:t>
      </w:r>
      <w:r>
        <w:rPr/>
        <w:t>万元（期限为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日）的短期借款提供担保，截至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p>
    <w:p>
      <w:pPr>
        <w:pStyle w:val="BodyText"/>
        <w:spacing w:line="340" w:lineRule="auto" w:before="64"/>
        <w:ind w:right="621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2,000.00 </w:t>
      </w:r>
      <w:r>
        <w:rPr/>
        <w:t>万元。 注</w:t>
      </w:r>
      <w:r>
        <w:rPr>
          <w:spacing w:val="-46"/>
        </w:rPr>
        <w:t> </w:t>
      </w:r>
      <w:r>
        <w:rPr>
          <w:rFonts w:ascii="Times New Roman" w:hAnsi="Times New Roman" w:cs="Times New Roman" w:eastAsia="Times New Roman" w:hint="default"/>
        </w:rPr>
        <w:t>3</w:t>
      </w:r>
      <w:r>
        <w:rPr/>
        <w:t>：其他保证借款详见本附注十一、</w:t>
      </w:r>
      <w:r>
        <w:rPr>
          <w:rFonts w:ascii="Times New Roman" w:hAnsi="Times New Roman" w:cs="Times New Roman" w:eastAsia="Times New Roman" w:hint="default"/>
        </w:rPr>
        <w:t>5</w:t>
      </w:r>
      <w:r>
        <w:rPr/>
        <w:t>。</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2）已逾期未偿还的短期借款情况" w:id="326"/>
      <w:bookmarkEnd w:id="32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327"/>
      <w:bookmarkEnd w:id="327"/>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28"/>
      <w:bookmarkEnd w:id="328"/>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29"/>
      <w:bookmarkEnd w:id="329"/>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6,462,796.38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4,697,536.90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119,559,688.32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66,609,265.81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126,022,484.70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71,306,802.71</w:t>
            </w:r>
          </w:p>
        </w:tc>
      </w:tr>
    </w:tbl>
    <w:p>
      <w:pPr>
        <w:pStyle w:val="BodyText"/>
        <w:spacing w:line="240" w:lineRule="auto" w:before="51"/>
        <w:ind w:left="113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5、应付账款" w:id="330"/>
      <w:bookmarkEnd w:id="330"/>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331"/>
      <w:bookmarkEnd w:id="33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509,630,972.86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461,318,721.09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83,617,060.32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269,117,156.75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120,821,746.06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94,482,709.14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156,881,268.52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94,404,301.67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870,951,047.76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919,322,888.65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青岛银云互联网技术有限公司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17,173,607.18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杭州东星消防工程有限公司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12,152,577.00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杭州斯沃德电梯有限公司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10,341,900.00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吕梁市建筑安装总公司建筑安装工程处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7,537,900.00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47,205,984.18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6、预收款项" w:id="333"/>
      <w:bookmarkEnd w:id="333"/>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334"/>
      <w:bookmarkEnd w:id="33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132,107,162.93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125,503,054.73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11,794,692.37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9,313,498.24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2,228,253.74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5,858,076.43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8,215,828.66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8,058,958.92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154,345,937.70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148,733,588.32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335"/>
      <w:bookmarkEnd w:id="33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西安市地下铁道有限责任公司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2,405,481.81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系统工程未验收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固始县妇幼保健院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1,793,162.41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系统工程未验收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4,198,644.22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建造合同形成的已结算未完工项目情况" w:id="336"/>
      <w:bookmarkEnd w:id="33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367,209,024.44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84,086,243.96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493,459,284.05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-42,164,015.65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37"/>
      <w:bookmarkEnd w:id="337"/>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338"/>
      <w:bookmarkEnd w:id="33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16,504,214.99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126,514,327.03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120,216,235.69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21,066,213.54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2,417,292.24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8,806,767.70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8,842,376.69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2,248,205.59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2,100,902.00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2,100,902.00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18,921,507.23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137,421,996.73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131,159,514.38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23,314,419.13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339"/>
      <w:bookmarkEnd w:id="33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13,686,359.17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110,818,371.71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104,120,995.41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18,869,838.20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5,178,023.07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5,178,023.07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2,054,252.12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6,716,482.64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6,698,081.72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1,981,763.52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1,830,230.65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5,966,190.34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5,945,234.42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1,769,479.43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215,621.09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216,589.19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59,127.02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161,621.45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534,671.21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536,258.11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153,157.07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3,219,031.34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3,137,410.34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18,794.00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694,724.70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582,418.27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1,081,725.15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195,417.82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16,504,214.99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126,514,327.03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120,216,235.69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21,066,213.54</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340"/>
      <w:bookmarkEnd w:id="34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2,251,688.20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8,325,068.29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8,292,348.35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2,157,646.20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165,604.04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481,699.41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550,028.34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90,559.39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2,417,292.24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8,806,767.70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8,842,376.69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2,248,205.59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8、应交税费" w:id="341"/>
      <w:bookmarkEnd w:id="34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87,427,223.55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90,245,870.84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44,337,067.39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61,816,531.48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241,043.79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6,356,066.12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3,826,480.18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305,359.25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286,340.03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2,718,602.04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1,583,843.10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1,806,513.37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1,053,782.75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364,036.57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338,829.84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1,317,227.38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1,334,392.92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265,806.21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316,894.70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145,016,260.00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161,044,009.63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应付利息" w:id="342"/>
      <w:bookmarkEnd w:id="34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1,055,773.37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1,055,773.37</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应付股利" w:id="343"/>
      <w:bookmarkEnd w:id="34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3,084,556.35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2,926,772.00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3,084,556.35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2,926,772.00</w:t>
            </w: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44"/>
      <w:bookmarkEnd w:id="34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345"/>
      <w:bookmarkEnd w:id="34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189,231,698.42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158,196,570.05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193,850.05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900,819.25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3,604,155.55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3,931,830.33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917,384.66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1,245,267.02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196,950,088.68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218,419,486.65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346"/>
      <w:bookmarkEnd w:id="34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博康智能信息技术有限公司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山东中安科技股份有限公司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山东智信电子工程有限公司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2,488,309.00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2,224,761.69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苏州安达金融咨询有限公司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13,870,870.69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持有待售的负债" w:id="347"/>
      <w:bookmarkEnd w:id="347"/>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48"/>
      <w:bookmarkEnd w:id="34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49"/>
      <w:bookmarkEnd w:id="34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307,886,301.36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407,124,821.93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307,886,301.36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407,124,821.93</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8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银江股份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
              <w:jc w:val="center"/>
              <w:rPr>
                <w:rFonts w:ascii="Times New Roman" w:hAnsi="Times New Roman" w:cs="Times New Roman" w:eastAsia="Times New Roman" w:hint="default"/>
                <w:sz w:val="18"/>
                <w:szCs w:val="18"/>
              </w:rPr>
            </w:pPr>
            <w:r>
              <w:rPr>
                <w:rFonts w:ascii="Times New Roman"/>
                <w:sz w:val="18"/>
              </w:rPr>
              <w:t>2016/7/12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407,124,8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8,374,356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420,821.9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415,920,0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986"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32"/>
              <w:jc w:val="both"/>
              <w:rPr>
                <w:rFonts w:ascii="宋体" w:hAnsi="宋体" w:cs="宋体" w:eastAsia="宋体" w:hint="default"/>
                <w:sz w:val="18"/>
                <w:szCs w:val="18"/>
              </w:rPr>
            </w:pPr>
            <w:r>
              <w:rPr>
                <w:rFonts w:ascii="宋体" w:hAnsi="宋体" w:cs="宋体" w:eastAsia="宋体" w:hint="default"/>
                <w:sz w:val="18"/>
                <w:szCs w:val="18"/>
              </w:rPr>
              <w:t>度第一期 短期融资 券</w:t>
            </w:r>
          </w:p>
        </w:tc>
        <w:tc>
          <w:tcPr>
            <w:tcW w:w="809" w:type="dxa"/>
            <w:tcBorders>
              <w:top w:val="single" w:sz="4" w:space="0" w:color="000000"/>
              <w:left w:val="single" w:sz="13" w:space="0" w:color="E0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银江股份 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32"/>
              <w:jc w:val="both"/>
              <w:rPr>
                <w:rFonts w:ascii="宋体" w:hAnsi="宋体" w:cs="宋体" w:eastAsia="宋体" w:hint="default"/>
                <w:sz w:val="18"/>
                <w:szCs w:val="18"/>
              </w:rPr>
            </w:pPr>
            <w:r>
              <w:rPr>
                <w:rFonts w:ascii="宋体" w:hAnsi="宋体" w:cs="宋体" w:eastAsia="宋体" w:hint="default"/>
                <w:sz w:val="18"/>
                <w:szCs w:val="18"/>
              </w:rPr>
              <w:t>度第一期 短期融资 券</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2017/7/10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8,198,630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312,328.7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307,886,3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01.36</w:t>
            </w: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407,124,8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16,572,98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415,920,0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307,886,3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01.36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长期借款" w:id="350"/>
      <w:bookmarkEnd w:id="35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351"/>
      <w:bookmarkEnd w:id="35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4"/>
        <w:spacing w:line="240" w:lineRule="auto"/>
        <w:ind w:left="1134" w:right="0"/>
        <w:jc w:val="left"/>
        <w:rPr>
          <w:b w:val="0"/>
          <w:bCs w:val="0"/>
        </w:rPr>
      </w:pPr>
      <w:bookmarkStart w:name="46、应付债券" w:id="352"/>
      <w:bookmarkEnd w:id="35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债券" w:id="353"/>
      <w:bookmarkEnd w:id="35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债券的增减变动（不包括划分为金融负债的优先股、永续债等其他金融工具）" w:id="354"/>
      <w:bookmarkEnd w:id="35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55"/>
      <w:bookmarkEnd w:id="35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56"/>
      <w:bookmarkEnd w:id="35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7513"/>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7、长期应付款" w:id="357"/>
      <w:bookmarkEnd w:id="357"/>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长期应付款" w:id="358"/>
      <w:bookmarkEnd w:id="35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59"/>
      <w:bookmarkEnd w:id="359"/>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60"/>
      <w:bookmarkEnd w:id="36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设定受益计划变动情况" w:id="361"/>
      <w:bookmarkEnd w:id="36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9、专项应付款" w:id="362"/>
      <w:bookmarkEnd w:id="362"/>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0、预计负债" w:id="363"/>
      <w:bookmarkEnd w:id="36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1、递延收益" w:id="364"/>
      <w:bookmarkEnd w:id="36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年度人 才激励专项 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2,209,416.00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年市工 业和科技重 大创新</w:t>
            </w:r>
            <w:r>
              <w:rPr>
                <w:rFonts w:ascii="Times New Roman" w:hAnsi="Times New Roman" w:cs="Times New Roman" w:eastAsia="Times New Roman" w:hint="default"/>
                <w:sz w:val="18"/>
                <w:szCs w:val="18"/>
              </w:rPr>
              <w:t>(</w:t>
            </w:r>
            <w:r>
              <w:rPr>
                <w:rFonts w:ascii="宋体" w:hAnsi="宋体" w:cs="宋体" w:eastAsia="宋体" w:hint="default"/>
                <w:sz w:val="18"/>
                <w:szCs w:val="18"/>
              </w:rPr>
              <w:t>信息 软件</w:t>
            </w:r>
            <w:r>
              <w:rPr>
                <w:rFonts w:ascii="Times New Roman" w:hAnsi="Times New Roman" w:cs="Times New Roman" w:eastAsia="Times New Roman" w:hint="default"/>
                <w:sz w:val="18"/>
                <w:szCs w:val="18"/>
              </w:rPr>
              <w:t>)</w:t>
            </w:r>
            <w:r>
              <w:rPr>
                <w:rFonts w:ascii="宋体" w:hAnsi="宋体" w:cs="宋体" w:eastAsia="宋体" w:hint="default"/>
                <w:sz w:val="18"/>
                <w:szCs w:val="18"/>
              </w:rPr>
              <w:t>验收项 目剩余资助 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优秀工业新 产品省财政 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杭州高新区</w:t>
            </w:r>
          </w:p>
          <w:p>
            <w:pPr>
              <w:pStyle w:val="TableParagraph"/>
              <w:spacing w:line="319" w:lineRule="auto" w:before="75"/>
              <w:ind w:left="22" w:right="22"/>
              <w:jc w:val="both"/>
              <w:rPr>
                <w:rFonts w:ascii="宋体" w:hAnsi="宋体" w:cs="宋体" w:eastAsia="宋体" w:hint="default"/>
                <w:sz w:val="18"/>
                <w:szCs w:val="18"/>
              </w:rPr>
            </w:pPr>
            <w:r>
              <w:rPr>
                <w:rFonts w:ascii="宋体" w:hAnsi="宋体" w:cs="宋体" w:eastAsia="宋体" w:hint="default"/>
                <w:spacing w:val="-13"/>
                <w:sz w:val="18"/>
                <w:szCs w:val="18"/>
              </w:rPr>
              <w:t>（滨江）专利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资助经费（注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二批杭州市 </w:t>
            </w:r>
            <w:r>
              <w:rPr>
                <w:rFonts w:ascii="Times New Roman" w:hAnsi="Times New Roman" w:cs="Times New Roman" w:eastAsia="Times New Roman" w:hint="default"/>
                <w:sz w:val="18"/>
                <w:szCs w:val="18"/>
              </w:rPr>
              <w:t>“115”</w:t>
            </w:r>
            <w:r>
              <w:rPr>
                <w:rFonts w:ascii="宋体" w:hAnsi="宋体" w:cs="宋体" w:eastAsia="宋体" w:hint="default"/>
                <w:sz w:val="18"/>
                <w:szCs w:val="18"/>
              </w:rPr>
              <w:t>引进国</w:t>
            </w:r>
            <w:r>
              <w:rPr>
                <w:rFonts w:ascii="宋体" w:hAnsi="宋体" w:cs="宋体" w:eastAsia="宋体" w:hint="default"/>
                <w:w w:val="100"/>
                <w:sz w:val="18"/>
                <w:szCs w:val="18"/>
              </w:rPr>
              <w:t> </w:t>
            </w:r>
            <w:r>
              <w:rPr>
                <w:rFonts w:ascii="宋体" w:hAnsi="宋体" w:cs="宋体" w:eastAsia="宋体" w:hint="default"/>
                <w:sz w:val="18"/>
                <w:szCs w:val="18"/>
              </w:rPr>
              <w:t>外智力计划</w:t>
            </w:r>
            <w:r>
              <w:rPr>
                <w:rFonts w:ascii="宋体" w:hAnsi="宋体" w:cs="宋体" w:eastAsia="宋体" w:hint="default"/>
                <w:w w:val="100"/>
                <w:sz w:val="18"/>
                <w:szCs w:val="18"/>
              </w:rPr>
              <w:t> </w:t>
            </w:r>
            <w:r>
              <w:rPr>
                <w:rFonts w:ascii="宋体" w:hAnsi="宋体" w:cs="宋体" w:eastAsia="宋体" w:hint="default"/>
                <w:sz w:val="18"/>
                <w:szCs w:val="18"/>
              </w:rPr>
              <w:t>项目资助经</w:t>
            </w:r>
            <w:r>
              <w:rPr>
                <w:rFonts w:ascii="宋体" w:hAnsi="宋体" w:cs="宋体" w:eastAsia="宋体" w:hint="default"/>
                <w:w w:val="100"/>
                <w:sz w:val="18"/>
                <w:szCs w:val="18"/>
              </w:rPr>
              <w:t> </w:t>
            </w:r>
            <w:r>
              <w:rPr>
                <w:rFonts w:ascii="宋体" w:hAnsi="宋体" w:cs="宋体" w:eastAsia="宋体" w:hint="default"/>
                <w:sz w:val="18"/>
                <w:szCs w:val="18"/>
              </w:rPr>
              <w:t>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杭州市高新 区（滨江）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110.120003pt;margin-top:432.369995pt;width:52.75pt;height:28pt;mso-position-horizontal-relative:page;mso-position-vertical-relative:page;z-index:-1221760" coordorigin="2202,8647" coordsize="1055,560">
            <v:group style="position:absolute;left:2214;top:8659;width:2;height:393" coordorigin="2214,8659" coordsize="2,393">
              <v:shape style="position:absolute;left:2214;top:8659;width:2;height:393" coordorigin="2214,8659" coordsize="0,393" path="m2214,8659l2214,9051e" filled="false" stroked="true" strokeweight="1.140pt" strokecolor="#ffffff">
                <v:path arrowok="t"/>
              </v:shape>
            </v:group>
            <v:group style="position:absolute;left:2202;top:9051;width:1055;height:156" coordorigin="2202,9051" coordsize="1055,156">
              <v:shape style="position:absolute;left:2202;top:9051;width:1055;height:156" coordorigin="2202,9051" coordsize="1055,156" path="m2202,9207l3257,9207,3257,9051,2202,9051,2202,9207xe" filled="true" fillcolor="#ffffff" stroked="false">
                <v:path arrowok="t"/>
                <v:fill type="solid"/>
              </v:shape>
            </v:group>
            <v:group style="position:absolute;left:2225;top:8659;width:1010;height:393" coordorigin="2225,8659" coordsize="1010,393">
              <v:shape style="position:absolute;left:2225;top:8659;width:1010;height:393" coordorigin="2225,8659" coordsize="1010,393" path="m2225,9051l3234,9051,3234,8659,2225,8659,2225,9051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
              <w:jc w:val="left"/>
              <w:rPr>
                <w:rFonts w:ascii="宋体" w:hAnsi="宋体" w:cs="宋体" w:eastAsia="宋体" w:hint="default"/>
                <w:sz w:val="18"/>
                <w:szCs w:val="18"/>
              </w:rPr>
            </w:pPr>
            <w:r>
              <w:rPr>
                <w:rFonts w:ascii="宋体" w:hAnsi="宋体" w:cs="宋体" w:eastAsia="宋体" w:hint="default"/>
                <w:sz w:val="18"/>
                <w:szCs w:val="18"/>
              </w:rPr>
              <w:t>技创新奖励 经费（注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杭州市专利 专项资助经 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科技型中小 企业扶持和 科技发展专 项资金（注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浙江省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年国内发明 专利授权补 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水利基金退 税（注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152,142.94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重点企业研 究院建设补 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48,511.96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省级科技型 中小企业扶 持和科技发 展专项资金</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5pt;height:31.2pt;mso-position-horizontal-relative:char;mso-position-vertical-relative:line" coordorigin="0,0" coordsize="1055,624">
                  <v:group style="position:absolute;left:0;top:0;width:1055;height:624" coordorigin="0,0" coordsize="1055,624">
                    <v:shape style="position:absolute;left:0;top:0;width:1055;height:624" coordorigin="0,0" coordsize="1055,624" path="m0,624l1055,624,1055,0,0,0,0,624xe" filled="true" fillcolor="#ffffff" stroked="false">
                      <v:path arrowok="t"/>
                      <v:fill type="solid"/>
                    </v:shape>
                  </v:group>
                </v:group>
              </w:pict>
            </w:r>
            <w:r>
              <w:rPr>
                <w:rFonts w:ascii="宋体" w:hAnsi="宋体" w:cs="宋体" w:eastAsia="宋体" w:hint="default"/>
                <w:position w:val="-1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7,802,270.90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pict>
          <v:shape style="position:absolute;margin-left:103.940002pt;margin-top:-51.798286pt;width:58.95pt;height:31.2pt;mso-position-horizontal-relative:page;mso-position-vertical-relative:paragraph;z-index:-1221784"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其他说明：</w:t>
      </w:r>
    </w:p>
    <w:p>
      <w:pPr>
        <w:pStyle w:val="BodyText"/>
        <w:spacing w:line="240" w:lineRule="auto" w:before="117"/>
        <w:ind w:right="0"/>
        <w:jc w:val="left"/>
      </w:pPr>
      <w:r>
        <w:rPr/>
        <w:t>本年度收到的与收益相关的政府补助</w:t>
      </w:r>
      <w:r>
        <w:rPr>
          <w:spacing w:val="-47"/>
        </w:rPr>
        <w:t> </w:t>
      </w:r>
      <w:r>
        <w:rPr>
          <w:rFonts w:ascii="Times New Roman" w:hAnsi="Times New Roman" w:cs="Times New Roman" w:eastAsia="Times New Roman" w:hint="default"/>
        </w:rPr>
        <w:t>7,802,270.90</w:t>
      </w:r>
      <w:r>
        <w:rPr>
          <w:rFonts w:ascii="Times New Roman" w:hAnsi="Times New Roman" w:cs="Times New Roman" w:eastAsia="Times New Roman" w:hint="default"/>
          <w:spacing w:val="-1"/>
        </w:rPr>
        <w:t> </w:t>
      </w:r>
      <w:r>
        <w:rPr/>
        <w:t>元，其中：</w:t>
      </w:r>
    </w:p>
    <w:p>
      <w:pPr>
        <w:pStyle w:val="BodyText"/>
        <w:spacing w:line="300" w:lineRule="auto" w:before="101"/>
        <w:ind w:right="1119"/>
        <w:jc w:val="left"/>
        <w:rPr>
          <w:rFonts w:ascii="Times New Roman" w:hAnsi="Times New Roman" w:cs="Times New Roman" w:eastAsia="Times New Roman" w:hint="default"/>
        </w:rPr>
      </w:pPr>
      <w:r>
        <w:rPr/>
        <w:t>注</w:t>
      </w:r>
      <w:r>
        <w:rPr>
          <w:spacing w:val="30"/>
        </w:rPr>
        <w:t> </w:t>
      </w:r>
      <w:r>
        <w:rPr>
          <w:rFonts w:ascii="Times New Roman" w:hAnsi="Times New Roman" w:cs="Times New Roman" w:eastAsia="Times New Roman" w:hint="default"/>
        </w:rPr>
        <w:t>1</w:t>
      </w:r>
      <w:r>
        <w:rPr/>
        <w:t>：根据中共杭州高新区</w:t>
      </w:r>
      <w:r>
        <w:rPr>
          <w:rFonts w:ascii="Times New Roman" w:hAnsi="Times New Roman" w:cs="Times New Roman" w:eastAsia="Times New Roman" w:hint="default"/>
        </w:rPr>
        <w:t>(</w:t>
      </w:r>
      <w:r>
        <w:rPr/>
        <w:t>滨江</w:t>
      </w:r>
      <w:r>
        <w:rPr>
          <w:rFonts w:ascii="Times New Roman" w:hAnsi="Times New Roman" w:cs="Times New Roman" w:eastAsia="Times New Roman" w:hint="default"/>
        </w:rPr>
        <w:t>)</w:t>
      </w:r>
      <w:r>
        <w:rPr/>
        <w:t>党委人才工作领导小组办公室、杭州高新技术产业开发区</w:t>
      </w:r>
      <w:r>
        <w:rPr>
          <w:rFonts w:ascii="Times New Roman" w:hAnsi="Times New Roman" w:cs="Times New Roman" w:eastAsia="Times New Roman" w:hint="default"/>
        </w:rPr>
        <w:t>(</w:t>
      </w:r>
      <w:r>
        <w:rPr/>
        <w:t>滨江</w:t>
      </w:r>
      <w:r>
        <w:rPr>
          <w:rFonts w:ascii="Times New Roman" w:hAnsi="Times New Roman" w:cs="Times New Roman" w:eastAsia="Times New Roman" w:hint="default"/>
        </w:rPr>
        <w:t>)</w:t>
      </w:r>
      <w:r>
        <w:rPr/>
        <w:t>财政局、杭州高新技术产</w:t>
      </w:r>
      <w:r>
        <w:rPr>
          <w:spacing w:val="-86"/>
        </w:rPr>
        <w:t> </w:t>
      </w:r>
      <w:r>
        <w:rPr>
          <w:spacing w:val="-86"/>
        </w:rPr>
      </w:r>
      <w:r>
        <w:rPr/>
        <w:t>业开发区</w:t>
      </w:r>
      <w:r>
        <w:rPr>
          <w:rFonts w:ascii="Times New Roman" w:hAnsi="Times New Roman" w:cs="Times New Roman" w:eastAsia="Times New Roman" w:hint="default"/>
        </w:rPr>
        <w:t>(</w:t>
      </w:r>
      <w:r>
        <w:rPr/>
        <w:t>滨江</w:t>
      </w:r>
      <w:r>
        <w:rPr>
          <w:rFonts w:ascii="Times New Roman" w:hAnsi="Times New Roman" w:cs="Times New Roman" w:eastAsia="Times New Roman" w:hint="default"/>
        </w:rPr>
        <w:t>)</w:t>
      </w:r>
      <w:r>
        <w:rPr/>
        <w:t>科技局发布的《关于下达 </w:t>
      </w:r>
      <w:r>
        <w:rPr>
          <w:rFonts w:ascii="Times New Roman" w:hAnsi="Times New Roman" w:cs="Times New Roman" w:eastAsia="Times New Roman" w:hint="default"/>
        </w:rPr>
        <w:t>2016 </w:t>
      </w:r>
      <w:r>
        <w:rPr>
          <w:spacing w:val="-4"/>
        </w:rPr>
        <w:t>年度人才激励专项资金的通知》（区财企【</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112</w:t>
      </w:r>
      <w:r>
        <w:rPr>
          <w:rFonts w:ascii="Times New Roman" w:hAnsi="Times New Roman" w:cs="Times New Roman" w:eastAsia="Times New Roman" w:hint="default"/>
        </w:rPr>
        <w:t> </w:t>
      </w:r>
      <w:r>
        <w:rPr>
          <w:spacing w:val="-15"/>
        </w:rPr>
        <w:t>号），公司于</w:t>
      </w:r>
      <w:r>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8</w:t>
      </w:r>
    </w:p>
    <w:p>
      <w:pPr>
        <w:pStyle w:val="BodyText"/>
        <w:spacing w:line="240" w:lineRule="auto" w:before="14"/>
        <w:ind w:right="0"/>
        <w:jc w:val="left"/>
      </w:pPr>
      <w:r>
        <w:rPr/>
        <w:t>月收到</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年度人才激励专项资金</w:t>
      </w:r>
      <w:r>
        <w:rPr>
          <w:spacing w:val="-47"/>
        </w:rPr>
        <w:t> </w:t>
      </w:r>
      <w:r>
        <w:rPr>
          <w:rFonts w:ascii="Times New Roman" w:hAnsi="Times New Roman" w:cs="Times New Roman" w:eastAsia="Times New Roman" w:hint="default"/>
        </w:rPr>
        <w:t>2,209,416.00</w:t>
      </w:r>
      <w:r>
        <w:rPr>
          <w:rFonts w:ascii="Times New Roman" w:hAnsi="Times New Roman" w:cs="Times New Roman" w:eastAsia="Times New Roman" w:hint="default"/>
          <w:spacing w:val="-1"/>
        </w:rPr>
        <w:t> </w:t>
      </w:r>
      <w:r>
        <w:rPr/>
        <w:t>元，计入营业外收入。</w:t>
      </w:r>
    </w:p>
    <w:p>
      <w:pPr>
        <w:pStyle w:val="BodyText"/>
        <w:spacing w:line="300" w:lineRule="auto" w:before="101"/>
        <w:ind w:right="1118"/>
        <w:jc w:val="left"/>
      </w:pPr>
      <w:r>
        <w:rPr/>
        <w:t>注</w:t>
      </w:r>
      <w:r>
        <w:rPr>
          <w:spacing w:val="-38"/>
        </w:rPr>
        <w:t> </w:t>
      </w:r>
      <w:r>
        <w:rPr>
          <w:rFonts w:ascii="Times New Roman" w:hAnsi="Times New Roman" w:cs="Times New Roman" w:eastAsia="Times New Roman" w:hint="default"/>
          <w:spacing w:val="-3"/>
        </w:rPr>
        <w:t>2</w:t>
      </w:r>
      <w:r>
        <w:rPr>
          <w:spacing w:val="-3"/>
        </w:rPr>
        <w:t>：根据杭州市财政局、杭州市经济和信息化委员会发布的《关于下达</w:t>
      </w:r>
      <w:r>
        <w:rPr>
          <w:spacing w:val="-3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年市工业和科技重大创新</w:t>
      </w:r>
      <w:r>
        <w:rPr>
          <w:rFonts w:ascii="Times New Roman" w:hAnsi="Times New Roman" w:cs="Times New Roman" w:eastAsia="Times New Roman" w:hint="default"/>
        </w:rPr>
        <w:t>(</w:t>
      </w:r>
      <w:r>
        <w:rPr/>
        <w:t>信息软件</w:t>
      </w:r>
      <w:r>
        <w:rPr>
          <w:rFonts w:ascii="Times New Roman" w:hAnsi="Times New Roman" w:cs="Times New Roman" w:eastAsia="Times New Roman" w:hint="default"/>
        </w:rPr>
        <w:t>)</w:t>
      </w:r>
      <w:r>
        <w:rPr/>
        <w:t>验收项目 </w:t>
      </w:r>
      <w:r>
        <w:rPr>
          <w:spacing w:val="-4"/>
        </w:rPr>
        <w:t>剩余资助资金的通知》（杭财企【</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147</w:t>
      </w:r>
      <w:r>
        <w:rPr>
          <w:rFonts w:ascii="Times New Roman" w:hAnsi="Times New Roman" w:cs="Times New Roman" w:eastAsia="Times New Roman" w:hint="default"/>
          <w:spacing w:val="3"/>
        </w:rPr>
        <w:t> </w:t>
      </w:r>
      <w:r>
        <w:rPr>
          <w:spacing w:val="-15"/>
        </w:rPr>
        <w:t>号），公司于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月收到</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年市工业和科技重大创新</w:t>
      </w:r>
      <w:r>
        <w:rPr>
          <w:rFonts w:ascii="Times New Roman" w:hAnsi="Times New Roman" w:cs="Times New Roman" w:eastAsia="Times New Roman" w:hint="default"/>
        </w:rPr>
        <w:t>(</w:t>
      </w:r>
      <w:r>
        <w:rPr/>
        <w:t>信息软件</w:t>
      </w:r>
      <w:r>
        <w:rPr>
          <w:rFonts w:ascii="Times New Roman" w:hAnsi="Times New Roman" w:cs="Times New Roman" w:eastAsia="Times New Roman" w:hint="default"/>
        </w:rPr>
        <w:t>)</w:t>
      </w:r>
      <w:r>
        <w:rPr/>
        <w:t>验收项</w:t>
      </w:r>
    </w:p>
    <w:p>
      <w:pPr>
        <w:pStyle w:val="BodyText"/>
        <w:spacing w:line="240" w:lineRule="auto" w:before="14"/>
        <w:ind w:right="0"/>
        <w:jc w:val="left"/>
      </w:pPr>
      <w:r>
        <w:rPr/>
        <w:t>目剩余资助资金</w:t>
      </w:r>
      <w:r>
        <w:rPr>
          <w:spacing w:val="-46"/>
        </w:rPr>
        <w:t> </w:t>
      </w:r>
      <w:r>
        <w:rPr>
          <w:rFonts w:ascii="Times New Roman" w:hAnsi="Times New Roman" w:cs="Times New Roman" w:eastAsia="Times New Roman" w:hint="default"/>
        </w:rPr>
        <w:t>1,032,000.00</w:t>
      </w:r>
      <w:r>
        <w:rPr>
          <w:rFonts w:ascii="Times New Roman" w:hAnsi="Times New Roman" w:cs="Times New Roman" w:eastAsia="Times New Roman" w:hint="default"/>
          <w:spacing w:val="-2"/>
        </w:rPr>
        <w:t> </w:t>
      </w:r>
      <w:r>
        <w:rPr/>
        <w:t>元，计入营业外收入。</w:t>
      </w:r>
    </w:p>
    <w:p>
      <w:pPr>
        <w:pStyle w:val="BodyText"/>
        <w:spacing w:line="300" w:lineRule="auto" w:before="103"/>
        <w:ind w:left="1134" w:right="1026"/>
        <w:jc w:val="left"/>
      </w:pPr>
      <w:r>
        <w:rPr/>
        <w:t>注</w:t>
      </w:r>
      <w:r>
        <w:rPr>
          <w:spacing w:val="-15"/>
        </w:rPr>
        <w:t> </w:t>
      </w:r>
      <w:r>
        <w:rPr>
          <w:rFonts w:ascii="Times New Roman" w:hAnsi="Times New Roman" w:cs="Times New Roman" w:eastAsia="Times New Roman" w:hint="default"/>
          <w:spacing w:val="-3"/>
        </w:rPr>
        <w:t>3</w:t>
      </w:r>
      <w:r>
        <w:rPr>
          <w:spacing w:val="-3"/>
        </w:rPr>
        <w:t>：根据杭州高新技术产业开发区发展改革和经济局、杭州市滨江区发展改革和经济局、杭州高新技术产业开发区财政局、</w:t>
      </w:r>
      <w:r>
        <w:rPr>
          <w:spacing w:val="-86"/>
        </w:rPr>
        <w:t> </w:t>
      </w:r>
      <w:r>
        <w:rPr>
          <w:spacing w:val="-86"/>
        </w:rPr>
      </w:r>
      <w:r>
        <w:rPr/>
        <w:t>杭州市滨江区财政局发布的《关于下达</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年市工业和科技重大创新</w:t>
      </w:r>
      <w:r>
        <w:rPr>
          <w:rFonts w:ascii="Times New Roman" w:hAnsi="Times New Roman" w:cs="Times New Roman" w:eastAsia="Times New Roman" w:hint="default"/>
        </w:rPr>
        <w:t>(</w:t>
      </w:r>
      <w:r>
        <w:rPr/>
        <w:t>信息软件</w:t>
      </w:r>
      <w:r>
        <w:rPr>
          <w:rFonts w:ascii="Times New Roman" w:hAnsi="Times New Roman" w:cs="Times New Roman" w:eastAsia="Times New Roman" w:hint="default"/>
        </w:rPr>
        <w:t>)</w:t>
      </w:r>
      <w:r>
        <w:rPr/>
        <w:t>验收项目剩余资助区财政配套资金的通知》</w:t>
      </w:r>
    </w:p>
    <w:p>
      <w:pPr>
        <w:pStyle w:val="BodyText"/>
        <w:spacing w:line="240" w:lineRule="auto" w:before="13"/>
        <w:ind w:left="1134" w:right="0"/>
        <w:jc w:val="left"/>
      </w:pPr>
      <w:r>
        <w:rPr/>
        <w:t>（区发</w:t>
      </w:r>
      <w:r>
        <w:rPr>
          <w:spacing w:val="-4"/>
        </w:rPr>
        <w:t>改</w:t>
      </w:r>
      <w:r>
        <w:rPr/>
        <w:t>【</w:t>
      </w:r>
      <w:r>
        <w:rPr>
          <w:rFonts w:ascii="Times New Roman" w:hAnsi="Times New Roman" w:cs="Times New Roman" w:eastAsia="Times New Roman" w:hint="default"/>
        </w:rPr>
        <w:t>2017</w:t>
      </w:r>
      <w:r>
        <w:rPr>
          <w:spacing w:val="-4"/>
        </w:rPr>
        <w:t>】</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spacing w:val="-4"/>
        </w:rPr>
        <w:t>、</w:t>
      </w:r>
      <w:r>
        <w:rPr/>
        <w:t>区</w:t>
      </w:r>
      <w:r>
        <w:rPr>
          <w:spacing w:val="-4"/>
        </w:rPr>
        <w:t>财</w:t>
      </w:r>
      <w:r>
        <w:rPr/>
        <w:t>【</w:t>
      </w:r>
      <w:r>
        <w:rPr>
          <w:rFonts w:ascii="Times New Roman" w:hAnsi="Times New Roman" w:cs="Times New Roman" w:eastAsia="Times New Roman" w:hint="default"/>
        </w:rPr>
        <w:t>2017</w:t>
      </w:r>
      <w:r>
        <w:rPr>
          <w:spacing w:val="-4"/>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w:t>
      </w:r>
      <w:r>
        <w:rPr>
          <w:spacing w:val="-90"/>
        </w:rPr>
        <w:t>）</w:t>
      </w:r>
      <w:r>
        <w:rPr>
          <w:spacing w:val="-4"/>
        </w:rPr>
        <w:t>，</w:t>
      </w:r>
      <w:r>
        <w:rPr/>
        <w:t>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月收到</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年市工业和科技重大创新</w:t>
      </w:r>
      <w:r>
        <w:rPr>
          <w:rFonts w:ascii="Times New Roman" w:hAnsi="Times New Roman" w:cs="Times New Roman" w:eastAsia="Times New Roman" w:hint="default"/>
        </w:rPr>
        <w:t>(</w:t>
      </w:r>
      <w:r>
        <w:rPr/>
        <w:t>信息软件</w:t>
      </w:r>
      <w:r>
        <w:rPr>
          <w:rFonts w:ascii="Times New Roman" w:hAnsi="Times New Roman" w:cs="Times New Roman" w:eastAsia="Times New Roman" w:hint="default"/>
        </w:rPr>
        <w:t>)</w:t>
      </w:r>
      <w:r>
        <w:rPr/>
        <w:t>验收</w:t>
      </w:r>
      <w:r>
        <w:rPr>
          <w:spacing w:val="1"/>
        </w:rPr>
        <w:t>项</w:t>
      </w:r>
      <w:r>
        <w:rPr/>
        <w:t>目</w:t>
      </w:r>
    </w:p>
    <w:p>
      <w:pPr>
        <w:pStyle w:val="BodyText"/>
        <w:spacing w:line="240" w:lineRule="auto" w:before="64"/>
        <w:ind w:right="0"/>
        <w:jc w:val="left"/>
      </w:pPr>
      <w:r>
        <w:rPr/>
        <w:t>剩余资助资金</w:t>
      </w:r>
      <w:r>
        <w:rPr>
          <w:spacing w:val="-47"/>
        </w:rPr>
        <w:t> </w:t>
      </w:r>
      <w:r>
        <w:rPr>
          <w:rFonts w:ascii="Times New Roman" w:hAnsi="Times New Roman" w:cs="Times New Roman" w:eastAsia="Times New Roman" w:hint="default"/>
        </w:rPr>
        <w:t>1,032,000.00</w:t>
      </w:r>
      <w:r>
        <w:rPr>
          <w:rFonts w:ascii="Times New Roman" w:hAnsi="Times New Roman" w:cs="Times New Roman" w:eastAsia="Times New Roman" w:hint="default"/>
          <w:spacing w:val="-1"/>
        </w:rPr>
        <w:t> </w:t>
      </w:r>
      <w:r>
        <w:rPr/>
        <w:t>元，计入营业外收入。</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40"/>
        <w:jc w:val="both"/>
      </w:pPr>
      <w:r>
        <w:rPr/>
        <w:t>注</w:t>
      </w:r>
      <w:r>
        <w:rPr>
          <w:spacing w:val="-17"/>
        </w:rPr>
        <w:t> </w:t>
      </w:r>
      <w:r>
        <w:rPr>
          <w:rFonts w:ascii="Times New Roman" w:hAnsi="Times New Roman" w:cs="Times New Roman" w:eastAsia="Times New Roman" w:hint="default"/>
          <w:spacing w:val="-3"/>
        </w:rPr>
        <w:t>4</w:t>
      </w:r>
      <w:r>
        <w:rPr>
          <w:spacing w:val="-3"/>
        </w:rPr>
        <w:t>：根据杭州高新技术产业开发区发展改革和经济局、杭州市滨江区发展改革和经济局、杭州高新技术产业开发区财政局、</w:t>
      </w:r>
      <w:r>
        <w:rPr>
          <w:spacing w:val="-84"/>
        </w:rPr>
        <w:t> </w:t>
      </w:r>
      <w:r>
        <w:rPr>
          <w:spacing w:val="-84"/>
        </w:rPr>
      </w:r>
      <w:r>
        <w:rPr>
          <w:spacing w:val="-4"/>
        </w:rPr>
        <w:t>杭州市滨江区财政局发布的《关于下达</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spacing w:val="-10"/>
        </w:rPr>
        <w:t>年省工业与信息化发展财政专项资金的通知》（区发改【</w:t>
      </w:r>
      <w:r>
        <w:rPr>
          <w:rFonts w:ascii="Times New Roman" w:hAnsi="Times New Roman" w:cs="Times New Roman" w:eastAsia="Times New Roman" w:hint="default"/>
          <w:spacing w:val="-10"/>
        </w:rPr>
        <w:t>2017</w:t>
      </w:r>
      <w:r>
        <w:rPr>
          <w:spacing w:val="-10"/>
        </w:rPr>
        <w:t>】</w:t>
      </w:r>
      <w:r>
        <w:rPr>
          <w:rFonts w:ascii="Times New Roman" w:hAnsi="Times New Roman" w:cs="Times New Roman" w:eastAsia="Times New Roman" w:hint="default"/>
          <w:spacing w:val="-10"/>
        </w:rPr>
        <w:t>83</w:t>
      </w:r>
      <w:r>
        <w:rPr>
          <w:rFonts w:ascii="Times New Roman" w:hAnsi="Times New Roman" w:cs="Times New Roman" w:eastAsia="Times New Roman" w:hint="default"/>
          <w:spacing w:val="10"/>
        </w:rPr>
        <w:t> </w:t>
      </w:r>
      <w:r>
        <w:rPr>
          <w:spacing w:val="-14"/>
        </w:rPr>
        <w:t>号、区财【</w:t>
      </w:r>
      <w:r>
        <w:rPr>
          <w:rFonts w:ascii="Times New Roman" w:hAnsi="Times New Roman" w:cs="Times New Roman" w:eastAsia="Times New Roman" w:hint="default"/>
          <w:spacing w:val="-14"/>
        </w:rPr>
        <w:t>2017</w:t>
      </w:r>
      <w:r>
        <w:rPr>
          <w:spacing w:val="-14"/>
        </w:rPr>
        <w:t>】</w:t>
      </w:r>
      <w:r>
        <w:rPr>
          <w:spacing w:val="-87"/>
        </w:rPr>
        <w:t> </w:t>
      </w:r>
      <w:r>
        <w:rPr>
          <w:rFonts w:ascii="Times New Roman" w:hAnsi="Times New Roman" w:cs="Times New Roman" w:eastAsia="Times New Roman" w:hint="default"/>
          <w:spacing w:val="-3"/>
        </w:rPr>
        <w:t>119</w:t>
      </w:r>
      <w:r>
        <w:rPr>
          <w:rFonts w:ascii="Times New Roman" w:hAnsi="Times New Roman" w:cs="Times New Roman" w:eastAsia="Times New Roman" w:hint="default"/>
        </w:rPr>
        <w:t> </w:t>
      </w:r>
      <w:r>
        <w:rPr>
          <w:spacing w:val="-15"/>
        </w:rPr>
        <w:t>号），公司于</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9 </w:t>
      </w:r>
      <w:r>
        <w:rPr/>
        <w:t>月收到优秀工业新产品省财政补助</w:t>
      </w:r>
      <w:r>
        <w:rPr>
          <w:spacing w:val="-45"/>
        </w:rPr>
        <w:t> </w:t>
      </w:r>
      <w:r>
        <w:rPr>
          <w:rFonts w:ascii="Times New Roman" w:hAnsi="Times New Roman" w:cs="Times New Roman" w:eastAsia="Times New Roman" w:hint="default"/>
          <w:spacing w:val="-1"/>
        </w:rPr>
        <w:t>300,000.00</w:t>
      </w:r>
      <w:r>
        <w:rPr>
          <w:rFonts w:ascii="Times New Roman" w:hAnsi="Times New Roman" w:cs="Times New Roman" w:eastAsia="Times New Roman" w:hint="default"/>
        </w:rPr>
        <w:t> </w:t>
      </w:r>
      <w:r>
        <w:rPr/>
        <w:t>元，计入营业外收入。</w:t>
      </w:r>
    </w:p>
    <w:p>
      <w:pPr>
        <w:pStyle w:val="BodyText"/>
        <w:spacing w:line="300" w:lineRule="auto" w:before="51"/>
        <w:ind w:right="1029"/>
        <w:jc w:val="left"/>
      </w:pPr>
      <w:r>
        <w:rPr/>
        <w:t>注</w:t>
      </w:r>
      <w:r>
        <w:rPr>
          <w:spacing w:val="-58"/>
        </w:rPr>
        <w:t> </w:t>
      </w:r>
      <w:r>
        <w:rPr>
          <w:rFonts w:ascii="Times New Roman" w:hAnsi="Times New Roman" w:cs="Times New Roman" w:eastAsia="Times New Roman" w:hint="default"/>
        </w:rPr>
        <w:t>5</w:t>
      </w:r>
      <w:r>
        <w:rPr/>
        <w:t>：根据杭州高新技术产业开发区科学技术局、杭州市滨江区科学技术局、杭州高新技术产业开发区财政局、杭州市滨江 </w:t>
      </w:r>
      <w:r>
        <w:rPr>
          <w:spacing w:val="-4"/>
        </w:rPr>
        <w:t>区财政局发布的《关于下达杭州高新区（滨江）</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2"/>
        </w:rPr>
        <w:t> </w:t>
      </w:r>
      <w:r>
        <w:rPr>
          <w:spacing w:val="-8"/>
        </w:rPr>
        <w:t>年度第四季度专利资助经费的通知》（区科技【</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9</w:t>
      </w:r>
      <w:r>
        <w:rPr>
          <w:rFonts w:ascii="Times New Roman" w:hAnsi="Times New Roman" w:cs="Times New Roman" w:eastAsia="Times New Roman" w:hint="default"/>
          <w:spacing w:val="12"/>
        </w:rPr>
        <w:t> </w:t>
      </w:r>
      <w:r>
        <w:rPr>
          <w:spacing w:val="-7"/>
        </w:rPr>
        <w:t>号、区财【</w:t>
      </w:r>
      <w:r>
        <w:rPr>
          <w:rFonts w:ascii="Times New Roman" w:hAnsi="Times New Roman" w:cs="Times New Roman" w:eastAsia="Times New Roman" w:hint="default"/>
          <w:spacing w:val="-7"/>
        </w:rPr>
        <w:t>2017</w:t>
      </w:r>
      <w:r>
        <w:rPr>
          <w:spacing w:val="-7"/>
        </w:rPr>
        <w:t>】</w:t>
      </w:r>
      <w:r>
        <w:rPr>
          <w:spacing w:val="-86"/>
        </w:rPr>
        <w:t> </w:t>
      </w:r>
      <w:r>
        <w:rPr>
          <w:rFonts w:ascii="Times New Roman" w:hAnsi="Times New Roman" w:cs="Times New Roman" w:eastAsia="Times New Roman" w:hint="default"/>
        </w:rPr>
        <w:t>36 </w:t>
      </w:r>
      <w:r>
        <w:rPr>
          <w:spacing w:val="-1"/>
        </w:rPr>
        <w:t>号）及《关于下达杭州市高新区（滨江）</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spacing w:val="-4"/>
        </w:rPr>
        <w:t>年度第一季度专利资助经费的通知》（区科技【</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35</w:t>
      </w:r>
      <w:r>
        <w:rPr>
          <w:rFonts w:ascii="Times New Roman" w:hAnsi="Times New Roman" w:cs="Times New Roman" w:eastAsia="Times New Roman" w:hint="default"/>
          <w:spacing w:val="13"/>
        </w:rPr>
        <w:t> </w:t>
      </w:r>
      <w:r>
        <w:rPr>
          <w:spacing w:val="-1"/>
        </w:rPr>
        <w:t>号、区财【</w:t>
      </w:r>
      <w:r>
        <w:rPr>
          <w:rFonts w:ascii="Times New Roman" w:hAnsi="Times New Roman" w:cs="Times New Roman" w:eastAsia="Times New Roman" w:hint="default"/>
          <w:spacing w:val="-1"/>
        </w:rPr>
        <w:t>2017</w:t>
      </w:r>
      <w:r>
        <w:rPr>
          <w:spacing w:val="-1"/>
        </w:rPr>
        <w:t>】</w:t>
      </w:r>
    </w:p>
    <w:p>
      <w:pPr>
        <w:pStyle w:val="BodyText"/>
        <w:spacing w:line="240" w:lineRule="auto" w:before="14"/>
        <w:ind w:right="0"/>
        <w:jc w:val="both"/>
      </w:pPr>
      <w:r>
        <w:rPr>
          <w:rFonts w:ascii="Times New Roman" w:hAnsi="Times New Roman" w:cs="Times New Roman" w:eastAsia="Times New Roman" w:hint="default"/>
        </w:rPr>
        <w:t>157</w:t>
      </w:r>
      <w:r>
        <w:rPr>
          <w:rFonts w:ascii="Times New Roman" w:hAnsi="Times New Roman" w:cs="Times New Roman" w:eastAsia="Times New Roman" w:hint="default"/>
          <w:spacing w:val="-1"/>
        </w:rPr>
        <w:t> </w:t>
      </w:r>
      <w:r>
        <w:rPr/>
        <w:t>号</w:t>
      </w:r>
      <w:r>
        <w:rPr>
          <w:spacing w:val="-90"/>
        </w:rPr>
        <w:t>）</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
        </w:rPr>
        <w:t>月</w:t>
      </w: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月收到</w:t>
      </w:r>
      <w:r>
        <w:rPr>
          <w:spacing w:val="1"/>
        </w:rPr>
        <w:t>专</w:t>
      </w:r>
      <w:r>
        <w:rPr/>
        <w:t>利资助经费</w:t>
      </w:r>
      <w:r>
        <w:rPr>
          <w:spacing w:val="-46"/>
        </w:rPr>
        <w:t> </w:t>
      </w:r>
      <w:r>
        <w:rPr>
          <w:rFonts w:ascii="Times New Roman" w:hAnsi="Times New Roman" w:cs="Times New Roman" w:eastAsia="Times New Roman" w:hint="default"/>
        </w:rPr>
        <w:t>143,500.00</w:t>
      </w:r>
      <w:r>
        <w:rPr>
          <w:rFonts w:ascii="Times New Roman" w:hAnsi="Times New Roman" w:cs="Times New Roman" w:eastAsia="Times New Roman" w:hint="default"/>
          <w:spacing w:val="-1"/>
        </w:rPr>
        <w:t> </w:t>
      </w:r>
      <w:r>
        <w:rPr/>
        <w:t>元，</w:t>
      </w:r>
      <w:r>
        <w:rPr>
          <w:spacing w:val="-2"/>
        </w:rPr>
        <w:t>计</w:t>
      </w:r>
      <w:r>
        <w:rPr/>
        <w:t>入营业外收入。</w:t>
      </w:r>
    </w:p>
    <w:p>
      <w:pPr>
        <w:pStyle w:val="BodyText"/>
        <w:spacing w:line="300" w:lineRule="auto" w:before="102"/>
        <w:ind w:right="1130"/>
        <w:jc w:val="both"/>
      </w:pPr>
      <w:r>
        <w:rPr/>
        <w:t>注</w:t>
      </w:r>
      <w:r>
        <w:rPr>
          <w:spacing w:val="-52"/>
        </w:rPr>
        <w:t> </w:t>
      </w:r>
      <w:r>
        <w:rPr>
          <w:rFonts w:ascii="Times New Roman" w:hAnsi="Times New Roman" w:cs="Times New Roman" w:eastAsia="Times New Roman" w:hint="default"/>
        </w:rPr>
        <w:t>6</w:t>
      </w:r>
      <w:r>
        <w:rPr/>
        <w:t>：根据杭州市财政局、杭州市人力资源和社会保障局发布的《关于下达</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年度第二批杭州市</w:t>
      </w:r>
      <w:r>
        <w:rPr>
          <w:rFonts w:ascii="Times New Roman" w:hAnsi="Times New Roman" w:cs="Times New Roman" w:eastAsia="Times New Roman" w:hint="default"/>
        </w:rPr>
        <w:t>“115”</w:t>
      </w:r>
      <w:r>
        <w:rPr/>
        <w:t>引进国外智力计划 </w:t>
      </w:r>
      <w:r>
        <w:rPr>
          <w:spacing w:val="-5"/>
        </w:rPr>
        <w:t>项目资助经费的通知》（杭财行【</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19</w:t>
      </w:r>
      <w:r>
        <w:rPr>
          <w:rFonts w:ascii="Times New Roman" w:hAnsi="Times New Roman" w:cs="Times New Roman" w:eastAsia="Times New Roman" w:hint="default"/>
          <w:spacing w:val="3"/>
        </w:rPr>
        <w:t> </w:t>
      </w:r>
      <w:r>
        <w:rPr>
          <w:spacing w:val="-16"/>
        </w:rPr>
        <w:t>号），公司于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月收到</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1"/>
          <w:w w:val="100"/>
        </w:rPr>
        <w:t>年度第二批杭州市</w:t>
      </w:r>
      <w:r>
        <w:rPr>
          <w:rFonts w:ascii="Times New Roman" w:hAnsi="Times New Roman" w:cs="Times New Roman" w:eastAsia="Times New Roman" w:hint="default"/>
          <w:spacing w:val="-1"/>
          <w:w w:val="100"/>
        </w:rPr>
        <w:t>“115”</w:t>
      </w:r>
      <w:r>
        <w:rPr>
          <w:spacing w:val="-1"/>
          <w:w w:val="100"/>
        </w:rPr>
        <w:t>引进国外智力计划项</w:t>
      </w:r>
    </w:p>
    <w:p>
      <w:pPr>
        <w:pStyle w:val="BodyText"/>
        <w:spacing w:line="240" w:lineRule="auto" w:before="14"/>
        <w:ind w:right="0"/>
        <w:jc w:val="both"/>
      </w:pPr>
      <w:r>
        <w:rPr/>
        <w:t>目资助经费</w:t>
      </w:r>
      <w:r>
        <w:rPr>
          <w:spacing w:val="-47"/>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元，计入营业外收入。</w:t>
      </w:r>
    </w:p>
    <w:p>
      <w:pPr>
        <w:pStyle w:val="BodyText"/>
        <w:spacing w:line="300" w:lineRule="auto" w:before="101"/>
        <w:ind w:right="1032"/>
        <w:jc w:val="left"/>
      </w:pPr>
      <w:r>
        <w:rPr/>
        <w:t>注</w:t>
      </w:r>
      <w:r>
        <w:rPr>
          <w:spacing w:val="-58"/>
        </w:rPr>
        <w:t> </w:t>
      </w:r>
      <w:r>
        <w:rPr>
          <w:rFonts w:ascii="Times New Roman" w:hAnsi="Times New Roman" w:cs="Times New Roman" w:eastAsia="Times New Roman" w:hint="default"/>
        </w:rPr>
        <w:t>7</w:t>
      </w:r>
      <w:r>
        <w:rPr/>
        <w:t>：根据杭州高新技术产业开发区科学技术局、杭州市滨江区科学技术局、杭州高新技术产业开发区财政局、杭州市滨江 </w:t>
      </w:r>
      <w:r>
        <w:rPr>
          <w:spacing w:val="-3"/>
        </w:rPr>
        <w:t>区财政局发布的《关于下达杭州市高新区（滨江）</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8"/>
        </w:rPr>
        <w:t> </w:t>
      </w:r>
      <w:r>
        <w:rPr>
          <w:spacing w:val="-6"/>
        </w:rPr>
        <w:t>年度科技创新奖励经费的通知》（区科技【</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22</w:t>
      </w:r>
      <w:r>
        <w:rPr>
          <w:rFonts w:ascii="Times New Roman" w:hAnsi="Times New Roman" w:cs="Times New Roman" w:eastAsia="Times New Roman" w:hint="default"/>
          <w:spacing w:val="7"/>
        </w:rPr>
        <w:t> </w:t>
      </w:r>
      <w:r>
        <w:rPr>
          <w:spacing w:val="-5"/>
        </w:rPr>
        <w:t>号、区财【</w:t>
      </w:r>
      <w:r>
        <w:rPr>
          <w:rFonts w:ascii="Times New Roman" w:hAnsi="Times New Roman" w:cs="Times New Roman" w:eastAsia="Times New Roman" w:hint="default"/>
          <w:spacing w:val="-5"/>
        </w:rPr>
        <w:t>2017</w:t>
      </w:r>
      <w:r>
        <w:rPr>
          <w:spacing w:val="-5"/>
        </w:rPr>
        <w:t>】</w:t>
      </w:r>
      <w:r>
        <w:rPr>
          <w:spacing w:val="-88"/>
        </w:rPr>
        <w:t> </w:t>
      </w:r>
      <w:r>
        <w:rPr>
          <w:rFonts w:ascii="Times New Roman" w:hAnsi="Times New Roman" w:cs="Times New Roman" w:eastAsia="Times New Roman" w:hint="default"/>
        </w:rPr>
        <w:t>89 </w:t>
      </w:r>
      <w:r>
        <w:rPr>
          <w:spacing w:val="-15"/>
        </w:rPr>
        <w:t>号），公司于</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8 </w:t>
      </w:r>
      <w:r>
        <w:rPr/>
        <w:t>月收到杭州市高新区（滨江）</w:t>
      </w:r>
      <w:r>
        <w:rPr>
          <w:rFonts w:ascii="Times New Roman" w:hAnsi="Times New Roman" w:cs="Times New Roman" w:eastAsia="Times New Roman" w:hint="default"/>
        </w:rPr>
        <w:t>2016 </w:t>
      </w:r>
      <w:r>
        <w:rPr/>
        <w:t>年度科技创新奖励经费</w:t>
      </w:r>
      <w:r>
        <w:rPr>
          <w:spacing w:val="-4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spacing w:val="-1"/>
        </w:rPr>
        <w:t>元，计入营业外收入。</w:t>
      </w:r>
    </w:p>
    <w:p>
      <w:pPr>
        <w:pStyle w:val="BodyText"/>
        <w:spacing w:line="300" w:lineRule="auto" w:before="51"/>
        <w:ind w:left="1134" w:right="1037"/>
        <w:jc w:val="left"/>
        <w:rPr>
          <w:rFonts w:ascii="Times New Roman" w:hAnsi="Times New Roman" w:cs="Times New Roman" w:eastAsia="Times New Roman" w:hint="default"/>
        </w:rPr>
      </w:pPr>
      <w:r>
        <w:rPr/>
        <w:t>注</w:t>
      </w:r>
      <w:r>
        <w:rPr>
          <w:spacing w:val="-59"/>
        </w:rPr>
        <w:t> </w:t>
      </w:r>
      <w:r>
        <w:rPr>
          <w:rFonts w:ascii="Times New Roman" w:hAnsi="Times New Roman" w:cs="Times New Roman" w:eastAsia="Times New Roman" w:hint="default"/>
        </w:rPr>
        <w:t>8</w:t>
      </w:r>
      <w:r>
        <w:rPr/>
        <w:t>：根据杭州高新技术产业开发区科学技术局、杭州市滨江区科学技术局、杭州高新技术产业开发区财政局、杭州市滨江 区财政局发布的《关于转拨杭州市 </w:t>
      </w:r>
      <w:r>
        <w:rPr>
          <w:rFonts w:ascii="Times New Roman" w:hAnsi="Times New Roman" w:cs="Times New Roman" w:eastAsia="Times New Roman" w:hint="default"/>
        </w:rPr>
        <w:t>2016 </w:t>
      </w:r>
      <w:r>
        <w:rPr>
          <w:spacing w:val="-4"/>
        </w:rPr>
        <w:t>年第四季度专利专项资助经费的通知》（区科技【</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8</w:t>
      </w:r>
      <w:r>
        <w:rPr>
          <w:rFonts w:ascii="Times New Roman" w:hAnsi="Times New Roman" w:cs="Times New Roman" w:eastAsia="Times New Roman" w:hint="default"/>
        </w:rPr>
        <w:t> </w:t>
      </w:r>
      <w:r>
        <w:rPr/>
        <w:t>号、区财【</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35</w:t>
      </w:r>
      <w:r>
        <w:rPr>
          <w:rFonts w:ascii="Times New Roman" w:hAnsi="Times New Roman" w:cs="Times New Roman" w:eastAsia="Times New Roman" w:hint="default"/>
          <w:spacing w:val="-28"/>
        </w:rPr>
        <w:t> </w:t>
      </w:r>
      <w:r>
        <w:rPr/>
        <w:t>号） </w:t>
      </w:r>
      <w:r>
        <w:rPr>
          <w:spacing w:val="-4"/>
        </w:rPr>
        <w:t>及《关于转拨杭州市</w:t>
      </w:r>
      <w:r>
        <w:rPr/>
        <w:t> </w:t>
      </w:r>
      <w:r>
        <w:rPr>
          <w:rFonts w:ascii="Times New Roman" w:hAnsi="Times New Roman" w:cs="Times New Roman" w:eastAsia="Times New Roman" w:hint="default"/>
        </w:rPr>
        <w:t>2017 </w:t>
      </w:r>
      <w:r>
        <w:rPr>
          <w:spacing w:val="-6"/>
        </w:rPr>
        <w:t>年第一季度专利专项资助经费的通知》（区科技【</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34</w:t>
      </w:r>
      <w:r>
        <w:rPr>
          <w:rFonts w:ascii="Times New Roman" w:hAnsi="Times New Roman" w:cs="Times New Roman" w:eastAsia="Times New Roman" w:hint="default"/>
        </w:rPr>
        <w:t> </w:t>
      </w:r>
      <w:r>
        <w:rPr>
          <w:spacing w:val="-7"/>
        </w:rPr>
        <w:t>号、区财【</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156</w:t>
      </w:r>
      <w:r>
        <w:rPr>
          <w:rFonts w:ascii="Times New Roman" w:hAnsi="Times New Roman" w:cs="Times New Roman" w:eastAsia="Times New Roman" w:hint="default"/>
        </w:rPr>
        <w:t> </w:t>
      </w:r>
      <w:r>
        <w:rPr>
          <w:spacing w:val="-20"/>
        </w:rPr>
        <w:t>号），公司于</w:t>
      </w:r>
      <w:r>
        <w:rPr>
          <w:spacing w:val="-73"/>
        </w:rPr>
        <w:t> </w:t>
      </w:r>
      <w:r>
        <w:rPr>
          <w:rFonts w:ascii="Times New Roman" w:hAnsi="Times New Roman" w:cs="Times New Roman" w:eastAsia="Times New Roman" w:hint="default"/>
        </w:rPr>
        <w:t>2017</w:t>
      </w:r>
    </w:p>
    <w:p>
      <w:pPr>
        <w:pStyle w:val="BodyText"/>
        <w:spacing w:line="240" w:lineRule="auto" w:before="14"/>
        <w:ind w:left="1134" w:right="0"/>
        <w:jc w:val="both"/>
      </w:pP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月收到专利资助经费</w:t>
      </w:r>
      <w:r>
        <w:rPr>
          <w:spacing w:val="-46"/>
        </w:rPr>
        <w:t> </w:t>
      </w:r>
      <w:r>
        <w:rPr>
          <w:rFonts w:ascii="Times New Roman" w:hAnsi="Times New Roman" w:cs="Times New Roman" w:eastAsia="Times New Roman" w:hint="default"/>
        </w:rPr>
        <w:t>74,700.00</w:t>
      </w:r>
      <w:r>
        <w:rPr>
          <w:rFonts w:ascii="Times New Roman" w:hAnsi="Times New Roman" w:cs="Times New Roman" w:eastAsia="Times New Roman" w:hint="default"/>
          <w:spacing w:val="-1"/>
        </w:rPr>
        <w:t> </w:t>
      </w:r>
      <w:r>
        <w:rPr/>
        <w:t>元，计入营业外收入。</w:t>
      </w:r>
    </w:p>
    <w:p>
      <w:pPr>
        <w:pStyle w:val="BodyText"/>
        <w:spacing w:line="240" w:lineRule="auto" w:before="102"/>
        <w:ind w:right="0"/>
        <w:jc w:val="both"/>
      </w:pPr>
      <w:r>
        <w:rPr/>
        <w:t>注</w:t>
      </w:r>
      <w:r>
        <w:rPr>
          <w:spacing w:val="-46"/>
        </w:rPr>
        <w:t> </w:t>
      </w:r>
      <w:r>
        <w:rPr>
          <w:rFonts w:ascii="Times New Roman" w:hAnsi="Times New Roman" w:cs="Times New Roman" w:eastAsia="Times New Roman" w:hint="default"/>
        </w:rPr>
        <w:t>9</w:t>
      </w:r>
      <w:r>
        <w:rPr>
          <w:spacing w:val="-13"/>
        </w:rPr>
        <w:t>：</w:t>
      </w:r>
      <w:r>
        <w:rPr/>
        <w:t>根据浙江省财政厅发布</w:t>
      </w:r>
      <w:r>
        <w:rPr>
          <w:spacing w:val="-13"/>
        </w:rPr>
        <w:t>的</w:t>
      </w:r>
      <w:r>
        <w:rPr/>
        <w:t>《关于提前下达</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1"/>
        </w:rPr>
        <w:t>省</w:t>
      </w:r>
      <w:r>
        <w:rPr/>
        <w:t>级科技型中小企业扶持和科技发展专项资金预算的通知</w:t>
      </w:r>
      <w:r>
        <w:rPr>
          <w:spacing w:val="-103"/>
        </w:rPr>
        <w:t>》</w:t>
      </w:r>
      <w:r>
        <w:rPr/>
        <w:t>（浙财教</w:t>
      </w:r>
    </w:p>
    <w:p>
      <w:pPr>
        <w:pStyle w:val="BodyText"/>
        <w:spacing w:line="302" w:lineRule="auto" w:before="63"/>
        <w:ind w:left="1134" w:right="1132"/>
        <w:jc w:val="both"/>
      </w:pPr>
      <w:r>
        <w:rPr>
          <w:spacing w:val="-2"/>
        </w:rPr>
        <w:t>【</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100</w:t>
      </w:r>
      <w:r>
        <w:rPr>
          <w:rFonts w:ascii="Times New Roman" w:hAnsi="Times New Roman" w:cs="Times New Roman" w:eastAsia="Times New Roman" w:hint="default"/>
        </w:rPr>
        <w:t> </w:t>
      </w:r>
      <w:r>
        <w:rPr>
          <w:spacing w:val="-18"/>
        </w:rPr>
        <w:t>号），公司于</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 </w:t>
      </w:r>
      <w:r>
        <w:rPr/>
        <w:t>月收到</w:t>
      </w:r>
      <w:r>
        <w:rPr>
          <w:spacing w:val="-45"/>
        </w:rPr>
        <w:t> </w:t>
      </w:r>
      <w:r>
        <w:rPr>
          <w:rFonts w:ascii="Times New Roman" w:hAnsi="Times New Roman" w:cs="Times New Roman" w:eastAsia="Times New Roman" w:hint="default"/>
        </w:rPr>
        <w:t>2017 </w:t>
      </w:r>
      <w:r>
        <w:rPr/>
        <w:t>年省级科技型中小企业扶持和科技发展专项资金</w:t>
      </w:r>
      <w:r>
        <w:rPr>
          <w:spacing w:val="-45"/>
        </w:rPr>
        <w:t> </w:t>
      </w:r>
      <w:r>
        <w:rPr>
          <w:rFonts w:ascii="Times New Roman" w:hAnsi="Times New Roman" w:cs="Times New Roman" w:eastAsia="Times New Roman" w:hint="default"/>
        </w:rPr>
        <w:t>50,000.00 </w:t>
      </w:r>
      <w:r>
        <w:rPr>
          <w:spacing w:val="-2"/>
        </w:rPr>
        <w:t>元，计入营业外</w:t>
      </w:r>
      <w:r>
        <w:rPr/>
        <w:t> 收入。</w:t>
      </w:r>
    </w:p>
    <w:p>
      <w:pPr>
        <w:pStyle w:val="BodyText"/>
        <w:spacing w:line="302" w:lineRule="auto" w:before="68"/>
        <w:ind w:right="1130"/>
        <w:jc w:val="both"/>
      </w:pPr>
      <w:r>
        <w:rPr/>
        <w:t>注</w:t>
      </w:r>
      <w:r>
        <w:rPr>
          <w:spacing w:val="-58"/>
        </w:rPr>
        <w:t> </w:t>
      </w:r>
      <w:r>
        <w:rPr>
          <w:rFonts w:ascii="Times New Roman" w:hAnsi="Times New Roman" w:cs="Times New Roman" w:eastAsia="Times New Roman" w:hint="default"/>
        </w:rPr>
        <w:t>10</w:t>
      </w:r>
      <w:r>
        <w:rPr/>
        <w:t>：根据杭州高新技术产业开发区科学技术局、杭州市滨江区科学技术局发布的《关于转拨浙江省</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年国内发明专利 </w:t>
      </w:r>
      <w:r>
        <w:rPr>
          <w:spacing w:val="-5"/>
        </w:rPr>
        <w:t>授权补助的通知》（区科技【</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30</w:t>
      </w:r>
      <w:r>
        <w:rPr>
          <w:rFonts w:ascii="Times New Roman" w:hAnsi="Times New Roman" w:cs="Times New Roman" w:eastAsia="Times New Roman" w:hint="default"/>
          <w:spacing w:val="7"/>
        </w:rPr>
        <w:t> </w:t>
      </w:r>
      <w:r>
        <w:rPr>
          <w:spacing w:val="-15"/>
        </w:rPr>
        <w:t>号），公司于</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月收到浙江省</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年国内发明专利授权补助</w:t>
      </w:r>
      <w:r>
        <w:rPr>
          <w:spacing w:val="-38"/>
        </w:rPr>
        <w:t> </w:t>
      </w:r>
      <w:r>
        <w:rPr>
          <w:rFonts w:ascii="Times New Roman" w:hAnsi="Times New Roman" w:cs="Times New Roman" w:eastAsia="Times New Roman" w:hint="default"/>
          <w:spacing w:val="-1"/>
        </w:rPr>
        <w:t>48,000.00</w:t>
      </w:r>
      <w:r>
        <w:rPr>
          <w:rFonts w:ascii="Times New Roman" w:hAnsi="Times New Roman" w:cs="Times New Roman" w:eastAsia="Times New Roman" w:hint="default"/>
          <w:spacing w:val="7"/>
        </w:rPr>
        <w:t> </w:t>
      </w:r>
      <w:r>
        <w:rPr/>
        <w:t>元， 计入营业外收入。</w:t>
      </w:r>
    </w:p>
    <w:p>
      <w:pPr>
        <w:pStyle w:val="BodyText"/>
        <w:spacing w:line="302" w:lineRule="auto" w:before="68"/>
        <w:ind w:right="1042"/>
        <w:jc w:val="both"/>
      </w:pPr>
      <w:r>
        <w:rPr/>
        <w:t>注</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5"/>
        </w:rPr>
        <w:t>：</w:t>
      </w:r>
      <w:r>
        <w:rPr/>
        <w:t>根据</w:t>
      </w:r>
      <w:r>
        <w:rPr>
          <w:spacing w:val="1"/>
        </w:rPr>
        <w:t>杭</w:t>
      </w:r>
      <w:r>
        <w:rPr/>
        <w:t>州市地方税务局高</w:t>
      </w:r>
      <w:r>
        <w:rPr>
          <w:spacing w:val="-5"/>
        </w:rPr>
        <w:t>新</w:t>
      </w:r>
      <w:r>
        <w:rPr/>
        <w:t>（滨江</w:t>
      </w:r>
      <w:r>
        <w:rPr>
          <w:spacing w:val="-5"/>
        </w:rPr>
        <w:t>）</w:t>
      </w:r>
      <w:r>
        <w:rPr/>
        <w:t>税务分局发布</w:t>
      </w:r>
      <w:r>
        <w:rPr>
          <w:spacing w:val="-5"/>
        </w:rPr>
        <w:t>的</w:t>
      </w:r>
      <w:r>
        <w:rPr/>
        <w:t>《税费事项通知书</w:t>
      </w:r>
      <w:r>
        <w:rPr>
          <w:spacing w:val="-95"/>
        </w:rPr>
        <w:t>》</w:t>
      </w:r>
      <w:r>
        <w:rPr/>
        <w:t>（减免税核准通知</w:t>
      </w:r>
      <w:r>
        <w:rPr>
          <w:spacing w:val="-95"/>
        </w:rPr>
        <w:t>）</w:t>
      </w:r>
      <w:r>
        <w:rPr/>
        <w:t>（杭地税高新</w:t>
      </w:r>
      <w:r>
        <w:rPr>
          <w:spacing w:val="-5"/>
        </w:rPr>
        <w:t>通</w:t>
      </w:r>
      <w:r>
        <w:rPr>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17</w:t>
      </w:r>
      <w:r>
        <w:rPr/>
        <w:t>】 </w:t>
      </w:r>
      <w:r>
        <w:rPr>
          <w:rFonts w:ascii="Times New Roman" w:hAnsi="Times New Roman" w:cs="Times New Roman" w:eastAsia="Times New Roman" w:hint="default"/>
        </w:rPr>
        <w:t>53442</w:t>
      </w:r>
      <w:r>
        <w:rPr>
          <w:rFonts w:ascii="Times New Roman" w:hAnsi="Times New Roman" w:cs="Times New Roman" w:eastAsia="Times New Roman" w:hint="default"/>
          <w:spacing w:val="-1"/>
        </w:rPr>
        <w:t> </w:t>
      </w:r>
      <w:r>
        <w:rPr/>
        <w:t>号</w:t>
      </w:r>
      <w:r>
        <w:rPr>
          <w:spacing w:val="-90"/>
        </w:rPr>
        <w:t>）</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月收到水利基金退税</w:t>
      </w:r>
      <w:r>
        <w:rPr>
          <w:spacing w:val="-46"/>
        </w:rPr>
        <w:t> </w:t>
      </w:r>
      <w:r>
        <w:rPr>
          <w:rFonts w:ascii="Times New Roman" w:hAnsi="Times New Roman" w:cs="Times New Roman" w:eastAsia="Times New Roman" w:hint="default"/>
        </w:rPr>
        <w:t>152,142</w:t>
      </w:r>
      <w:r>
        <w:rPr>
          <w:rFonts w:ascii="Times New Roman" w:hAnsi="Times New Roman" w:cs="Times New Roman" w:eastAsia="Times New Roman" w:hint="default"/>
          <w:spacing w:val="-1"/>
        </w:rPr>
        <w:t>.</w:t>
      </w:r>
      <w:r>
        <w:rPr>
          <w:rFonts w:ascii="Times New Roman" w:hAnsi="Times New Roman" w:cs="Times New Roman" w:eastAsia="Times New Roman" w:hint="default"/>
        </w:rPr>
        <w:t>94</w:t>
      </w:r>
      <w:r>
        <w:rPr>
          <w:rFonts w:ascii="Times New Roman" w:hAnsi="Times New Roman" w:cs="Times New Roman" w:eastAsia="Times New Roman" w:hint="default"/>
          <w:spacing w:val="-1"/>
        </w:rPr>
        <w:t> </w:t>
      </w:r>
      <w:r>
        <w:rPr/>
        <w:t>元，计入营业外收入。</w:t>
      </w:r>
    </w:p>
    <w:p>
      <w:pPr>
        <w:pStyle w:val="BodyText"/>
        <w:spacing w:line="300" w:lineRule="auto" w:before="50"/>
        <w:ind w:right="1130"/>
        <w:jc w:val="both"/>
      </w:pPr>
      <w:r>
        <w:rPr/>
        <w:t>注</w:t>
      </w:r>
      <w:r>
        <w:rPr>
          <w:spacing w:val="-38"/>
        </w:rPr>
        <w:t> </w:t>
      </w:r>
      <w:r>
        <w:rPr>
          <w:rFonts w:ascii="Times New Roman" w:hAnsi="Times New Roman" w:cs="Times New Roman" w:eastAsia="Times New Roman" w:hint="default"/>
        </w:rPr>
        <w:t>12</w:t>
      </w:r>
      <w:r>
        <w:rPr/>
        <w:t>：根据杭州市财政局区发布的《关于下达</w:t>
      </w:r>
      <w:r>
        <w:rPr>
          <w:spacing w:val="-37"/>
        </w:rPr>
        <w:t> </w:t>
      </w:r>
      <w:r>
        <w:rPr>
          <w:rFonts w:ascii="Times New Roman" w:hAnsi="Times New Roman" w:cs="Times New Roman" w:eastAsia="Times New Roman" w:hint="default"/>
        </w:rPr>
        <w:t>2015-2016</w:t>
      </w:r>
      <w:r>
        <w:rPr>
          <w:rFonts w:ascii="Times New Roman" w:hAnsi="Times New Roman" w:cs="Times New Roman" w:eastAsia="Times New Roman" w:hint="default"/>
          <w:spacing w:val="7"/>
        </w:rPr>
        <w:t> </w:t>
      </w:r>
      <w:r>
        <w:rPr/>
        <w:t>年度省级重点企业研究院建设项目市配套补助资金的通知》</w:t>
      </w:r>
      <w:r>
        <w:rPr>
          <w:rFonts w:ascii="Times New Roman" w:hAnsi="Times New Roman" w:cs="Times New Roman" w:eastAsia="Times New Roman" w:hint="default"/>
        </w:rPr>
        <w:t>(</w:t>
      </w:r>
      <w:r>
        <w:rPr/>
        <w:t>杭财 </w:t>
      </w:r>
      <w:r>
        <w:rPr>
          <w:spacing w:val="-6"/>
        </w:rPr>
        <w:t>企【</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60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子公司杭州银江智慧医疗集团有限公司于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月收到重点企业研究院建设补助</w:t>
      </w:r>
      <w:r>
        <w:rPr>
          <w:spacing w:val="-47"/>
        </w:rPr>
        <w:t> </w:t>
      </w:r>
      <w:r>
        <w:rPr>
          <w:rFonts w:ascii="Times New Roman" w:hAnsi="Times New Roman" w:cs="Times New Roman" w:eastAsia="Times New Roman" w:hint="default"/>
        </w:rPr>
        <w:t>1,250,000.00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计入 营业外收入。</w:t>
      </w:r>
    </w:p>
    <w:p>
      <w:pPr>
        <w:pStyle w:val="BodyText"/>
        <w:spacing w:line="302" w:lineRule="auto" w:before="70"/>
        <w:ind w:right="1042"/>
        <w:jc w:val="both"/>
      </w:pPr>
      <w:r>
        <w:rPr/>
        <w:t>注</w:t>
      </w:r>
      <w:r>
        <w:rPr>
          <w:spacing w:val="-56"/>
        </w:rPr>
        <w:t> </w:t>
      </w:r>
      <w:r>
        <w:rPr>
          <w:rFonts w:ascii="Times New Roman" w:hAnsi="Times New Roman" w:cs="Times New Roman" w:eastAsia="Times New Roman" w:hint="default"/>
        </w:rPr>
        <w:t>13</w:t>
      </w:r>
      <w:r>
        <w:rPr/>
        <w:t>：根据滨江区财政局区发布的《关于下达省级重点企业研究院省补助经费区配套资金的通知》</w:t>
      </w:r>
      <w:r>
        <w:rPr>
          <w:rFonts w:ascii="Times New Roman" w:hAnsi="Times New Roman" w:cs="Times New Roman" w:eastAsia="Times New Roman" w:hint="default"/>
        </w:rPr>
        <w:t>(</w:t>
      </w:r>
      <w:r>
        <w:rPr/>
        <w:t>区科技【</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 子公司杭州银江智慧医疗集团有限公司于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月收到重点企业研究院建设补助</w:t>
      </w:r>
      <w:r>
        <w:rPr>
          <w:spacing w:val="-47"/>
        </w:rPr>
        <w:t> </w:t>
      </w:r>
      <w:r>
        <w:rPr>
          <w:rFonts w:ascii="Times New Roman" w:hAnsi="Times New Roman" w:cs="Times New Roman" w:eastAsia="Times New Roman" w:hint="default"/>
        </w:rPr>
        <w:t>1,250,000.00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计入营业外收入。</w:t>
      </w:r>
    </w:p>
    <w:p>
      <w:pPr>
        <w:pStyle w:val="BodyText"/>
        <w:spacing w:line="302" w:lineRule="auto" w:before="49"/>
        <w:ind w:right="1132"/>
        <w:jc w:val="both"/>
      </w:pPr>
      <w:r>
        <w:rPr/>
        <w:t>注</w:t>
      </w:r>
      <w:r>
        <w:rPr>
          <w:spacing w:val="-50"/>
        </w:rPr>
        <w:t> </w:t>
      </w:r>
      <w:r>
        <w:rPr>
          <w:rFonts w:ascii="Times New Roman" w:hAnsi="Times New Roman" w:cs="Times New Roman" w:eastAsia="Times New Roman" w:hint="default"/>
          <w:spacing w:val="-4"/>
        </w:rPr>
        <w:t>14</w:t>
      </w:r>
      <w:r>
        <w:rPr>
          <w:spacing w:val="-4"/>
        </w:rPr>
        <w:t>：根据杭国税滨发（</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237</w:t>
      </w:r>
      <w:r>
        <w:rPr>
          <w:rFonts w:ascii="Times New Roman" w:hAnsi="Times New Roman" w:cs="Times New Roman" w:eastAsia="Times New Roman" w:hint="default"/>
          <w:spacing w:val="-5"/>
        </w:rPr>
        <w:t> </w:t>
      </w:r>
      <w:r>
        <w:rPr/>
        <w:t>号《杭州市滨江区国家税务局关于杭州银江电子病历软件有限公司软件产品增值税退税 </w:t>
      </w:r>
      <w:r>
        <w:rPr>
          <w:spacing w:val="-5"/>
        </w:rPr>
        <w:t>的批复》，子公司杭州银江医联网技术有限公司于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月收到软件产品退税</w:t>
      </w:r>
      <w:r>
        <w:rPr>
          <w:spacing w:val="-43"/>
        </w:rPr>
        <w:t> </w:t>
      </w:r>
      <w:r>
        <w:rPr>
          <w:rFonts w:ascii="Times New Roman" w:hAnsi="Times New Roman" w:cs="Times New Roman" w:eastAsia="Times New Roman" w:hint="default"/>
        </w:rPr>
        <w:t>29,366.66</w:t>
      </w:r>
      <w:r>
        <w:rPr>
          <w:rFonts w:ascii="Times New Roman" w:hAnsi="Times New Roman" w:cs="Times New Roman" w:eastAsia="Times New Roman" w:hint="default"/>
          <w:spacing w:val="3"/>
        </w:rPr>
        <w:t> </w:t>
      </w:r>
      <w:r>
        <w:rPr/>
        <w:t>元，计入营业外收入。</w:t>
      </w:r>
    </w:p>
    <w:p>
      <w:pPr>
        <w:pStyle w:val="BodyText"/>
        <w:spacing w:line="240" w:lineRule="auto" w:before="50"/>
        <w:ind w:right="0"/>
        <w:jc w:val="both"/>
      </w:pPr>
      <w:r>
        <w:rPr/>
        <w:t>注</w:t>
      </w:r>
      <w:r>
        <w:rPr>
          <w:spacing w:val="-28"/>
        </w:rPr>
        <w:t> </w:t>
      </w:r>
      <w:r>
        <w:rPr>
          <w:rFonts w:ascii="Times New Roman" w:hAnsi="Times New Roman" w:cs="Times New Roman" w:eastAsia="Times New Roman" w:hint="default"/>
          <w:spacing w:val="-1"/>
        </w:rPr>
        <w:t>15</w:t>
      </w:r>
      <w:r>
        <w:rPr>
          <w:spacing w:val="-1"/>
        </w:rPr>
        <w:t>：根据杭州市余杭区国家税务局发布的《关于杭州清普信息技术有限公司软件产品已征增值税实行超税负退税的批复》</w:t>
      </w:r>
    </w:p>
    <w:p>
      <w:pPr>
        <w:pStyle w:val="BodyText"/>
        <w:spacing w:line="302" w:lineRule="auto" w:before="63"/>
        <w:ind w:left="1134" w:right="1130"/>
        <w:jc w:val="both"/>
      </w:pPr>
      <w:r>
        <w:rPr/>
        <w:t>（余国税函【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54 </w:t>
      </w:r>
      <w:r>
        <w:rPr>
          <w:spacing w:val="-5"/>
        </w:rPr>
        <w:t>号），子公司杭州清普信息技术有限公司于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7 </w:t>
      </w:r>
      <w:r>
        <w:rPr/>
        <w:t>月收到软件产品退税</w:t>
      </w:r>
      <w:r>
        <w:rPr>
          <w:spacing w:val="-44"/>
        </w:rPr>
        <w:t> </w:t>
      </w:r>
      <w:r>
        <w:rPr>
          <w:rFonts w:ascii="Times New Roman" w:hAnsi="Times New Roman" w:cs="Times New Roman" w:eastAsia="Times New Roman" w:hint="default"/>
        </w:rPr>
        <w:t>19,145.30</w:t>
      </w:r>
      <w:r>
        <w:rPr>
          <w:rFonts w:ascii="Times New Roman" w:hAnsi="Times New Roman" w:cs="Times New Roman" w:eastAsia="Times New Roman" w:hint="default"/>
          <w:spacing w:val="1"/>
        </w:rPr>
        <w:t> </w:t>
      </w:r>
      <w:r>
        <w:rPr/>
        <w:t>元，计入 营业外收入。</w:t>
      </w:r>
    </w:p>
    <w:p>
      <w:pPr>
        <w:pStyle w:val="BodyText"/>
        <w:spacing w:line="300" w:lineRule="auto" w:before="68"/>
        <w:ind w:right="1132"/>
        <w:jc w:val="both"/>
      </w:pPr>
      <w:r>
        <w:rPr/>
        <w:t>注</w:t>
      </w:r>
      <w:r>
        <w:rPr>
          <w:spacing w:val="-28"/>
        </w:rPr>
        <w:t> </w:t>
      </w:r>
      <w:r>
        <w:rPr>
          <w:rFonts w:ascii="Times New Roman" w:hAnsi="Times New Roman" w:cs="Times New Roman" w:eastAsia="Times New Roman" w:hint="default"/>
        </w:rPr>
        <w:t>16</w:t>
      </w:r>
      <w:r>
        <w:rPr/>
        <w:t>：根据杭州市财政局发布的《关于下达</w:t>
      </w:r>
      <w:r>
        <w:rPr>
          <w:spacing w:val="-2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年第一批省级科技型中小型企业扶持和科技发展专项资金管理办法</w:t>
      </w:r>
      <w:r>
        <w:rPr>
          <w:spacing w:val="-90"/>
        </w:rPr>
        <w:t>》</w:t>
      </w:r>
      <w:r>
        <w:rPr/>
        <w:t>（杭</w:t>
      </w:r>
      <w:r>
        <w:rPr/>
        <w:t> 财教</w:t>
      </w:r>
      <w:r>
        <w:rPr>
          <w:spacing w:val="-13"/>
        </w:rPr>
        <w:t>会</w:t>
      </w:r>
      <w:r>
        <w:rPr/>
        <w:t>【</w:t>
      </w:r>
      <w:r>
        <w:rPr>
          <w:rFonts w:ascii="Times New Roman" w:hAnsi="Times New Roman" w:cs="Times New Roman" w:eastAsia="Times New Roman" w:hint="default"/>
        </w:rPr>
        <w:t>2017</w:t>
      </w:r>
      <w:r>
        <w:rPr>
          <w:spacing w:val="-12"/>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0"/>
        </w:rPr>
        <w:t>）</w:t>
      </w:r>
      <w:r>
        <w:rPr>
          <w:spacing w:val="-13"/>
        </w:rPr>
        <w:t>，</w:t>
      </w:r>
      <w:r>
        <w:rPr/>
        <w:t>子公司杭州银江智慧城市技术集团有限公司于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月收</w:t>
      </w:r>
      <w:r>
        <w:rPr>
          <w:spacing w:val="1"/>
        </w:rPr>
        <w:t>到</w:t>
      </w:r>
      <w:r>
        <w:rPr/>
        <w:t>省级科技型中小企业扶持和科技发展</w:t>
      </w:r>
    </w:p>
    <w:p>
      <w:pPr>
        <w:pStyle w:val="BodyText"/>
        <w:spacing w:line="240" w:lineRule="auto" w:before="14"/>
        <w:ind w:left="1134" w:right="0"/>
        <w:jc w:val="both"/>
      </w:pPr>
      <w:r>
        <w:rPr/>
        <w:t>专项资金</w:t>
      </w:r>
      <w:r>
        <w:rPr>
          <w:spacing w:val="-47"/>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元，计入营业外收入。</w:t>
      </w:r>
    </w:p>
    <w:p>
      <w:pPr>
        <w:pStyle w:val="BodyText"/>
        <w:spacing w:line="300" w:lineRule="auto" w:before="101"/>
        <w:ind w:right="1130"/>
        <w:jc w:val="both"/>
      </w:pPr>
      <w:r>
        <w:rPr/>
        <w:t>注</w:t>
      </w:r>
      <w:r>
        <w:rPr>
          <w:spacing w:val="-57"/>
        </w:rPr>
        <w:t> </w:t>
      </w:r>
      <w:r>
        <w:rPr>
          <w:rFonts w:ascii="Times New Roman" w:hAnsi="Times New Roman" w:cs="Times New Roman" w:eastAsia="Times New Roman" w:hint="default"/>
        </w:rPr>
        <w:t>17</w:t>
      </w:r>
      <w:r>
        <w:rPr/>
        <w:t>：根据杭州市科学技术委员会、杭州市财政局发布的《关于下达</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spacing w:val="-3"/>
        </w:rPr>
        <w:t>年第一批、第二批，</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2"/>
        </w:rPr>
        <w:t> </w:t>
      </w:r>
      <w:r>
        <w:rPr/>
        <w:t>年第一批、省级科技型 </w:t>
      </w:r>
      <w:r>
        <w:rPr>
          <w:spacing w:val="-3"/>
        </w:rPr>
        <w:t>中小企业扶持和科技发展专项资金的通知》（杭科计【</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40</w:t>
      </w:r>
      <w:r>
        <w:rPr>
          <w:rFonts w:ascii="Times New Roman" w:hAnsi="Times New Roman" w:cs="Times New Roman" w:eastAsia="Times New Roman" w:hint="default"/>
        </w:rPr>
        <w:t> </w:t>
      </w:r>
      <w:r>
        <w:rPr/>
        <w:t>号、杭财教会【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13 </w:t>
      </w:r>
      <w:r>
        <w:rPr/>
        <w:t>号、杭科计【</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41</w:t>
      </w:r>
      <w:r>
        <w:rPr>
          <w:rFonts w:ascii="Times New Roman" w:hAnsi="Times New Roman" w:cs="Times New Roman" w:eastAsia="Times New Roman" w:hint="default"/>
          <w:spacing w:val="8"/>
        </w:rPr>
        <w:t> </w:t>
      </w:r>
      <w:r>
        <w:rPr/>
        <w:t>号、杭财 教会【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14 </w:t>
      </w:r>
      <w:r>
        <w:rPr/>
        <w:t>号、杭科计【</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25 </w:t>
      </w:r>
      <w:r>
        <w:rPr/>
        <w:t>号、杭财教会【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 </w:t>
      </w:r>
      <w:r>
        <w:rPr>
          <w:spacing w:val="-4"/>
        </w:rPr>
        <w:t>号），子公司杭州银江智慧城市技术集团有限公司于</w:t>
      </w:r>
      <w:r>
        <w:rPr>
          <w:spacing w:val="53"/>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月收到省级科技型中小企业扶持和科技发展专项资金</w:t>
      </w:r>
      <w:r>
        <w:rPr>
          <w:spacing w:val="-45"/>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元，计入营业外收入。</w:t>
      </w:r>
    </w:p>
    <w:p>
      <w:pPr>
        <w:spacing w:after="0" w:line="30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2、其他非流动负债" w:id="365"/>
      <w:bookmarkEnd w:id="36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3、股本" w:id="366"/>
      <w:bookmarkEnd w:id="366"/>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655,789,086.00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655,789,086.00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4、其他权益工具" w:id="367"/>
      <w:bookmarkEnd w:id="36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期末发行在外的优先股、永续债等其他金融工具基本情况" w:id="368"/>
      <w:bookmarkEnd w:id="36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期末发行在外的优先股、永续债等金融工具变动情况表" w:id="369"/>
      <w:bookmarkEnd w:id="36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70"/>
      <w:bookmarkEnd w:id="37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1,350,591,228.29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1,348,600,199.34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1,311,921.74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7,018,871.83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8,330,793.57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1,351,903,150.03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7,018,871.83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1,356,930,992.91</w:t>
            </w:r>
          </w:p>
        </w:tc>
      </w:tr>
    </w:tbl>
    <w:p>
      <w:pPr>
        <w:pStyle w:val="BodyText"/>
        <w:spacing w:line="360" w:lineRule="auto" w:before="51"/>
        <w:ind w:left="1134" w:right="6612"/>
        <w:jc w:val="left"/>
      </w:pPr>
      <w:r>
        <w:rPr/>
        <w:t>其他说明，包括本期增减变动情况、变动原因说明： 本期资本公积变动说明：</w:t>
      </w:r>
    </w:p>
    <w:p>
      <w:pPr>
        <w:pStyle w:val="BodyText"/>
        <w:spacing w:line="240" w:lineRule="auto" w:before="26"/>
        <w:ind w:left="1134" w:right="0"/>
        <w:jc w:val="left"/>
      </w:pPr>
      <w:r>
        <w:rPr/>
        <w:t>注</w:t>
      </w:r>
      <w:r>
        <w:rPr>
          <w:spacing w:val="-46"/>
        </w:rPr>
        <w:t> </w:t>
      </w:r>
      <w:r>
        <w:rPr>
          <w:rFonts w:ascii="Times New Roman" w:hAnsi="Times New Roman" w:cs="Times New Roman" w:eastAsia="Times New Roman" w:hint="default"/>
        </w:rPr>
        <w:t>1</w:t>
      </w:r>
      <w:r>
        <w:rPr/>
        <w:t>：公司第三次股权激励本期确认激励费用使得其他资本公积增加</w:t>
      </w:r>
      <w:r>
        <w:rPr>
          <w:spacing w:val="-45"/>
        </w:rPr>
        <w:t> </w:t>
      </w:r>
      <w:r>
        <w:rPr>
          <w:rFonts w:ascii="Times New Roman" w:hAnsi="Times New Roman" w:cs="Times New Roman" w:eastAsia="Times New Roman" w:hint="default"/>
        </w:rPr>
        <w:t>5,019,566.50 </w:t>
      </w:r>
      <w:r>
        <w:rPr/>
        <w:t>元。</w:t>
      </w:r>
    </w:p>
    <w:p>
      <w:pPr>
        <w:pStyle w:val="BodyText"/>
        <w:spacing w:line="338" w:lineRule="auto" w:before="104"/>
        <w:ind w:left="1134" w:right="1126"/>
        <w:jc w:val="left"/>
      </w:pPr>
      <w:r>
        <w:rPr/>
        <w:t>注</w:t>
      </w:r>
      <w:r>
        <w:rPr>
          <w:spacing w:val="-47"/>
        </w:rPr>
        <w:t> </w:t>
      </w:r>
      <w:r>
        <w:rPr>
          <w:rFonts w:ascii="Times New Roman" w:hAnsi="Times New Roman" w:cs="Times New Roman" w:eastAsia="Times New Roman" w:hint="default"/>
        </w:rPr>
        <w:t>2</w:t>
      </w:r>
      <w:r>
        <w:rPr/>
        <w:t>：因子公司引入少数股东，少数股东出资导致公司对子公司的权益变动，导致本期其他资本公积增加</w:t>
      </w:r>
      <w:r>
        <w:rPr>
          <w:spacing w:val="-46"/>
        </w:rPr>
        <w:t> </w:t>
      </w:r>
      <w:r>
        <w:rPr>
          <w:rFonts w:ascii="Times New Roman" w:hAnsi="Times New Roman" w:cs="Times New Roman" w:eastAsia="Times New Roman" w:hint="default"/>
        </w:rPr>
        <w:t>1,999,305.33</w:t>
      </w:r>
      <w:r>
        <w:rPr>
          <w:rFonts w:ascii="Times New Roman" w:hAnsi="Times New Roman" w:cs="Times New Roman" w:eastAsia="Times New Roman" w:hint="default"/>
          <w:spacing w:val="-1"/>
        </w:rPr>
        <w:t> </w:t>
      </w:r>
      <w:r>
        <w:rPr/>
        <w:t>元。 注</w:t>
      </w:r>
      <w:r>
        <w:rPr>
          <w:spacing w:val="-47"/>
        </w:rPr>
        <w:t> </w:t>
      </w:r>
      <w:r>
        <w:rPr>
          <w:rFonts w:ascii="Times New Roman" w:hAnsi="Times New Roman" w:cs="Times New Roman" w:eastAsia="Times New Roman" w:hint="default"/>
        </w:rPr>
        <w:t>3</w:t>
      </w:r>
      <w:r>
        <w:rPr/>
        <w:t>：因收购子公司少数股东股权，导致公司对子公司的权益变动，冲减资本公积股本溢价</w:t>
      </w:r>
      <w:r>
        <w:rPr>
          <w:spacing w:val="-46"/>
        </w:rPr>
        <w:t> </w:t>
      </w:r>
      <w:r>
        <w:rPr>
          <w:rFonts w:ascii="Times New Roman" w:hAnsi="Times New Roman" w:cs="Times New Roman" w:eastAsia="Times New Roman" w:hint="default"/>
        </w:rPr>
        <w:t>1,991,028.95</w:t>
      </w:r>
      <w:r>
        <w:rPr>
          <w:rFonts w:ascii="Times New Roman" w:hAnsi="Times New Roman" w:cs="Times New Roman" w:eastAsia="Times New Roman" w:hint="default"/>
          <w:spacing w:val="-1"/>
        </w:rPr>
        <w:t> </w:t>
      </w:r>
      <w:r>
        <w:rPr/>
        <w:t>元。</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6、库存股" w:id="371"/>
      <w:bookmarkEnd w:id="37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北京亚太安讯科技有限 责任公司业绩未达到承 诺数需回购的公司股权</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25,240,153.00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25,240,153.00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25,240,153.00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25,240,153.00</w:t>
            </w:r>
          </w:p>
        </w:tc>
      </w:tr>
    </w:tbl>
    <w:p>
      <w:pPr>
        <w:pStyle w:val="BodyText"/>
        <w:spacing w:line="240" w:lineRule="auto" w:before="51"/>
        <w:ind w:left="1134" w:right="0"/>
        <w:jc w:val="both"/>
      </w:pPr>
      <w:r>
        <w:rPr/>
        <w:t>其他说明，包括本期增减变动情况、变动原因说明：</w:t>
      </w:r>
    </w:p>
    <w:p>
      <w:pPr>
        <w:pStyle w:val="BodyText"/>
        <w:spacing w:line="307" w:lineRule="auto" w:before="115"/>
        <w:ind w:right="1130"/>
        <w:jc w:val="both"/>
        <w:rPr>
          <w:rFonts w:ascii="Times New Roman" w:hAnsi="Times New Roman" w:cs="Times New Roman" w:eastAsia="Times New Roman" w:hint="default"/>
        </w:rPr>
      </w:pPr>
      <w:r>
        <w:rPr/>
        <w:t>注：公司于 </w:t>
      </w:r>
      <w:r>
        <w:rPr>
          <w:rFonts w:ascii="Times New Roman" w:hAnsi="Times New Roman" w:cs="Times New Roman" w:eastAsia="Times New Roman" w:hint="default"/>
        </w:rPr>
        <w:t>2014 </w:t>
      </w:r>
      <w:r>
        <w:rPr/>
        <w:t>年支付现金及发行股份取得北京亚太安讯科技有限责任公司</w:t>
      </w:r>
      <w:r>
        <w:rPr>
          <w:spacing w:val="-53"/>
        </w:rPr>
        <w:t> </w:t>
      </w:r>
      <w:r>
        <w:rPr>
          <w:rFonts w:ascii="Times New Roman" w:hAnsi="Times New Roman" w:cs="Times New Roman" w:eastAsia="Times New Roman" w:hint="default"/>
        </w:rPr>
        <w:t>100.00%</w:t>
      </w:r>
      <w:r>
        <w:rPr/>
        <w:t>股权，并与北京亚太安讯科技有限责 </w:t>
      </w:r>
      <w:r>
        <w:rPr>
          <w:spacing w:val="-2"/>
        </w:rPr>
        <w:t>任公司大股东签订了盈利预测补偿协议，协议约定北京亚太安讯科技有限责任公司大股东李欣承诺北京亚太安讯科技有限责</w:t>
      </w:r>
      <w:r>
        <w:rPr>
          <w:spacing w:val="-64"/>
        </w:rPr>
        <w:t> </w:t>
      </w:r>
      <w:r>
        <w:rPr>
          <w:spacing w:val="-64"/>
        </w:rPr>
      </w:r>
      <w:r>
        <w:rPr/>
        <w:t>任公司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6"/>
        </w:rPr>
        <w:t>年度、</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
        </w:rPr>
        <w:t> </w:t>
      </w:r>
      <w:r>
        <w:rPr>
          <w:spacing w:val="-6"/>
        </w:rPr>
        <w:t>年度、</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
        </w:rPr>
        <w:t> </w:t>
      </w:r>
      <w:r>
        <w:rPr/>
        <w:t>年度经审计的扣除非经常性损益后的归属于母公司股东的税后净利润分别不低于人民币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5,750</w:t>
      </w:r>
      <w:r>
        <w:rPr>
          <w:rFonts w:ascii="Times New Roman" w:hAnsi="Times New Roman" w:cs="Times New Roman" w:eastAsia="Times New Roman" w:hint="default"/>
          <w:spacing w:val="1"/>
        </w:rPr>
        <w:t> </w:t>
      </w:r>
      <w:r>
        <w:rPr/>
        <w:t>万元和</w:t>
      </w:r>
      <w:r>
        <w:rPr>
          <w:spacing w:val="-45"/>
        </w:rPr>
        <w:t> </w:t>
      </w:r>
      <w:r>
        <w:rPr>
          <w:rFonts w:ascii="Times New Roman" w:hAnsi="Times New Roman" w:cs="Times New Roman" w:eastAsia="Times New Roman" w:hint="default"/>
        </w:rPr>
        <w:t>6,613</w:t>
      </w:r>
      <w:r>
        <w:rPr>
          <w:rFonts w:ascii="Times New Roman" w:hAnsi="Times New Roman" w:cs="Times New Roman" w:eastAsia="Times New Roman" w:hint="default"/>
          <w:spacing w:val="1"/>
        </w:rPr>
        <w:t> </w:t>
      </w:r>
      <w:r>
        <w:rPr/>
        <w:t>万元，协议另外约定如北京亚太安讯科技有限责任公司无法完成上述承诺业绩，公司需以</w:t>
      </w:r>
      <w:r>
        <w:rPr>
          <w:spacing w:val="-44"/>
        </w:rPr>
        <w:t> </w:t>
      </w:r>
      <w:r>
        <w:rPr>
          <w:rFonts w:ascii="Times New Roman" w:hAnsi="Times New Roman" w:cs="Times New Roman" w:eastAsia="Times New Roman" w:hint="default"/>
        </w:rPr>
        <w:t>1</w:t>
      </w:r>
    </w:p>
    <w:p>
      <w:pPr>
        <w:pStyle w:val="BodyText"/>
        <w:spacing w:line="240" w:lineRule="auto" w:before="7"/>
        <w:ind w:right="0"/>
        <w:jc w:val="both"/>
      </w:pPr>
      <w:r>
        <w:rPr/>
        <w:t>元的价格回购李欣持有的本公司股份。北京亚太安讯科技有限责任公司</w:t>
      </w:r>
      <w:r>
        <w:rPr>
          <w:spacing w:val="-72"/>
        </w:rPr>
        <w:t> </w:t>
      </w:r>
      <w:r>
        <w:rPr>
          <w:rFonts w:ascii="Times New Roman" w:hAnsi="Times New Roman" w:cs="Times New Roman" w:eastAsia="Times New Roman" w:hint="default"/>
        </w:rPr>
        <w:t>2013-2015</w:t>
      </w:r>
      <w:r>
        <w:rPr>
          <w:rFonts w:ascii="Times New Roman" w:hAnsi="Times New Roman" w:cs="Times New Roman" w:eastAsia="Times New Roman" w:hint="default"/>
          <w:spacing w:val="-27"/>
        </w:rPr>
        <w:t> </w:t>
      </w:r>
      <w:r>
        <w:rPr/>
        <w:t>年经审计后扣除非经常性损益后的归属于</w:t>
      </w:r>
    </w:p>
    <w:p>
      <w:pPr>
        <w:pStyle w:val="BodyText"/>
        <w:spacing w:line="240" w:lineRule="auto" w:before="63"/>
        <w:ind w:left="1134" w:right="0"/>
        <w:jc w:val="both"/>
      </w:pPr>
      <w:r>
        <w:rPr/>
        <w:t>母公司的净利润未达到前述承诺金额，根据协议约定的应回购股份的计算方法计算本年度需回购李欣股份 </w:t>
      </w:r>
      <w:r>
        <w:rPr>
          <w:rFonts w:ascii="Times New Roman" w:hAnsi="Times New Roman" w:cs="Times New Roman" w:eastAsia="Times New Roman" w:hint="default"/>
        </w:rPr>
        <w:t>30,314,460 </w:t>
      </w:r>
      <w:r>
        <w:rPr>
          <w:rFonts w:ascii="Times New Roman" w:hAnsi="Times New Roman" w:cs="Times New Roman" w:eastAsia="Times New Roman" w:hint="default"/>
          <w:spacing w:val="7"/>
        </w:rPr>
        <w:t> </w:t>
      </w:r>
      <w:r>
        <w:rPr/>
        <w:t>股，</w:t>
      </w:r>
    </w:p>
    <w:p>
      <w:pPr>
        <w:pStyle w:val="BodyText"/>
        <w:spacing w:line="302" w:lineRule="auto" w:before="63"/>
        <w:ind w:left="1134" w:right="113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年度已经回购</w:t>
      </w:r>
      <w:r>
        <w:rPr>
          <w:spacing w:val="-54"/>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9"/>
        </w:rPr>
        <w:t> </w:t>
      </w:r>
      <w:r>
        <w:rPr/>
        <w:t>股，并已办理相关完毕股份注销手续，剩余需回购的</w:t>
      </w:r>
      <w:r>
        <w:rPr>
          <w:spacing w:val="-54"/>
        </w:rPr>
        <w:t> </w:t>
      </w:r>
      <w:r>
        <w:rPr>
          <w:rFonts w:ascii="Times New Roman" w:hAnsi="Times New Roman" w:cs="Times New Roman" w:eastAsia="Times New Roman" w:hint="default"/>
        </w:rPr>
        <w:t>25,240,153</w:t>
      </w:r>
      <w:r>
        <w:rPr>
          <w:rFonts w:ascii="Times New Roman" w:hAnsi="Times New Roman" w:cs="Times New Roman" w:eastAsia="Times New Roman" w:hint="default"/>
          <w:spacing w:val="-8"/>
        </w:rPr>
        <w:t> </w:t>
      </w:r>
      <w:r>
        <w:rPr/>
        <w:t>股公司股份，截至本年末尚未 回购注销完成。</w:t>
      </w:r>
    </w:p>
    <w:p>
      <w:pPr>
        <w:spacing w:line="240" w:lineRule="auto" w:before="3"/>
        <w:rPr>
          <w:rFonts w:ascii="宋体" w:hAnsi="宋体" w:cs="宋体" w:eastAsia="宋体" w:hint="default"/>
          <w:sz w:val="23"/>
          <w:szCs w:val="23"/>
        </w:rPr>
      </w:pPr>
    </w:p>
    <w:p>
      <w:pPr>
        <w:pStyle w:val="Heading4"/>
        <w:spacing w:line="240" w:lineRule="auto"/>
        <w:ind w:left="1134" w:right="0"/>
        <w:jc w:val="both"/>
        <w:rPr>
          <w:b w:val="0"/>
          <w:bCs w:val="0"/>
        </w:rPr>
      </w:pPr>
      <w:bookmarkStart w:name="57、其他综合收益" w:id="372"/>
      <w:bookmarkEnd w:id="37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171,833,727.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-29,985,566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-25,487,731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95.56</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171,833,727.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-29,985,566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-25,487,731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95.56</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171,833,727.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-29,985,566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-25,487,731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146,345,9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95.56</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专项储备" w:id="373"/>
      <w:bookmarkEnd w:id="37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9、盈余公积" w:id="374"/>
      <w:bookmarkEnd w:id="37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100,216,991.54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11,442,481.65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111,659,473.19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100,216,991.54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11,442,481.65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111,659,473.19</w:t>
            </w:r>
          </w:p>
        </w:tc>
      </w:tr>
    </w:tbl>
    <w:p>
      <w:pPr>
        <w:pStyle w:val="BodyText"/>
        <w:spacing w:line="240" w:lineRule="auto" w:before="51"/>
        <w:ind w:left="113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0、未分配利润" w:id="375"/>
      <w:bookmarkEnd w:id="37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729,984,275.03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608,277,908.79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729,984,275.03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608,277,908.79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138,654,236.34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153,377,346.60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11,442,481.65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19,111,915.44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31,527,446.65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12,559,064.92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825,668,583.07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76"/>
      <w:bookmarkEnd w:id="37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1,939,504,905.47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1,419,178,140.31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1,652,021,097.65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1,225,279,029.27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2,716,308.81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2,059,859.73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3,282,800.50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1,390,272.67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1,942,221,214.28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1,421,238,000.04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1,655,303,898.15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1,226,669,301.94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2、税金及附加" w:id="377"/>
      <w:bookmarkEnd w:id="377"/>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4,409,034.65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2,146,989.86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1,922,584.97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1,820,513.47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1,129,072.86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706,857.18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1,242,718.18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3,547,401.09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1,249,929.72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643,897.45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4,016,867.13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2,622,992.49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13,434,346.51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12,577,300.93</w:t>
            </w:r>
          </w:p>
        </w:tc>
      </w:tr>
    </w:tbl>
    <w:p>
      <w:pPr>
        <w:pStyle w:val="BodyText"/>
        <w:spacing w:line="240" w:lineRule="auto" w:before="51"/>
        <w:ind w:left="1134" w:right="0"/>
        <w:jc w:val="left"/>
      </w:pPr>
      <w:r>
        <w:rPr/>
        <w:t>其他说明：</w:t>
      </w:r>
    </w:p>
    <w:p>
      <w:pPr>
        <w:pStyle w:val="Heading3"/>
        <w:spacing w:line="240" w:lineRule="auto"/>
        <w:ind w:right="0"/>
        <w:jc w:val="left"/>
      </w:pPr>
      <w:r>
        <w:rPr/>
        <w:t>注：各项营业税金及附加的计缴标准详见附注五、税项。</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63、销售费用" w:id="378"/>
      <w:bookmarkEnd w:id="37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18,869,891.90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20,825,228.43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8,966,157.60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11,124,040.59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947,569.74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842,928.38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1,079,230.42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2,862,289.80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8,224,933.33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5,857,687.26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3,723,388.30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4,091,051.25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5,974,179.71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3,476,658.53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1,492,966.48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2,052,803.54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504,212.26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556,628.98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823,947.61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139,785.88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3,067,901.35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1,979,175.80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53,674,378.70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53,808,278.44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79"/>
      <w:bookmarkEnd w:id="37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61,989,409.17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42,264,574.96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67,655,486.79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67,711,672.64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8,644,415.48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7,017,356.77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29,727,199.91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33,952,223.90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12,097,824.50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10,050,871.15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6,264,942.94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6,193,665.46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953,660.13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1,635,326.68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4,816,100.57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4,018,494.17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2,796,244.20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2,928,397.69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4,096,073.48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9,904,740.82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9,933,483.71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税金与附加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437,252.72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667,458.48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5,019,566.50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-244,879.33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6,722,038.01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7,286,618.53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221,260,196.70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197,511,338.29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5、财务费用" w:id="380"/>
      <w:bookmarkEnd w:id="38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48,566,769.06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37,165,754.40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20,910,942.98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24,074,441.54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679,675.92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2,788,788.54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28,335,502.00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17,711,101.40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81"/>
      <w:bookmarkEnd w:id="38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101,465,049.66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85,008,696.61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162,565.98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30,687,346.33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101,465,049.66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115,858,608.92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7、公允价值变动收益" w:id="382"/>
      <w:bookmarkEnd w:id="38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8、投资收益" w:id="383"/>
      <w:bookmarkEnd w:id="38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-11,889,386.78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-2,415,211.53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6,883,958.12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2,242,914.52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879,923.88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52,216,784.25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122,938,994.20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48,091,279.47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124,491,697.19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9、资产处置收益" w:id="384"/>
      <w:bookmarkEnd w:id="384"/>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322,087.70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115,272.51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-13,983.36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206,815.19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0、其他收益" w:id="385"/>
      <w:bookmarkEnd w:id="385"/>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71、营业外收入" w:id="386"/>
      <w:bookmarkEnd w:id="386"/>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7,802,270.90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14,512,347.68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7,601,616.00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710,393.85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1,133,072.61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710,393.85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罚款及赔偿利得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145,718.77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12,385.48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8,526,550.23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17,395,886.74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8,325,895.33</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2、营业外支出" w:id="387"/>
      <w:bookmarkEnd w:id="387"/>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10,138.91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1,317,684.33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834,527.08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239,770.09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834,527.08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844,665.99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1,557,454.42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834,527.08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所得税费用" w:id="388"/>
      <w:bookmarkEnd w:id="388"/>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89"/>
      <w:bookmarkEnd w:id="38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32,110,516.23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37,712,617.29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-9,243,238.55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-16,871,477.62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22,867,277.68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20,841,139.67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90"/>
      <w:bookmarkEnd w:id="39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158,572,921.02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32,484,840.73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823,732.63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497,131.30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-133,113.58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-7,563,145.10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-653,436.69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3,921,975.72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按照税法规定可以额外税前扣除的部分影响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-6,586,856.85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本期亏损但自行计提缴纳所得税额的影响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76,149.52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22,867,277.68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34" w:right="8855" w:firstLine="0"/>
        <w:jc w:val="left"/>
        <w:rPr>
          <w:rFonts w:ascii="宋体" w:hAnsi="宋体" w:cs="宋体" w:eastAsia="宋体" w:hint="default"/>
          <w:sz w:val="21"/>
          <w:szCs w:val="21"/>
        </w:rPr>
      </w:pPr>
      <w:bookmarkStart w:name="74、其他综合收益" w:id="391"/>
      <w:bookmarkEnd w:id="391"/>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bookmarkStart w:name="75、现金流量表项目"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93"/>
      <w:bookmarkEnd w:id="39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7,601,616.00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8,664,418.00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710,393.85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1,133,072.61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20,910,942.98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24,074,441.54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收回暂付款及收到暂收款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265,937,798.99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166,630,735.58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31,134,628.45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25,304,650.18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经营性租赁租金收入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2,716,308.81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2,832,923.20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13,885.48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1,750,466.45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329,025,574.56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230,390,707.56</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94"/>
      <w:bookmarkEnd w:id="39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28,025,038.25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23,481,498.16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10,137,381.96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9,070,160.31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5,895,330.99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6,880,783.97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9,988,331.24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10,284,716.71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20,322,757.83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15,908,558.41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947,569.74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842,928.38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1,777,607.74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1,775,112.56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4,231,314.96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4,096,073.48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9,904,740.82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9,933,483.71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3,300,456.46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3,485,026.67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5,974,179.71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3,476,658.53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8,966,157.60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11,124,040.59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679,675.92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2,788,788.54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支付暂收款及支付暂付款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183,865,641.88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186,284,477.25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55,376,023.52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22,824,887.75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9,450,810.23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9,208,478.77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358,843,018.85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321,465,673.79</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收到的其他与投资活动有关的现金" w:id="395"/>
      <w:bookmarkEnd w:id="39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与投资活动相关的股权投资预付款退回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96"/>
      <w:bookmarkEnd w:id="39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与投资活动相关的股权投资预付款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5）收到的其他与筹资活动有关的现金" w:id="397"/>
      <w:bookmarkEnd w:id="39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退回银行保证金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55,964,693.38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65,678,769.96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36,374,486.25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3,905,537.13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本期收回的与筹资活动相关保证金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130,139,179.63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69,584,307.09</w:t>
            </w:r>
          </w:p>
        </w:tc>
      </w:tr>
    </w:tbl>
    <w:p>
      <w:pPr>
        <w:pStyle w:val="BodyText"/>
        <w:spacing w:line="240" w:lineRule="auto" w:before="51"/>
        <w:ind w:left="1134" w:right="0"/>
        <w:jc w:val="left"/>
      </w:pPr>
      <w:r>
        <w:rPr/>
        <w:t>收到的其他与筹资活动有关的现金说明：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585.070007pt;width:151.25pt;height:20.8pt;mso-position-horizontal-relative:page;mso-position-vertical-relative:page;z-index:-1221736" coordorigin="4467,11701" coordsize="3025,416">
            <v:group style="position:absolute;left:4478;top:11713;width:2;height:393" coordorigin="4478,11713" coordsize="2,393">
              <v:shape style="position:absolute;left:4478;top:11713;width:2;height:393" coordorigin="4478,11713" coordsize="0,393" path="m4478,11713l4478,12105e" filled="false" stroked="true" strokeweight="1.140pt" strokecolor="#ffffff">
                <v:path arrowok="t"/>
              </v:shape>
            </v:group>
            <v:group style="position:absolute;left:4490;top:11713;width:3002;height:393" coordorigin="4490,11713" coordsize="3002,393">
              <v:shape style="position:absolute;left:4490;top:11713;width:3002;height:393" coordorigin="4490,11713" coordsize="3002,393" path="m4490,12105l7491,12105,7491,11713,4490,11713,4490,12105xe" filled="true" fillcolor="#ffffff" stroked="false">
                <v:path arrowok="t"/>
                <v:fill type="solid"/>
              </v:shape>
            </v:group>
            <w10:wrap type="none"/>
          </v:group>
        </w:pict>
      </w:r>
    </w:p>
    <w:p>
      <w:pPr>
        <w:pStyle w:val="Heading4"/>
        <w:spacing w:line="240" w:lineRule="auto" w:before="35"/>
        <w:ind w:right="0"/>
        <w:jc w:val="left"/>
        <w:rPr>
          <w:b w:val="0"/>
          <w:bCs w:val="0"/>
        </w:rPr>
      </w:pPr>
      <w:bookmarkStart w:name="（6）支付的其他与筹资活动有关的现金" w:id="398"/>
      <w:bookmarkEnd w:id="39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支付的资金往来款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10,078,250.00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69,335,904.57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63,834,395.42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本期支出的与筹资活动相关保证金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代付股权激励个人所得税净额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9,798,058.05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69,335,904.57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121,510,703.47</w:t>
            </w: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76、现金流量表补充资料" w:id="399"/>
      <w:bookmarkEnd w:id="399"/>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400"/>
      <w:bookmarkEnd w:id="40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135,705,643.34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150,863,773.26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101,465,049.66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115,858,608.92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17,192,651.22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18,437,014.97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17,428,206.43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18,626,554.43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2,042,321.36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1,199,547.04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13,983.36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-206,815.19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48,566,769.06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38,996,754.40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-48,091,279.47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-124,491,697.19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-9,243,238.55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-16,871,477.62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-408,216,881.55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-123,104,148.55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-165,852,144.84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-195,286,631.01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111,389,318.92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-20,890,596.85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-17,772,624.18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-265,632.96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-215,372,225.24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-137,134,746.35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1,128,651,737.06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987,478,718.87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987,478,718.87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1,182,428,361.09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141,173,018.19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-194,949,642.22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401"/>
      <w:bookmarkEnd w:id="40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402"/>
      <w:bookmarkEnd w:id="40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11,906,159.27</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其中：北京亚太安讯科技有限责任公司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6,907,894.84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4,411,209.08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587,055.35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7,954,961.93</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其中：上海银江智慧智能化技术有限公司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844,400.00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1,860,561.93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131,048,802.66</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403"/>
      <w:bookmarkEnd w:id="40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1,128,651,737.06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987,478,718.87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359,445.82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596,745.16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1,066,575,552.39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985,020,959.20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61,716,738.85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1,861,014.51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1,128,651,737.06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987,478,718.87</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404"/>
      <w:bookmarkEnd w:id="404"/>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5"/>
      <w:bookmarkEnd w:id="405"/>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77,746,106.35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承兑汇票、银行保函、农民工保证金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38,743,866.20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应收账款质押借款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116,489,972.55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9、外币货币性项目" w:id="406"/>
      <w:bookmarkEnd w:id="406"/>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407"/>
      <w:bookmarkEnd w:id="40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408"/>
      <w:bookmarkEnd w:id="40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0、套期" w:id="409"/>
      <w:bookmarkEnd w:id="409"/>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8329" w:firstLine="0"/>
        <w:jc w:val="left"/>
        <w:rPr>
          <w:rFonts w:ascii="宋体" w:hAnsi="宋体" w:cs="宋体" w:eastAsia="宋体" w:hint="default"/>
          <w:sz w:val="21"/>
          <w:szCs w:val="21"/>
        </w:rPr>
      </w:pPr>
      <w:bookmarkStart w:name="81、其他" w:id="410"/>
      <w:bookmarkEnd w:id="410"/>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1"/>
      <w:bookmarkEnd w:id="41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2"/>
      <w:bookmarkEnd w:id="41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413"/>
      <w:bookmarkEnd w:id="41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414"/>
      <w:bookmarkEnd w:id="41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6072"/>
        <w:jc w:val="left"/>
      </w:pPr>
      <w:r>
        <w:rPr/>
        <w:t>合并成本公允价值的确定方法、或有对价及其变动的说明： 大额商誉形成的主要原因：</w:t>
      </w:r>
    </w:p>
    <w:p>
      <w:pPr>
        <w:pStyle w:val="BodyText"/>
        <w:spacing w:line="240" w:lineRule="auto" w:before="26"/>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被购买方于购买日可辨认资产、负债" w:id="415"/>
      <w:bookmarkEnd w:id="41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left="1134" w:right="0"/>
        <w:jc w:val="both"/>
        <w:rPr>
          <w:b w:val="0"/>
          <w:bCs w:val="0"/>
        </w:rPr>
      </w:pPr>
      <w:bookmarkStart w:name="（4）购买日之前持有的股权按照公允价值重新计量产生的利得或损失" w:id="416"/>
      <w:bookmarkEnd w:id="41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6"/>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17"/>
      <w:bookmarkEnd w:id="41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18"/>
      <w:bookmarkEnd w:id="41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19"/>
      <w:bookmarkEnd w:id="41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20"/>
      <w:bookmarkEnd w:id="42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21"/>
      <w:bookmarkEnd w:id="42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422"/>
      <w:bookmarkEnd w:id="42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3、反向购买" w:id="423"/>
      <w:bookmarkEnd w:id="42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134" w:right="0"/>
        <w:jc w:val="left"/>
        <w:rPr>
          <w:b w:val="0"/>
          <w:bCs w:val="0"/>
        </w:rPr>
      </w:pPr>
      <w:bookmarkStart w:name="4、处置子公司" w:id="424"/>
      <w:bookmarkEnd w:id="42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left="1134" w:right="-20"/>
        <w:jc w:val="left"/>
      </w:pPr>
      <w:r>
        <w:rPr/>
        <w:t>是否存在单次处置对子公司投资即丧失控制权的情形</w:t>
      </w:r>
    </w:p>
    <w:p>
      <w:pPr>
        <w:pStyle w:val="BodyText"/>
        <w:spacing w:line="240" w:lineRule="auto" w:before="117"/>
        <w:ind w:left="113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725"/>
        <w:gridCol w:w="736"/>
        <w:gridCol w:w="736"/>
        <w:gridCol w:w="735"/>
        <w:gridCol w:w="735"/>
        <w:gridCol w:w="735"/>
        <w:gridCol w:w="735"/>
        <w:gridCol w:w="735"/>
        <w:gridCol w:w="737"/>
        <w:gridCol w:w="737"/>
        <w:gridCol w:w="736"/>
        <w:gridCol w:w="736"/>
        <w:gridCol w:w="725"/>
      </w:tblGrid>
      <w:tr>
        <w:trPr>
          <w:trHeight w:val="70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7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4"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477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北京亚 太安讯 科技有 限责任 </w:t>
            </w:r>
            <w:r>
              <w:rPr>
                <w:rFonts w:ascii="宋体" w:hAnsi="宋体" w:cs="宋体" w:eastAsia="宋体" w:hint="default"/>
                <w:spacing w:val="-10"/>
                <w:sz w:val="18"/>
                <w:szCs w:val="18"/>
              </w:rPr>
              <w:t>公司、北</w:t>
            </w:r>
            <w:r>
              <w:rPr>
                <w:rFonts w:ascii="宋体" w:hAnsi="宋体" w:cs="宋体" w:eastAsia="宋体" w:hint="default"/>
                <w:sz w:val="18"/>
                <w:szCs w:val="18"/>
              </w:rPr>
              <w:t> 京亚太 安讯通 讯技术 有限公 </w:t>
            </w:r>
            <w:r>
              <w:rPr>
                <w:rFonts w:ascii="宋体" w:hAnsi="宋体" w:cs="宋体" w:eastAsia="宋体" w:hint="default"/>
                <w:spacing w:val="-10"/>
                <w:sz w:val="18"/>
                <w:szCs w:val="18"/>
              </w:rPr>
              <w:t>司、北京</w:t>
            </w:r>
            <w:r>
              <w:rPr>
                <w:rFonts w:ascii="宋体" w:hAnsi="宋体" w:cs="宋体" w:eastAsia="宋体" w:hint="default"/>
                <w:sz w:val="18"/>
                <w:szCs w:val="18"/>
              </w:rPr>
              <w:t> 城城速 通网络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7"/>
              <w:jc w:val="left"/>
              <w:rPr>
                <w:rFonts w:ascii="宋体" w:hAnsi="宋体" w:cs="宋体" w:eastAsia="宋体" w:hint="default"/>
                <w:sz w:val="18"/>
                <w:szCs w:val="18"/>
              </w:rPr>
            </w:pPr>
            <w:r>
              <w:rPr>
                <w:rFonts w:ascii="宋体" w:hAnsi="宋体" w:cs="宋体" w:eastAsia="宋体" w:hint="default"/>
                <w:sz w:val="18"/>
                <w:szCs w:val="18"/>
              </w:rPr>
              <w:t>股权转 让相关 审批事 项完成， 股权转 让协议 签订及 工商变 更登记 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10,641,4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杭州清 普信息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54,145,0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股权退 回</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股权纠 纷法院 调解及 工商变 更登记 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-3,719,7</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55.56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24,799,1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24,799,1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按照评 估后的 资产持 续计算 所得</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杭州银 江医联 网技术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其他股 东增资 稀释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增资完 成及工 商变更 登记完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9,053,86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9,053,86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both"/>
              <w:rPr>
                <w:rFonts w:ascii="宋体" w:hAnsi="宋体" w:cs="宋体" w:eastAsia="宋体" w:hint="default"/>
                <w:sz w:val="18"/>
                <w:szCs w:val="18"/>
              </w:rPr>
            </w:pPr>
            <w:r>
              <w:rPr>
                <w:rFonts w:ascii="宋体" w:hAnsi="宋体" w:cs="宋体" w:eastAsia="宋体" w:hint="default"/>
                <w:sz w:val="18"/>
                <w:szCs w:val="18"/>
              </w:rPr>
              <w:t>按照账 面资产 确认</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25"/>
      <w:bookmarkEnd w:id="42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月，公司新设全资子公司湖北银江智慧城市技术有限公司，从该公司设立之日起，将其纳入合并报表范围。</w:t>
      </w:r>
    </w:p>
    <w:p>
      <w:pPr>
        <w:pStyle w:val="BodyText"/>
        <w:spacing w:line="240" w:lineRule="auto" w:before="102"/>
        <w:ind w:left="113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月，公司新设子公司济南银江信息技术有限公司，从该公司设立之日起，将其纳入合并报表范围。</w:t>
      </w:r>
    </w:p>
    <w:p>
      <w:pPr>
        <w:pStyle w:val="BodyText"/>
        <w:spacing w:line="240" w:lineRule="auto" w:before="103"/>
        <w:ind w:left="113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月，公司新设子公司沈阳智享大健康信息科技有限公司，从该公司设立之日起，将其纳入合并报表范围。</w:t>
      </w:r>
    </w:p>
    <w:p>
      <w:pPr>
        <w:pStyle w:val="BodyText"/>
        <w:spacing w:line="240" w:lineRule="auto" w:before="102"/>
        <w:ind w:left="1134" w:right="0"/>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月，公司新设全资子公司浙江银江智慧医疗研究院有限公司，从该公司设立之日起，将其纳入合并报表范围。</w:t>
      </w:r>
    </w:p>
    <w:p>
      <w:pPr>
        <w:pStyle w:val="BodyText"/>
        <w:spacing w:line="302" w:lineRule="auto" w:before="101"/>
        <w:ind w:right="1118"/>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月，公司新设全资子公司浙江银江智慧交通工程技术研究院有限公司，从该公司设立之日起，将其纳入合并 报表范围。</w:t>
      </w:r>
    </w:p>
    <w:p>
      <w:pPr>
        <w:pStyle w:val="BodyText"/>
        <w:spacing w:line="302" w:lineRule="auto" w:before="69"/>
        <w:ind w:right="1118"/>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月，公司新设全资子公司浙江银江智慧城市信息技术研究院有限公司，从该公司设立之日起，将其纳入合并 报表范围。</w:t>
      </w:r>
    </w:p>
    <w:p>
      <w:pPr>
        <w:spacing w:line="240" w:lineRule="auto" w:before="2"/>
        <w:rPr>
          <w:rFonts w:ascii="宋体" w:hAnsi="宋体" w:cs="宋体" w:eastAsia="宋体" w:hint="default"/>
          <w:sz w:val="23"/>
          <w:szCs w:val="23"/>
        </w:rPr>
      </w:pPr>
    </w:p>
    <w:p>
      <w:pPr>
        <w:spacing w:line="487" w:lineRule="auto" w:before="0"/>
        <w:ind w:left="1133" w:right="8103" w:firstLine="0"/>
        <w:jc w:val="left"/>
        <w:rPr>
          <w:rFonts w:ascii="宋体" w:hAnsi="宋体" w:cs="宋体" w:eastAsia="宋体" w:hint="default"/>
          <w:sz w:val="21"/>
          <w:szCs w:val="21"/>
        </w:rPr>
      </w:pPr>
      <w:bookmarkStart w:name="6、其他" w:id="426"/>
      <w:bookmarkEnd w:id="42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7"/>
      <w:bookmarkEnd w:id="427"/>
      <w:r>
        <w:rPr>
          <w:rFonts w:ascii="宋体" w:hAnsi="宋体" w:cs="宋体" w:eastAsia="宋体" w:hint="default"/>
          <w:b/>
          <w:bCs/>
          <w:spacing w:val="1"/>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29"/>
      <w:bookmarkEnd w:id="42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福建银江智慧城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江西银江智慧城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广东银江智慧城 市建设技术有限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重庆银江交通工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山西银江交通信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医疗技术开发服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浙江银江云计算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软件技术开发服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浙江浙大健康管 理有限公司（注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银江（北京）物 联网技术有限公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浙江交通宝互联 网技术有限公司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浙江智尔信息技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弱电技术开发及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健康宝互联网技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杭州众嗨网络技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东丰银江智慧城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重庆银江智慧城 市信息技术有限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贵阳银江智慧城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浙江城市宝互联 网技术有限公司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四川银江智慧城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江苏银江智慧城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银江股份（香港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济南银江信息技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沈阳智享大健康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浙江银江智慧医 疗研究院有限公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浙江银江智慧交 通工程技术研究 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浙江银江智慧城 市信息技术研究 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left="1134" w:right="0"/>
        <w:jc w:val="left"/>
      </w:pPr>
      <w:r>
        <w:rPr/>
        <w:t>在子公司的持股比例不同于表决权比例的说明：</w:t>
      </w:r>
    </w:p>
    <w:p>
      <w:pPr>
        <w:pStyle w:val="BodyText"/>
        <w:spacing w:line="300" w:lineRule="auto" w:before="116"/>
        <w:ind w:right="1031"/>
        <w:jc w:val="left"/>
      </w:pPr>
      <w:r>
        <w:rPr/>
        <w:t>注</w:t>
      </w:r>
      <w:r>
        <w:rPr>
          <w:spacing w:val="-48"/>
        </w:rPr>
        <w:t> </w:t>
      </w:r>
      <w:r>
        <w:rPr>
          <w:rFonts w:ascii="Times New Roman" w:hAnsi="Times New Roman" w:cs="Times New Roman" w:eastAsia="Times New Roman" w:hint="default"/>
        </w:rPr>
        <w:t>1</w:t>
      </w:r>
      <w:r>
        <w:rPr/>
        <w:t>：本公司对浙江浙大健康管理有限公司投资</w:t>
      </w:r>
      <w:r>
        <w:rPr>
          <w:spacing w:val="-47"/>
        </w:rPr>
        <w:t> </w:t>
      </w:r>
      <w:r>
        <w:rPr>
          <w:rFonts w:ascii="Times New Roman" w:hAnsi="Times New Roman" w:cs="Times New Roman" w:eastAsia="Times New Roman" w:hint="default"/>
        </w:rPr>
        <w:t>307.622</w:t>
      </w:r>
      <w:r>
        <w:rPr>
          <w:rFonts w:ascii="Times New Roman" w:hAnsi="Times New Roman" w:cs="Times New Roman" w:eastAsia="Times New Roman" w:hint="default"/>
          <w:spacing w:val="-3"/>
        </w:rPr>
        <w:t> </w:t>
      </w:r>
      <w:r>
        <w:rPr/>
        <w:t>万元，占被投资单位注册资本总额的</w:t>
      </w:r>
      <w:r>
        <w:rPr>
          <w:spacing w:val="-48"/>
        </w:rPr>
        <w:t> </w:t>
      </w:r>
      <w:r>
        <w:rPr>
          <w:rFonts w:ascii="Times New Roman" w:hAnsi="Times New Roman" w:cs="Times New Roman" w:eastAsia="Times New Roman" w:hint="default"/>
        </w:rPr>
        <w:t>49%</w:t>
      </w:r>
      <w:r>
        <w:rPr/>
        <w:t>，根据浙江浙大健康管理 </w:t>
      </w:r>
      <w:r>
        <w:rPr>
          <w:spacing w:val="-4"/>
        </w:rPr>
        <w:t>有限公司章程第十五条规定，公司设董事会，其成员为七人，其中本公司推选四名董事；根据</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日股东会决议， </w:t>
      </w:r>
      <w:r>
        <w:rPr>
          <w:spacing w:val="-2"/>
        </w:rPr>
        <w:t>七名董事中本公司推选的董事超过半数成员。因此认定公司能实际控制该公司，初始投资成本按非同一控制下企业合并取得</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的长期股权投资确定，后续计量按成本法核算。</w:t>
      </w:r>
    </w:p>
    <w:p>
      <w:pPr>
        <w:pStyle w:val="BodyText"/>
        <w:spacing w:line="300" w:lineRule="auto" w:before="115"/>
        <w:ind w:right="1119"/>
        <w:jc w:val="left"/>
      </w:pPr>
      <w:r>
        <w:rPr/>
        <w:t>注</w:t>
      </w:r>
      <w:r>
        <w:rPr>
          <w:spacing w:val="-31"/>
        </w:rPr>
        <w:t> </w:t>
      </w:r>
      <w:r>
        <w:rPr>
          <w:rFonts w:ascii="Times New Roman" w:hAnsi="Times New Roman" w:cs="Times New Roman" w:eastAsia="Times New Roman" w:hint="default"/>
        </w:rPr>
        <w:t>2</w:t>
      </w:r>
      <w:r>
        <w:rPr/>
        <w:t>：福建银江智慧城市信息技术有限公司（以下简称</w:t>
      </w:r>
      <w:r>
        <w:rPr>
          <w:rFonts w:ascii="Times New Roman" w:hAnsi="Times New Roman" w:cs="Times New Roman" w:eastAsia="Times New Roman" w:hint="default"/>
        </w:rPr>
        <w:t>“</w:t>
      </w:r>
      <w:r>
        <w:rPr/>
        <w:t>福建银江</w:t>
      </w:r>
      <w:r>
        <w:rPr>
          <w:rFonts w:ascii="Times New Roman" w:hAnsi="Times New Roman" w:cs="Times New Roman" w:eastAsia="Times New Roman" w:hint="default"/>
        </w:rPr>
        <w:t>”</w:t>
      </w:r>
      <w:r>
        <w:rPr/>
        <w:t>）按照工商资料显示福建银江注册资本</w:t>
      </w:r>
      <w:r>
        <w:rPr>
          <w:spacing w:val="-30"/>
        </w:rPr>
        <w:t> </w:t>
      </w:r>
      <w:r>
        <w:rPr>
          <w:rFonts w:ascii="Times New Roman" w:hAnsi="Times New Roman" w:cs="Times New Roman" w:eastAsia="Times New Roman" w:hint="default"/>
          <w:spacing w:val="-4"/>
        </w:rPr>
        <w:t>1,111</w:t>
      </w:r>
      <w:r>
        <w:rPr>
          <w:rFonts w:ascii="Times New Roman" w:hAnsi="Times New Roman" w:cs="Times New Roman" w:eastAsia="Times New Roman" w:hint="default"/>
          <w:spacing w:val="15"/>
        </w:rPr>
        <w:t> </w:t>
      </w:r>
      <w:r>
        <w:rPr/>
        <w:t>万元，其中 本公司出资</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万元，持股比例为</w:t>
      </w:r>
      <w:r>
        <w:rPr>
          <w:spacing w:val="-43"/>
        </w:rPr>
        <w:t> </w:t>
      </w:r>
      <w:r>
        <w:rPr>
          <w:rFonts w:ascii="Times New Roman" w:hAnsi="Times New Roman" w:cs="Times New Roman" w:eastAsia="Times New Roman" w:hint="default"/>
        </w:rPr>
        <w:t>90.01%</w:t>
      </w:r>
      <w:r>
        <w:rPr/>
        <w:t>，其他少数股东出资</w:t>
      </w:r>
      <w:r>
        <w:rPr>
          <w:spacing w:val="-43"/>
        </w:rPr>
        <w:t> </w:t>
      </w:r>
      <w:r>
        <w:rPr>
          <w:rFonts w:ascii="Times New Roman" w:hAnsi="Times New Roman" w:cs="Times New Roman" w:eastAsia="Times New Roman" w:hint="default"/>
          <w:spacing w:val="-6"/>
        </w:rPr>
        <w:t>111</w:t>
      </w:r>
      <w:r>
        <w:rPr>
          <w:rFonts w:ascii="Times New Roman" w:hAnsi="Times New Roman" w:cs="Times New Roman" w:eastAsia="Times New Roman" w:hint="default"/>
          <w:spacing w:val="2"/>
        </w:rPr>
        <w:t> </w:t>
      </w:r>
      <w:r>
        <w:rPr/>
        <w:t>万元，持股</w:t>
      </w:r>
      <w:r>
        <w:rPr>
          <w:spacing w:val="-43"/>
        </w:rPr>
        <w:t> </w:t>
      </w:r>
      <w:r>
        <w:rPr>
          <w:rFonts w:ascii="Times New Roman" w:hAnsi="Times New Roman" w:cs="Times New Roman" w:eastAsia="Times New Roman" w:hint="default"/>
        </w:rPr>
        <w:t>9.99%</w:t>
      </w:r>
      <w:r>
        <w:rPr/>
        <w:t>。截至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日，少数股</w:t>
      </w:r>
    </w:p>
    <w:p>
      <w:pPr>
        <w:pStyle w:val="BodyText"/>
        <w:spacing w:line="302" w:lineRule="auto" w:before="13"/>
        <w:ind w:right="1114"/>
        <w:jc w:val="left"/>
      </w:pPr>
      <w:r>
        <w:rPr/>
        <w:t>东实际出资</w:t>
      </w:r>
      <w:r>
        <w:rPr>
          <w:spacing w:val="-63"/>
        </w:rPr>
        <w:t> </w:t>
      </w:r>
      <w:r>
        <w:rPr>
          <w:rFonts w:ascii="Times New Roman" w:hAnsi="Times New Roman" w:cs="Times New Roman" w:eastAsia="Times New Roman" w:hint="default"/>
        </w:rPr>
        <w:t>33.30</w:t>
      </w:r>
      <w:r>
        <w:rPr>
          <w:rFonts w:ascii="Times New Roman" w:hAnsi="Times New Roman" w:cs="Times New Roman" w:eastAsia="Times New Roman" w:hint="default"/>
          <w:spacing w:val="-18"/>
        </w:rPr>
        <w:t> </w:t>
      </w:r>
      <w:r>
        <w:rPr/>
        <w:t>万元，本期按照实际出资比例纳入合并财务报表，按照实际出资口径计算本公司年末对福建银江的持股比 例为</w:t>
      </w:r>
      <w:r>
        <w:rPr>
          <w:spacing w:val="-46"/>
        </w:rPr>
        <w:t> </w:t>
      </w:r>
      <w:r>
        <w:rPr>
          <w:rFonts w:ascii="Times New Roman" w:hAnsi="Times New Roman" w:cs="Times New Roman" w:eastAsia="Times New Roman" w:hint="default"/>
        </w:rPr>
        <w:t>96.78%</w:t>
      </w:r>
      <w:r>
        <w:rPr/>
        <w:t>。</w:t>
      </w:r>
    </w:p>
    <w:p>
      <w:pPr>
        <w:pStyle w:val="BodyText"/>
        <w:spacing w:line="300" w:lineRule="auto" w:before="50"/>
        <w:ind w:right="1119"/>
        <w:jc w:val="left"/>
      </w:pPr>
      <w:r>
        <w:rPr/>
        <w:t>注</w:t>
      </w:r>
      <w:r>
        <w:rPr>
          <w:spacing w:val="-31"/>
        </w:rPr>
        <w:t> </w:t>
      </w:r>
      <w:r>
        <w:rPr>
          <w:rFonts w:ascii="Times New Roman" w:hAnsi="Times New Roman" w:cs="Times New Roman" w:eastAsia="Times New Roman" w:hint="default"/>
        </w:rPr>
        <w:t>3</w:t>
      </w:r>
      <w:r>
        <w:rPr/>
        <w:t>：西安银江智慧城市技术有限公司（以下简称</w:t>
      </w:r>
      <w:r>
        <w:rPr>
          <w:rFonts w:ascii="Times New Roman" w:hAnsi="Times New Roman" w:cs="Times New Roman" w:eastAsia="Times New Roman" w:hint="default"/>
        </w:rPr>
        <w:t>“</w:t>
      </w:r>
      <w:r>
        <w:rPr/>
        <w:t>西安银江</w:t>
      </w:r>
      <w:r>
        <w:rPr>
          <w:rFonts w:ascii="Times New Roman" w:hAnsi="Times New Roman" w:cs="Times New Roman" w:eastAsia="Times New Roman" w:hint="default"/>
        </w:rPr>
        <w:t>”</w:t>
      </w:r>
      <w:r>
        <w:rPr/>
        <w:t>）按照工商资料显示西安银江注册资本</w:t>
      </w:r>
      <w:r>
        <w:rPr>
          <w:spacing w:val="-30"/>
        </w:rPr>
        <w:t> </w:t>
      </w:r>
      <w:r>
        <w:rPr>
          <w:rFonts w:ascii="Times New Roman" w:hAnsi="Times New Roman" w:cs="Times New Roman" w:eastAsia="Times New Roman" w:hint="default"/>
          <w:spacing w:val="-4"/>
        </w:rPr>
        <w:t>1,111</w:t>
      </w:r>
      <w:r>
        <w:rPr>
          <w:rFonts w:ascii="Times New Roman" w:hAnsi="Times New Roman" w:cs="Times New Roman" w:eastAsia="Times New Roman" w:hint="default"/>
          <w:spacing w:val="15"/>
        </w:rPr>
        <w:t> </w:t>
      </w:r>
      <w:r>
        <w:rPr/>
        <w:t>万元，其中本公 司出资</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万元，持股比例为</w:t>
      </w:r>
      <w:r>
        <w:rPr>
          <w:spacing w:val="-43"/>
        </w:rPr>
        <w:t> </w:t>
      </w:r>
      <w:r>
        <w:rPr>
          <w:rFonts w:ascii="Times New Roman" w:hAnsi="Times New Roman" w:cs="Times New Roman" w:eastAsia="Times New Roman" w:hint="default"/>
        </w:rPr>
        <w:t>90.01%</w:t>
      </w:r>
      <w:r>
        <w:rPr/>
        <w:t>，其他少数股东出资</w:t>
      </w:r>
      <w:r>
        <w:rPr>
          <w:spacing w:val="-43"/>
        </w:rPr>
        <w:t> </w:t>
      </w:r>
      <w:r>
        <w:rPr>
          <w:rFonts w:ascii="Times New Roman" w:hAnsi="Times New Roman" w:cs="Times New Roman" w:eastAsia="Times New Roman" w:hint="default"/>
          <w:spacing w:val="-6"/>
        </w:rPr>
        <w:t>111</w:t>
      </w:r>
      <w:r>
        <w:rPr>
          <w:rFonts w:ascii="Times New Roman" w:hAnsi="Times New Roman" w:cs="Times New Roman" w:eastAsia="Times New Roman" w:hint="default"/>
          <w:spacing w:val="2"/>
        </w:rPr>
        <w:t> </w:t>
      </w:r>
      <w:r>
        <w:rPr/>
        <w:t>万元，持股</w:t>
      </w:r>
      <w:r>
        <w:rPr>
          <w:spacing w:val="-43"/>
        </w:rPr>
        <w:t> </w:t>
      </w:r>
      <w:r>
        <w:rPr>
          <w:rFonts w:ascii="Times New Roman" w:hAnsi="Times New Roman" w:cs="Times New Roman" w:eastAsia="Times New Roman" w:hint="default"/>
        </w:rPr>
        <w:t>9.99%</w:t>
      </w:r>
      <w:r>
        <w:rPr/>
        <w:t>。截至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日，少数股东实</w:t>
      </w:r>
    </w:p>
    <w:p>
      <w:pPr>
        <w:pStyle w:val="BodyText"/>
        <w:spacing w:line="240" w:lineRule="auto" w:before="13"/>
        <w:ind w:right="0"/>
        <w:jc w:val="left"/>
      </w:pPr>
      <w:r>
        <w:rPr/>
        <w:t>际出资</w:t>
      </w:r>
      <w:r>
        <w:rPr>
          <w:spacing w:val="-64"/>
        </w:rPr>
        <w:t> </w:t>
      </w:r>
      <w:r>
        <w:rPr>
          <w:rFonts w:ascii="Times New Roman" w:hAnsi="Times New Roman" w:cs="Times New Roman" w:eastAsia="Times New Roman" w:hint="default"/>
        </w:rPr>
        <w:t>33.30</w:t>
      </w:r>
      <w:r>
        <w:rPr>
          <w:rFonts w:ascii="Times New Roman" w:hAnsi="Times New Roman" w:cs="Times New Roman" w:eastAsia="Times New Roman" w:hint="default"/>
          <w:spacing w:val="-19"/>
        </w:rPr>
        <w:t> </w:t>
      </w:r>
      <w:r>
        <w:rPr/>
        <w:t>万元，本期按照实际出资比例纳入合并财务报表，按照实际出资口径计算本公司年末对西安银江的持股比例为</w:t>
      </w:r>
    </w:p>
    <w:p>
      <w:pPr>
        <w:pStyle w:val="BodyText"/>
        <w:spacing w:line="240" w:lineRule="auto" w:before="64"/>
        <w:ind w:right="0"/>
        <w:jc w:val="left"/>
      </w:pPr>
      <w:r>
        <w:rPr>
          <w:rFonts w:ascii="Times New Roman" w:hAnsi="Times New Roman" w:cs="Times New Roman" w:eastAsia="Times New Roman" w:hint="default"/>
        </w:rPr>
        <w:t>96.78%</w:t>
      </w:r>
      <w:r>
        <w:rPr/>
        <w:t>。</w:t>
      </w:r>
    </w:p>
    <w:p>
      <w:pPr>
        <w:pStyle w:val="BodyText"/>
        <w:spacing w:line="300" w:lineRule="auto" w:before="101"/>
        <w:ind w:left="1134" w:right="1118"/>
        <w:jc w:val="left"/>
      </w:pPr>
      <w:r>
        <w:rPr/>
        <w:t>注</w:t>
      </w:r>
      <w:r>
        <w:rPr>
          <w:spacing w:val="-37"/>
        </w:rPr>
        <w:t> </w:t>
      </w:r>
      <w:r>
        <w:rPr>
          <w:rFonts w:ascii="Times New Roman" w:hAnsi="Times New Roman" w:cs="Times New Roman" w:eastAsia="Times New Roman" w:hint="default"/>
        </w:rPr>
        <w:t>4</w:t>
      </w:r>
      <w:r>
        <w:rPr/>
        <w:t>：浙江银江云计算技术有限公司（以下简称</w:t>
      </w:r>
      <w:r>
        <w:rPr>
          <w:rFonts w:ascii="Times New Roman" w:hAnsi="Times New Roman" w:cs="Times New Roman" w:eastAsia="Times New Roman" w:hint="default"/>
        </w:rPr>
        <w:t>“</w:t>
      </w:r>
      <w:r>
        <w:rPr/>
        <w:t>银江云计算</w:t>
      </w:r>
      <w:r>
        <w:rPr>
          <w:rFonts w:ascii="Times New Roman" w:hAnsi="Times New Roman" w:cs="Times New Roman" w:eastAsia="Times New Roman" w:hint="default"/>
        </w:rPr>
        <w:t>”</w:t>
      </w:r>
      <w:r>
        <w:rPr/>
        <w:t>）按照工商资料显示银江云计算注册资本</w:t>
      </w:r>
      <w:r>
        <w:rPr>
          <w:spacing w:val="-37"/>
        </w:rPr>
        <w:t> </w:t>
      </w:r>
      <w:r>
        <w:rPr>
          <w:rFonts w:ascii="Times New Roman" w:hAnsi="Times New Roman" w:cs="Times New Roman" w:eastAsia="Times New Roman" w:hint="default"/>
        </w:rPr>
        <w:t>1,110</w:t>
      </w:r>
      <w:r>
        <w:rPr>
          <w:rFonts w:ascii="Times New Roman" w:hAnsi="Times New Roman" w:cs="Times New Roman" w:eastAsia="Times New Roman" w:hint="default"/>
          <w:spacing w:val="8"/>
        </w:rPr>
        <w:t> </w:t>
      </w:r>
      <w:r>
        <w:rPr/>
        <w:t>万元，其中本 公司出资</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万元，持股比例为</w:t>
      </w:r>
      <w:r>
        <w:rPr>
          <w:spacing w:val="-43"/>
        </w:rPr>
        <w:t> </w:t>
      </w:r>
      <w:r>
        <w:rPr>
          <w:rFonts w:ascii="Times New Roman" w:hAnsi="Times New Roman" w:cs="Times New Roman" w:eastAsia="Times New Roman" w:hint="default"/>
        </w:rPr>
        <w:t>90.09%</w:t>
      </w:r>
      <w:r>
        <w:rPr/>
        <w:t>，其他少数股东出资</w:t>
      </w:r>
      <w:r>
        <w:rPr>
          <w:spacing w:val="-43"/>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2"/>
        </w:rPr>
        <w:t> </w:t>
      </w:r>
      <w:r>
        <w:rPr/>
        <w:t>万元，持股</w:t>
      </w:r>
      <w:r>
        <w:rPr>
          <w:spacing w:val="-43"/>
        </w:rPr>
        <w:t> </w:t>
      </w:r>
      <w:r>
        <w:rPr>
          <w:rFonts w:ascii="Times New Roman" w:hAnsi="Times New Roman" w:cs="Times New Roman" w:eastAsia="Times New Roman" w:hint="default"/>
        </w:rPr>
        <w:t>9.91%</w:t>
      </w:r>
      <w:r>
        <w:rPr/>
        <w:t>。截至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日，少数股东</w:t>
      </w:r>
    </w:p>
    <w:p>
      <w:pPr>
        <w:pStyle w:val="BodyText"/>
        <w:spacing w:line="302" w:lineRule="auto" w:before="13"/>
        <w:ind w:right="1114"/>
        <w:jc w:val="left"/>
      </w:pPr>
      <w:r>
        <w:rPr/>
        <w:t>实际出资</w:t>
      </w:r>
      <w:r>
        <w:rPr>
          <w:spacing w:val="-63"/>
        </w:rPr>
        <w:t> </w:t>
      </w:r>
      <w:r>
        <w:rPr>
          <w:rFonts w:ascii="Times New Roman" w:hAnsi="Times New Roman" w:cs="Times New Roman" w:eastAsia="Times New Roman" w:hint="default"/>
        </w:rPr>
        <w:t>33.00</w:t>
      </w:r>
      <w:r>
        <w:rPr>
          <w:rFonts w:ascii="Times New Roman" w:hAnsi="Times New Roman" w:cs="Times New Roman" w:eastAsia="Times New Roman" w:hint="default"/>
          <w:spacing w:val="-18"/>
        </w:rPr>
        <w:t> </w:t>
      </w:r>
      <w:r>
        <w:rPr/>
        <w:t>万元，本期按照实际出资比例纳入合并财务报表，按照实际出资口径计算本公司年末对西安银江的持股比例 为</w:t>
      </w:r>
      <w:r>
        <w:rPr>
          <w:spacing w:val="-46"/>
        </w:rPr>
        <w:t> </w:t>
      </w:r>
      <w:r>
        <w:rPr>
          <w:rFonts w:ascii="Times New Roman" w:hAnsi="Times New Roman" w:cs="Times New Roman" w:eastAsia="Times New Roman" w:hint="default"/>
        </w:rPr>
        <w:t>96.81%</w:t>
      </w:r>
      <w:r>
        <w:rPr/>
        <w:t>。</w:t>
      </w:r>
    </w:p>
    <w:p>
      <w:pPr>
        <w:pStyle w:val="BodyText"/>
        <w:spacing w:line="300" w:lineRule="auto" w:before="49"/>
        <w:ind w:right="1119"/>
        <w:jc w:val="left"/>
      </w:pPr>
      <w:r>
        <w:rPr/>
        <w:t>注</w:t>
      </w:r>
      <w:r>
        <w:rPr>
          <w:spacing w:val="-37"/>
        </w:rPr>
        <w:t> </w:t>
      </w:r>
      <w:r>
        <w:rPr>
          <w:rFonts w:ascii="Times New Roman" w:hAnsi="Times New Roman" w:cs="Times New Roman" w:eastAsia="Times New Roman" w:hint="default"/>
        </w:rPr>
        <w:t>5</w:t>
      </w:r>
      <w:r>
        <w:rPr/>
        <w:t>：浙江智尔信息技术有限公司（以下简称</w:t>
      </w:r>
      <w:r>
        <w:rPr>
          <w:rFonts w:ascii="Times New Roman" w:hAnsi="Times New Roman" w:cs="Times New Roman" w:eastAsia="Times New Roman" w:hint="default"/>
        </w:rPr>
        <w:t>“</w:t>
      </w:r>
      <w:r>
        <w:rPr/>
        <w:t>智尔信息</w:t>
      </w:r>
      <w:r>
        <w:rPr>
          <w:rFonts w:ascii="Times New Roman" w:hAnsi="Times New Roman" w:cs="Times New Roman" w:eastAsia="Times New Roman" w:hint="default"/>
        </w:rPr>
        <w:t>”</w:t>
      </w:r>
      <w:r>
        <w:rPr/>
        <w:t>）按照工商资料显示智尔信息注册资本</w:t>
      </w:r>
      <w:r>
        <w:rPr>
          <w:spacing w:val="-37"/>
        </w:rPr>
        <w:t> </w:t>
      </w:r>
      <w:r>
        <w:rPr>
          <w:rFonts w:ascii="Times New Roman" w:hAnsi="Times New Roman" w:cs="Times New Roman" w:eastAsia="Times New Roman" w:hint="default"/>
        </w:rPr>
        <w:t>1,112</w:t>
      </w:r>
      <w:r>
        <w:rPr>
          <w:rFonts w:ascii="Times New Roman" w:hAnsi="Times New Roman" w:cs="Times New Roman" w:eastAsia="Times New Roman" w:hint="default"/>
          <w:spacing w:val="8"/>
        </w:rPr>
        <w:t> </w:t>
      </w:r>
      <w:r>
        <w:rPr/>
        <w:t>万元，其中本公司出 资</w:t>
      </w:r>
      <w:r>
        <w:rPr>
          <w:spacing w:val="-47"/>
        </w:rPr>
        <w:t> </w:t>
      </w:r>
      <w:r>
        <w:rPr>
          <w:rFonts w:ascii="Times New Roman" w:hAnsi="Times New Roman" w:cs="Times New Roman" w:eastAsia="Times New Roman" w:hint="default"/>
        </w:rPr>
        <w:t>1,001.00</w:t>
      </w:r>
      <w:r>
        <w:rPr>
          <w:rFonts w:ascii="Times New Roman" w:hAnsi="Times New Roman" w:cs="Times New Roman" w:eastAsia="Times New Roman" w:hint="default"/>
          <w:spacing w:val="-1"/>
        </w:rPr>
        <w:t> </w:t>
      </w:r>
      <w:r>
        <w:rPr/>
        <w:t>万元，持股比例为</w:t>
      </w:r>
      <w:r>
        <w:rPr>
          <w:spacing w:val="-47"/>
        </w:rPr>
        <w:t> </w:t>
      </w:r>
      <w:r>
        <w:rPr>
          <w:rFonts w:ascii="Times New Roman" w:hAnsi="Times New Roman" w:cs="Times New Roman" w:eastAsia="Times New Roman" w:hint="default"/>
        </w:rPr>
        <w:t>90.02%</w:t>
      </w:r>
      <w:r>
        <w:rPr/>
        <w:t>，其他少数股东出资</w:t>
      </w:r>
      <w:r>
        <w:rPr>
          <w:spacing w:val="-47"/>
        </w:rPr>
        <w:t> </w:t>
      </w:r>
      <w:r>
        <w:rPr>
          <w:rFonts w:ascii="Times New Roman" w:hAnsi="Times New Roman" w:cs="Times New Roman" w:eastAsia="Times New Roman" w:hint="default"/>
          <w:spacing w:val="-5"/>
        </w:rPr>
        <w:t>111</w:t>
      </w:r>
      <w:r>
        <w:rPr>
          <w:rFonts w:ascii="Times New Roman" w:hAnsi="Times New Roman" w:cs="Times New Roman" w:eastAsia="Times New Roman" w:hint="default"/>
          <w:spacing w:val="-2"/>
        </w:rPr>
        <w:t> </w:t>
      </w:r>
      <w:r>
        <w:rPr/>
        <w:t>万元，持股</w:t>
      </w:r>
      <w:r>
        <w:rPr>
          <w:spacing w:val="-47"/>
        </w:rPr>
        <w:t> </w:t>
      </w:r>
      <w:r>
        <w:rPr>
          <w:rFonts w:ascii="Times New Roman" w:hAnsi="Times New Roman" w:cs="Times New Roman" w:eastAsia="Times New Roman" w:hint="default"/>
        </w:rPr>
        <w:t>9.98%</w:t>
      </w: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日，少数股东实际</w:t>
      </w:r>
    </w:p>
    <w:p>
      <w:pPr>
        <w:pStyle w:val="BodyText"/>
        <w:spacing w:line="240" w:lineRule="auto" w:before="13"/>
        <w:ind w:left="1134" w:right="0"/>
        <w:jc w:val="left"/>
      </w:pPr>
      <w:r>
        <w:rPr/>
        <w:t>出资 </w:t>
      </w:r>
      <w:r>
        <w:rPr>
          <w:rFonts w:ascii="Times New Roman" w:hAnsi="Times New Roman" w:cs="Times New Roman" w:eastAsia="Times New Roman" w:hint="default"/>
        </w:rPr>
        <w:t>37.00 </w:t>
      </w:r>
      <w:r>
        <w:rPr>
          <w:rFonts w:ascii="Times New Roman" w:hAnsi="Times New Roman" w:cs="Times New Roman" w:eastAsia="Times New Roman" w:hint="default"/>
          <w:spacing w:val="42"/>
        </w:rPr>
        <w:t> </w:t>
      </w:r>
      <w:r>
        <w:rPr/>
        <w:t>万元，本期按照实际出资比例纳入合并财务报表，按照实际出资口径计算本公司年末对智尔信息的持股比例为</w:t>
      </w:r>
    </w:p>
    <w:p>
      <w:pPr>
        <w:pStyle w:val="BodyText"/>
        <w:spacing w:line="240" w:lineRule="auto" w:before="64"/>
        <w:ind w:left="1134" w:right="0"/>
        <w:jc w:val="left"/>
      </w:pPr>
      <w:r>
        <w:rPr>
          <w:rFonts w:ascii="Times New Roman" w:hAnsi="Times New Roman" w:cs="Times New Roman" w:eastAsia="Times New Roman" w:hint="default"/>
        </w:rPr>
        <w:t>96.44%</w:t>
      </w:r>
      <w:r>
        <w:rPr/>
        <w:t>。</w:t>
      </w:r>
    </w:p>
    <w:p>
      <w:pPr>
        <w:pStyle w:val="BodyText"/>
        <w:spacing w:line="357" w:lineRule="auto" w:before="103"/>
        <w:ind w:left="1134" w:right="2832"/>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8"/>
        <w:ind w:left="1134" w:right="7692"/>
        <w:jc w:val="left"/>
      </w:pPr>
      <w:r>
        <w:rPr/>
        <w:t>确定公司是代理人还是委托人的依据：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30"/>
      <w:bookmarkEnd w:id="43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山东银江交通技术有限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-1,168,570.00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12,346,842.67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福建银江智慧城市信息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-69,176.43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-112.66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江西银江智慧城市信息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-201,814.35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-279,469.77</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西安银江智慧城市技术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312,631.13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湖南银江交通技术有限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-734,687.20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1,056,524.59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山西银江交通信息技术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-184,056.15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1,389,078.23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浙江银江云计算技术有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62,384.87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-20,506.03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浙江浙大健康管理有限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-127,961.34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-1,326,022.02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浙江交通宝互联网技术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-204,589.81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-289,535.86</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浙江智尔信息技术有限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-25,556.18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98,988.68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健康宝互联网技术有限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-266,985.71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3,394,227.74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杭州众嗨网络技术有限 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-251,141.57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1,075,191.18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济南银江信息技术有限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497,639.89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沈阳智享大健康信息科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-32,179.21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28,417,820.79</w:t>
            </w:r>
          </w:p>
        </w:tc>
      </w:tr>
    </w:tbl>
    <w:p>
      <w:pPr>
        <w:pStyle w:val="BodyText"/>
        <w:spacing w:line="360" w:lineRule="auto" w:before="51"/>
        <w:ind w:left="1134" w:right="6432"/>
        <w:jc w:val="left"/>
      </w:pPr>
      <w:r>
        <w:rPr/>
        <w:t>子公司少数股东的持股比例不同于表决权比例的说明： 其他说明：</w:t>
      </w:r>
    </w:p>
    <w:p>
      <w:pPr>
        <w:pStyle w:val="BodyText"/>
        <w:spacing w:line="302" w:lineRule="auto" w:before="25"/>
        <w:ind w:left="1134" w:right="1120"/>
        <w:jc w:val="left"/>
      </w:pPr>
      <w:r>
        <w:rPr/>
        <w:t>注</w:t>
      </w:r>
      <w:r>
        <w:rPr>
          <w:spacing w:val="-35"/>
        </w:rPr>
        <w:t> </w:t>
      </w:r>
      <w:r>
        <w:rPr>
          <w:rFonts w:ascii="Times New Roman" w:hAnsi="Times New Roman" w:cs="Times New Roman" w:eastAsia="Times New Roman" w:hint="default"/>
          <w:spacing w:val="-1"/>
        </w:rPr>
        <w:t>1</w:t>
      </w:r>
      <w:r>
        <w:rPr>
          <w:spacing w:val="-1"/>
        </w:rPr>
        <w:t>、本年因收购子公司浙江智尔信息技术有限公司少数股东股权，导致公司对子公司的权益变动，冲减资本公积股本溢价</w:t>
      </w:r>
      <w:r>
        <w:rPr>
          <w:spacing w:val="-88"/>
        </w:rPr>
        <w:t> </w:t>
      </w:r>
      <w:r>
        <w:rPr>
          <w:spacing w:val="-88"/>
        </w:rPr>
      </w:r>
      <w:r>
        <w:rPr>
          <w:rFonts w:ascii="Times New Roman" w:hAnsi="Times New Roman" w:cs="Times New Roman" w:eastAsia="Times New Roman" w:hint="default"/>
        </w:rPr>
        <w:t>1,991,028.95</w:t>
      </w:r>
      <w:r>
        <w:rPr>
          <w:rFonts w:ascii="Times New Roman" w:hAnsi="Times New Roman" w:cs="Times New Roman" w:eastAsia="Times New Roman" w:hint="default"/>
          <w:spacing w:val="-2"/>
        </w:rPr>
        <w:t> </w:t>
      </w:r>
      <w:r>
        <w:rPr/>
        <w:t>元。</w:t>
      </w:r>
    </w:p>
    <w:p>
      <w:pPr>
        <w:pStyle w:val="BodyText"/>
        <w:spacing w:line="302" w:lineRule="auto" w:before="50"/>
        <w:ind w:right="1115"/>
        <w:jc w:val="left"/>
      </w:pPr>
      <w:r>
        <w:rPr/>
        <w:t>注</w:t>
      </w:r>
      <w:r>
        <w:rPr>
          <w:spacing w:val="-47"/>
        </w:rPr>
        <w:t> </w:t>
      </w:r>
      <w:r>
        <w:rPr>
          <w:rFonts w:ascii="Times New Roman" w:hAnsi="Times New Roman" w:cs="Times New Roman" w:eastAsia="Times New Roman" w:hint="default"/>
        </w:rPr>
        <w:t>2</w:t>
      </w:r>
      <w:r>
        <w:rPr/>
        <w:t>、本年少数股东向健康宝互联网技术有限公司（持有杭州众嗨网络技术有限公司</w:t>
      </w:r>
      <w:r>
        <w:rPr>
          <w:spacing w:val="-46"/>
        </w:rPr>
        <w:t> </w:t>
      </w:r>
      <w:r>
        <w:rPr>
          <w:rFonts w:ascii="Times New Roman" w:hAnsi="Times New Roman" w:cs="Times New Roman" w:eastAsia="Times New Roman" w:hint="default"/>
        </w:rPr>
        <w:t>80%</w:t>
      </w:r>
      <w:r>
        <w:rPr/>
        <w:t>股份）增资投入</w:t>
      </w:r>
      <w:r>
        <w:rPr>
          <w:spacing w:val="-47"/>
        </w:rPr>
        <w:t> </w:t>
      </w:r>
      <w:r>
        <w:rPr>
          <w:rFonts w:ascii="Times New Roman" w:hAnsi="Times New Roman" w:cs="Times New Roman" w:eastAsia="Times New Roman" w:hint="default"/>
        </w:rPr>
        <w:t>6,250,000.00</w:t>
      </w:r>
      <w:r>
        <w:rPr>
          <w:rFonts w:ascii="Times New Roman" w:hAnsi="Times New Roman" w:cs="Times New Roman" w:eastAsia="Times New Roman" w:hint="default"/>
          <w:spacing w:val="-2"/>
        </w:rPr>
        <w:t> </w:t>
      </w:r>
      <w:r>
        <w:rPr/>
        <w:t>元， 因少数股东出资导致本公司权益增加</w:t>
      </w:r>
      <w:r>
        <w:rPr>
          <w:spacing w:val="-47"/>
        </w:rPr>
        <w:t> </w:t>
      </w:r>
      <w:r>
        <w:rPr>
          <w:rFonts w:ascii="Times New Roman" w:hAnsi="Times New Roman" w:cs="Times New Roman" w:eastAsia="Times New Roman" w:hint="default"/>
        </w:rPr>
        <w:t>1,999,305.33</w:t>
      </w:r>
      <w:r>
        <w:rPr>
          <w:rFonts w:ascii="Times New Roman" w:hAnsi="Times New Roman" w:cs="Times New Roman" w:eastAsia="Times New Roman" w:hint="default"/>
          <w:spacing w:val="-1"/>
        </w:rPr>
        <w:t> </w:t>
      </w:r>
      <w:r>
        <w:rPr/>
        <w:t>元，计入资本公积。</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3）重要非全资子公司的主要财务信息" w:id="431"/>
      <w:bookmarkEnd w:id="43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30,044,9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30,116,6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4,924,13</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4,924,13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32,347,3</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07.11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78,236.7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32,425,5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43.87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4,848,69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6.97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4,848,69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6.97</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福建银 江智慧 城市信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6,419,50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707,202.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7,126,70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7,130,20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7,130,20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7,694,77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8,349,61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6,204,77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6,204,77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7.13</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江西银 江智慧 城市信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7,430,32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7,706,76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10,501,4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61.09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10,501,4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8,312,47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8,670,24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9,446,79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9,446,79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息技术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西安银 江智慧 城市技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13,251,1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93.76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510,564.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13,761,7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4,052,71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6.59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4,052,71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12,766,8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728,386.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13,495,1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3,882,69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3,882,69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2,361,73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3,027,36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3,826,11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692,815.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4,518,93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山西银 江交通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2,028,39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159,394.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2,187,78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810,075.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810,075.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3,090,35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37,033.6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3,127,38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1,374,05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1,374,05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浙江银 江云计 算技术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left"/>
              <w:rPr>
                <w:rFonts w:ascii="Times New Roman" w:hAnsi="Times New Roman" w:cs="Times New Roman" w:eastAsia="Times New Roman" w:hint="default"/>
                <w:sz w:val="18"/>
                <w:szCs w:val="18"/>
              </w:rPr>
            </w:pPr>
            <w:r>
              <w:rPr>
                <w:rFonts w:ascii="Times New Roman"/>
                <w:sz w:val="18"/>
              </w:rPr>
              <w:t>11,441,6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293,464.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0" w:right="0"/>
              <w:jc w:val="left"/>
              <w:rPr>
                <w:rFonts w:ascii="Times New Roman" w:hAnsi="Times New Roman" w:cs="Times New Roman" w:eastAsia="Times New Roman" w:hint="default"/>
                <w:sz w:val="18"/>
                <w:szCs w:val="18"/>
              </w:rPr>
            </w:pPr>
            <w:r>
              <w:rPr>
                <w:rFonts w:ascii="Times New Roman"/>
                <w:sz w:val="18"/>
              </w:rPr>
              <w:t>11,735,0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12,377,9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18.31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12,377,9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9,843,97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51,815.7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9,895,78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12,494,2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48.77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12,494,2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48.77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浙江浙 大健康 管理有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3,477,84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3.48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3,477,84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870,487.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1,109,67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3,458,81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3,458,81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浙江交 通宝互 联网技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3,068,40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34,341,4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37,409,8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38,857,5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39.07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38,857,5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3,224,16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33,614,4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36,838,5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37,263,3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37,263,3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浙江智 尔信息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7,254,22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160,355.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7,414,57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5,821,03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5,866,77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2,369,98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2,369,98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健康宝 互联网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15,621,5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7,380,78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23,002,2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7,328,34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7.93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7,328,34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2,239,25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7,051,82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9,291,08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7,025,22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7,025,22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1.05</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杭州众 嗨网络 技术有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3,018,72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3,018,72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32,083.1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3,772,21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3,772,21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济南银 江信息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9,960,97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9,960,97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8,174.20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8,174.20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沈阳智 享大健 康信息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1" w:right="0"/>
              <w:jc w:val="center"/>
              <w:rPr>
                <w:rFonts w:ascii="Times New Roman" w:hAnsi="Times New Roman" w:cs="Times New Roman" w:eastAsia="Times New Roman" w:hint="default"/>
                <w:sz w:val="18"/>
                <w:szCs w:val="18"/>
              </w:rPr>
            </w:pPr>
            <w:r>
              <w:rPr>
                <w:rFonts w:ascii="Times New Roman"/>
                <w:sz w:val="18"/>
              </w:rPr>
              <w:t>135,134,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379.57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1,550,60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136,684,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984.08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39,715.6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39,715.6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967,381.76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-2,384,350.14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-2,384,350.14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594,764.90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2,475,287.38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-1,748,038.08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-1,748,038.08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-1,293,979.40</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1,222,553.59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-2,148,336.25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-2,148,336.25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-2,462,241.02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2,028,482.32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-2,007,011.70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-2,007,011.70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-4,039,484.68</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江西银江智 慧城市信息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5,206,404.24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-2,018,143.54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-2,018,143.54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-1,275,618.92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126,150.47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-5,702,354.60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-5,702,354.60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-5,620,671.22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西安银江智 慧城市技术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6,707,172.43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96,539.16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96,539.16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6,955,283.37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5,244,827.18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205,688.71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205,688.71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935,924.80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-1,836,718.00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-1,836,718.00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-1,356,882.91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-2,308,525.32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-2,308,525.32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-2,677,346.75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951,564.41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-375,624.80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-375,624.80</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1,933,347.31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6,375,651.48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442,816.91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442,816.91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1,657,270.75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浙江银江云 计算技术有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9,291,226.42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1,955,638.81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1,955,638.81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-4,147,868.67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7,850,875.52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1,079,754.91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1,079,754.91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4,230,851.82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61,113.36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-250,904.58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-250,904.58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-37,305.29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1,084,312.62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-1,750,009.67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-352,474.00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浙江交通宝 互联网技术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-1,022,949.05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-1,022,949.05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-61,940.85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-424,730.25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-424,730.25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-3,413,930.25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4,596,491.21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-717,870.22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-717,870.22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-1,211,280.79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5,801,631.91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-2,410,800.46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-2,410,800.46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-3,000,982.28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-1,334,928.58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-1,334,928.58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-3,390,885.05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1,756,796.20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-3,209,813.45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-3,209,813.45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-2,037,369.07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杭州众嗨网 络技术有限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-697,615.47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-697,615.47</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-774,342.91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-1,315,742.37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-1,315,742.37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-1,227,782.84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-47,202.28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-263,028.08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-154,731.54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-56,796,378.5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32"/>
      <w:bookmarkEnd w:id="43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33"/>
      <w:bookmarkEnd w:id="43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34"/>
      <w:bookmarkEnd w:id="43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子公司所有者权益份额发生变化的情况说明" w:id="435"/>
      <w:bookmarkEnd w:id="43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spacing w:val="8"/>
        </w:rPr>
        <w:t>本年因收购子公司浙江智尔信息技术有限公司少数股东股权，导致公司对子公司的权益变动，冲减资本公积股本溢价</w:t>
      </w:r>
    </w:p>
    <w:p>
      <w:pPr>
        <w:pStyle w:val="BodyText"/>
        <w:spacing w:line="240" w:lineRule="auto" w:before="77"/>
        <w:ind w:left="1134" w:right="0"/>
        <w:jc w:val="left"/>
      </w:pPr>
      <w:r>
        <w:rPr>
          <w:rFonts w:ascii="Times New Roman" w:hAnsi="Times New Roman" w:cs="Times New Roman" w:eastAsia="Times New Roman" w:hint="default"/>
        </w:rPr>
        <w:t>1,991,028.95</w:t>
      </w:r>
      <w:r>
        <w:rPr>
          <w:rFonts w:ascii="Times New Roman" w:hAnsi="Times New Roman" w:cs="Times New Roman" w:eastAsia="Times New Roman" w:hint="default"/>
          <w:spacing w:val="-2"/>
        </w:rPr>
        <w:t> </w:t>
      </w:r>
      <w:r>
        <w:rPr/>
        <w:t>元。</w:t>
      </w:r>
    </w:p>
    <w:p>
      <w:pPr>
        <w:pStyle w:val="BodyText"/>
        <w:spacing w:line="302" w:lineRule="auto" w:before="101"/>
        <w:ind w:right="1116"/>
        <w:jc w:val="left"/>
      </w:pPr>
      <w:r>
        <w:rPr/>
        <w:t>本年少数股东向健康宝互联网技术有限公司（持有杭州众嗨网络技术有限公司</w:t>
      </w:r>
      <w:r>
        <w:rPr>
          <w:spacing w:val="-55"/>
        </w:rPr>
        <w:t> </w:t>
      </w:r>
      <w:r>
        <w:rPr>
          <w:rFonts w:ascii="Times New Roman" w:hAnsi="Times New Roman" w:cs="Times New Roman" w:eastAsia="Times New Roman" w:hint="default"/>
        </w:rPr>
        <w:t>80%</w:t>
      </w:r>
      <w:r>
        <w:rPr/>
        <w:t>股份）增资投入</w:t>
      </w:r>
      <w:r>
        <w:rPr>
          <w:spacing w:val="-56"/>
        </w:rPr>
        <w:t> </w:t>
      </w:r>
      <w:r>
        <w:rPr>
          <w:rFonts w:ascii="Times New Roman" w:hAnsi="Times New Roman" w:cs="Times New Roman" w:eastAsia="Times New Roman" w:hint="default"/>
        </w:rPr>
        <w:t>6,250,000.00</w:t>
      </w:r>
      <w:r>
        <w:rPr>
          <w:rFonts w:ascii="Times New Roman" w:hAnsi="Times New Roman" w:cs="Times New Roman" w:eastAsia="Times New Roman" w:hint="default"/>
          <w:spacing w:val="-12"/>
        </w:rPr>
        <w:t> </w:t>
      </w:r>
      <w:r>
        <w:rPr>
          <w:spacing w:val="-4"/>
        </w:rPr>
        <w:t>元，因少数</w:t>
      </w:r>
      <w:r>
        <w:rPr/>
        <w:t> 股东出资导致本公司权益增加</w:t>
      </w:r>
      <w:r>
        <w:rPr>
          <w:spacing w:val="-46"/>
        </w:rPr>
        <w:t> </w:t>
      </w:r>
      <w:r>
        <w:rPr>
          <w:rFonts w:ascii="Times New Roman" w:hAnsi="Times New Roman" w:cs="Times New Roman" w:eastAsia="Times New Roman" w:hint="default"/>
        </w:rPr>
        <w:t>1,999,305.33</w:t>
      </w:r>
      <w:r>
        <w:rPr>
          <w:rFonts w:ascii="Times New Roman" w:hAnsi="Times New Roman" w:cs="Times New Roman" w:eastAsia="Times New Roman" w:hint="default"/>
          <w:spacing w:val="-2"/>
        </w:rPr>
        <w:t> </w:t>
      </w:r>
      <w:r>
        <w:rPr/>
        <w:t>元，计入资本公积。</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bookmarkStart w:name="（2）交易对于少数股东权益及归属于母公司所有者权益的影响" w:id="436"/>
      <w:bookmarkEnd w:id="43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1,011,971.05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1,991,028.95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1,991,028.95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37"/>
      <w:bookmarkEnd w:id="43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38"/>
      <w:bookmarkEnd w:id="43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杭州银江智慧产 业创业投资合伙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38" w:lineRule="auto" w:before="51"/>
        <w:ind w:left="1134" w:right="0"/>
        <w:jc w:val="left"/>
      </w:pPr>
      <w:r>
        <w:rPr/>
        <w:pict>
          <v:shape style="position:absolute;margin-left:74.343002pt;margin-top:-16.098293pt;width:119.1pt;height:15.6pt;mso-position-horizontal-relative:page;mso-position-vertical-relative:paragraph;z-index:-1221496" type="#_x0000_t202" filled="false" stroked="false">
            <v:textbox inset="0,0,0,0">
              <w:txbxContent>
                <w:p>
                  <w:pPr>
                    <w:pStyle w:val="BodyText"/>
                    <w:spacing w:line="207" w:lineRule="exact"/>
                    <w:ind w:left="0" w:right="0"/>
                    <w:jc w:val="left"/>
                  </w:pPr>
                  <w:r>
                    <w:rPr/>
                    <w:t>（有限合伙）</w:t>
                  </w:r>
                </w:p>
              </w:txbxContent>
            </v:textbox>
            <w10:wrap type="none"/>
          </v:shape>
        </w:pict>
      </w:r>
      <w:r>
        <w:rPr/>
        <w:t>在合营企业或联营企业的持股比例不同于表决权比例的说明： </w:t>
      </w:r>
      <w:r>
        <w:rPr>
          <w:spacing w:val="-2"/>
        </w:rPr>
        <w:t>注：因公司与合伙企业其他合伙人签订的合伙协议约定，公司作为有限合伙人在合伙企业中拥有一票表决权，未超出表决权</w:t>
      </w:r>
      <w:r>
        <w:rPr>
          <w:spacing w:val="-66"/>
        </w:rPr>
        <w:t> </w:t>
      </w:r>
      <w:r>
        <w:rPr>
          <w:spacing w:val="-66"/>
        </w:rPr>
      </w:r>
      <w:r>
        <w:rPr/>
        <w:t>的半数以上，无法控制合伙企业，但能对合伙企业的重大投资、经营决策等构成重大影响，故按权益法核算。</w:t>
      </w:r>
    </w:p>
    <w:p>
      <w:pPr>
        <w:pStyle w:val="BodyText"/>
        <w:spacing w:line="240" w:lineRule="auto" w:before="42"/>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重要合营企业的主要财务信息" w:id="439"/>
      <w:bookmarkEnd w:id="43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40"/>
      <w:bookmarkEnd w:id="44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9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3191" w:type="dxa"/>
            <w:vMerge/>
            <w:tcBorders>
              <w:left w:val="single" w:sz="9" w:space="0" w:color="D2D2D2"/>
              <w:right w:val="single" w:sz="4" w:space="0" w:color="000000"/>
            </w:tcBorders>
            <w:shd w:val="clear" w:color="auto" w:fill="E0FFFF"/>
          </w:tcPr>
          <w:p>
            <w:pPr/>
          </w:p>
        </w:tc>
        <w:tc>
          <w:tcPr>
            <w:tcW w:w="3190" w:type="dxa"/>
            <w:vMerge/>
            <w:tcBorders>
              <w:left w:val="single" w:sz="4" w:space="0" w:color="000000"/>
              <w:right w:val="single" w:sz="4" w:space="0" w:color="000000"/>
            </w:tcBorders>
            <w:shd w:val="clear" w:color="auto" w:fill="E0FFFF"/>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9" w:space="0" w:color="D2D2D2"/>
              <w:bottom w:val="single" w:sz="4" w:space="0" w:color="000000"/>
              <w:right w:val="single" w:sz="4" w:space="0" w:color="000000"/>
            </w:tcBorders>
            <w:shd w:val="clear" w:color="auto" w:fill="E0FFFF"/>
          </w:tcPr>
          <w:p>
            <w:pPr/>
          </w:p>
        </w:tc>
        <w:tc>
          <w:tcPr>
            <w:tcW w:w="3190"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38,072,887.72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56,203,122.58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360,664,532.58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356,734,138.72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398,737,420.30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412,937,261.30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6,226,295.33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6,226,295.33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3,009,666.87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6,287,711.69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272,651,020.67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283,758,684.73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276,851,020.67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287,058,684.73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-18,868,091.51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-5,016,255.81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-18,868,091.51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-5,016,255.81</w:t>
            </w:r>
          </w:p>
        </w:tc>
      </w:tr>
    </w:tbl>
    <w:p>
      <w:pPr>
        <w:pStyle w:val="BodyText"/>
        <w:spacing w:line="338" w:lineRule="auto" w:before="51"/>
        <w:ind w:right="1117"/>
        <w:jc w:val="left"/>
      </w:pPr>
      <w:r>
        <w:rPr/>
        <w:t>其他说明 </w:t>
      </w:r>
      <w:r>
        <w:rPr>
          <w:spacing w:val="-2"/>
        </w:rPr>
        <w:t>注：本年度按持股比例计算的净资产份额与对联营企业权益投资的账面价值不一致的原因系其他股东尚未同步增资，导致按</w:t>
      </w:r>
      <w:r>
        <w:rPr>
          <w:spacing w:val="-64"/>
        </w:rPr>
        <w:t> </w:t>
      </w:r>
      <w:r>
        <w:rPr>
          <w:spacing w:val="-64"/>
        </w:rPr>
      </w:r>
      <w:r>
        <w:rPr/>
        <w:t>持股比例计算的净资产份额比公司对联营企业权益投资的账面价值金额相差</w:t>
      </w:r>
      <w:r>
        <w:rPr>
          <w:spacing w:val="-42"/>
        </w:rPr>
        <w:t> </w:t>
      </w:r>
      <w:r>
        <w:rPr>
          <w:rFonts w:ascii="Times New Roman" w:hAnsi="Times New Roman" w:cs="Times New Roman" w:eastAsia="Times New Roman" w:hint="default"/>
        </w:rPr>
        <w:t>4,200,000.00</w:t>
      </w:r>
      <w:r>
        <w:rPr>
          <w:rFonts w:ascii="Times New Roman" w:hAnsi="Times New Roman" w:cs="Times New Roman" w:eastAsia="Times New Roman" w:hint="default"/>
          <w:spacing w:val="3"/>
        </w:rPr>
        <w:t> </w:t>
      </w:r>
      <w:r>
        <w:rPr>
          <w:spacing w:val="-3"/>
        </w:rPr>
        <w:t>元。截至本报告出具日，其他股东</w:t>
      </w:r>
    </w:p>
    <w:p>
      <w:pPr>
        <w:pStyle w:val="BodyText"/>
        <w:spacing w:line="218" w:lineRule="exact"/>
        <w:ind w:right="0"/>
        <w:jc w:val="left"/>
      </w:pPr>
      <w:r>
        <w:rPr/>
        <w:t>已经完成出资。</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41"/>
      <w:bookmarkEnd w:id="44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147,517,791.85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86,912,407.74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1,318,277.28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1,216,823.34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1,318,277.28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1,216,823.34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42"/>
      <w:bookmarkEnd w:id="44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43"/>
      <w:bookmarkEnd w:id="44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与合营企业投资相关的未确认承诺" w:id="444"/>
      <w:bookmarkEnd w:id="44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45"/>
      <w:bookmarkEnd w:id="44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46"/>
      <w:bookmarkEnd w:id="44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5、在未纳入合并财务报表范围的结构化主体中的权益" w:id="447"/>
      <w:bookmarkEnd w:id="44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left="1134" w:right="0"/>
        <w:jc w:val="both"/>
        <w:rPr>
          <w:b w:val="0"/>
          <w:bCs w:val="0"/>
        </w:rPr>
      </w:pPr>
      <w:bookmarkStart w:name="6、其他" w:id="448"/>
      <w:bookmarkEnd w:id="448"/>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both"/>
        <w:rPr>
          <w:b w:val="0"/>
          <w:bCs w:val="0"/>
        </w:rPr>
      </w:pPr>
      <w:bookmarkStart w:name="十、与金融工具相关的风险" w:id="449"/>
      <w:bookmarkEnd w:id="449"/>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1</w:t>
      </w:r>
      <w:r>
        <w:rPr/>
        <w:t>、市场风险</w:t>
      </w:r>
    </w:p>
    <w:p>
      <w:pPr>
        <w:pStyle w:val="BodyText"/>
        <w:spacing w:line="240" w:lineRule="auto" w:before="103"/>
        <w:ind w:right="0"/>
        <w:jc w:val="both"/>
      </w:pPr>
      <w:r>
        <w:rPr/>
        <w:t>（</w:t>
      </w:r>
      <w:r>
        <w:rPr>
          <w:rFonts w:ascii="Times New Roman" w:hAnsi="Times New Roman" w:cs="Times New Roman" w:eastAsia="Times New Roman" w:hint="default"/>
        </w:rPr>
        <w:t>1</w:t>
      </w:r>
      <w:r>
        <w:rPr/>
        <w:t>）外汇风险</w:t>
      </w:r>
    </w:p>
    <w:p>
      <w:pPr>
        <w:pStyle w:val="BodyText"/>
        <w:spacing w:line="309" w:lineRule="auto" w:before="101"/>
        <w:ind w:right="1130"/>
        <w:jc w:val="both"/>
      </w:pPr>
      <w:r>
        <w:rPr/>
        <w:t>外汇风险指因汇率变动产生损失的风险。本公司承受外汇风险主要与美元有关。于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 </w:t>
      </w:r>
      <w:r>
        <w:rPr/>
        <w:t>月</w:t>
      </w:r>
      <w:r>
        <w:rPr>
          <w:spacing w:val="-44"/>
        </w:rPr>
        <w:t> </w:t>
      </w:r>
      <w:r>
        <w:rPr>
          <w:rFonts w:ascii="Times New Roman" w:hAnsi="Times New Roman" w:cs="Times New Roman" w:eastAsia="Times New Roman" w:hint="default"/>
        </w:rPr>
        <w:t>31 </w:t>
      </w:r>
      <w:r>
        <w:rPr/>
        <w:t>日，除下表所述资产或 </w:t>
      </w:r>
      <w:r>
        <w:rPr>
          <w:spacing w:val="-2"/>
        </w:rPr>
        <w:t>负债为美元余额外，本公司的资产及负债均为人民币余额。该等外币余额的资产和负债产生的外汇风险可能对本公司的经营</w:t>
      </w:r>
      <w:r>
        <w:rPr>
          <w:spacing w:val="-64"/>
        </w:rPr>
        <w:t> </w:t>
      </w:r>
      <w:r>
        <w:rPr>
          <w:spacing w:val="-64"/>
        </w:rPr>
      </w:r>
      <w:r>
        <w:rPr/>
        <w:t>业绩产生影响。</w:t>
      </w:r>
    </w:p>
    <w:p>
      <w:pPr>
        <w:spacing w:line="240" w:lineRule="auto" w:before="1"/>
        <w:rPr>
          <w:rFonts w:ascii="宋体" w:hAnsi="宋体" w:cs="宋体" w:eastAsia="宋体"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4549"/>
        <w:gridCol w:w="2118"/>
        <w:gridCol w:w="2380"/>
      </w:tblGrid>
      <w:tr>
        <w:trPr>
          <w:trHeight w:val="42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6"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120,006.46</w:t>
            </w:r>
          </w:p>
        </w:tc>
      </w:tr>
      <w:tr>
        <w:trPr>
          <w:trHeight w:val="42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5,120,000.00</w:t>
            </w:r>
          </w:p>
        </w:tc>
      </w:tr>
      <w:tr>
        <w:trPr>
          <w:trHeight w:val="42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65,000.00</w:t>
            </w:r>
          </w:p>
        </w:tc>
      </w:tr>
    </w:tbl>
    <w:p>
      <w:pPr>
        <w:pStyle w:val="BodyText"/>
        <w:spacing w:line="328" w:lineRule="auto" w:before="51"/>
        <w:ind w:right="0"/>
        <w:jc w:val="left"/>
      </w:pPr>
      <w:r>
        <w:rPr/>
        <w:t>（</w:t>
      </w:r>
      <w:r>
        <w:rPr>
          <w:rFonts w:ascii="Times New Roman" w:hAnsi="Times New Roman" w:cs="Times New Roman" w:eastAsia="Times New Roman" w:hint="default"/>
        </w:rPr>
        <w:t>2</w:t>
      </w:r>
      <w:r>
        <w:rPr/>
        <w:t>）利率风险－现金流量变动风险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w:t>
      </w:r>
    </w:p>
    <w:p>
      <w:pPr>
        <w:pStyle w:val="BodyText"/>
        <w:spacing w:line="300" w:lineRule="auto" w:before="49"/>
        <w:ind w:right="1130"/>
        <w:jc w:val="both"/>
      </w:pPr>
      <w:r>
        <w:rPr/>
        <w:t>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日，公司短期借款余额</w:t>
      </w:r>
      <w:r>
        <w:rPr>
          <w:spacing w:val="-49"/>
        </w:rPr>
        <w:t> </w:t>
      </w:r>
      <w:r>
        <w:rPr>
          <w:rFonts w:ascii="Times New Roman" w:hAnsi="Times New Roman" w:cs="Times New Roman" w:eastAsia="Times New Roman" w:hint="default"/>
        </w:rPr>
        <w:t>847,000,000.00</w:t>
      </w:r>
      <w:r>
        <w:rPr>
          <w:rFonts w:ascii="Times New Roman" w:hAnsi="Times New Roman" w:cs="Times New Roman" w:eastAsia="Times New Roman" w:hint="default"/>
          <w:spacing w:val="-3"/>
        </w:rPr>
        <w:t> </w:t>
      </w:r>
      <w:r>
        <w:rPr>
          <w:spacing w:val="-4"/>
        </w:rPr>
        <w:t>元，利率维持在</w:t>
      </w:r>
      <w:r>
        <w:rPr>
          <w:spacing w:val="-49"/>
        </w:rPr>
        <w:t> </w:t>
      </w:r>
      <w:r>
        <w:rPr>
          <w:rFonts w:ascii="Times New Roman" w:hAnsi="Times New Roman" w:cs="Times New Roman" w:eastAsia="Times New Roman" w:hint="default"/>
        </w:rPr>
        <w:t>3.9150%-5.0025%</w:t>
      </w:r>
      <w:r>
        <w:rPr/>
        <w:t>。如未来贷款利率上升或下降 </w:t>
      </w:r>
      <w:r>
        <w:rPr>
          <w:rFonts w:ascii="Times New Roman" w:hAnsi="Times New Roman" w:cs="Times New Roman" w:eastAsia="Times New Roman" w:hint="default"/>
        </w:rPr>
        <w:t>10.00%</w:t>
      </w:r>
      <w:r>
        <w:rPr/>
        <w:t>，则本公司的净利润将减少或增加 </w:t>
      </w:r>
      <w:r>
        <w:rPr>
          <w:rFonts w:ascii="Times New Roman" w:hAnsi="Times New Roman" w:cs="Times New Roman" w:eastAsia="Times New Roman" w:hint="default"/>
        </w:rPr>
        <w:t>3,894,694.20 </w:t>
      </w:r>
      <w:r>
        <w:rPr/>
        <w:t>元。管理层认为</w:t>
      </w:r>
      <w:r>
        <w:rPr>
          <w:spacing w:val="-28"/>
        </w:rPr>
        <w:t> </w:t>
      </w:r>
      <w:r>
        <w:rPr>
          <w:rFonts w:ascii="Times New Roman" w:hAnsi="Times New Roman" w:cs="Times New Roman" w:eastAsia="Times New Roman" w:hint="default"/>
        </w:rPr>
        <w:t>10.00%</w:t>
      </w:r>
      <w:r>
        <w:rPr/>
        <w:t>波动比例合理反映了下一年度利率可能发生 变动的合理范围。</w:t>
      </w:r>
    </w:p>
    <w:p>
      <w:pPr>
        <w:pStyle w:val="BodyText"/>
        <w:spacing w:line="324" w:lineRule="auto" w:before="71"/>
        <w:ind w:right="1118"/>
        <w:jc w:val="left"/>
      </w:pPr>
      <w:r>
        <w:rPr>
          <w:rFonts w:ascii="Times New Roman" w:hAnsi="Times New Roman" w:cs="Times New Roman" w:eastAsia="Times New Roman" w:hint="default"/>
        </w:rPr>
        <w:t>2</w:t>
      </w:r>
      <w:r>
        <w:rPr/>
        <w:t>、信用风险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5"/>
        </w:rPr>
        <w:t> </w:t>
      </w:r>
      <w:r>
        <w:rPr>
          <w:spacing w:val="-65"/>
        </w:rPr>
      </w:r>
      <w:r>
        <w:rPr>
          <w:spacing w:val="-18"/>
        </w:rPr>
        <w:t>获取时）。</w:t>
      </w:r>
    </w:p>
    <w:p>
      <w:pPr>
        <w:pStyle w:val="BodyText"/>
        <w:spacing w:line="240" w:lineRule="auto" w:before="54"/>
        <w:ind w:right="0"/>
        <w:jc w:val="left"/>
      </w:pPr>
      <w:r>
        <w:rPr/>
        <w:t>公司通过对已有客户信用评级的季度监控以及应收账款账龄分析的月度审核来确保公司的整体信用风险在可控的范围内。</w:t>
      </w:r>
    </w:p>
    <w:p>
      <w:pPr>
        <w:pStyle w:val="BodyText"/>
        <w:spacing w:line="240" w:lineRule="auto" w:before="116"/>
        <w:ind w:right="0"/>
        <w:jc w:val="left"/>
      </w:pPr>
      <w:r>
        <w:rPr>
          <w:rFonts w:ascii="Times New Roman" w:hAnsi="Times New Roman" w:cs="Times New Roman" w:eastAsia="Times New Roman" w:hint="default"/>
        </w:rPr>
        <w:t>3</w:t>
      </w:r>
      <w:r>
        <w:rPr/>
        <w:t>、流动风险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26" w:lineRule="auto" w:before="44"/>
        <w:ind w:right="1118"/>
        <w:jc w:val="left"/>
      </w:pP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个月现金流量的滚动预测，确保公司在所有合理预测的情况下拥有充足的资金偿还债务。 本公司主要金融负债按到期日列示如下：</w:t>
      </w:r>
    </w:p>
    <w:p>
      <w:pPr>
        <w:spacing w:line="240" w:lineRule="auto" w:before="1"/>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296"/>
        <w:gridCol w:w="1620"/>
        <w:gridCol w:w="1624"/>
        <w:gridCol w:w="1529"/>
        <w:gridCol w:w="1529"/>
        <w:gridCol w:w="1619"/>
      </w:tblGrid>
      <w:tr>
        <w:trPr>
          <w:trHeight w:val="422"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1296"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75"/>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8"/>
              <w:jc w:val="right"/>
              <w:rPr>
                <w:rFonts w:ascii="Times New Roman" w:hAnsi="Times New Roman" w:cs="Times New Roman" w:eastAsia="Times New Roman" w:hint="default"/>
                <w:sz w:val="18"/>
                <w:szCs w:val="18"/>
              </w:rPr>
            </w:pPr>
            <w:r>
              <w:rPr>
                <w:rFonts w:ascii="Times New Roman"/>
                <w:spacing w:val="-1"/>
                <w:sz w:val="18"/>
              </w:rPr>
              <w:t>847,000,000.00</w:t>
            </w:r>
          </w:p>
        </w:tc>
        <w:tc>
          <w:tcPr>
            <w:tcW w:w="162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847,000,000.00</w:t>
            </w:r>
          </w:p>
        </w:tc>
      </w:tr>
      <w:tr>
        <w:trPr>
          <w:trHeight w:val="42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78"/>
              <w:jc w:val="right"/>
              <w:rPr>
                <w:rFonts w:ascii="Times New Roman" w:hAnsi="Times New Roman" w:cs="Times New Roman" w:eastAsia="Times New Roman" w:hint="default"/>
                <w:sz w:val="18"/>
                <w:szCs w:val="18"/>
              </w:rPr>
            </w:pPr>
            <w:r>
              <w:rPr>
                <w:rFonts w:ascii="Times New Roman"/>
                <w:spacing w:val="-1"/>
                <w:sz w:val="18"/>
              </w:rPr>
              <w:t>126,022,484.70</w:t>
            </w:r>
          </w:p>
        </w:tc>
        <w:tc>
          <w:tcPr>
            <w:tcW w:w="162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126,022,484.70</w:t>
            </w:r>
          </w:p>
        </w:tc>
      </w:tr>
      <w:tr>
        <w:trPr>
          <w:trHeight w:val="42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8"/>
              <w:jc w:val="right"/>
              <w:rPr>
                <w:rFonts w:ascii="Times New Roman" w:hAnsi="Times New Roman" w:cs="Times New Roman" w:eastAsia="Times New Roman" w:hint="default"/>
                <w:sz w:val="18"/>
                <w:szCs w:val="18"/>
              </w:rPr>
            </w:pPr>
            <w:r>
              <w:rPr>
                <w:rFonts w:ascii="Times New Roman"/>
                <w:spacing w:val="-1"/>
                <w:sz w:val="18"/>
              </w:rPr>
              <w:t>307,886,301.36</w:t>
            </w:r>
          </w:p>
        </w:tc>
        <w:tc>
          <w:tcPr>
            <w:tcW w:w="162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307,886,301.36</w:t>
            </w:r>
          </w:p>
        </w:tc>
      </w:tr>
      <w:tr>
        <w:trPr>
          <w:trHeight w:val="42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8"/>
              <w:jc w:val="right"/>
              <w:rPr>
                <w:rFonts w:ascii="Times New Roman" w:hAnsi="Times New Roman" w:cs="Times New Roman" w:eastAsia="Times New Roman" w:hint="default"/>
                <w:sz w:val="18"/>
                <w:szCs w:val="18"/>
              </w:rPr>
            </w:pPr>
            <w:r>
              <w:rPr>
                <w:rFonts w:ascii="Times New Roman"/>
                <w:spacing w:val="-1"/>
                <w:sz w:val="18"/>
              </w:rPr>
              <w:t>509,630,972.86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72"/>
              <w:jc w:val="right"/>
              <w:rPr>
                <w:rFonts w:ascii="Times New Roman" w:hAnsi="Times New Roman" w:cs="Times New Roman" w:eastAsia="Times New Roman" w:hint="default"/>
                <w:sz w:val="18"/>
                <w:szCs w:val="18"/>
              </w:rPr>
            </w:pPr>
            <w:r>
              <w:rPr>
                <w:rFonts w:ascii="Times New Roman"/>
                <w:spacing w:val="-1"/>
                <w:sz w:val="18"/>
              </w:rPr>
              <w:t>83,617,060.32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120,821,746.06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156,881,268.52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870,951,047.76</w:t>
            </w:r>
          </w:p>
        </w:tc>
      </w:tr>
      <w:tr>
        <w:trPr>
          <w:trHeight w:val="42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78"/>
              <w:jc w:val="right"/>
              <w:rPr>
                <w:rFonts w:ascii="Times New Roman" w:hAnsi="Times New Roman" w:cs="Times New Roman" w:eastAsia="Times New Roman" w:hint="default"/>
                <w:sz w:val="18"/>
                <w:szCs w:val="18"/>
              </w:rPr>
            </w:pPr>
            <w:r>
              <w:rPr>
                <w:rFonts w:ascii="Times New Roman"/>
                <w:spacing w:val="-1"/>
                <w:sz w:val="18"/>
              </w:rPr>
              <w:t>132,107,162.93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78"/>
              <w:jc w:val="right"/>
              <w:rPr>
                <w:rFonts w:ascii="Times New Roman" w:hAnsi="Times New Roman" w:cs="Times New Roman" w:eastAsia="Times New Roman" w:hint="default"/>
                <w:sz w:val="18"/>
                <w:szCs w:val="18"/>
              </w:rPr>
            </w:pPr>
            <w:r>
              <w:rPr>
                <w:rFonts w:ascii="Times New Roman"/>
                <w:spacing w:val="-1"/>
                <w:sz w:val="18"/>
              </w:rPr>
              <w:t>11,794,692.37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2,228,253.74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8,215,828.66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154,345,937.70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一、公允价值的披露" w:id="450"/>
      <w:bookmarkEnd w:id="45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51"/>
      <w:bookmarkEnd w:id="45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326,451,759.48</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326,451,759.48</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326,451,759.48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326,451,759.48</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持续和非持续第一层次公允价值计量项目市价的确定依据" w:id="452"/>
      <w:bookmarkEnd w:id="45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4" w:right="1117"/>
        <w:jc w:val="left"/>
      </w:pPr>
      <w:r>
        <w:rPr/>
        <w:t>公司持有的上市公司浙江金科娱乐文化股份有限公司 </w:t>
      </w:r>
      <w:r>
        <w:rPr>
          <w:rFonts w:ascii="Times New Roman" w:hAnsi="Times New Roman" w:cs="Times New Roman" w:eastAsia="Times New Roman" w:hint="default"/>
        </w:rPr>
        <w:t>29,330,796</w:t>
      </w:r>
      <w:r>
        <w:rPr>
          <w:rFonts w:ascii="Times New Roman" w:hAnsi="Times New Roman" w:cs="Times New Roman" w:eastAsia="Times New Roman" w:hint="default"/>
          <w:spacing w:val="-26"/>
        </w:rPr>
        <w:t> </w:t>
      </w:r>
      <w:r>
        <w:rPr>
          <w:spacing w:val="-4"/>
        </w:rPr>
        <w:t>股股份，划分为以公允价值计量的可供出售金融资产，确定</w:t>
      </w:r>
      <w:r>
        <w:rPr/>
        <w:t> 其股票的年末的市价作为公允价值依据。</w:t>
      </w:r>
    </w:p>
    <w:p>
      <w:pPr>
        <w:spacing w:after="0" w:line="302"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持续和非持续第二层次公允价值计量项目，采用的估值技术和重要参数的定性及定量信" w:id="453"/>
      <w:bookmarkEnd w:id="45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54"/>
      <w:bookmarkEnd w:id="45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55"/>
      <w:bookmarkEnd w:id="45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56"/>
      <w:bookmarkEnd w:id="45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57"/>
      <w:bookmarkEnd w:id="45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58"/>
      <w:bookmarkEnd w:id="45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9"/>
      <w:bookmarkEnd w:id="45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60"/>
      <w:bookmarkEnd w:id="46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61"/>
      <w:bookmarkEnd w:id="46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银江科技集团有限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电子智能、投资开发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24.72%</w:t>
            </w:r>
          </w:p>
        </w:tc>
      </w:tr>
    </w:tbl>
    <w:p>
      <w:pPr>
        <w:pStyle w:val="BodyText"/>
        <w:spacing w:line="360" w:lineRule="auto" w:before="51"/>
        <w:ind w:left="1134" w:right="8052"/>
        <w:jc w:val="left"/>
      </w:pPr>
      <w:r>
        <w:rPr/>
        <w:t>本企业的母公司情况的说明 本企业最终控制方是王辉、刘健。 其他说明：</w:t>
      </w:r>
    </w:p>
    <w:p>
      <w:pPr>
        <w:spacing w:line="240" w:lineRule="auto" w:before="11"/>
        <w:rPr>
          <w:rFonts w:ascii="宋体" w:hAnsi="宋体" w:cs="宋体" w:eastAsia="宋体" w:hint="default"/>
          <w:sz w:val="19"/>
          <w:szCs w:val="19"/>
        </w:rPr>
      </w:pPr>
    </w:p>
    <w:p>
      <w:pPr>
        <w:spacing w:line="547" w:lineRule="auto" w:before="0"/>
        <w:ind w:left="1134" w:right="4273" w:firstLine="0"/>
        <w:jc w:val="left"/>
        <w:rPr>
          <w:rFonts w:ascii="宋体" w:hAnsi="宋体" w:cs="宋体" w:eastAsia="宋体" w:hint="default"/>
          <w:sz w:val="21"/>
          <w:szCs w:val="21"/>
        </w:rPr>
      </w:pPr>
      <w:bookmarkStart w:name="2、本企业的子公司情况" w:id="462"/>
      <w:bookmarkEnd w:id="4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63"/>
      <w:bookmarkEnd w:id="46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1"/>
        <w:ind w:right="2293"/>
        <w:jc w:val="left"/>
      </w:pPr>
      <w:r>
        <w:rPr/>
        <w:t>本企业重要的合营或联营企业详见附注八、</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64"/>
      <w:bookmarkEnd w:id="46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bl>
    <w:p>
      <w:pPr>
        <w:pStyle w:val="BodyText"/>
        <w:spacing w:line="240" w:lineRule="auto" w:before="51"/>
        <w:ind w:left="1134" w:right="0"/>
        <w:jc w:val="left"/>
      </w:pPr>
      <w:r>
        <w:rPr/>
        <w:t>其他说明</w:t>
      </w:r>
    </w:p>
    <w:p>
      <w:pPr>
        <w:pStyle w:val="BodyText"/>
        <w:spacing w:line="302" w:lineRule="auto" w:before="116"/>
        <w:ind w:left="1134" w:right="1116"/>
        <w:jc w:val="left"/>
      </w:pPr>
      <w:r>
        <w:rPr/>
        <w:t>注：</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日，杭州银江智慧科技产业园有限公司在杭州市高新区（滨江）市场监督管理局办理股权变更登记不再 属于公司关联方。</w:t>
      </w:r>
    </w:p>
    <w:p>
      <w:pPr>
        <w:spacing w:line="240" w:lineRule="auto" w:before="2"/>
        <w:rPr>
          <w:rFonts w:ascii="宋体" w:hAnsi="宋体" w:cs="宋体" w:eastAsia="宋体" w:hint="default"/>
          <w:sz w:val="23"/>
          <w:szCs w:val="23"/>
        </w:rPr>
      </w:pPr>
    </w:p>
    <w:p>
      <w:pPr>
        <w:pStyle w:val="Heading4"/>
        <w:spacing w:line="240" w:lineRule="auto"/>
        <w:ind w:left="1134" w:right="0"/>
        <w:jc w:val="left"/>
        <w:rPr>
          <w:b w:val="0"/>
          <w:bCs w:val="0"/>
        </w:rPr>
      </w:pPr>
      <w:bookmarkStart w:name="5、关联交易情况" w:id="465"/>
      <w:bookmarkEnd w:id="46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购销商品、提供和接受劳务的关联交易" w:id="466"/>
      <w:bookmarkEnd w:id="46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北京欧迈特科技股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北京银江瑞讯科技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490.95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安徽新网讯科技发 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536.33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厦门银江智慧城市 技术股份有限公司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1,357.24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1,124.15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上海银江智慧智能 化技术有限公司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1,387.41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1,268.32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杭州银江医联网技 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杭州银江智慧科技 产业园有限公司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121.98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银江孵化器股份有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161.30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199.54</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7,524.21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3,784.10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w:t>
            </w: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关联受托管理/承包及委托管理/出包情况" w:id="467"/>
      <w:bookmarkEnd w:id="46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3）关联租赁情况" w:id="468"/>
      <w:bookmarkEnd w:id="46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厦门银江智慧城市技术股份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经营租入资产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115.34</w:t>
            </w:r>
          </w:p>
        </w:tc>
      </w:tr>
    </w:tbl>
    <w:p>
      <w:pPr>
        <w:pStyle w:val="BodyText"/>
        <w:spacing w:line="240" w:lineRule="auto" w:before="51"/>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关联担保情况" w:id="469"/>
      <w:bookmarkEnd w:id="46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1" w:right="0"/>
              <w:jc w:val="left"/>
              <w:rPr>
                <w:rFonts w:ascii="Times New Roman" w:hAnsi="Times New Roman" w:cs="Times New Roman" w:eastAsia="Times New Roman" w:hint="default"/>
                <w:sz w:val="18"/>
                <w:szCs w:val="18"/>
              </w:rPr>
            </w:pPr>
            <w:r>
              <w:rPr>
                <w:rFonts w:ascii="Times New Roman"/>
                <w:sz w:val="18"/>
              </w:rPr>
              <w:t>13,200.00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pStyle w:val="BodyText"/>
        <w:spacing w:line="240" w:lineRule="auto" w:before="116"/>
        <w:ind w:left="113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日，银江科技集团有限公司与杭州银行有限公司西城支行签订的保证担保金额为</w:t>
      </w:r>
      <w:r>
        <w:rPr>
          <w:spacing w:val="-38"/>
        </w:rPr>
        <w:t> </w:t>
      </w:r>
      <w:r>
        <w:rPr>
          <w:rFonts w:ascii="Times New Roman" w:hAnsi="Times New Roman" w:cs="Times New Roman" w:eastAsia="Times New Roman" w:hint="default"/>
        </w:rPr>
        <w:t>13,200.00</w:t>
      </w:r>
      <w:r>
        <w:rPr>
          <w:rFonts w:ascii="Times New Roman" w:hAnsi="Times New Roman" w:cs="Times New Roman" w:eastAsia="Times New Roman" w:hint="default"/>
          <w:spacing w:val="7"/>
        </w:rPr>
        <w:t> </w:t>
      </w:r>
      <w:r>
        <w:rPr/>
        <w:t>万元的</w:t>
      </w:r>
    </w:p>
    <w:p>
      <w:pPr>
        <w:pStyle w:val="BodyText"/>
        <w:spacing w:line="240" w:lineRule="auto" w:before="64"/>
        <w:ind w:right="0"/>
        <w:jc w:val="left"/>
      </w:pPr>
      <w:r>
        <w:rPr>
          <w:rFonts w:ascii="Times New Roman" w:hAnsi="Times New Roman" w:cs="Times New Roman" w:eastAsia="Times New Roman" w:hint="default"/>
        </w:rPr>
        <w:t>035C5</w:t>
      </w:r>
      <w:r>
        <w:rPr>
          <w:rFonts w:ascii="Times New Roman" w:hAnsi="Times New Roman" w:cs="Times New Roman" w:eastAsia="Times New Roman" w:hint="default"/>
          <w:spacing w:val="-8"/>
        </w:rPr>
        <w:t>1</w:t>
      </w:r>
      <w:r>
        <w:rPr>
          <w:rFonts w:ascii="Times New Roman" w:hAnsi="Times New Roman" w:cs="Times New Roman" w:eastAsia="Times New Roman" w:hint="default"/>
        </w:rPr>
        <w:t>120140000901</w:t>
      </w:r>
      <w:r>
        <w:rPr/>
        <w:t>《保证合同</w:t>
      </w:r>
      <w:r>
        <w:rPr>
          <w:spacing w:val="-90"/>
        </w:rPr>
        <w:t>》</w:t>
      </w:r>
      <w:r>
        <w:rPr/>
        <w:t>，该合同到期后担保事项履行完毕。</w:t>
      </w:r>
    </w:p>
    <w:p>
      <w:pPr>
        <w:pStyle w:val="BodyText"/>
        <w:spacing w:line="240" w:lineRule="auto" w:before="101"/>
        <w:ind w:right="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日，银江科技集团有限公司与杭州联合农村商业银行股份有限公司科技支行签订的保证担保金额为</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7,000.00</w:t>
      </w:r>
      <w:r>
        <w:rPr>
          <w:rFonts w:ascii="Times New Roman" w:hAnsi="Times New Roman" w:cs="Times New Roman" w:eastAsia="Times New Roman" w:hint="default"/>
          <w:spacing w:val="12"/>
        </w:rPr>
        <w:t> </w:t>
      </w:r>
      <w:r>
        <w:rPr/>
        <w:t>万元</w:t>
      </w:r>
      <w:r>
        <w:rPr>
          <w:spacing w:val="-2"/>
        </w:rPr>
        <w:t>的</w:t>
      </w:r>
      <w:r>
        <w:rPr/>
        <w:t>杭联银（科技）最保字第</w:t>
      </w:r>
      <w:r>
        <w:rPr>
          <w:spacing w:val="-34"/>
        </w:rPr>
        <w:t> </w:t>
      </w:r>
      <w:r>
        <w:rPr>
          <w:rFonts w:ascii="Times New Roman" w:hAnsi="Times New Roman" w:cs="Times New Roman" w:eastAsia="Times New Roman" w:hint="default"/>
        </w:rPr>
        <w:t>80</w:t>
      </w:r>
      <w:r>
        <w:rPr>
          <w:rFonts w:ascii="Times New Roman" w:hAnsi="Times New Roman" w:cs="Times New Roman" w:eastAsia="Times New Roman" w:hint="default"/>
          <w:spacing w:val="-6"/>
        </w:rPr>
        <w:t>1</w:t>
      </w:r>
      <w:r>
        <w:rPr>
          <w:rFonts w:ascii="Times New Roman" w:hAnsi="Times New Roman" w:cs="Times New Roman" w:eastAsia="Times New Roman" w:hint="default"/>
        </w:rPr>
        <w:t>132017001987</w:t>
      </w:r>
      <w:r>
        <w:rPr/>
        <w:t>《最高额保证合同</w:t>
      </w:r>
      <w:r>
        <w:rPr>
          <w:spacing w:val="-90"/>
        </w:rPr>
        <w:t>》</w:t>
      </w:r>
      <w:r>
        <w:rPr/>
        <w:t>，为公司金额为</w:t>
      </w:r>
      <w:r>
        <w:rPr>
          <w:spacing w:val="-3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万元（期限为</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63"/>
        <w:ind w:right="0"/>
        <w:jc w:val="left"/>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w:t>
      </w:r>
      <w:r>
        <w:rPr>
          <w:spacing w:val="-90"/>
        </w:rPr>
        <w:t>）</w:t>
      </w:r>
      <w:r>
        <w:rPr/>
        <w:t>的短期借款提供担保</w:t>
      </w:r>
      <w:r>
        <w:rPr>
          <w:spacing w:val="-90"/>
        </w:rPr>
        <w:t>，</w:t>
      </w: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w:t>
      </w:r>
      <w:r>
        <w:rPr>
          <w:spacing w:val="-90"/>
        </w:rPr>
        <w:t>，</w:t>
      </w:r>
      <w:r>
        <w:rPr/>
        <w:t>以上合同担保下的短期借款余额为</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4"/>
        <w:ind w:right="0"/>
        <w:jc w:val="left"/>
      </w:pPr>
      <w:r>
        <w:rPr/>
        <w:t>万元。</w:t>
      </w:r>
    </w:p>
    <w:p>
      <w:pPr>
        <w:pStyle w:val="BodyText"/>
        <w:spacing w:line="240" w:lineRule="auto" w:before="116"/>
        <w:ind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19 </w:t>
      </w:r>
      <w:r>
        <w:rPr/>
        <w:t>日，银江科技集团有限公司与中信银行股份有限公司杭州分行签订的最高额</w:t>
      </w:r>
      <w:r>
        <w:rPr>
          <w:spacing w:val="-44"/>
        </w:rPr>
        <w:t> </w:t>
      </w:r>
      <w:r>
        <w:rPr>
          <w:rFonts w:ascii="Times New Roman" w:hAnsi="Times New Roman" w:cs="Times New Roman" w:eastAsia="Times New Roman" w:hint="default"/>
        </w:rPr>
        <w:t>19,500.00</w:t>
      </w:r>
      <w:r>
        <w:rPr>
          <w:rFonts w:ascii="Times New Roman" w:hAnsi="Times New Roman" w:cs="Times New Roman" w:eastAsia="Times New Roman" w:hint="default"/>
          <w:spacing w:val="1"/>
        </w:rPr>
        <w:t> </w:t>
      </w:r>
      <w:r>
        <w:rPr/>
        <w:t>万元的</w:t>
      </w:r>
      <w:r>
        <w:rPr>
          <w:spacing w:val="-45"/>
        </w:rPr>
        <w:t> </w:t>
      </w:r>
      <w:r>
        <w:rPr>
          <w:rFonts w:ascii="Times New Roman" w:hAnsi="Times New Roman" w:cs="Times New Roman" w:eastAsia="Times New Roman" w:hint="default"/>
        </w:rPr>
        <w:t>2016</w:t>
      </w:r>
    </w:p>
    <w:p>
      <w:pPr>
        <w:pStyle w:val="BodyText"/>
        <w:spacing w:line="240" w:lineRule="auto" w:before="63"/>
        <w:ind w:right="0"/>
        <w:jc w:val="left"/>
      </w:pPr>
      <w:r>
        <w:rPr/>
        <w:t>信银杭玉最保字第</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1</w:t>
      </w:r>
      <w:r>
        <w:rPr>
          <w:rFonts w:ascii="Times New Roman" w:hAnsi="Times New Roman" w:cs="Times New Roman" w:eastAsia="Times New Roman" w:hint="default"/>
        </w:rPr>
        <w:t>1088072258</w:t>
      </w:r>
      <w:r>
        <w:rPr>
          <w:rFonts w:ascii="Times New Roman" w:hAnsi="Times New Roman" w:cs="Times New Roman" w:eastAsia="Times New Roman" w:hint="default"/>
          <w:spacing w:val="9"/>
        </w:rPr>
        <w:t> </w:t>
      </w:r>
      <w:r>
        <w:rPr/>
        <w:t>号《最高额保证合同</w:t>
      </w:r>
      <w:r>
        <w:rPr>
          <w:spacing w:val="-90"/>
        </w:rPr>
        <w:t>》</w:t>
      </w:r>
      <w:r>
        <w:rPr/>
        <w:t>，该合同到期后担保事项履行完毕。</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w:t>
      </w:r>
      <w:r>
        <w:rPr>
          <w:spacing w:val="-2"/>
        </w:rPr>
        <w:t>银</w:t>
      </w:r>
      <w:r>
        <w:rPr/>
        <w:t>江科技</w:t>
      </w:r>
    </w:p>
    <w:p>
      <w:pPr>
        <w:pStyle w:val="BodyText"/>
        <w:spacing w:line="240" w:lineRule="auto" w:before="63"/>
        <w:ind w:right="0"/>
        <w:jc w:val="left"/>
      </w:pPr>
      <w:r>
        <w:rPr/>
        <w:t>集团有限公司与中信银行股份有限公司杭州分行签订的最高额</w:t>
      </w:r>
      <w:r>
        <w:rPr>
          <w:spacing w:val="-56"/>
        </w:rPr>
        <w:t> </w:t>
      </w:r>
      <w:r>
        <w:rPr>
          <w:rFonts w:ascii="Times New Roman" w:hAnsi="Times New Roman" w:cs="Times New Roman" w:eastAsia="Times New Roman" w:hint="default"/>
        </w:rPr>
        <w:t>19,500.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万元的</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信银杭玉最保字第</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1</w:t>
      </w:r>
      <w:r>
        <w:rPr>
          <w:rFonts w:ascii="Times New Roman" w:hAnsi="Times New Roman" w:cs="Times New Roman" w:eastAsia="Times New Roman" w:hint="default"/>
        </w:rPr>
        <w:t>1088</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872</w:t>
      </w:r>
      <w:r>
        <w:rPr>
          <w:rFonts w:ascii="Times New Roman" w:hAnsi="Times New Roman" w:cs="Times New Roman" w:eastAsia="Times New Roman" w:hint="default"/>
          <w:spacing w:val="-12"/>
        </w:rPr>
        <w:t> </w:t>
      </w:r>
      <w:r>
        <w:rPr>
          <w:spacing w:val="-90"/>
        </w:rPr>
        <w:t>号</w:t>
      </w:r>
      <w:r>
        <w:rPr/>
        <w:t>《最</w:t>
      </w:r>
    </w:p>
    <w:p>
      <w:pPr>
        <w:pStyle w:val="BodyText"/>
        <w:spacing w:line="240" w:lineRule="auto" w:before="63"/>
        <w:ind w:left="1134" w:right="0"/>
        <w:jc w:val="left"/>
      </w:pPr>
      <w:r>
        <w:rPr/>
        <w:t>高额保证合同</w:t>
      </w:r>
      <w:r>
        <w:rPr>
          <w:spacing w:val="-90"/>
        </w:rPr>
        <w:t>》</w:t>
      </w:r>
      <w:r>
        <w:rPr/>
        <w:t>，为公司金额为</w:t>
      </w:r>
      <w:r>
        <w:rPr>
          <w:spacing w:val="-44"/>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spacing w:val="-2"/>
        </w:rPr>
        <w:t>万</w:t>
      </w:r>
      <w:r>
        <w:rPr/>
        <w:t>元（期限为</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22 </w:t>
      </w:r>
      <w:r>
        <w:rPr/>
        <w:t>日至</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日）的短期借款提供担保，截至</w:t>
      </w:r>
    </w:p>
    <w:p>
      <w:pPr>
        <w:pStyle w:val="BodyText"/>
        <w:spacing w:line="240" w:lineRule="auto" w:before="64"/>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w:t>
      </w:r>
    </w:p>
    <w:p>
      <w:pPr>
        <w:pStyle w:val="BodyText"/>
        <w:spacing w:line="240" w:lineRule="auto" w:before="101"/>
        <w:ind w:right="0"/>
        <w:jc w:val="left"/>
      </w:pPr>
      <w:r>
        <w:rPr>
          <w:spacing w:val="-3"/>
        </w:rPr>
        <w:t>注（</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2015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日，银江科技集团有限公司与中国工商银行股份有限公司杭州庆春路支行签订的最高额</w:t>
      </w:r>
      <w:r>
        <w:rPr>
          <w:spacing w:val="-47"/>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3"/>
        </w:rPr>
        <w:t> </w:t>
      </w:r>
      <w:r>
        <w:rPr/>
        <w:t>万</w:t>
      </w:r>
    </w:p>
    <w:p>
      <w:pPr>
        <w:pStyle w:val="BodyText"/>
        <w:spacing w:line="240" w:lineRule="auto" w:before="63"/>
        <w:ind w:left="1134" w:right="0"/>
        <w:jc w:val="left"/>
      </w:pPr>
      <w:r>
        <w:rPr/>
        <w:t>元的</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spacing w:val="-6"/>
        </w:rPr>
        <w:t>年庆春（保）字</w:t>
      </w:r>
      <w:r>
        <w:rPr>
          <w:spacing w:val="-57"/>
        </w:rPr>
        <w:t> </w:t>
      </w:r>
      <w:r>
        <w:rPr>
          <w:rFonts w:ascii="Times New Roman" w:hAnsi="Times New Roman" w:cs="Times New Roman" w:eastAsia="Times New Roman" w:hint="default"/>
        </w:rPr>
        <w:t>0009</w:t>
      </w:r>
      <w:r>
        <w:rPr>
          <w:rFonts w:ascii="Times New Roman" w:hAnsi="Times New Roman" w:cs="Times New Roman" w:eastAsia="Times New Roman" w:hint="default"/>
          <w:spacing w:val="-12"/>
        </w:rPr>
        <w:t> </w:t>
      </w:r>
      <w:r>
        <w:rPr/>
        <w:t>号《最高额保证合同》为公司以下①通过应收账款质押产生的有追索权的保理融资借款及②</w:t>
      </w:r>
    </w:p>
    <w:p>
      <w:pPr>
        <w:pStyle w:val="BodyText"/>
        <w:spacing w:line="240" w:lineRule="auto" w:before="64"/>
        <w:ind w:left="1134" w:right="0"/>
        <w:jc w:val="left"/>
      </w:pPr>
      <w:r>
        <w:rPr>
          <w:rFonts w:ascii="Times New Roman" w:hAnsi="Times New Roman" w:cs="Times New Roman" w:eastAsia="Times New Roman" w:hint="default"/>
        </w:rPr>
        <w:t>-</w:t>
      </w:r>
      <w:r>
        <w:rPr/>
        <w:t>⑥短期借款提供担保：</w:t>
      </w:r>
    </w:p>
    <w:p>
      <w:pPr>
        <w:pStyle w:val="BodyText"/>
        <w:spacing w:line="240" w:lineRule="auto" w:before="101"/>
        <w:ind w:left="1134" w:right="0"/>
        <w:jc w:val="left"/>
      </w:pPr>
      <w:r>
        <w:rPr/>
        <w:t>①为公司金额为</w:t>
      </w:r>
      <w:r>
        <w:rPr>
          <w:spacing w:val="-45"/>
        </w:rPr>
        <w:t> </w:t>
      </w:r>
      <w:r>
        <w:rPr>
          <w:rFonts w:ascii="Times New Roman" w:hAnsi="Times New Roman" w:cs="Times New Roman" w:eastAsia="Times New Roman" w:hint="default"/>
        </w:rPr>
        <w:t>3,000.00 </w:t>
      </w:r>
      <w:r>
        <w:rPr/>
        <w:t>万元（期限为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日）的短期借款提供担保，截至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3,000.00 </w:t>
      </w:r>
      <w:r>
        <w:rPr/>
        <w:t>万元。</w:t>
      </w:r>
    </w:p>
    <w:p>
      <w:pPr>
        <w:pStyle w:val="BodyText"/>
        <w:spacing w:line="240" w:lineRule="auto" w:before="102"/>
        <w:ind w:right="0"/>
        <w:jc w:val="left"/>
      </w:pPr>
      <w:r>
        <w:rPr/>
        <w:t>②为公司金额为</w:t>
      </w:r>
      <w:r>
        <w:rPr>
          <w:spacing w:val="-41"/>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日）的短期借款提供担保，截至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5,000.00 </w:t>
      </w:r>
      <w:r>
        <w:rPr/>
        <w:t>万元。</w:t>
      </w:r>
    </w:p>
    <w:p>
      <w:pPr>
        <w:pStyle w:val="BodyText"/>
        <w:spacing w:line="240" w:lineRule="auto" w:before="101"/>
        <w:ind w:right="0"/>
        <w:jc w:val="left"/>
        <w:rPr>
          <w:rFonts w:ascii="Times New Roman" w:hAnsi="Times New Roman" w:cs="Times New Roman" w:eastAsia="Times New Roman" w:hint="default"/>
        </w:rPr>
      </w:pPr>
      <w:r>
        <w:rPr/>
        <w:t>③为公司金额为</w:t>
      </w:r>
      <w:r>
        <w:rPr>
          <w:spacing w:val="-47"/>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2"/>
        </w:rPr>
        <w:t> </w:t>
      </w:r>
      <w:r>
        <w:rPr>
          <w:spacing w:val="-3"/>
        </w:rPr>
        <w:t>万元（期限为</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日）的短期借款提供担保，截至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p>
    <w:p>
      <w:pPr>
        <w:pStyle w:val="BodyText"/>
        <w:spacing w:line="240" w:lineRule="auto" w:before="64"/>
        <w:ind w:right="0"/>
        <w:jc w:val="left"/>
      </w:pPr>
      <w:r>
        <w:rPr/>
        <w:t>日，以上合同担保下的短期借款余额为</w:t>
      </w:r>
      <w:r>
        <w:rPr>
          <w:spacing w:val="-46"/>
        </w:rPr>
        <w:t> </w:t>
      </w:r>
      <w:r>
        <w:rPr>
          <w:rFonts w:ascii="Times New Roman" w:hAnsi="Times New Roman" w:cs="Times New Roman" w:eastAsia="Times New Roman" w:hint="default"/>
        </w:rPr>
        <w:t>3,000.00 </w:t>
      </w:r>
      <w:r>
        <w:rPr/>
        <w:t>万元。</w:t>
      </w:r>
    </w:p>
    <w:p>
      <w:pPr>
        <w:pStyle w:val="BodyText"/>
        <w:spacing w:line="240" w:lineRule="auto" w:before="101"/>
        <w:ind w:left="1494" w:right="0"/>
        <w:jc w:val="left"/>
        <w:rPr>
          <w:rFonts w:ascii="Times New Roman" w:hAnsi="Times New Roman" w:cs="Times New Roman" w:eastAsia="Times New Roman" w:hint="default"/>
        </w:rPr>
      </w:pPr>
      <w:r>
        <w:rPr/>
        <w:t>④为公司金额为</w:t>
      </w:r>
      <w:r>
        <w:rPr>
          <w:spacing w:val="-48"/>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3"/>
        </w:rPr>
        <w:t> </w:t>
      </w:r>
      <w:r>
        <w:rPr>
          <w:spacing w:val="-3"/>
        </w:rPr>
        <w:t>万元（期限为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日）的短期借款提供担保，截至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p>
    <w:p>
      <w:pPr>
        <w:pStyle w:val="BodyText"/>
        <w:spacing w:line="240" w:lineRule="auto" w:before="64"/>
        <w:ind w:left="1134"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5,000.00 </w:t>
      </w:r>
      <w:r>
        <w:rPr/>
        <w:t>万元。</w:t>
      </w:r>
    </w:p>
    <w:p>
      <w:pPr>
        <w:pStyle w:val="BodyText"/>
        <w:spacing w:line="240" w:lineRule="auto" w:before="102"/>
        <w:ind w:left="1494" w:right="0"/>
        <w:jc w:val="left"/>
        <w:rPr>
          <w:rFonts w:ascii="Times New Roman" w:hAnsi="Times New Roman" w:cs="Times New Roman" w:eastAsia="Times New Roman" w:hint="default"/>
        </w:rPr>
      </w:pPr>
      <w:r>
        <w:rPr/>
        <w:t>⑤为公司金额为</w:t>
      </w:r>
      <w:r>
        <w:rPr>
          <w:spacing w:val="-42"/>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3"/>
        </w:rPr>
        <w:t> </w:t>
      </w:r>
      <w:r>
        <w:rPr/>
        <w:t>万元（期限为</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日）的短期借款提供担保，截至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p>
    <w:p>
      <w:pPr>
        <w:pStyle w:val="BodyText"/>
        <w:spacing w:line="240" w:lineRule="auto" w:before="64"/>
        <w:ind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5,000.00 </w:t>
      </w:r>
      <w:r>
        <w:rPr/>
        <w:t>万元。</w:t>
      </w:r>
    </w:p>
    <w:p>
      <w:pPr>
        <w:pStyle w:val="BodyText"/>
        <w:spacing w:line="240" w:lineRule="auto" w:before="101"/>
        <w:ind w:left="1494" w:right="0"/>
        <w:jc w:val="left"/>
        <w:rPr>
          <w:rFonts w:ascii="Times New Roman" w:hAnsi="Times New Roman" w:cs="Times New Roman" w:eastAsia="Times New Roman" w:hint="default"/>
        </w:rPr>
      </w:pPr>
      <w:r>
        <w:rPr/>
        <w:t>⑥为公司金额为</w:t>
      </w:r>
      <w:r>
        <w:rPr>
          <w:spacing w:val="-42"/>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3"/>
        </w:rPr>
        <w:t> </w:t>
      </w:r>
      <w:r>
        <w:rPr/>
        <w:t>万元（期限为</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日）的短期借款提供担保，截至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p>
    <w:p>
      <w:pPr>
        <w:pStyle w:val="BodyText"/>
        <w:spacing w:line="240" w:lineRule="auto" w:before="64"/>
        <w:ind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2,000.00 </w:t>
      </w:r>
      <w:r>
        <w:rPr/>
        <w:t>万元。</w:t>
      </w:r>
    </w:p>
    <w:p>
      <w:pPr>
        <w:pStyle w:val="BodyText"/>
        <w:spacing w:line="240" w:lineRule="auto" w:before="101"/>
        <w:ind w:left="1134" w:right="0"/>
        <w:jc w:val="left"/>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t>日，银江科技集团有限公司与上海浦东发展银行杭州分行保俶支行签订的最高额 </w:t>
      </w:r>
      <w:r>
        <w:rPr>
          <w:rFonts w:ascii="Times New Roman" w:hAnsi="Times New Roman" w:cs="Times New Roman" w:eastAsia="Times New Roman" w:hint="default"/>
        </w:rPr>
        <w:t>5,000.00  </w:t>
      </w:r>
      <w:r>
        <w:rPr>
          <w:rFonts w:ascii="Times New Roman" w:hAnsi="Times New Roman" w:cs="Times New Roman" w:eastAsia="Times New Roman" w:hint="default"/>
          <w:spacing w:val="7"/>
        </w:rPr>
        <w:t> </w:t>
      </w:r>
      <w:r>
        <w:rPr/>
        <w:t>万元的</w:t>
      </w:r>
    </w:p>
    <w:p>
      <w:pPr>
        <w:pStyle w:val="BodyText"/>
        <w:spacing w:line="240" w:lineRule="auto" w:before="64"/>
        <w:ind w:right="0"/>
        <w:jc w:val="left"/>
      </w:pPr>
      <w:r>
        <w:rPr>
          <w:rFonts w:ascii="Times New Roman" w:hAnsi="Times New Roman" w:cs="Times New Roman" w:eastAsia="Times New Roman" w:hint="default"/>
        </w:rPr>
        <w:t>ZB9503201700000006</w:t>
      </w:r>
      <w:r>
        <w:rPr/>
        <w:t>《最高额保证合同》为公司以下期借款提供担保：</w:t>
      </w:r>
    </w:p>
    <w:p>
      <w:pPr>
        <w:pStyle w:val="BodyText"/>
        <w:spacing w:line="240" w:lineRule="auto" w:before="102"/>
        <w:ind w:right="0"/>
        <w:jc w:val="left"/>
      </w:pPr>
      <w:r>
        <w:rPr/>
        <w:t>①为公司金额为</w:t>
      </w:r>
      <w:r>
        <w:rPr>
          <w:spacing w:val="-41"/>
        </w:rPr>
        <w:t> </w:t>
      </w:r>
      <w:r>
        <w:rPr>
          <w:rFonts w:ascii="Times New Roman" w:hAnsi="Times New Roman" w:cs="Times New Roman" w:eastAsia="Times New Roman" w:hint="default"/>
        </w:rPr>
        <w:t>2,300.00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日）的短期借款提供担保，截至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2,300.00 </w:t>
      </w:r>
      <w:r>
        <w:rPr/>
        <w:t>万元。</w:t>
      </w:r>
    </w:p>
    <w:p>
      <w:pPr>
        <w:pStyle w:val="BodyText"/>
        <w:spacing w:line="240" w:lineRule="auto" w:before="101"/>
        <w:ind w:right="0"/>
        <w:jc w:val="left"/>
      </w:pPr>
      <w:r>
        <w:rPr/>
        <w:t>②为公司金额为</w:t>
      </w:r>
      <w:r>
        <w:rPr>
          <w:spacing w:val="-41"/>
        </w:rPr>
        <w:t> </w:t>
      </w:r>
      <w:r>
        <w:rPr>
          <w:rFonts w:ascii="Times New Roman" w:hAnsi="Times New Roman" w:cs="Times New Roman" w:eastAsia="Times New Roman" w:hint="default"/>
        </w:rPr>
        <w:t>2,700.00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日）的短期借款提供担保，截至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2,700.00 </w:t>
      </w:r>
      <w:r>
        <w:rPr/>
        <w:t>万元。</w:t>
      </w:r>
    </w:p>
    <w:p>
      <w:pPr>
        <w:spacing w:after="0" w:line="240" w:lineRule="auto"/>
        <w:jc w:val="left"/>
        <w:sectPr>
          <w:footerReference w:type="default" r:id="rId15"/>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关联方资金拆借" w:id="470"/>
      <w:bookmarkEnd w:id="47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关联方资产转让、债务重组情况" w:id="471"/>
      <w:bookmarkEnd w:id="47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受让房产</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键管理人员报酬" w:id="472"/>
      <w:bookmarkEnd w:id="47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508.16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其他关联交易" w:id="473"/>
      <w:bookmarkEnd w:id="47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①本年公司向最终控制方控制的企业杭州银江智慧产业创业投资合伙企业（有限合伙）投入资金人民币 </w:t>
      </w:r>
      <w:r>
        <w:rPr>
          <w:rFonts w:ascii="Times New Roman" w:hAnsi="Times New Roman" w:cs="Times New Roman" w:eastAsia="Times New Roman" w:hint="default"/>
        </w:rPr>
        <w:t>300.00</w:t>
      </w:r>
      <w:r>
        <w:rPr>
          <w:rFonts w:ascii="Times New Roman" w:hAnsi="Times New Roman" w:cs="Times New Roman" w:eastAsia="Times New Roman" w:hint="default"/>
          <w:spacing w:val="9"/>
        </w:rPr>
        <w:t> </w:t>
      </w:r>
      <w:r>
        <w:rPr/>
        <w:t>万元，截至</w:t>
      </w:r>
    </w:p>
    <w:p>
      <w:pPr>
        <w:pStyle w:val="BodyText"/>
        <w:spacing w:line="240" w:lineRule="auto" w:before="64"/>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日，公司总计向杭州银江智慧产业创业投资合伙企业（有限合伙）投入资金人民币</w:t>
      </w:r>
      <w:r>
        <w:rPr>
          <w:spacing w:val="-45"/>
        </w:rPr>
        <w:t> </w:t>
      </w:r>
      <w:r>
        <w:rPr>
          <w:rFonts w:ascii="Times New Roman" w:hAnsi="Times New Roman" w:cs="Times New Roman" w:eastAsia="Times New Roman" w:hint="default"/>
        </w:rPr>
        <w:t>2.94</w:t>
      </w:r>
      <w:r>
        <w:rPr>
          <w:rFonts w:ascii="Times New Roman" w:hAnsi="Times New Roman" w:cs="Times New Roman" w:eastAsia="Times New Roman" w:hint="default"/>
          <w:spacing w:val="-1"/>
        </w:rPr>
        <w:t> </w:t>
      </w:r>
      <w:r>
        <w:rPr/>
        <w:t>亿元。</w:t>
      </w:r>
    </w:p>
    <w:p>
      <w:pPr>
        <w:pStyle w:val="BodyText"/>
        <w:spacing w:line="240" w:lineRule="auto" w:before="102"/>
        <w:ind w:right="0"/>
        <w:jc w:val="left"/>
      </w:pPr>
      <w:r>
        <w:rPr/>
        <w:t>②本年公司和母公司共同出资</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亿元设立浙江银江金服控股有限公司，公司出资人民币</w:t>
      </w:r>
      <w:r>
        <w:rPr>
          <w:spacing w:val="-48"/>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2"/>
        </w:rPr>
        <w:t> </w:t>
      </w:r>
      <w:r>
        <w:rPr>
          <w:spacing w:val="-4"/>
        </w:rPr>
        <w:t>万元，占比</w:t>
      </w:r>
      <w:r>
        <w:rPr>
          <w:spacing w:val="-48"/>
        </w:rPr>
        <w:t> </w:t>
      </w:r>
      <w:r>
        <w:rPr>
          <w:rFonts w:ascii="Times New Roman" w:hAnsi="Times New Roman" w:cs="Times New Roman" w:eastAsia="Times New Roman" w:hint="default"/>
          <w:spacing w:val="-3"/>
        </w:rPr>
        <w:t>30%</w:t>
      </w:r>
      <w:r>
        <w:rPr>
          <w:spacing w:val="-3"/>
        </w:rPr>
        <w:t>，母公司出</w:t>
      </w:r>
    </w:p>
    <w:p>
      <w:pPr>
        <w:pStyle w:val="BodyText"/>
        <w:spacing w:line="240" w:lineRule="auto" w:before="64"/>
        <w:ind w:right="0"/>
        <w:jc w:val="left"/>
      </w:pPr>
      <w:r>
        <w:rPr/>
        <w:t>资</w:t>
      </w:r>
      <w:r>
        <w:rPr>
          <w:spacing w:val="-46"/>
        </w:rPr>
        <w:t> </w:t>
      </w:r>
      <w:r>
        <w:rPr>
          <w:rFonts w:ascii="Times New Roman" w:hAnsi="Times New Roman" w:cs="Times New Roman" w:eastAsia="Times New Roman" w:hint="default"/>
        </w:rPr>
        <w:t>7,000 </w:t>
      </w:r>
      <w:r>
        <w:rPr/>
        <w:t>万元，占比</w:t>
      </w:r>
      <w:r>
        <w:rPr>
          <w:spacing w:val="-46"/>
        </w:rPr>
        <w:t> </w:t>
      </w:r>
      <w:r>
        <w:rPr>
          <w:rFonts w:ascii="Times New Roman" w:hAnsi="Times New Roman" w:cs="Times New Roman" w:eastAsia="Times New Roman" w:hint="default"/>
        </w:rPr>
        <w:t>70%</w:t>
      </w:r>
      <w:r>
        <w:rPr/>
        <w:t>，母公司作为新设公司的实际控制人。截至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日，公司已完成出资</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关联方应收应付款项" w:id="474"/>
      <w:bookmarkEnd w:id="47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75"/>
      <w:bookmarkEnd w:id="47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北京欧迈特科技股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481,740.00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上海银江智慧智能 化技术有限公司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181,800.00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交通宝互联网技术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1,761,740.00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3,089,384.00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0" w:right="0"/>
          <w:pgNumType w:start="201"/>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上海银江智慧智能 化技术有限公司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北京银江瑞讯科技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543,583.97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安徽新网讯科技发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上海银江智慧智能 化技术有限公司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476"/>
      <w:bookmarkEnd w:id="47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18,831.56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314,995.13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2,774,332.27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3,437,657.39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厦门银江智慧城市技术股份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8,543,819.01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9,925,691.71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杭州银江医联网技术股份有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149,558.80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杭州银江智慧科技产业园有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219,826.71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1,584,446.70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安徽新网讯科技发展有限公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380,990.03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324,547.10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杭州银江医联网技术股份有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133,931.00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北京欧迈特科技股份有限公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7、关联方承诺" w:id="477"/>
      <w:bookmarkEnd w:id="47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日，公司母公司银江科技集团有限公司（以下简称</w:t>
      </w:r>
      <w:r>
        <w:rPr>
          <w:rFonts w:ascii="Times New Roman" w:hAnsi="Times New Roman" w:cs="Times New Roman" w:eastAsia="Times New Roman" w:hint="default"/>
        </w:rPr>
        <w:t>“</w:t>
      </w:r>
      <w:r>
        <w:rPr/>
        <w:t>银江科技集团</w:t>
      </w:r>
      <w:r>
        <w:rPr>
          <w:rFonts w:ascii="Times New Roman" w:hAnsi="Times New Roman" w:cs="Times New Roman" w:eastAsia="Times New Roman" w:hint="default"/>
        </w:rPr>
        <w:t>”</w:t>
      </w:r>
      <w:r>
        <w:rPr/>
        <w:t>）拟增持公司股份，即银江科技集团计划</w:t>
      </w:r>
    </w:p>
    <w:p>
      <w:pPr>
        <w:pStyle w:val="BodyText"/>
        <w:spacing w:line="240" w:lineRule="auto" w:before="63"/>
        <w:ind w:right="0"/>
        <w:jc w:val="both"/>
      </w:pPr>
      <w:r>
        <w:rPr/>
        <w:t>自</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日起</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2"/>
        </w:rPr>
        <w:t>个</w:t>
      </w:r>
      <w:r>
        <w:rPr/>
        <w:t>月内（</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至</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2"/>
        </w:rPr>
        <w:t>日</w:t>
      </w:r>
      <w:r>
        <w:rPr>
          <w:spacing w:val="-90"/>
        </w:rPr>
        <w:t>）</w:t>
      </w:r>
      <w:r>
        <w:rPr/>
        <w:t>，根据中国证监会及深圳证券交易所有关规定，通</w:t>
      </w:r>
    </w:p>
    <w:p>
      <w:pPr>
        <w:pStyle w:val="BodyText"/>
        <w:spacing w:line="309" w:lineRule="auto" w:before="63"/>
        <w:ind w:right="1133"/>
        <w:jc w:val="both"/>
      </w:pPr>
      <w:r>
        <w:rPr>
          <w:spacing w:val="-2"/>
        </w:rPr>
        <w:t>过法律法规允许的方式（包括但不限于集中竞价和大宗交易等）择机在二级市场增持公司股份，增持金额拟不低于</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亿元人 </w:t>
      </w:r>
      <w:r>
        <w:rPr>
          <w:spacing w:val="-2"/>
        </w:rPr>
        <w:t>民币。并承诺在增持期间及在本次增持完成后六个月内及法定期限内不减持所持有的公司股份。截至本资产负债表日，银江</w:t>
      </w:r>
      <w:r>
        <w:rPr>
          <w:spacing w:val="-66"/>
        </w:rPr>
        <w:t> </w:t>
      </w:r>
      <w:r>
        <w:rPr>
          <w:spacing w:val="-66"/>
        </w:rPr>
      </w:r>
      <w:r>
        <w:rPr/>
        <w:t>科技集团尚未完成上述承诺增持计划，资产负债表日后增持计划延期，详见本附注十四、</w:t>
      </w:r>
      <w:r>
        <w:rPr>
          <w:rFonts w:ascii="Times New Roman" w:hAnsi="Times New Roman" w:cs="Times New Roman" w:eastAsia="Times New Roman" w:hint="default"/>
        </w:rPr>
        <w:t>1</w:t>
      </w:r>
      <w:r>
        <w:rPr/>
        <w:t>。</w:t>
      </w:r>
    </w:p>
    <w:p>
      <w:pPr>
        <w:spacing w:after="0" w:line="309"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8751" w:firstLine="0"/>
        <w:jc w:val="left"/>
        <w:rPr>
          <w:rFonts w:ascii="宋体" w:hAnsi="宋体" w:cs="宋体" w:eastAsia="宋体" w:hint="default"/>
          <w:sz w:val="21"/>
          <w:szCs w:val="21"/>
        </w:rPr>
      </w:pPr>
      <w:bookmarkStart w:name="8、其他" w:id="478"/>
      <w:bookmarkEnd w:id="4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9"/>
      <w:bookmarkEnd w:id="47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13.14</w:t>
            </w:r>
          </w:p>
        </w:tc>
      </w:tr>
    </w:tbl>
    <w:p>
      <w:pPr>
        <w:pStyle w:val="BodyText"/>
        <w:spacing w:line="240" w:lineRule="auto" w:before="51"/>
        <w:ind w:left="1134" w:right="0"/>
        <w:jc w:val="both"/>
      </w:pPr>
      <w:r>
        <w:rPr/>
        <w:t>其他说明</w:t>
      </w:r>
    </w:p>
    <w:p>
      <w:pPr>
        <w:pStyle w:val="BodyText"/>
        <w:spacing w:line="240" w:lineRule="auto" w:before="116"/>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日，公司第四届董事会第六次会议审议通过《关于</w:t>
      </w:r>
      <w:r>
        <w:rPr>
          <w:rFonts w:ascii="Times New Roman" w:hAnsi="Times New Roman" w:cs="Times New Roman" w:eastAsia="Times New Roman" w:hint="default"/>
        </w:rPr>
        <w:t>&lt;</w:t>
      </w:r>
      <w:r>
        <w:rPr/>
        <w:t>银江股份有限公司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5"/>
        </w:rPr>
        <w:t>年股票期权激励计划（草案）</w:t>
      </w:r>
      <w:r>
        <w:rPr>
          <w:rFonts w:ascii="Times New Roman" w:hAnsi="Times New Roman" w:cs="Times New Roman" w:eastAsia="Times New Roman" w:hint="default"/>
          <w:spacing w:val="-5"/>
        </w:rPr>
        <w:t>&gt;</w:t>
      </w:r>
    </w:p>
    <w:p>
      <w:pPr>
        <w:pStyle w:val="BodyText"/>
        <w:spacing w:line="240" w:lineRule="auto" w:before="63"/>
        <w:ind w:left="1134" w:right="0"/>
        <w:jc w:val="both"/>
      </w:pPr>
      <w:r>
        <w:rPr/>
        <w:t>及其摘要的议案</w:t>
      </w:r>
      <w:r>
        <w:rPr>
          <w:spacing w:val="-90"/>
        </w:rPr>
        <w:t>》</w:t>
      </w:r>
      <w:r>
        <w:rPr>
          <w:spacing w:val="-95"/>
        </w:rPr>
        <w:t>、</w:t>
      </w:r>
      <w:r>
        <w:rPr/>
        <w:t>《关于</w:t>
      </w:r>
      <w:r>
        <w:rPr>
          <w:rFonts w:ascii="Times New Roman" w:hAnsi="Times New Roman" w:cs="Times New Roman" w:eastAsia="Times New Roman" w:hint="default"/>
        </w:rPr>
        <w:t>&lt;</w:t>
      </w:r>
      <w:r>
        <w:rPr>
          <w:spacing w:val="-2"/>
        </w:rPr>
        <w:t>银</w:t>
      </w:r>
      <w:r>
        <w:rPr/>
        <w:t>江股份有限公司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年股</w:t>
      </w:r>
      <w:r>
        <w:rPr>
          <w:spacing w:val="1"/>
        </w:rPr>
        <w:t>票</w:t>
      </w:r>
      <w:r>
        <w:rPr/>
        <w:t>期权激励计划实施考核管理办法</w:t>
      </w:r>
      <w:r>
        <w:rPr>
          <w:rFonts w:ascii="Times New Roman" w:hAnsi="Times New Roman" w:cs="Times New Roman" w:eastAsia="Times New Roman" w:hint="default"/>
        </w:rPr>
        <w:t>&gt;</w:t>
      </w:r>
      <w:r>
        <w:rPr/>
        <w:t>的议案</w:t>
      </w:r>
      <w:r>
        <w:rPr>
          <w:spacing w:val="-6"/>
        </w:rPr>
        <w:t>》</w:t>
      </w:r>
      <w:r>
        <w:rPr>
          <w:spacing w:val="-5"/>
        </w:rPr>
        <w:t>和</w:t>
      </w:r>
      <w:r>
        <w:rPr/>
        <w:t>《关于提请股东大会</w:t>
      </w:r>
    </w:p>
    <w:p>
      <w:pPr>
        <w:pStyle w:val="BodyText"/>
        <w:spacing w:line="240" w:lineRule="auto" w:before="64"/>
        <w:ind w:left="1134" w:right="0"/>
        <w:jc w:val="both"/>
      </w:pPr>
      <w:r>
        <w:rPr/>
        <w:t>授权董事会办理公司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w:t>
      </w:r>
      <w:r>
        <w:rPr/>
        <w:t>股票期权激励计划有关事项的议案</w:t>
      </w:r>
      <w:r>
        <w:rPr>
          <w:spacing w:val="-90"/>
        </w:rPr>
        <w:t>》</w:t>
      </w:r>
      <w:r>
        <w:rPr/>
        <w:t>。</w:t>
      </w:r>
    </w:p>
    <w:p>
      <w:pPr>
        <w:pStyle w:val="BodyText"/>
        <w:spacing w:line="240" w:lineRule="auto" w:before="101"/>
        <w:ind w:left="1134"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4"/>
        </w:rPr>
        <w:t>日，公司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年第四次临时股东大会审议通过《关于</w:t>
      </w:r>
      <w:r>
        <w:rPr>
          <w:rFonts w:ascii="Times New Roman" w:hAnsi="Times New Roman" w:cs="Times New Roman" w:eastAsia="Times New Roman" w:hint="default"/>
        </w:rPr>
        <w:t>&lt;</w:t>
      </w:r>
      <w:r>
        <w:rPr/>
        <w:t>银江股份有限公司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年股票期权激励计划（草</w:t>
      </w:r>
    </w:p>
    <w:p>
      <w:pPr>
        <w:pStyle w:val="BodyText"/>
        <w:spacing w:line="240" w:lineRule="auto" w:before="63"/>
        <w:ind w:left="1134" w:right="0"/>
        <w:jc w:val="both"/>
      </w:pPr>
      <w:r>
        <w:rPr/>
        <w:t>案）</w:t>
      </w:r>
      <w:r>
        <w:rPr>
          <w:rFonts w:ascii="Times New Roman" w:hAnsi="Times New Roman" w:cs="Times New Roman" w:eastAsia="Times New Roman" w:hint="default"/>
        </w:rPr>
        <w:t>&gt;</w:t>
      </w:r>
      <w:r>
        <w:rPr/>
        <w:t>及其摘要的议案</w:t>
      </w:r>
      <w:r>
        <w:rPr>
          <w:spacing w:val="-90"/>
        </w:rPr>
        <w:t>》、</w:t>
      </w:r>
      <w:r>
        <w:rPr/>
        <w:t>《关于</w:t>
      </w:r>
      <w:r>
        <w:rPr>
          <w:rFonts w:ascii="Times New Roman" w:hAnsi="Times New Roman" w:cs="Times New Roman" w:eastAsia="Times New Roman" w:hint="default"/>
        </w:rPr>
        <w:t>&lt;</w:t>
      </w:r>
      <w:r>
        <w:rPr/>
        <w:t>银江股份有限公司</w:t>
      </w:r>
      <w:r>
        <w:rPr>
          <w:spacing w:val="-13"/>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14"/>
        </w:rPr>
        <w:t> </w:t>
      </w:r>
      <w:r>
        <w:rPr/>
        <w:t>年股票期权激励计划实施考核管理办法</w:t>
      </w:r>
      <w:r>
        <w:rPr>
          <w:rFonts w:ascii="Times New Roman" w:hAnsi="Times New Roman" w:cs="Times New Roman" w:eastAsia="Times New Roman" w:hint="default"/>
        </w:rPr>
        <w:t>&gt;</w:t>
      </w:r>
      <w:r>
        <w:rPr/>
        <w:t>的议案》和《关于提请股</w:t>
      </w:r>
    </w:p>
    <w:p>
      <w:pPr>
        <w:pStyle w:val="BodyText"/>
        <w:spacing w:line="240" w:lineRule="auto" w:before="64"/>
        <w:ind w:right="0"/>
        <w:jc w:val="both"/>
      </w:pPr>
      <w:r>
        <w:rPr/>
        <w:t>东大会授权董事会办理公司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年股票期权激励计划有关事项的议案</w:t>
      </w:r>
      <w:r>
        <w:rPr>
          <w:spacing w:val="-90"/>
        </w:rPr>
        <w:t>》</w:t>
      </w:r>
      <w:r>
        <w:rPr/>
        <w:t>。</w:t>
      </w:r>
    </w:p>
    <w:p>
      <w:pPr>
        <w:pStyle w:val="BodyText"/>
        <w:spacing w:line="240" w:lineRule="auto" w:before="102"/>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日，公司第四届董事会第八会议审议通过《关于调整公司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年股票期权激励计划授予激励对象名单及</w:t>
      </w:r>
    </w:p>
    <w:p>
      <w:pPr>
        <w:pStyle w:val="BodyText"/>
        <w:spacing w:line="300" w:lineRule="auto" w:before="63"/>
        <w:ind w:right="1131"/>
        <w:jc w:val="both"/>
      </w:pPr>
      <w:r>
        <w:rPr>
          <w:spacing w:val="-4"/>
        </w:rPr>
        <w:t>授予数量的议案》和《关于向</w:t>
      </w:r>
      <w:r>
        <w:rPr>
          <w:spacing w:val="-3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spacing w:val="-4"/>
        </w:rPr>
        <w:t>年股票期权激励计划激励对象授予股票期权的议案》。上述两项议案的主要内容为：原激</w:t>
      </w:r>
      <w:r>
        <w:rPr>
          <w:spacing w:val="-87"/>
        </w:rPr>
        <w:t> </w:t>
      </w:r>
      <w:r>
        <w:rPr>
          <w:spacing w:val="-87"/>
        </w:rPr>
      </w:r>
      <w:r>
        <w:rPr/>
        <w:t>励对象王占军、王黎丽和王如晟 </w:t>
      </w:r>
      <w:r>
        <w:rPr>
          <w:rFonts w:ascii="Times New Roman" w:hAnsi="Times New Roman" w:cs="Times New Roman" w:eastAsia="Times New Roman" w:hint="default"/>
        </w:rPr>
        <w:t>3 </w:t>
      </w:r>
      <w:r>
        <w:rPr/>
        <w:t>人因个人原因离职，不再满足成为激励对象的条件。根据公司《</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年股票期权激励计 </w:t>
      </w:r>
      <w:r>
        <w:rPr>
          <w:spacing w:val="-6"/>
        </w:rPr>
        <w:t>划（草案）》，需对激励对象人数和股票期权授予数量进行调整。经上述调整后，本次获授股票期权的激励对象由</w:t>
      </w:r>
      <w:r>
        <w:rPr/>
        <w:t> </w:t>
      </w:r>
      <w:r>
        <w:rPr>
          <w:rFonts w:ascii="Times New Roman" w:hAnsi="Times New Roman" w:cs="Times New Roman" w:eastAsia="Times New Roman" w:hint="default"/>
        </w:rPr>
        <w:t>306</w:t>
      </w:r>
      <w:r>
        <w:rPr>
          <w:rFonts w:ascii="Times New Roman" w:hAnsi="Times New Roman" w:cs="Times New Roman" w:eastAsia="Times New Roman" w:hint="default"/>
          <w:spacing w:val="-10"/>
        </w:rPr>
        <w:t> </w:t>
      </w:r>
      <w:r>
        <w:rPr/>
        <w:t>人调整</w:t>
      </w:r>
    </w:p>
    <w:p>
      <w:pPr>
        <w:pStyle w:val="BodyText"/>
        <w:spacing w:line="240" w:lineRule="auto" w:before="13"/>
        <w:ind w:right="0"/>
        <w:jc w:val="both"/>
        <w:rPr>
          <w:rFonts w:ascii="Times New Roman" w:hAnsi="Times New Roman" w:cs="Times New Roman" w:eastAsia="Times New Roman" w:hint="default"/>
        </w:rPr>
      </w:pPr>
      <w:r>
        <w:rPr/>
        <w:t>为</w:t>
      </w:r>
      <w:r>
        <w:rPr>
          <w:spacing w:val="-42"/>
        </w:rPr>
        <w:t> </w:t>
      </w:r>
      <w:r>
        <w:rPr>
          <w:rFonts w:ascii="Times New Roman" w:hAnsi="Times New Roman" w:cs="Times New Roman" w:eastAsia="Times New Roman" w:hint="default"/>
        </w:rPr>
        <w:t>303</w:t>
      </w:r>
      <w:r>
        <w:rPr>
          <w:rFonts w:ascii="Times New Roman" w:hAnsi="Times New Roman" w:cs="Times New Roman" w:eastAsia="Times New Roman" w:hint="default"/>
          <w:spacing w:val="3"/>
        </w:rPr>
        <w:t> </w:t>
      </w:r>
      <w:r>
        <w:rPr/>
        <w:t>人，授予股票期权由</w:t>
      </w:r>
      <w:r>
        <w:rPr>
          <w:spacing w:val="-42"/>
        </w:rPr>
        <w:t> </w:t>
      </w:r>
      <w:r>
        <w:rPr>
          <w:rFonts w:ascii="Times New Roman" w:hAnsi="Times New Roman" w:cs="Times New Roman" w:eastAsia="Times New Roman" w:hint="default"/>
        </w:rPr>
        <w:t>1729</w:t>
      </w:r>
      <w:r>
        <w:rPr>
          <w:rFonts w:ascii="Times New Roman" w:hAnsi="Times New Roman" w:cs="Times New Roman" w:eastAsia="Times New Roman" w:hint="default"/>
          <w:spacing w:val="3"/>
        </w:rPr>
        <w:t> </w:t>
      </w:r>
      <w:r>
        <w:rPr/>
        <w:t>万份调整为</w:t>
      </w:r>
      <w:r>
        <w:rPr>
          <w:spacing w:val="-42"/>
        </w:rPr>
        <w:t> </w:t>
      </w:r>
      <w:r>
        <w:rPr>
          <w:rFonts w:ascii="Times New Roman" w:hAnsi="Times New Roman" w:cs="Times New Roman" w:eastAsia="Times New Roman" w:hint="default"/>
        </w:rPr>
        <w:t>1718</w:t>
      </w:r>
      <w:r>
        <w:rPr>
          <w:rFonts w:ascii="Times New Roman" w:hAnsi="Times New Roman" w:cs="Times New Roman" w:eastAsia="Times New Roman" w:hint="default"/>
          <w:spacing w:val="3"/>
        </w:rPr>
        <w:t> </w:t>
      </w:r>
      <w:r>
        <w:rPr/>
        <w:t>万份，并计划以</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日为授予日，授予</w:t>
      </w:r>
      <w:r>
        <w:rPr>
          <w:spacing w:val="-42"/>
        </w:rPr>
        <w:t> </w:t>
      </w:r>
      <w:r>
        <w:rPr>
          <w:rFonts w:ascii="Times New Roman" w:hAnsi="Times New Roman" w:cs="Times New Roman" w:eastAsia="Times New Roman" w:hint="default"/>
        </w:rPr>
        <w:t>303</w:t>
      </w:r>
      <w:r>
        <w:rPr>
          <w:rFonts w:ascii="Times New Roman" w:hAnsi="Times New Roman" w:cs="Times New Roman" w:eastAsia="Times New Roman" w:hint="default"/>
          <w:spacing w:val="3"/>
        </w:rPr>
        <w:t> </w:t>
      </w:r>
      <w:r>
        <w:rPr/>
        <w:t>名激励对象</w:t>
      </w:r>
      <w:r>
        <w:rPr>
          <w:spacing w:val="-41"/>
        </w:rPr>
        <w:t> </w:t>
      </w:r>
      <w:r>
        <w:rPr>
          <w:rFonts w:ascii="Times New Roman" w:hAnsi="Times New Roman" w:cs="Times New Roman" w:eastAsia="Times New Roman" w:hint="default"/>
        </w:rPr>
        <w:t>1718</w:t>
      </w:r>
    </w:p>
    <w:p>
      <w:pPr>
        <w:pStyle w:val="BodyText"/>
        <w:spacing w:line="240" w:lineRule="auto" w:before="64"/>
        <w:ind w:right="0"/>
        <w:jc w:val="both"/>
      </w:pPr>
      <w:r>
        <w:rPr/>
        <w:t>万份股票期权，行权价格为</w:t>
      </w:r>
      <w:r>
        <w:rPr>
          <w:spacing w:val="-46"/>
        </w:rPr>
        <w:t> </w:t>
      </w:r>
      <w:r>
        <w:rPr>
          <w:rFonts w:ascii="Times New Roman" w:hAnsi="Times New Roman" w:cs="Times New Roman" w:eastAsia="Times New Roman" w:hint="default"/>
        </w:rPr>
        <w:t>13.14</w:t>
      </w:r>
      <w:r>
        <w:rPr>
          <w:rFonts w:ascii="Times New Roman" w:hAnsi="Times New Roman" w:cs="Times New Roman" w:eastAsia="Times New Roman" w:hint="default"/>
          <w:spacing w:val="-1"/>
        </w:rPr>
        <w:t> </w:t>
      </w:r>
      <w:r>
        <w:rPr/>
        <w:t>元。</w:t>
      </w:r>
    </w:p>
    <w:p>
      <w:pPr>
        <w:pStyle w:val="BodyText"/>
        <w:spacing w:line="300" w:lineRule="auto" w:before="101"/>
        <w:ind w:left="1134" w:right="1131"/>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日，公司第三期股票期权激励计划经深圳证券交易所、中国证券登记结算有限责任公司深圳分公司审核 </w:t>
      </w:r>
      <w:r>
        <w:rPr>
          <w:spacing w:val="-1"/>
          <w:w w:val="100"/>
        </w:rPr>
        <w:t>确认，银江股份有限公司（以下简称</w:t>
      </w:r>
      <w:r>
        <w:rPr>
          <w:rFonts w:ascii="Times New Roman" w:hAnsi="Times New Roman" w:cs="Times New Roman" w:eastAsia="Times New Roman" w:hint="default"/>
          <w:spacing w:val="-1"/>
          <w:w w:val="100"/>
        </w:rPr>
        <w:t>“</w:t>
      </w:r>
      <w:r>
        <w:rPr>
          <w:spacing w:val="-1"/>
          <w:w w:val="100"/>
        </w:rPr>
        <w:t>公司</w:t>
      </w:r>
      <w:r>
        <w:rPr>
          <w:rFonts w:ascii="Times New Roman" w:hAnsi="Times New Roman" w:cs="Times New Roman" w:eastAsia="Times New Roman" w:hint="default"/>
          <w:spacing w:val="-1"/>
          <w:w w:val="100"/>
        </w:rPr>
        <w:t>”</w:t>
      </w:r>
      <w:r>
        <w:rPr>
          <w:spacing w:val="-1"/>
          <w:w w:val="100"/>
        </w:rPr>
        <w:t>）已完成《</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2"/>
          <w:w w:val="100"/>
        </w:rPr>
        <w:t> </w:t>
      </w:r>
      <w:r>
        <w:rPr>
          <w:spacing w:val="-4"/>
        </w:rPr>
        <w:t>年股票期权激励计划（草案）》股票期权的授予登记工作，期权</w:t>
      </w:r>
      <w:r>
        <w:rPr>
          <w:spacing w:val="-84"/>
        </w:rPr>
        <w:t> </w:t>
      </w:r>
      <w:r>
        <w:rPr>
          <w:spacing w:val="-84"/>
        </w:rPr>
      </w:r>
      <w:r>
        <w:rPr/>
        <w:t>简称：银江</w:t>
      </w:r>
      <w:r>
        <w:rPr>
          <w:spacing w:val="-47"/>
        </w:rPr>
        <w:t> </w:t>
      </w:r>
      <w:r>
        <w:rPr>
          <w:rFonts w:ascii="Times New Roman" w:hAnsi="Times New Roman" w:cs="Times New Roman" w:eastAsia="Times New Roman" w:hint="default"/>
        </w:rPr>
        <w:t>JLC3</w:t>
      </w:r>
      <w:r>
        <w:rPr/>
        <w:t>，期权代码：</w:t>
      </w:r>
      <w:r>
        <w:rPr>
          <w:rFonts w:ascii="Times New Roman" w:hAnsi="Times New Roman" w:cs="Times New Roman" w:eastAsia="Times New Roman" w:hint="default"/>
        </w:rPr>
        <w:t>036262</w:t>
      </w:r>
      <w:r>
        <w:rPr/>
        <w:t>。</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bookmarkStart w:name="2、以权益结算的股份支付情况" w:id="481"/>
      <w:bookmarkEnd w:id="48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5,019,566.50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5,019,566.50</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以现金结算的股份支付情况" w:id="482"/>
      <w:bookmarkEnd w:id="48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83"/>
      <w:bookmarkEnd w:id="48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84"/>
      <w:bookmarkEnd w:id="4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5"/>
      <w:bookmarkEnd w:id="485"/>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pStyle w:val="BodyText"/>
        <w:spacing w:line="302" w:lineRule="auto" w:before="116"/>
        <w:ind w:left="1134" w:right="1122"/>
        <w:jc w:val="left"/>
      </w:pPr>
      <w:r>
        <w:rPr/>
        <w:t>（</w:t>
      </w:r>
      <w:r>
        <w:rPr>
          <w:rFonts w:ascii="Times New Roman" w:hAnsi="Times New Roman" w:cs="Times New Roman" w:eastAsia="Times New Roman" w:hint="default"/>
        </w:rPr>
        <w:t>1</w:t>
      </w:r>
      <w:r>
        <w:rPr/>
        <w:t>）至资产负债表日止，本公司无已签约但尚未于财务报表中确认的购建长期资产、大额发包合同、对外投资承诺的资本</w:t>
      </w:r>
      <w:r>
        <w:rPr>
          <w:spacing w:val="-83"/>
        </w:rPr>
        <w:t> </w:t>
      </w:r>
      <w:r>
        <w:rPr>
          <w:spacing w:val="-83"/>
        </w:rPr>
      </w:r>
      <w:r>
        <w:rPr/>
        <w:t>承诺情况。</w:t>
      </w:r>
    </w:p>
    <w:p>
      <w:pPr>
        <w:pStyle w:val="BodyText"/>
        <w:spacing w:line="338" w:lineRule="auto" w:before="69"/>
        <w:ind w:left="1134" w:right="4992"/>
        <w:jc w:val="left"/>
      </w:pPr>
      <w:r>
        <w:rPr/>
        <w:t>（</w:t>
      </w:r>
      <w:r>
        <w:rPr>
          <w:rFonts w:ascii="Times New Roman" w:hAnsi="Times New Roman" w:cs="Times New Roman" w:eastAsia="Times New Roman" w:hint="default"/>
        </w:rPr>
        <w:t>2</w:t>
      </w:r>
      <w:r>
        <w:rPr/>
        <w:t>）经营租赁承诺 至资产负债表日止，本公司无对外签订的不可撤销的经营租赁合约情况。</w:t>
      </w:r>
    </w:p>
    <w:p>
      <w:pPr>
        <w:pStyle w:val="BodyText"/>
        <w:spacing w:line="240" w:lineRule="auto" w:before="43"/>
        <w:ind w:right="0"/>
        <w:jc w:val="left"/>
      </w:pPr>
      <w:r>
        <w:rPr/>
        <w:t>（</w:t>
      </w:r>
      <w:r>
        <w:rPr>
          <w:rFonts w:ascii="Times New Roman" w:hAnsi="Times New Roman" w:cs="Times New Roman" w:eastAsia="Times New Roman" w:hint="default"/>
        </w:rPr>
        <w:t>3</w:t>
      </w:r>
      <w:r>
        <w:rPr/>
        <w:t>）至资产负债表日止，本公司无与合营企业投资相关的未确认承诺情况。</w:t>
      </w:r>
    </w:p>
    <w:p>
      <w:pPr>
        <w:pStyle w:val="BodyText"/>
        <w:spacing w:line="240" w:lineRule="auto" w:before="102"/>
        <w:ind w:right="0"/>
        <w:jc w:val="left"/>
      </w:pPr>
      <w:r>
        <w:rPr/>
        <w:t>（</w:t>
      </w:r>
      <w:r>
        <w:rPr>
          <w:rFonts w:ascii="Times New Roman" w:hAnsi="Times New Roman" w:cs="Times New Roman" w:eastAsia="Times New Roman" w:hint="default"/>
        </w:rPr>
        <w:t>4</w:t>
      </w:r>
      <w:r>
        <w:rPr/>
        <w:t>）无其他承诺事项。</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或有事项" w:id="487"/>
      <w:bookmarkEnd w:id="48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资产负债表日存在的重要或有事项" w:id="488"/>
      <w:bookmarkEnd w:id="48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）无未决诉讼仲裁形成的或有负债及其财务影响。</w:t>
      </w:r>
    </w:p>
    <w:p>
      <w:pPr>
        <w:pStyle w:val="BodyText"/>
        <w:spacing w:line="240" w:lineRule="auto" w:before="103"/>
        <w:ind w:left="1134" w:right="0"/>
        <w:jc w:val="left"/>
      </w:pPr>
      <w:r>
        <w:rPr/>
        <w:t>（</w:t>
      </w:r>
      <w:r>
        <w:rPr>
          <w:rFonts w:ascii="Times New Roman" w:hAnsi="Times New Roman" w:cs="Times New Roman" w:eastAsia="Times New Roman" w:hint="default"/>
        </w:rPr>
        <w:t>2</w:t>
      </w:r>
      <w:r>
        <w:rPr/>
        <w:t>）无为其他单位提供债务担保形成的或有负债及其财务影响。</w:t>
      </w:r>
    </w:p>
    <w:p>
      <w:pPr>
        <w:pStyle w:val="BodyText"/>
        <w:spacing w:line="240" w:lineRule="auto" w:before="102"/>
        <w:ind w:right="0"/>
        <w:jc w:val="left"/>
      </w:pPr>
      <w:r>
        <w:rPr/>
        <w:t>（</w:t>
      </w:r>
      <w:r>
        <w:rPr>
          <w:rFonts w:ascii="Times New Roman" w:hAnsi="Times New Roman" w:cs="Times New Roman" w:eastAsia="Times New Roman" w:hint="default"/>
        </w:rPr>
        <w:t>3</w:t>
      </w:r>
      <w:r>
        <w:rPr/>
        <w:t>）无与合营企业或联营企业投资相关的或有负债。</w:t>
      </w:r>
    </w:p>
    <w:p>
      <w:pPr>
        <w:pStyle w:val="BodyText"/>
        <w:spacing w:line="240" w:lineRule="auto" w:before="102"/>
        <w:ind w:left="1134" w:right="0"/>
        <w:jc w:val="left"/>
      </w:pPr>
      <w:r>
        <w:rPr/>
        <w:t>（</w:t>
      </w:r>
      <w:r>
        <w:rPr>
          <w:rFonts w:ascii="Times New Roman" w:hAnsi="Times New Roman" w:cs="Times New Roman" w:eastAsia="Times New Roman" w:hint="default"/>
        </w:rPr>
        <w:t>4</w:t>
      </w:r>
      <w:r>
        <w:rPr/>
        <w:t>）其他或有事项</w:t>
      </w:r>
    </w:p>
    <w:p>
      <w:pPr>
        <w:pStyle w:val="BodyText"/>
        <w:spacing w:line="309" w:lineRule="auto" w:before="102"/>
        <w:ind w:right="1033"/>
        <w:jc w:val="left"/>
      </w:pPr>
      <w:r>
        <w:rPr/>
        <w:t>因收购标的北京亚太安讯科技有限责任公司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4"/>
        </w:rPr>
        <w:t>年度未完成业绩承诺，李欣应向公司补偿其持有的</w:t>
      </w:r>
      <w:r>
        <w:rPr>
          <w:spacing w:val="-44"/>
        </w:rPr>
        <w:t> </w:t>
      </w:r>
      <w:r>
        <w:rPr>
          <w:rFonts w:ascii="Times New Roman" w:hAnsi="Times New Roman" w:cs="Times New Roman" w:eastAsia="Times New Roman" w:hint="default"/>
        </w:rPr>
        <w:t>25,240,153</w:t>
      </w:r>
      <w:r>
        <w:rPr>
          <w:rFonts w:ascii="Times New Roman" w:hAnsi="Times New Roman" w:cs="Times New Roman" w:eastAsia="Times New Roman" w:hint="default"/>
          <w:spacing w:val="1"/>
        </w:rPr>
        <w:t> </w:t>
      </w:r>
      <w:r>
        <w:rPr>
          <w:spacing w:val="-1"/>
        </w:rPr>
        <w:t>股公司股票，</w:t>
      </w:r>
      <w:r>
        <w:rPr/>
        <w:t> </w:t>
      </w:r>
      <w:r>
        <w:rPr>
          <w:spacing w:val="-2"/>
        </w:rPr>
        <w:t>因李欣已将其所持有的本公司股票质押给浙江浙商资产管理有限公司，导致其无法履行补偿义务。公司已将本事项当事人李</w:t>
      </w:r>
      <w:r>
        <w:rPr>
          <w:spacing w:val="-64"/>
        </w:rPr>
        <w:t> </w:t>
      </w:r>
      <w:r>
        <w:rPr>
          <w:spacing w:val="-64"/>
        </w:rPr>
      </w:r>
      <w:r>
        <w:rPr/>
        <w:t>欣和本事项衍生案件当事人浙江浙商资产管理有限公司共同诉至浙江省高级人民法院。</w:t>
      </w:r>
    </w:p>
    <w:p>
      <w:pPr>
        <w:pStyle w:val="BodyText"/>
        <w:spacing w:line="309" w:lineRule="auto" w:before="62"/>
        <w:ind w:left="1134" w:right="1050"/>
        <w:jc w:val="both"/>
      </w:pPr>
      <w:r>
        <w:rPr>
          <w:spacing w:val="-2"/>
        </w:rPr>
        <w:t>截至本财务报表批准报出日，公司诉李欣案件（以下简称</w:t>
      </w:r>
      <w:r>
        <w:rPr>
          <w:rFonts w:ascii="Times New Roman" w:hAnsi="Times New Roman" w:cs="Times New Roman" w:eastAsia="Times New Roman" w:hint="default"/>
          <w:spacing w:val="-2"/>
        </w:rPr>
        <w:t>“</w:t>
      </w:r>
      <w:r>
        <w:rPr>
          <w:spacing w:val="-2"/>
        </w:rPr>
        <w:t>案件一</w:t>
      </w:r>
      <w:r>
        <w:rPr>
          <w:rFonts w:ascii="Times New Roman" w:hAnsi="Times New Roman" w:cs="Times New Roman" w:eastAsia="Times New Roman" w:hint="default"/>
          <w:spacing w:val="-2"/>
        </w:rPr>
        <w:t>”</w:t>
      </w:r>
      <w:r>
        <w:rPr>
          <w:spacing w:val="-2"/>
        </w:rPr>
        <w:t>）已经终审判决，本公司已胜诉，其过程进展如下：依据</w:t>
      </w:r>
      <w:r>
        <w:rPr>
          <w:spacing w:val="-45"/>
        </w:rPr>
        <w:t> </w:t>
      </w:r>
      <w:r>
        <w:rPr>
          <w:spacing w:val="-45"/>
        </w:rPr>
      </w:r>
      <w:r>
        <w:rPr>
          <w:spacing w:val="-5"/>
        </w:rPr>
        <w:t>公司与李欣签署的《银江股份有限公司与北京亚太安讯科技有限责任公司全体股东关于现金及发行股份购买资产协议》及《盈</w:t>
      </w:r>
      <w:r>
        <w:rPr>
          <w:spacing w:val="-79"/>
        </w:rPr>
        <w:t> </w:t>
      </w:r>
      <w:r>
        <w:rPr>
          <w:spacing w:val="-79"/>
        </w:rPr>
      </w:r>
      <w:r>
        <w:rPr/>
        <w:t>利预测补偿协议》的有关规定，以及李欣未实现亚太安讯</w:t>
      </w:r>
      <w:r>
        <w:rPr>
          <w:spacing w:val="-2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年度业绩承诺的事实，公司于</w:t>
      </w:r>
      <w:r>
        <w:rPr>
          <w:spacing w:val="-3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3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日召开</w:t>
      </w:r>
      <w:r>
        <w:rPr>
          <w:spacing w:val="-30"/>
        </w:rPr>
        <w:t> </w:t>
      </w:r>
      <w:r>
        <w:rPr>
          <w:rFonts w:ascii="Times New Roman" w:hAnsi="Times New Roman" w:cs="Times New Roman" w:eastAsia="Times New Roman" w:hint="default"/>
        </w:rPr>
        <w:t>2016 </w:t>
      </w:r>
      <w:r>
        <w:rPr>
          <w:spacing w:val="-2"/>
        </w:rPr>
        <w:t>年第三次临时股东大会，审议通过了《关于拟通过回购注销方式要求李欣补偿公司股份的议案》，决定股东李欣应向公司补</w:t>
      </w:r>
      <w:r>
        <w:rPr>
          <w:spacing w:val="-65"/>
        </w:rPr>
        <w:t> </w:t>
      </w:r>
      <w:r>
        <w:rPr>
          <w:spacing w:val="-65"/>
        </w:rPr>
      </w:r>
      <w:r>
        <w:rPr/>
        <w:t>偿公司股份</w:t>
      </w:r>
      <w:r>
        <w:rPr>
          <w:spacing w:val="-44"/>
        </w:rPr>
        <w:t> </w:t>
      </w:r>
      <w:r>
        <w:rPr>
          <w:rFonts w:ascii="Times New Roman" w:hAnsi="Times New Roman" w:cs="Times New Roman" w:eastAsia="Times New Roman" w:hint="default"/>
        </w:rPr>
        <w:t>25,240,153</w:t>
      </w:r>
      <w:r>
        <w:rPr>
          <w:rFonts w:ascii="Times New Roman" w:hAnsi="Times New Roman" w:cs="Times New Roman" w:eastAsia="Times New Roman" w:hint="default"/>
          <w:spacing w:val="1"/>
        </w:rPr>
        <w:t> </w:t>
      </w:r>
      <w:r>
        <w:rPr>
          <w:spacing w:val="-7"/>
        </w:rPr>
        <w:t>股，由公司以</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元总价回购并注销。因李欣将其持有的公司</w:t>
      </w:r>
      <w:r>
        <w:rPr>
          <w:spacing w:val="-44"/>
        </w:rPr>
        <w:t> </w:t>
      </w:r>
      <w:r>
        <w:rPr>
          <w:rFonts w:ascii="Times New Roman" w:hAnsi="Times New Roman" w:cs="Times New Roman" w:eastAsia="Times New Roman" w:hint="default"/>
        </w:rPr>
        <w:t>27,813,840</w:t>
      </w:r>
      <w:r>
        <w:rPr>
          <w:rFonts w:ascii="Times New Roman" w:hAnsi="Times New Roman" w:cs="Times New Roman" w:eastAsia="Times New Roman" w:hint="default"/>
          <w:spacing w:val="2"/>
        </w:rPr>
        <w:t> </w:t>
      </w:r>
      <w:r>
        <w:rPr/>
        <w:t>股股票质押给浙江浙商证券资</w:t>
      </w:r>
      <w:r>
        <w:rPr>
          <w:spacing w:val="-86"/>
        </w:rPr>
        <w:t> </w:t>
      </w:r>
      <w:r>
        <w:rPr>
          <w:spacing w:val="-2"/>
        </w:rPr>
        <w:t>产管理有限公司而导致李欣无法履行交付补偿股份的合同义务。公司向浙江省高级人民法院就与李欣上市公司收购纠纷提起</w:t>
      </w:r>
      <w:r>
        <w:rPr>
          <w:spacing w:val="-64"/>
        </w:rPr>
        <w:t> </w:t>
      </w:r>
      <w:r>
        <w:rPr>
          <w:spacing w:val="-64"/>
        </w:rPr>
      </w:r>
      <w:r>
        <w:rPr>
          <w:spacing w:val="-3"/>
        </w:rPr>
        <w:t>民事诉讼，浙江省高级人民法院业已受理（案号：（</w:t>
      </w:r>
      <w:r>
        <w:rPr>
          <w:rFonts w:ascii="Times New Roman" w:hAnsi="Times New Roman" w:cs="Times New Roman" w:eastAsia="Times New Roman" w:hint="default"/>
          <w:spacing w:val="-3"/>
        </w:rPr>
        <w:t>2016</w:t>
      </w:r>
      <w:r>
        <w:rPr>
          <w:spacing w:val="-3"/>
        </w:rPr>
        <w:t>）浙民初</w:t>
      </w:r>
      <w:r>
        <w:rPr>
          <w:spacing w:val="-45"/>
        </w:rPr>
        <w:t> </w:t>
      </w:r>
      <w:r>
        <w:rPr>
          <w:rFonts w:ascii="Times New Roman" w:hAnsi="Times New Roman" w:cs="Times New Roman" w:eastAsia="Times New Roman" w:hint="default"/>
        </w:rPr>
        <w:t>6 </w:t>
      </w:r>
      <w:r>
        <w:rPr/>
        <w:t>号）并于</w:t>
      </w:r>
      <w:r>
        <w:rPr>
          <w:spacing w:val="-45"/>
        </w:rPr>
        <w:t>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23 </w:t>
      </w:r>
      <w:r>
        <w:rPr>
          <w:spacing w:val="-7"/>
        </w:rPr>
        <w:t>日向公司送达《立案通知书》。</w:t>
      </w:r>
    </w:p>
    <w:p>
      <w:pPr>
        <w:pStyle w:val="BodyText"/>
        <w:spacing w:line="240" w:lineRule="auto" w:before="5"/>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日，浙江省高级人民法院做出一审判决，判决本公司胜诉。李欣不服上述判决，于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日向中华</w:t>
      </w:r>
    </w:p>
    <w:p>
      <w:pPr>
        <w:pStyle w:val="BodyText"/>
        <w:spacing w:line="300" w:lineRule="auto" w:before="63"/>
        <w:ind w:right="1130"/>
        <w:jc w:val="both"/>
      </w:pPr>
      <w:r>
        <w:rPr/>
        <w:t>人民共和国最高人民法院提起上诉，</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月，公司收到中华人民共和国最高人民法院（</w:t>
      </w:r>
      <w:r>
        <w:rPr>
          <w:rFonts w:ascii="Times New Roman" w:hAnsi="Times New Roman" w:cs="Times New Roman" w:eastAsia="Times New Roman" w:hint="default"/>
        </w:rPr>
        <w:t>2017</w:t>
      </w:r>
      <w:r>
        <w:rPr/>
        <w:t>）最高法民终</w:t>
      </w:r>
      <w:r>
        <w:rPr>
          <w:spacing w:val="-35"/>
        </w:rPr>
        <w:t> </w:t>
      </w:r>
      <w:r>
        <w:rPr>
          <w:rFonts w:ascii="Times New Roman" w:hAnsi="Times New Roman" w:cs="Times New Roman" w:eastAsia="Times New Roman" w:hint="default"/>
        </w:rPr>
        <w:t>833</w:t>
      </w:r>
      <w:r>
        <w:rPr>
          <w:rFonts w:ascii="Times New Roman" w:hAnsi="Times New Roman" w:cs="Times New Roman" w:eastAsia="Times New Roman" w:hint="default"/>
          <w:spacing w:val="10"/>
        </w:rPr>
        <w:t> </w:t>
      </w:r>
      <w:r>
        <w:rPr/>
        <w:t>号《民 </w:t>
      </w:r>
      <w:r>
        <w:rPr>
          <w:spacing w:val="-3"/>
        </w:rPr>
        <w:t>事裁定书》，裁定如下：</w:t>
      </w:r>
      <w:r>
        <w:rPr>
          <w:rFonts w:ascii="Times New Roman" w:hAnsi="Times New Roman" w:cs="Times New Roman" w:eastAsia="Times New Roman" w:hint="default"/>
          <w:spacing w:val="-3"/>
        </w:rPr>
        <w:t>“</w:t>
      </w:r>
      <w:r>
        <w:rPr>
          <w:spacing w:val="-3"/>
        </w:rPr>
        <w:t>本案按上诉人李欣自动撤回上诉处理。一审判决自本裁定书送达之日起发生法律效力。本裁定为终</w:t>
      </w:r>
      <w:r>
        <w:rPr>
          <w:spacing w:val="-87"/>
        </w:rPr>
        <w:t> </w:t>
      </w:r>
      <w:r>
        <w:rPr>
          <w:spacing w:val="-87"/>
        </w:rPr>
      </w:r>
      <w:r>
        <w:rPr/>
        <w:t>审裁定</w:t>
      </w:r>
      <w:r>
        <w:rPr>
          <w:rFonts w:ascii="Times New Roman" w:hAnsi="Times New Roman" w:cs="Times New Roman" w:eastAsia="Times New Roman" w:hint="default"/>
        </w:rPr>
        <w:t>”</w:t>
      </w:r>
      <w:r>
        <w:rPr/>
        <w:t>。本案已于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日由浙江省高院受理司法执行申请，目前本案正在司法执行过程中。</w:t>
      </w:r>
    </w:p>
    <w:p>
      <w:pPr>
        <w:pStyle w:val="BodyText"/>
        <w:spacing w:line="240" w:lineRule="auto" w:before="52"/>
        <w:ind w:right="0"/>
        <w:jc w:val="left"/>
      </w:pPr>
      <w:r>
        <w:rPr/>
        <w:t>但上述案件的执行也受制于本公司与浙江浙商资产管理有限公司的衍生案件（以下简称</w:t>
      </w:r>
      <w:r>
        <w:rPr>
          <w:rFonts w:ascii="Times New Roman" w:hAnsi="Times New Roman" w:cs="Times New Roman" w:eastAsia="Times New Roman" w:hint="default"/>
          <w:spacing w:val="-1"/>
          <w:w w:val="100"/>
        </w:rPr>
        <w:t>“</w:t>
      </w:r>
      <w:r>
        <w:rPr/>
        <w:t>案件二</w:t>
      </w:r>
      <w:r>
        <w:rPr>
          <w:rFonts w:ascii="Times New Roman" w:hAnsi="Times New Roman" w:cs="Times New Roman" w:eastAsia="Times New Roman" w:hint="default"/>
          <w:w w:val="100"/>
        </w:rPr>
        <w:t>”</w:t>
      </w:r>
      <w:r>
        <w:rPr>
          <w:spacing w:val="-90"/>
        </w:rPr>
        <w:t>）。</w:t>
      </w:r>
      <w:r>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spacing w:val="-3"/>
        </w:rPr>
        <w:t>本公司在案件二终审判决中败诉，其过程进展如下：浙江浙商资产管理有限公司向杭州市中级人民法院执行申请，已于</w:t>
      </w:r>
      <w:r>
        <w:rPr>
          <w:spacing w:val="-15"/>
        </w:rPr>
        <w:t> </w:t>
      </w:r>
      <w:r>
        <w:rPr>
          <w:rFonts w:ascii="Times New Roman" w:hAnsi="Times New Roman" w:cs="Times New Roman" w:eastAsia="Times New Roman" w:hint="default"/>
        </w:rPr>
        <w:t>2016</w:t>
      </w:r>
    </w:p>
    <w:p>
      <w:pPr>
        <w:pStyle w:val="BodyText"/>
        <w:spacing w:line="240" w:lineRule="auto" w:before="63"/>
        <w:ind w:right="0"/>
        <w:jc w:val="both"/>
      </w:pP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月初对李欣持有的公司股份</w:t>
      </w:r>
      <w:r>
        <w:rPr>
          <w:spacing w:val="-41"/>
        </w:rPr>
        <w:t> </w:t>
      </w:r>
      <w:r>
        <w:rPr>
          <w:rFonts w:ascii="Times New Roman" w:hAnsi="Times New Roman" w:cs="Times New Roman" w:eastAsia="Times New Roman" w:hint="default"/>
        </w:rPr>
        <w:t>27,813,840</w:t>
      </w:r>
      <w:r>
        <w:rPr>
          <w:rFonts w:ascii="Times New Roman" w:hAnsi="Times New Roman" w:cs="Times New Roman" w:eastAsia="Times New Roman" w:hint="default"/>
          <w:spacing w:val="4"/>
        </w:rPr>
        <w:t> </w:t>
      </w:r>
      <w:r>
        <w:rPr>
          <w:spacing w:val="-3"/>
        </w:rPr>
        <w:t>股进行司法冻结，本公司亦向杭州市中级人民法院提起本案衍生诉讼案件（本公</w:t>
      </w:r>
    </w:p>
    <w:p>
      <w:pPr>
        <w:pStyle w:val="BodyText"/>
        <w:spacing w:line="240" w:lineRule="auto" w:before="63"/>
        <w:ind w:right="0"/>
        <w:jc w:val="both"/>
      </w:pPr>
      <w:r>
        <w:rPr/>
        <w:t>司与浙商资管、李欣案外人执行异议之诉【案号为（</w:t>
      </w:r>
      <w:r>
        <w:rPr>
          <w:rFonts w:ascii="Times New Roman" w:hAnsi="Times New Roman" w:cs="Times New Roman" w:eastAsia="Times New Roman" w:hint="default"/>
        </w:rPr>
        <w:t>2016</w:t>
      </w:r>
      <w:r>
        <w:rPr/>
        <w:t>）浙</w:t>
      </w:r>
      <w:r>
        <w:rPr>
          <w:spacing w:val="-44"/>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号民初</w:t>
      </w:r>
      <w:r>
        <w:rPr>
          <w:spacing w:val="-44"/>
        </w:rPr>
        <w:t> </w:t>
      </w:r>
      <w:r>
        <w:rPr>
          <w:rFonts w:ascii="Times New Roman" w:hAnsi="Times New Roman" w:cs="Times New Roman" w:eastAsia="Times New Roman" w:hint="default"/>
        </w:rPr>
        <w:t>899</w:t>
      </w:r>
      <w:r>
        <w:rPr>
          <w:rFonts w:ascii="Times New Roman" w:hAnsi="Times New Roman" w:cs="Times New Roman" w:eastAsia="Times New Roman" w:hint="default"/>
          <w:spacing w:val="1"/>
        </w:rPr>
        <w:t> </w:t>
      </w:r>
      <w:r>
        <w:rPr/>
        <w:t>号</w:t>
      </w:r>
      <w:r>
        <w:rPr>
          <w:spacing w:val="-90"/>
        </w:rPr>
        <w:t>】）</w:t>
      </w:r>
      <w:r>
        <w:rPr/>
        <w:t>，要求浙江浙商证券资产管理有限公司停</w:t>
      </w:r>
    </w:p>
    <w:p>
      <w:pPr>
        <w:pStyle w:val="BodyText"/>
        <w:spacing w:line="240" w:lineRule="auto" w:before="63"/>
        <w:ind w:right="0"/>
        <w:jc w:val="both"/>
      </w:pPr>
      <w:r>
        <w:rPr/>
        <w:t>止对李欣所持有的</w:t>
      </w:r>
      <w:r>
        <w:rPr>
          <w:spacing w:val="-44"/>
        </w:rPr>
        <w:t> </w:t>
      </w:r>
      <w:r>
        <w:rPr>
          <w:rFonts w:ascii="Times New Roman" w:hAnsi="Times New Roman" w:cs="Times New Roman" w:eastAsia="Times New Roman" w:hint="default"/>
        </w:rPr>
        <w:t>25,240,153</w:t>
      </w:r>
      <w:r>
        <w:rPr>
          <w:rFonts w:ascii="Times New Roman" w:hAnsi="Times New Roman" w:cs="Times New Roman" w:eastAsia="Times New Roman" w:hint="default"/>
          <w:spacing w:val="1"/>
        </w:rPr>
        <w:t> </w:t>
      </w:r>
      <w:r>
        <w:rPr/>
        <w:t>股公司股份的强制执行。公司于</w:t>
      </w:r>
      <w:r>
        <w:rPr>
          <w:spacing w:val="-44"/>
        </w:rPr>
        <w:t> </w:t>
      </w:r>
      <w:r>
        <w:rPr>
          <w:rFonts w:ascii="Times New Roman" w:hAnsi="Times New Roman" w:cs="Times New Roman" w:eastAsia="Times New Roman" w:hint="default"/>
        </w:rPr>
        <w:t>2017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13 </w:t>
      </w:r>
      <w:r>
        <w:rPr/>
        <w:t>日收到浙江省杭州市中级人民法院</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w:t>
      </w:r>
    </w:p>
    <w:p>
      <w:pPr>
        <w:pStyle w:val="BodyText"/>
        <w:spacing w:line="240" w:lineRule="auto" w:before="63"/>
        <w:ind w:right="0"/>
        <w:jc w:val="both"/>
      </w:pPr>
      <w:r>
        <w:rPr/>
        <w:t>浙</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民初</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9 </w:t>
      </w:r>
      <w:r>
        <w:rPr/>
        <w:t>号</w:t>
      </w:r>
      <w:r>
        <w:rPr>
          <w:rFonts w:ascii="Times New Roman" w:hAnsi="Times New Roman" w:cs="Times New Roman" w:eastAsia="Times New Roman" w:hint="default"/>
          <w:spacing w:val="-8"/>
          <w:w w:val="100"/>
        </w:rPr>
        <w:t>”</w:t>
      </w:r>
      <w:r>
        <w:rPr/>
        <w:t>《民事判</w:t>
      </w:r>
      <w:r>
        <w:rPr>
          <w:spacing w:val="-2"/>
        </w:rPr>
        <w:t>决</w:t>
      </w:r>
      <w:r>
        <w:rPr/>
        <w:t>书</w:t>
      </w:r>
      <w:r>
        <w:rPr>
          <w:spacing w:val="-90"/>
        </w:rPr>
        <w:t>》</w:t>
      </w:r>
      <w:r>
        <w:rPr>
          <w:spacing w:val="-9"/>
        </w:rPr>
        <w:t>，</w:t>
      </w:r>
      <w:r>
        <w:rPr/>
        <w:t>杭州市</w:t>
      </w:r>
      <w:r>
        <w:rPr>
          <w:spacing w:val="-2"/>
        </w:rPr>
        <w:t>中</w:t>
      </w:r>
      <w:r>
        <w:rPr/>
        <w:t>级人民法院作出一审判决</w:t>
      </w:r>
      <w:r>
        <w:rPr>
          <w:spacing w:val="-10"/>
        </w:rPr>
        <w:t>，</w:t>
      </w:r>
      <w:r>
        <w:rPr/>
        <w:t>驳回公司的诉讼请求</w:t>
      </w:r>
      <w:r>
        <w:rPr>
          <w:rFonts w:ascii="Times New Roman" w:hAnsi="Times New Roman" w:cs="Times New Roman" w:eastAsia="Times New Roman" w:hint="default"/>
        </w:rPr>
        <w:t>,</w:t>
      </w:r>
      <w:r>
        <w:rPr/>
        <w:t>同时</w:t>
      </w:r>
      <w:r>
        <w:rPr>
          <w:spacing w:val="-2"/>
        </w:rPr>
        <w:t>案</w:t>
      </w:r>
      <w:r>
        <w:rPr/>
        <w:t>件受理费</w:t>
      </w:r>
      <w:r>
        <w:rPr>
          <w:spacing w:val="-46"/>
        </w:rPr>
        <w:t> </w:t>
      </w:r>
      <w:r>
        <w:rPr>
          <w:rFonts w:ascii="Times New Roman" w:hAnsi="Times New Roman" w:cs="Times New Roman" w:eastAsia="Times New Roman" w:hint="default"/>
        </w:rPr>
        <w:t>1,422</w:t>
      </w:r>
      <w:r>
        <w:rPr>
          <w:rFonts w:ascii="Times New Roman" w:hAnsi="Times New Roman" w:cs="Times New Roman" w:eastAsia="Times New Roman" w:hint="default"/>
          <w:spacing w:val="-1"/>
        </w:rPr>
        <w:t>,</w:t>
      </w:r>
      <w:r>
        <w:rPr>
          <w:rFonts w:ascii="Times New Roman" w:hAnsi="Times New Roman" w:cs="Times New Roman" w:eastAsia="Times New Roman" w:hint="default"/>
        </w:rPr>
        <w:t>103 </w:t>
      </w:r>
      <w:r>
        <w:rPr>
          <w:spacing w:val="1"/>
        </w:rPr>
        <w:t>元，</w:t>
      </w:r>
      <w:r>
        <w:rPr/>
      </w:r>
    </w:p>
    <w:p>
      <w:pPr>
        <w:pStyle w:val="BodyText"/>
        <w:spacing w:line="240" w:lineRule="auto" w:before="63"/>
        <w:ind w:right="0"/>
        <w:jc w:val="both"/>
        <w:rPr>
          <w:rFonts w:ascii="Times New Roman" w:hAnsi="Times New Roman" w:cs="Times New Roman" w:eastAsia="Times New Roman" w:hint="default"/>
        </w:rPr>
      </w:pPr>
      <w:r>
        <w:rPr>
          <w:spacing w:val="-7"/>
        </w:rPr>
        <w:t>由公司负担。公司对一审判决不服，向浙江省高级人民法院提起上诉。公司于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日收到浙江省高级人民法院</w:t>
      </w:r>
      <w:r>
        <w:rPr>
          <w:spacing w:val="-43"/>
        </w:rPr>
        <w:t> </w:t>
      </w:r>
      <w:r>
        <w:rPr>
          <w:rFonts w:ascii="Times New Roman" w:hAnsi="Times New Roman" w:cs="Times New Roman" w:eastAsia="Times New Roman" w:hint="default"/>
        </w:rPr>
        <w:t>2017</w:t>
      </w:r>
    </w:p>
    <w:p>
      <w:pPr>
        <w:pStyle w:val="BodyText"/>
        <w:spacing w:line="240" w:lineRule="auto" w:before="63"/>
        <w:ind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日签发的</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）浙民终</w:t>
      </w:r>
      <w:r>
        <w:rPr>
          <w:spacing w:val="-54"/>
        </w:rPr>
        <w:t> </w:t>
      </w:r>
      <w:r>
        <w:rPr>
          <w:rFonts w:ascii="Times New Roman" w:hAnsi="Times New Roman" w:cs="Times New Roman" w:eastAsia="Times New Roman" w:hint="default"/>
        </w:rPr>
        <w:t>247</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《民事判决书》</w:t>
      </w:r>
      <w:r>
        <w:rPr>
          <w:rFonts w:ascii="Times New Roman" w:hAnsi="Times New Roman" w:cs="Times New Roman" w:eastAsia="Times New Roman" w:hint="default"/>
        </w:rPr>
        <w:t>”</w:t>
      </w:r>
      <w:r>
        <w:rPr/>
        <w:t>，浙江省高级人民法院对上述案件终审判决结果如下：</w:t>
      </w:r>
      <w:r>
        <w:rPr>
          <w:rFonts w:ascii="Times New Roman" w:hAnsi="Times New Roman" w:cs="Times New Roman" w:eastAsia="Times New Roman" w:hint="default"/>
        </w:rPr>
        <w:t>“</w:t>
      </w:r>
      <w:r>
        <w:rPr/>
        <w:t>驳回</w:t>
      </w:r>
    </w:p>
    <w:p>
      <w:pPr>
        <w:pStyle w:val="BodyText"/>
        <w:spacing w:line="328" w:lineRule="auto" w:before="64"/>
        <w:ind w:right="1123"/>
        <w:jc w:val="left"/>
      </w:pPr>
      <w:r>
        <w:rPr/>
        <w:t>上诉，维持原判。二审案件受理费</w:t>
      </w:r>
      <w:r>
        <w:rPr>
          <w:spacing w:val="-47"/>
        </w:rPr>
        <w:t> </w:t>
      </w:r>
      <w:r>
        <w:rPr>
          <w:rFonts w:ascii="Times New Roman" w:hAnsi="Times New Roman" w:cs="Times New Roman" w:eastAsia="Times New Roman" w:hint="default"/>
        </w:rPr>
        <w:t>1,422,103</w:t>
      </w:r>
      <w:r>
        <w:rPr>
          <w:rFonts w:ascii="Times New Roman" w:hAnsi="Times New Roman" w:cs="Times New Roman" w:eastAsia="Times New Roman" w:hint="default"/>
          <w:spacing w:val="-2"/>
        </w:rPr>
        <w:t> </w:t>
      </w:r>
      <w:r>
        <w:rPr/>
        <w:t>元，由上诉人银江股份有限公司负担。</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截至本报告出具日，浙商资产管理有限公司尚未执行划转李欣持有的本公司股票。根据本案律师意见，该案执行结果尚存在</w:t>
      </w:r>
      <w:r>
        <w:rPr>
          <w:spacing w:val="-66"/>
        </w:rPr>
        <w:t> </w:t>
      </w:r>
      <w:r>
        <w:rPr>
          <w:spacing w:val="-66"/>
        </w:rPr>
      </w:r>
      <w:r>
        <w:rPr/>
        <w:t>较大不确定因素，主要为：</w:t>
      </w:r>
      <w:r>
        <w:rPr>
          <w:rFonts w:ascii="Times New Roman" w:hAnsi="Times New Roman" w:cs="Times New Roman" w:eastAsia="Times New Roman" w:hint="default"/>
        </w:rPr>
        <w:t>1</w:t>
      </w:r>
      <w:r>
        <w:rPr/>
        <w:t>、李欣于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 </w:t>
      </w:r>
      <w:r>
        <w:rPr/>
        <w:t>日以浙江省杭州市钱塘公证处为被告向杭州市上城区人民法院提起民</w:t>
      </w:r>
    </w:p>
    <w:p>
      <w:pPr>
        <w:pStyle w:val="BodyText"/>
        <w:spacing w:line="304" w:lineRule="auto"/>
        <w:ind w:right="1130"/>
        <w:jc w:val="both"/>
      </w:pPr>
      <w:r>
        <w:rPr>
          <w:spacing w:val="-8"/>
          <w:w w:val="100"/>
        </w:rPr>
        <w:t>事诉讼（以下简称</w:t>
      </w:r>
      <w:r>
        <w:rPr>
          <w:rFonts w:ascii="Times New Roman" w:hAnsi="Times New Roman" w:cs="Times New Roman" w:eastAsia="Times New Roman" w:hint="default"/>
          <w:spacing w:val="-8"/>
          <w:w w:val="100"/>
        </w:rPr>
        <w:t>“</w:t>
      </w:r>
      <w:r>
        <w:rPr>
          <w:spacing w:val="-8"/>
          <w:w w:val="100"/>
        </w:rPr>
        <w:t>案件三</w:t>
      </w:r>
      <w:r>
        <w:rPr>
          <w:rFonts w:ascii="Times New Roman" w:hAnsi="Times New Roman" w:cs="Times New Roman" w:eastAsia="Times New Roman" w:hint="default"/>
          <w:spacing w:val="-8"/>
          <w:w w:val="100"/>
        </w:rPr>
        <w:t>”</w:t>
      </w:r>
      <w:r>
        <w:rPr>
          <w:spacing w:val="-8"/>
          <w:w w:val="100"/>
        </w:rPr>
        <w:t>）（案号：（</w:t>
      </w:r>
      <w:r>
        <w:rPr>
          <w:rFonts w:ascii="Times New Roman" w:hAnsi="Times New Roman" w:cs="Times New Roman" w:eastAsia="Times New Roman" w:hint="default"/>
          <w:spacing w:val="-8"/>
          <w:w w:val="100"/>
        </w:rPr>
        <w:t>2017</w:t>
      </w:r>
      <w:r>
        <w:rPr>
          <w:spacing w:val="-8"/>
          <w:w w:val="100"/>
        </w:rPr>
        <w:t>）浙</w:t>
      </w:r>
      <w:r>
        <w:rPr>
          <w:spacing w:val="-30"/>
          <w:w w:val="100"/>
        </w:rPr>
        <w:t> </w:t>
      </w:r>
      <w:r>
        <w:rPr>
          <w:rFonts w:ascii="Times New Roman" w:hAnsi="Times New Roman" w:cs="Times New Roman" w:eastAsia="Times New Roman" w:hint="default"/>
        </w:rPr>
        <w:t>0102</w:t>
      </w:r>
      <w:r>
        <w:rPr>
          <w:rFonts w:ascii="Times New Roman" w:hAnsi="Times New Roman" w:cs="Times New Roman" w:eastAsia="Times New Roman" w:hint="default"/>
          <w:spacing w:val="14"/>
        </w:rPr>
        <w:t> </w:t>
      </w:r>
      <w:r>
        <w:rPr/>
        <w:t>民初</w:t>
      </w:r>
      <w:r>
        <w:rPr>
          <w:spacing w:val="-31"/>
        </w:rPr>
        <w:t> </w:t>
      </w:r>
      <w:r>
        <w:rPr>
          <w:rFonts w:ascii="Times New Roman" w:hAnsi="Times New Roman" w:cs="Times New Roman" w:eastAsia="Times New Roman" w:hint="default"/>
        </w:rPr>
        <w:t>4080</w:t>
      </w:r>
      <w:r>
        <w:rPr>
          <w:rFonts w:ascii="Times New Roman" w:hAnsi="Times New Roman" w:cs="Times New Roman" w:eastAsia="Times New Roman" w:hint="default"/>
          <w:spacing w:val="14"/>
        </w:rPr>
        <w:t> </w:t>
      </w:r>
      <w:r>
        <w:rPr>
          <w:spacing w:val="-4"/>
        </w:rPr>
        <w:t>号）。根据李欣提供的诉讼材料显示，该案诉讼请求为确认</w:t>
      </w:r>
      <w:r>
        <w:rPr/>
        <w:t> 浙商证券执行依据（即公证债权文书）违法违规，目前该案尚未一审判决。</w:t>
      </w:r>
      <w:r>
        <w:rPr>
          <w:rFonts w:ascii="Times New Roman" w:hAnsi="Times New Roman" w:cs="Times New Roman" w:eastAsia="Times New Roman" w:hint="default"/>
        </w:rPr>
        <w:t>2</w:t>
      </w:r>
      <w:r>
        <w:rPr/>
        <w:t>、李欣就浙商证券执行案件已提出不予执行异</w:t>
      </w:r>
      <w:r>
        <w:rPr>
          <w:spacing w:val="-82"/>
        </w:rPr>
        <w:t> </w:t>
      </w:r>
      <w:r>
        <w:rPr>
          <w:spacing w:val="-82"/>
        </w:rPr>
      </w:r>
      <w:r>
        <w:rPr>
          <w:spacing w:val="-2"/>
          <w:w w:val="100"/>
        </w:rPr>
        <w:t>议申请（以下简称</w:t>
      </w:r>
      <w:r>
        <w:rPr>
          <w:rFonts w:ascii="Times New Roman" w:hAnsi="Times New Roman" w:cs="Times New Roman" w:eastAsia="Times New Roman" w:hint="default"/>
          <w:spacing w:val="-2"/>
          <w:w w:val="100"/>
        </w:rPr>
        <w:t>“</w:t>
      </w:r>
      <w:r>
        <w:rPr>
          <w:spacing w:val="-2"/>
          <w:w w:val="100"/>
        </w:rPr>
        <w:t>案件四</w:t>
      </w:r>
      <w:r>
        <w:rPr>
          <w:rFonts w:ascii="Times New Roman" w:hAnsi="Times New Roman" w:cs="Times New Roman" w:eastAsia="Times New Roman" w:hint="default"/>
          <w:spacing w:val="-2"/>
          <w:w w:val="100"/>
        </w:rPr>
        <w:t>”</w:t>
      </w:r>
      <w:r>
        <w:rPr>
          <w:spacing w:val="-2"/>
          <w:w w:val="100"/>
        </w:rPr>
        <w:t>），该执行异议申请已经杭州市中级人民法院驳回，目前李欣向浙江省高级人民法院提出执行异</w:t>
      </w:r>
      <w:r>
        <w:rPr>
          <w:spacing w:val="-49"/>
          <w:w w:val="100"/>
        </w:rPr>
        <w:t> </w:t>
      </w:r>
      <w:r>
        <w:rPr>
          <w:spacing w:val="-49"/>
          <w:w w:val="100"/>
        </w:rPr>
      </w:r>
      <w:r>
        <w:rPr>
          <w:spacing w:val="-2"/>
        </w:rPr>
        <w:t>议复议申请。根据本案律师意见，虽然根据《民事诉讼法》的相关规定执行复议期间不影响案件执行，但由于本案涉案金额</w:t>
      </w:r>
      <w:r>
        <w:rPr>
          <w:spacing w:val="-66"/>
        </w:rPr>
        <w:t> </w:t>
      </w:r>
      <w:r>
        <w:rPr>
          <w:spacing w:val="-66"/>
        </w:rPr>
      </w:r>
      <w:r>
        <w:rPr/>
        <w:t>巨大，执行程序较为复杂，本案执行复议结果一定程度上亦将影响案件二执行结果。</w:t>
      </w:r>
    </w:p>
    <w:p>
      <w:pPr>
        <w:pStyle w:val="BodyText"/>
        <w:spacing w:line="319" w:lineRule="auto" w:before="67"/>
        <w:ind w:left="1134" w:right="1129"/>
        <w:jc w:val="both"/>
      </w:pPr>
      <w:r>
        <w:rPr>
          <w:spacing w:val="-2"/>
        </w:rPr>
        <w:t>上述案件一和案件二虽已终审判决，但由于李欣又提起新的民事诉讼及限售股需履行评估等一系列复杂程序导致目前案件涉</w:t>
      </w:r>
      <w:r>
        <w:rPr>
          <w:spacing w:val="-64"/>
        </w:rPr>
        <w:t> </w:t>
      </w:r>
      <w:r>
        <w:rPr>
          <w:spacing w:val="-64"/>
        </w:rPr>
      </w:r>
      <w:r>
        <w:rPr>
          <w:spacing w:val="-2"/>
        </w:rPr>
        <w:t>及的公司股票回购仍未执行，此执行结果的不确定性，导致公司尚无法合理估计该事项对公司财务状况和经营成果的潜在影</w:t>
      </w:r>
      <w:r>
        <w:rPr>
          <w:spacing w:val="-64"/>
        </w:rPr>
        <w:t> </w:t>
      </w:r>
      <w:r>
        <w:rPr>
          <w:spacing w:val="-64"/>
        </w:rPr>
      </w:r>
      <w:r>
        <w:rPr/>
        <w:t>响。该事项的最终结果仍存在重大不确定性。</w:t>
      </w:r>
    </w:p>
    <w:p>
      <w:pPr>
        <w:pStyle w:val="BodyText"/>
        <w:spacing w:line="300" w:lineRule="auto" w:before="55"/>
        <w:ind w:right="1129"/>
        <w:jc w:val="both"/>
      </w:pPr>
      <w:r>
        <w:rPr/>
        <w:t>导致公司尚无法合理估计该事项对公司财务状况和经营成果的潜在影响的主要因素如下：</w:t>
      </w:r>
      <w:r>
        <w:rPr>
          <w:rFonts w:ascii="Times New Roman" w:hAnsi="Times New Roman" w:cs="Times New Roman" w:eastAsia="Times New Roman" w:hint="default"/>
        </w:rPr>
        <w:t>1</w:t>
      </w:r>
      <w:r>
        <w:rPr/>
        <w:t>、衍生案件二执行结果的不确定</w:t>
      </w:r>
      <w:r>
        <w:rPr>
          <w:spacing w:val="-82"/>
        </w:rPr>
        <w:t> </w:t>
      </w:r>
      <w:r>
        <w:rPr>
          <w:spacing w:val="-82"/>
        </w:rPr>
      </w:r>
      <w:r>
        <w:rPr>
          <w:spacing w:val="-2"/>
        </w:rPr>
        <w:t>性，如果按目前情况案件二执行到位，浙商资产管理有限公司将划转李欣持有的</w:t>
      </w:r>
      <w:r>
        <w:rPr>
          <w:spacing w:val="-38"/>
        </w:rPr>
        <w:t> </w:t>
      </w:r>
      <w:r>
        <w:rPr>
          <w:rFonts w:ascii="Times New Roman" w:hAnsi="Times New Roman" w:cs="Times New Roman" w:eastAsia="Times New Roman" w:hint="default"/>
        </w:rPr>
        <w:t>27,813,840</w:t>
      </w:r>
      <w:r>
        <w:rPr>
          <w:rFonts w:ascii="Times New Roman" w:hAnsi="Times New Roman" w:cs="Times New Roman" w:eastAsia="Times New Roman" w:hint="default"/>
          <w:spacing w:val="7"/>
        </w:rPr>
        <w:t> </w:t>
      </w:r>
      <w:r>
        <w:rPr>
          <w:spacing w:val="-2"/>
        </w:rPr>
        <w:t>股公司股票，本公司将无法回购</w:t>
      </w:r>
    </w:p>
    <w:p>
      <w:pPr>
        <w:pStyle w:val="BodyText"/>
        <w:spacing w:line="302" w:lineRule="auto" w:before="13"/>
        <w:ind w:right="1132"/>
        <w:jc w:val="both"/>
      </w:pPr>
      <w:r>
        <w:rPr/>
        <w:t>注销</w:t>
      </w:r>
      <w:r>
        <w:rPr>
          <w:spacing w:val="-38"/>
        </w:rPr>
        <w:t> </w:t>
      </w:r>
      <w:r>
        <w:rPr>
          <w:rFonts w:ascii="Times New Roman" w:hAnsi="Times New Roman" w:cs="Times New Roman" w:eastAsia="Times New Roman" w:hint="default"/>
          <w:spacing w:val="-1"/>
        </w:rPr>
        <w:t>25,240,153</w:t>
      </w:r>
      <w:r>
        <w:rPr>
          <w:rFonts w:ascii="Times New Roman" w:hAnsi="Times New Roman" w:cs="Times New Roman" w:eastAsia="Times New Roman" w:hint="default"/>
          <w:spacing w:val="8"/>
        </w:rPr>
        <w:t> </w:t>
      </w:r>
      <w:r>
        <w:rPr>
          <w:spacing w:val="-2"/>
        </w:rPr>
        <w:t>股公司股票，将对本公司造成较大的损失。但因李欣又提起民事诉讼（案件三）和不予执行异议申请（案件</w:t>
      </w:r>
      <w:r>
        <w:rPr>
          <w:spacing w:val="-88"/>
        </w:rPr>
        <w:t> </w:t>
      </w:r>
      <w:r>
        <w:rPr>
          <w:spacing w:val="-88"/>
        </w:rPr>
      </w:r>
      <w:r>
        <w:rPr>
          <w:spacing w:val="-4"/>
        </w:rPr>
        <w:t>四），且案件三尚未判决，案件四尚在执行异议的复议过程中，导致案件二的执行结果尚无法准确预判。</w:t>
      </w:r>
      <w:r>
        <w:rPr>
          <w:rFonts w:ascii="Times New Roman" w:hAnsi="Times New Roman" w:cs="Times New Roman" w:eastAsia="Times New Roman" w:hint="default"/>
          <w:spacing w:val="-4"/>
        </w:rPr>
        <w:t>2</w:t>
      </w:r>
      <w:r>
        <w:rPr>
          <w:spacing w:val="-4"/>
        </w:rPr>
        <w:t>、公司股价的波动</w:t>
      </w:r>
      <w:r>
        <w:rPr>
          <w:spacing w:val="-43"/>
        </w:rPr>
        <w:t> </w:t>
      </w:r>
      <w:r>
        <w:rPr>
          <w:spacing w:val="-43"/>
        </w:rPr>
      </w:r>
      <w:r>
        <w:rPr/>
        <w:t>导致补偿股份价值的不确定性，尚无法预估</w:t>
      </w:r>
      <w:r>
        <w:rPr>
          <w:spacing w:val="-46"/>
        </w:rPr>
        <w:t> </w:t>
      </w:r>
      <w:r>
        <w:rPr>
          <w:rFonts w:ascii="Times New Roman" w:hAnsi="Times New Roman" w:cs="Times New Roman" w:eastAsia="Times New Roman" w:hint="default"/>
        </w:rPr>
        <w:t>27,813,840 </w:t>
      </w:r>
      <w:r>
        <w:rPr/>
        <w:t>股在案件执行到位后此时点的价值。</w:t>
      </w:r>
    </w:p>
    <w:p>
      <w:pPr>
        <w:spacing w:line="240" w:lineRule="auto" w:before="10"/>
        <w:rPr>
          <w:rFonts w:ascii="宋体" w:hAnsi="宋体" w:cs="宋体" w:eastAsia="宋体" w:hint="default"/>
          <w:sz w:val="21"/>
          <w:szCs w:val="21"/>
        </w:rPr>
      </w:pPr>
    </w:p>
    <w:p>
      <w:pPr>
        <w:pStyle w:val="Heading4"/>
        <w:spacing w:line="240" w:lineRule="auto"/>
        <w:ind w:right="0"/>
        <w:jc w:val="both"/>
        <w:rPr>
          <w:b w:val="0"/>
          <w:bCs w:val="0"/>
        </w:rPr>
      </w:pPr>
      <w:bookmarkStart w:name="（2）公司没有需要披露的重要或有事项，也应予以说明" w:id="489"/>
      <w:bookmarkEnd w:id="48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90"/>
      <w:bookmarkEnd w:id="4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91"/>
      <w:bookmarkEnd w:id="49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92"/>
      <w:bookmarkEnd w:id="49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493"/>
      <w:bookmarkEnd w:id="49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32,789,454.30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94"/>
      <w:bookmarkEnd w:id="49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7696" w:firstLine="0"/>
        <w:jc w:val="left"/>
        <w:rPr>
          <w:rFonts w:ascii="宋体" w:hAnsi="宋体" w:cs="宋体" w:eastAsia="宋体" w:hint="default"/>
          <w:sz w:val="21"/>
          <w:szCs w:val="21"/>
        </w:rPr>
      </w:pPr>
      <w:bookmarkStart w:name="4、其他资产负债表日后事项说明" w:id="495"/>
      <w:bookmarkEnd w:id="4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96"/>
      <w:bookmarkEnd w:id="496"/>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97"/>
      <w:bookmarkEnd w:id="4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bookmarkStart w:name="（1）追溯重述法" w:id="498"/>
      <w:bookmarkEnd w:id="49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来适用法" w:id="499"/>
      <w:bookmarkEnd w:id="49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债务重组" w:id="500"/>
      <w:bookmarkEnd w:id="50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3、资产置换" w:id="501"/>
      <w:bookmarkEnd w:id="50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非货币性资产交换" w:id="502"/>
      <w:bookmarkEnd w:id="50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其他资产置换" w:id="503"/>
      <w:bookmarkEnd w:id="50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年金计划" w:id="504"/>
      <w:bookmarkEnd w:id="50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5、终止经营" w:id="505"/>
      <w:bookmarkEnd w:id="50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分部信息" w:id="506"/>
      <w:bookmarkEnd w:id="50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分部的确定依据与会计政策" w:id="507"/>
      <w:bookmarkEnd w:id="50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2）报告分部的财务信息" w:id="508"/>
      <w:bookmarkEnd w:id="50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3）公司无报告分部的，或者不能披露各报告分部的资产总额和负债总额的，应说明原因" w:id="509"/>
      <w:bookmarkEnd w:id="50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both"/>
        <w:rPr>
          <w:b w:val="0"/>
          <w:bCs w:val="0"/>
        </w:rPr>
      </w:pPr>
      <w:bookmarkStart w:name="（4）其他说明" w:id="510"/>
      <w:bookmarkEnd w:id="51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7、其他对投资者决策有影响的重要交易和事项" w:id="511"/>
      <w:bookmarkEnd w:id="51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9"/>
        <w:jc w:val="both"/>
      </w:pPr>
      <w:r>
        <w:rPr/>
        <w:t>（</w:t>
      </w:r>
      <w:r>
        <w:rPr>
          <w:rFonts w:ascii="Times New Roman" w:hAnsi="Times New Roman" w:cs="Times New Roman" w:eastAsia="Times New Roman" w:hint="default"/>
        </w:rPr>
        <w:t>1</w:t>
      </w:r>
      <w:r>
        <w:rPr/>
        <w:t>）截至本报告披露日，控股股东银江科技集团有限公司（以下简称</w:t>
      </w:r>
      <w:r>
        <w:rPr>
          <w:rFonts w:ascii="Times New Roman" w:hAnsi="Times New Roman" w:cs="Times New Roman" w:eastAsia="Times New Roman" w:hint="default"/>
        </w:rPr>
        <w:t>“</w:t>
      </w:r>
      <w:r>
        <w:rPr/>
        <w:t>银江科技集团</w:t>
      </w:r>
      <w:r>
        <w:rPr>
          <w:rFonts w:ascii="Times New Roman" w:hAnsi="Times New Roman" w:cs="Times New Roman" w:eastAsia="Times New Roman" w:hint="default"/>
        </w:rPr>
        <w:t>”</w:t>
      </w:r>
      <w:r>
        <w:rPr/>
        <w:t>）共持有公司股份</w:t>
      </w:r>
      <w:r>
        <w:rPr>
          <w:spacing w:val="-68"/>
        </w:rPr>
        <w:t> </w:t>
      </w:r>
      <w:r>
        <w:rPr>
          <w:rFonts w:ascii="Times New Roman" w:hAnsi="Times New Roman" w:cs="Times New Roman" w:eastAsia="Times New Roman" w:hint="default"/>
        </w:rPr>
        <w:t>16,347.23</w:t>
      </w:r>
      <w:r>
        <w:rPr>
          <w:rFonts w:ascii="Times New Roman" w:hAnsi="Times New Roman" w:cs="Times New Roman" w:eastAsia="Times New Roman" w:hint="default"/>
          <w:spacing w:val="-23"/>
        </w:rPr>
        <w:t> </w:t>
      </w:r>
      <w:r>
        <w:rPr>
          <w:spacing w:val="-4"/>
        </w:rPr>
        <w:t>万股，占</w:t>
      </w:r>
      <w:r>
        <w:rPr/>
        <w:t> 公司股份总数的</w:t>
      </w:r>
      <w:r>
        <w:rPr>
          <w:spacing w:val="-30"/>
        </w:rPr>
        <w:t> </w:t>
      </w:r>
      <w:r>
        <w:rPr>
          <w:rFonts w:ascii="Times New Roman" w:hAnsi="Times New Roman" w:cs="Times New Roman" w:eastAsia="Times New Roman" w:hint="default"/>
        </w:rPr>
        <w:t>24.93%</w:t>
      </w:r>
      <w:r>
        <w:rPr/>
        <w:t>；银江科技集团共质押其持有的公司股份</w:t>
      </w:r>
      <w:r>
        <w:rPr>
          <w:spacing w:val="-30"/>
        </w:rPr>
        <w:t> </w:t>
      </w:r>
      <w:r>
        <w:rPr>
          <w:rFonts w:ascii="Times New Roman" w:hAnsi="Times New Roman" w:cs="Times New Roman" w:eastAsia="Times New Roman" w:hint="default"/>
        </w:rPr>
        <w:t>12,291.00</w:t>
      </w:r>
      <w:r>
        <w:rPr>
          <w:rFonts w:ascii="Times New Roman" w:hAnsi="Times New Roman" w:cs="Times New Roman" w:eastAsia="Times New Roman" w:hint="default"/>
          <w:spacing w:val="15"/>
        </w:rPr>
        <w:t> </w:t>
      </w:r>
      <w:r>
        <w:rPr/>
        <w:t>万股，占公司股份总数的</w:t>
      </w:r>
      <w:r>
        <w:rPr>
          <w:spacing w:val="-30"/>
        </w:rPr>
        <w:t> </w:t>
      </w:r>
      <w:r>
        <w:rPr>
          <w:rFonts w:ascii="Times New Roman" w:hAnsi="Times New Roman" w:cs="Times New Roman" w:eastAsia="Times New Roman" w:hint="default"/>
        </w:rPr>
        <w:t>18.74%</w:t>
      </w:r>
      <w:r>
        <w:rPr/>
        <w:t>，占其所持有 公司股份的</w:t>
      </w:r>
      <w:r>
        <w:rPr>
          <w:spacing w:val="-46"/>
        </w:rPr>
        <w:t> </w:t>
      </w:r>
      <w:r>
        <w:rPr>
          <w:rFonts w:ascii="Times New Roman" w:hAnsi="Times New Roman" w:cs="Times New Roman" w:eastAsia="Times New Roman" w:hint="default"/>
        </w:rPr>
        <w:t>75.19%</w:t>
      </w:r>
      <w:r>
        <w:rPr/>
        <w:t>。</w:t>
      </w:r>
    </w:p>
    <w:p>
      <w:pPr>
        <w:pStyle w:val="BodyText"/>
        <w:spacing w:line="300" w:lineRule="auto" w:before="51"/>
        <w:ind w:right="1130"/>
        <w:jc w:val="both"/>
      </w:pPr>
      <w:r>
        <w:rPr/>
        <w:t>（</w:t>
      </w:r>
      <w:r>
        <w:rPr>
          <w:rFonts w:ascii="Times New Roman" w:hAnsi="Times New Roman" w:cs="Times New Roman" w:eastAsia="Times New Roman" w:hint="default"/>
        </w:rPr>
        <w:t>2</w:t>
      </w:r>
      <w:r>
        <w:rPr/>
        <w:t>）截至本报告披露日，公司股东李欣共持有公司股份</w:t>
      </w:r>
      <w:r>
        <w:rPr>
          <w:spacing w:val="-44"/>
        </w:rPr>
        <w:t> </w:t>
      </w:r>
      <w:r>
        <w:rPr>
          <w:rFonts w:ascii="Times New Roman" w:hAnsi="Times New Roman" w:cs="Times New Roman" w:eastAsia="Times New Roman" w:hint="default"/>
        </w:rPr>
        <w:t>2,783.58</w:t>
      </w:r>
      <w:r>
        <w:rPr>
          <w:rFonts w:ascii="Times New Roman" w:hAnsi="Times New Roman" w:cs="Times New Roman" w:eastAsia="Times New Roman" w:hint="default"/>
          <w:spacing w:val="1"/>
        </w:rPr>
        <w:t> </w:t>
      </w:r>
      <w:r>
        <w:rPr/>
        <w:t>万股（其中</w:t>
      </w:r>
      <w:r>
        <w:rPr>
          <w:spacing w:val="-45"/>
        </w:rPr>
        <w:t> </w:t>
      </w:r>
      <w:r>
        <w:rPr>
          <w:rFonts w:ascii="Times New Roman" w:hAnsi="Times New Roman" w:cs="Times New Roman" w:eastAsia="Times New Roman" w:hint="default"/>
        </w:rPr>
        <w:t>2,524.02 </w:t>
      </w:r>
      <w:r>
        <w:rPr/>
        <w:t>万股将以</w:t>
      </w:r>
      <w:r>
        <w:rPr>
          <w:spacing w:val="-44"/>
        </w:rPr>
        <w:t> </w:t>
      </w:r>
      <w:r>
        <w:rPr>
          <w:rFonts w:ascii="Times New Roman" w:hAnsi="Times New Roman" w:cs="Times New Roman" w:eastAsia="Times New Roman" w:hint="default"/>
        </w:rPr>
        <w:t>1 </w:t>
      </w:r>
      <w:r>
        <w:rPr/>
        <w:t>元的价格回购注销，截至 </w:t>
      </w:r>
      <w:r>
        <w:rPr>
          <w:spacing w:val="-3"/>
        </w:rPr>
        <w:t>本报告日，尚未办妥回购注销手续），李欣持有股份占公司股份总数的</w:t>
      </w:r>
      <w:r>
        <w:rPr>
          <w:spacing w:val="15"/>
        </w:rPr>
        <w:t> </w:t>
      </w:r>
      <w:r>
        <w:rPr>
          <w:rFonts w:ascii="Times New Roman" w:hAnsi="Times New Roman" w:cs="Times New Roman" w:eastAsia="Times New Roman" w:hint="default"/>
          <w:spacing w:val="-1"/>
        </w:rPr>
        <w:t>4.24%</w:t>
      </w:r>
      <w:r>
        <w:rPr>
          <w:spacing w:val="-1"/>
        </w:rPr>
        <w:t>，截至财务报表日，上述股权全部处于司法冻</w:t>
      </w:r>
      <w:r>
        <w:rPr>
          <w:spacing w:val="-87"/>
        </w:rPr>
        <w:t> </w:t>
      </w:r>
      <w:r>
        <w:rPr>
          <w:spacing w:val="-87"/>
        </w:rPr>
      </w:r>
      <w:r>
        <w:rPr>
          <w:spacing w:val="-5"/>
        </w:rPr>
        <w:t>结状态（含司法轮候冻结）。另上述股权中的</w:t>
      </w:r>
      <w:r>
        <w:rPr>
          <w:spacing w:val="-42"/>
        </w:rPr>
        <w:t> </w:t>
      </w:r>
      <w:r>
        <w:rPr>
          <w:rFonts w:ascii="Times New Roman" w:hAnsi="Times New Roman" w:cs="Times New Roman" w:eastAsia="Times New Roman" w:hint="default"/>
        </w:rPr>
        <w:t>2,781.38</w:t>
      </w:r>
      <w:r>
        <w:rPr>
          <w:rFonts w:ascii="Times New Roman" w:hAnsi="Times New Roman" w:cs="Times New Roman" w:eastAsia="Times New Roman" w:hint="default"/>
          <w:spacing w:val="5"/>
        </w:rPr>
        <w:t> </w:t>
      </w:r>
      <w:r>
        <w:rPr/>
        <w:t>万股已经质押给浙江浙商证券资产管理有限公司。</w:t>
      </w:r>
    </w:p>
    <w:p>
      <w:pPr>
        <w:spacing w:line="240" w:lineRule="auto" w:before="12"/>
        <w:rPr>
          <w:rFonts w:ascii="宋体" w:hAnsi="宋体" w:cs="宋体" w:eastAsia="宋体" w:hint="default"/>
          <w:sz w:val="21"/>
          <w:szCs w:val="21"/>
        </w:rPr>
      </w:pPr>
    </w:p>
    <w:p>
      <w:pPr>
        <w:spacing w:line="487" w:lineRule="auto" w:before="0"/>
        <w:ind w:left="1133" w:right="6973" w:firstLine="0"/>
        <w:jc w:val="left"/>
        <w:rPr>
          <w:rFonts w:ascii="宋体" w:hAnsi="宋体" w:cs="宋体" w:eastAsia="宋体" w:hint="default"/>
          <w:sz w:val="21"/>
          <w:szCs w:val="21"/>
        </w:rPr>
      </w:pPr>
      <w:bookmarkStart w:name="8、其他" w:id="512"/>
      <w:bookmarkEnd w:id="51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13"/>
      <w:bookmarkEnd w:id="51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4"/>
      <w:bookmarkEnd w:id="514"/>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both"/>
        <w:rPr>
          <w:b w:val="0"/>
          <w:bCs w:val="0"/>
        </w:rPr>
      </w:pPr>
      <w:bookmarkStart w:name="（1）应收账款分类披露" w:id="515"/>
      <w:bookmarkEnd w:id="5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1,281,06</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6,649.94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270,704,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219.10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1,010,362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,430.84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88,740.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190,476,8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996,811,84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7.76</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1,281,06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6,649.94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270,704,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219.10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21.13%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1,010,362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,430.84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88,740.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190,476,8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996,811,84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7.76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529,779,886.47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26,488,994.33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224,748,642.52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22,474,864.27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235,820,857.52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47,164,171.51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192,290,741.02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96,145,370.53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39,991,407.94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19,995,703.99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58,435,114.47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58,435,114.47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516"/>
      <w:bookmarkEnd w:id="5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80,227,326.85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517"/>
      <w:bookmarkEnd w:id="51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pStyle w:val="Heading3"/>
        <w:spacing w:line="240" w:lineRule="auto"/>
        <w:ind w:left="1134" w:right="0"/>
        <w:jc w:val="left"/>
      </w:pPr>
      <w:r>
        <w:rPr/>
        <w:t>本年无实际核销的应收账款情况</w:t>
      </w:r>
    </w:p>
    <w:p>
      <w:pPr>
        <w:spacing w:line="240" w:lineRule="auto" w:before="9"/>
        <w:rPr>
          <w:rFonts w:ascii="宋体" w:hAnsi="宋体" w:cs="宋体" w:eastAsia="宋体" w:hint="default"/>
          <w:sz w:val="24"/>
          <w:szCs w:val="24"/>
        </w:rPr>
      </w:pPr>
    </w:p>
    <w:p>
      <w:pPr>
        <w:pStyle w:val="Heading4"/>
        <w:spacing w:line="240" w:lineRule="auto"/>
        <w:ind w:left="1134" w:right="0"/>
        <w:jc w:val="left"/>
        <w:rPr>
          <w:b w:val="0"/>
          <w:bCs w:val="0"/>
        </w:rPr>
      </w:pPr>
      <w:bookmarkStart w:name="（4）按欠款方归集的期末余额前五名的应收账款情况" w:id="518"/>
      <w:bookmarkEnd w:id="51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28"/>
        <w:jc w:val="left"/>
      </w:pPr>
      <w:r>
        <w:rPr/>
        <w:t>本公司本年按欠款方归集的年末余额前五名应收账款汇总金额</w:t>
      </w:r>
      <w:r>
        <w:rPr>
          <w:spacing w:val="-39"/>
        </w:rPr>
        <w:t> </w:t>
      </w:r>
      <w:r>
        <w:rPr>
          <w:rFonts w:ascii="Times New Roman" w:hAnsi="Times New Roman" w:cs="Times New Roman" w:eastAsia="Times New Roman" w:hint="default"/>
          <w:spacing w:val="-1"/>
        </w:rPr>
        <w:t>101,881,397.47</w:t>
      </w:r>
      <w:r>
        <w:rPr>
          <w:rFonts w:ascii="Times New Roman" w:hAnsi="Times New Roman" w:cs="Times New Roman" w:eastAsia="Times New Roman" w:hint="default"/>
          <w:spacing w:val="5"/>
        </w:rPr>
        <w:t> </w:t>
      </w:r>
      <w:r>
        <w:rPr>
          <w:spacing w:val="-6"/>
        </w:rPr>
        <w:t>元，占应收账款年末余额合计数的比例</w:t>
      </w:r>
      <w:r>
        <w:rPr>
          <w:spacing w:val="-40"/>
        </w:rPr>
        <w:t> </w:t>
      </w:r>
      <w:r>
        <w:rPr>
          <w:rFonts w:ascii="Times New Roman" w:hAnsi="Times New Roman" w:cs="Times New Roman" w:eastAsia="Times New Roman" w:hint="default"/>
        </w:rPr>
        <w:t>7.95%</w:t>
      </w:r>
      <w:r>
        <w:rPr/>
        <w:t>， 相应计提的坏账准备年末余额汇总金额</w:t>
      </w:r>
      <w:r>
        <w:rPr>
          <w:spacing w:val="-46"/>
        </w:rPr>
        <w:t> </w:t>
      </w:r>
      <w:r>
        <w:rPr>
          <w:rFonts w:ascii="Times New Roman" w:hAnsi="Times New Roman" w:cs="Times New Roman" w:eastAsia="Times New Roman" w:hint="default"/>
        </w:rPr>
        <w:t>6,421,090.88 </w:t>
      </w:r>
      <w:r>
        <w:rPr/>
        <w:t>元。</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5）因金融资产转移而终止确认的应收账款" w:id="519"/>
      <w:bookmarkEnd w:id="51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本年无因金融资产转移而终止确认的应收账款。</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转移应收账款且继续涉入形成的资产、负债金额" w:id="520"/>
      <w:bookmarkEnd w:id="52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893"/>
        <w:jc w:val="left"/>
      </w:pPr>
      <w:r>
        <w:rPr/>
        <w:t>本年无因转移应收账款且继续涉入形成的资产、负债的情况。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其他应收款" w:id="521"/>
      <w:bookmarkEnd w:id="52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522"/>
      <w:bookmarkEnd w:id="52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838,287,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463.15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120,253,</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165.22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14.35%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718,034,2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97.93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723,685</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,144.11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108,913,9</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86.83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614,771,15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286,099.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838,573,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562.39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120,539,</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264.46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718,034,2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97.93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723,685</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,144.11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108,913,9</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86.83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614,771,15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7.28</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584,520,689.40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29,226,034.49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94,816,012.97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9,481,601.30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62,446,608.63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12,489,321.73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39,043,476.79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19,521,738.42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15,852,412.19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7,926,206.11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41,608,263.17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41,608,263.17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838,287,463.15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120,253,165.22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14.35%</w:t>
            </w:r>
          </w:p>
        </w:tc>
      </w:tr>
    </w:tbl>
    <w:p>
      <w:pPr>
        <w:pStyle w:val="BodyText"/>
        <w:spacing w:line="360" w:lineRule="auto" w:before="51"/>
        <w:ind w:left="1134" w:right="6252"/>
        <w:jc w:val="left"/>
      </w:pPr>
      <w:r>
        <w:rPr/>
        <w:t>确定该组合依据的说明： 组合中，采用余额百分比法计提坏账准备的其他应收款：</w:t>
      </w:r>
    </w:p>
    <w:p>
      <w:pPr>
        <w:spacing w:after="0" w:line="36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523"/>
      <w:bookmarkEnd w:id="5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9"/>
        </w:rPr>
        <w:t> </w:t>
      </w:r>
      <w:r>
        <w:rPr>
          <w:rFonts w:ascii="Times New Roman" w:hAnsi="Times New Roman" w:cs="Times New Roman" w:eastAsia="Times New Roman" w:hint="default"/>
        </w:rPr>
        <w:t>11,625,277.63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17" w:space="1313"/>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524"/>
      <w:bookmarkEnd w:id="52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525"/>
      <w:bookmarkEnd w:id="52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505,325,344.28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500,492,367.42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7,313,453.08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6,981,612.61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175,622,440.03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199,547,982.77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16,662,325.00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9,433,181.31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838,573,562.39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723,685,144.11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526"/>
      <w:bookmarkEnd w:id="52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杭州银江智慧城市技 术集团有限公司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147,277,775.06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17.56%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7,363,888.75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北京银泰瑞合科技有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6,682,500.00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浙江银江智慧交通集 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116,572,886.61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5,828,644.33</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浙江交通宝互联网技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38,744,788.82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一年以内年</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1,481,488.82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37,263,300.00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3,800,404.44</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银江股份（香港）有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35,164,160.00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1,758,208.00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471,409,610.49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25,433,645.52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527"/>
      <w:bookmarkEnd w:id="52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left="1134" w:right="0"/>
        <w:jc w:val="left"/>
      </w:pPr>
      <w:r>
        <w:rPr/>
        <w:t>本年无涉及政府补助的其他应收款。</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7）因金融资产转移而终止确认的其他应收款" w:id="528"/>
      <w:bookmarkEnd w:id="52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本年无因金融资产转移而终止确认的其他应收款。</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8）转移其他应收款且继续涉入形成的资产、负债金额" w:id="529"/>
      <w:bookmarkEnd w:id="52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5892"/>
        <w:jc w:val="left"/>
      </w:pPr>
      <w:r>
        <w:rPr/>
        <w:t>本年无转移其他应收款且继续涉入形成的资产、负债的情况。 其他说明：</w:t>
      </w:r>
    </w:p>
    <w:p>
      <w:pPr>
        <w:spacing w:line="240" w:lineRule="auto" w:before="13"/>
        <w:rPr>
          <w:rFonts w:ascii="宋体" w:hAnsi="宋体" w:cs="宋体" w:eastAsia="宋体" w:hint="default"/>
          <w:sz w:val="19"/>
          <w:szCs w:val="19"/>
        </w:rPr>
      </w:pPr>
    </w:p>
    <w:p>
      <w:pPr>
        <w:pStyle w:val="Heading4"/>
        <w:spacing w:line="240" w:lineRule="auto"/>
        <w:ind w:left="1134" w:right="0"/>
        <w:jc w:val="left"/>
        <w:rPr>
          <w:b w:val="0"/>
          <w:bCs w:val="0"/>
        </w:rPr>
      </w:pPr>
      <w:bookmarkStart w:name="3、长期股权投资" w:id="530"/>
      <w:bookmarkEnd w:id="53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357,181,198.91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357,181,198.91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892,188,198.91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566,596,555.14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344,649,671.14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344,649,671.14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299,679,968.14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299,679,968.14</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701,830,870.05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701,830,870.05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1,191,868,167.05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866,276,523.28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531"/>
      <w:bookmarkEnd w:id="53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96,996,059.43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96,996,059.43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58,132,339.48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58,132,339.48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健康宝互联网技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10,109,800.00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18,602,800.00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东丰银江智慧城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杭州清普信息技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济南银江信息技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沈阳智享大健康 信息科技有限公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892,188,198.91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136,343,000.00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357,181,198.91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532"/>
      <w:bookmarkEnd w:id="53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4,766,471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-364,786.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4,401,684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287,058,6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-13,207,6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276,851,0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20.67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7,854,812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1,050,942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8,905,755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116,103.6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24,809,84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24,925,94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-434,733.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29,565,26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299,679,9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-12,840,1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24,809,84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344,649,6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299,679,9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-12,840,1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24,809,84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344,649,6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3）其他说明" w:id="533"/>
      <w:bookmarkEnd w:id="53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jc w:val="both"/>
      </w:pPr>
      <w:r>
        <w:rPr/>
        <w:t>注：杭州清普信息技术有限公司上年为本公司控股子公司，公司本年因返还杭州清普信息技术有限公司原股东</w:t>
      </w:r>
      <w:r>
        <w:rPr>
          <w:spacing w:val="35"/>
        </w:rPr>
        <w:t> </w:t>
      </w:r>
      <w:r>
        <w:rPr>
          <w:rFonts w:ascii="Times New Roman" w:hAnsi="Times New Roman" w:cs="Times New Roman" w:eastAsia="Times New Roman" w:hint="default"/>
        </w:rPr>
        <w:t>49%</w:t>
      </w:r>
      <w:r>
        <w:rPr/>
        <w:t>股权，</w:t>
      </w:r>
      <w:r>
        <w:rPr>
          <w:spacing w:val="-87"/>
        </w:rPr>
        <w:t> </w:t>
      </w:r>
      <w:r>
        <w:rPr>
          <w:spacing w:val="-87"/>
        </w:rPr>
      </w:r>
      <w:r>
        <w:rPr/>
        <w:t>剩余</w:t>
      </w:r>
      <w:r>
        <w:rPr>
          <w:spacing w:val="29"/>
        </w:rPr>
        <w:t> </w:t>
      </w:r>
      <w:r>
        <w:rPr>
          <w:rFonts w:ascii="Times New Roman" w:hAnsi="Times New Roman" w:cs="Times New Roman" w:eastAsia="Times New Roman" w:hint="default"/>
        </w:rPr>
        <w:t>21%</w:t>
      </w:r>
      <w:r>
        <w:rPr/>
        <w:t>股权，导致不再控制杭州清普信息技术有限公司，本年对其的剩余投资转换为权益法核算，成本法转入权益法核</w:t>
      </w:r>
      <w:r>
        <w:rPr>
          <w:spacing w:val="-86"/>
        </w:rPr>
        <w:t> </w:t>
      </w:r>
      <w:r>
        <w:rPr>
          <w:spacing w:val="-86"/>
        </w:rPr>
      </w:r>
      <w:r>
        <w:rPr/>
        <w:t>算时投资成本为</w:t>
      </w:r>
      <w:r>
        <w:rPr>
          <w:spacing w:val="-55"/>
        </w:rPr>
        <w:t> </w:t>
      </w:r>
      <w:r>
        <w:rPr>
          <w:rFonts w:ascii="Times New Roman" w:hAnsi="Times New Roman" w:cs="Times New Roman" w:eastAsia="Times New Roman" w:hint="default"/>
        </w:rPr>
        <w:t>23,205,000.00</w:t>
      </w:r>
      <w:r>
        <w:rPr>
          <w:rFonts w:ascii="Times New Roman" w:hAnsi="Times New Roman" w:cs="Times New Roman" w:eastAsia="Times New Roman" w:hint="default"/>
          <w:spacing w:val="-9"/>
        </w:rPr>
        <w:t> </w:t>
      </w:r>
      <w:r>
        <w:rPr/>
        <w:t>元，按照权益法追溯确认剩余持股比例的以前年度的投资收益</w:t>
      </w:r>
      <w:r>
        <w:rPr>
          <w:spacing w:val="-54"/>
        </w:rPr>
        <w:t> </w:t>
      </w:r>
      <w:r>
        <w:rPr>
          <w:rFonts w:ascii="Times New Roman" w:hAnsi="Times New Roman" w:cs="Times New Roman" w:eastAsia="Times New Roman" w:hint="default"/>
        </w:rPr>
        <w:t>1,604,840.69</w:t>
      </w:r>
      <w:r>
        <w:rPr>
          <w:rFonts w:ascii="Times New Roman" w:hAnsi="Times New Roman" w:cs="Times New Roman" w:eastAsia="Times New Roman" w:hint="default"/>
          <w:spacing w:val="-9"/>
        </w:rPr>
        <w:t> </w:t>
      </w:r>
      <w:r>
        <w:rPr>
          <w:spacing w:val="-6"/>
        </w:rPr>
        <w:t>元，对应调整本公</w:t>
      </w:r>
      <w:r>
        <w:rPr/>
        <w:t> 司年初未分配利润。</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bookmarkStart w:name="4、营业收入和营业成本" w:id="534"/>
      <w:bookmarkEnd w:id="53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1,865,349,968.98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1,383,628,474.96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1,552,712,971.64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1,168,854,540.27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2,661,123.10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2,059,859.73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3,207,800.50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1,390,272.67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1,868,011,092.08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1,385,688,334.69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1,555,920,772.14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1,170,244,812.94</w:t>
            </w:r>
          </w:p>
        </w:tc>
      </w:tr>
    </w:tbl>
    <w:p>
      <w:pPr>
        <w:pStyle w:val="BodyText"/>
        <w:spacing w:line="240" w:lineRule="auto" w:before="51"/>
        <w:ind w:left="1134" w:right="0"/>
        <w:jc w:val="left"/>
      </w:pPr>
      <w:r>
        <w:rPr/>
        <w:t>其他说明：</w:t>
      </w:r>
    </w:p>
    <w:p>
      <w:pPr>
        <w:spacing w:after="0" w:line="240" w:lineRule="auto"/>
        <w:jc w:val="left"/>
        <w:sectPr>
          <w:footerReference w:type="default" r:id="rId17"/>
          <w:pgSz w:w="11910" w:h="16840"/>
          <w:pgMar w:footer="979" w:header="747" w:top="1060" w:bottom="1160" w:left="0" w:right="0"/>
          <w:pgNumType w:start="213"/>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投资收益" w:id="535"/>
      <w:bookmarkEnd w:id="53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-12,840,137.69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-4,658,494.51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-1,108,356.23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1,379,407.76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879,923.88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122,938,994.20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-13,068,570.04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121,384,907.45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 w:id="536"/>
      <w:bookmarkEnd w:id="53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37"/>
      <w:bookmarkEnd w:id="53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38"/>
      <w:bookmarkEnd w:id="53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6,869,974.76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8,312,009.85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53,096,708.13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-820,641.60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8,681,640.22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58,765,084.38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净资产收益率及每股收益" w:id="539"/>
      <w:bookmarkEnd w:id="53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境内外会计准则下会计数据差异" w:id="540"/>
      <w:bookmarkEnd w:id="54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同时按照国际会计准则与按中国会计准则披露的财务报告中净利润和净资产差异情况" w:id="541"/>
      <w:bookmarkEnd w:id="54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42"/>
      <w:bookmarkEnd w:id="54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43"/>
      <w:bookmarkEnd w:id="54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44"/>
      <w:bookmarkEnd w:id="54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4089" w:right="4090"/>
        <w:jc w:val="center"/>
        <w:rPr>
          <w:b w:val="0"/>
          <w:bCs w:val="0"/>
        </w:rPr>
      </w:pPr>
      <w:bookmarkStart w:name="第十二节 备查文件目录" w:id="545"/>
      <w:bookmarkEnd w:id="545"/>
      <w:r>
        <w:rPr>
          <w:b w:val="0"/>
          <w:bCs w:val="0"/>
        </w:rPr>
      </w:r>
      <w:bookmarkStart w:name="_bookmark10" w:id="546"/>
      <w:bookmarkEnd w:id="546"/>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60" w:lineRule="auto"/>
        <w:ind w:right="1573"/>
        <w:jc w:val="left"/>
      </w:pPr>
      <w:r>
        <w:rPr/>
        <w:t>一、载有公司负责人、主管会计工作的公司负责人、公司会计机构负责人（会计主管人员）签名并盖章的财务报表。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pStyle w:val="BodyText"/>
        <w:spacing w:line="360" w:lineRule="auto" w:before="26"/>
        <w:ind w:right="6613"/>
        <w:jc w:val="left"/>
      </w:pPr>
      <w:r>
        <w:rPr/>
        <w:t>四、其他相关资料。 以上备查文件的备置地点：公司证券管理部办公室。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360" w:lineRule="auto"/>
        <w:ind w:left="9153" w:right="1130" w:firstLine="180"/>
        <w:jc w:val="right"/>
      </w:pPr>
      <w:r>
        <w:rPr/>
        <w:t>银江股份有限公司 法定代表人：章建强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19 </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2216" type="#_x0000_t75" stroked="false">
          <v:imagedata r:id="rId1" o:title=""/>
        </v:shape>
      </w:pict>
    </w:r>
    <w:r>
      <w:rPr/>
      <w:pict>
        <v:shape style="position:absolute;margin-left:533.179993pt;margin-top:795.517944pt;width:6.5pt;height:11pt;mso-position-horizontal-relative:page;mso-position-vertical-relative:page;z-index:-1222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2168" type="#_x0000_t75" stroked="false">
          <v:imagedata r:id="rId1" o:title=""/>
        </v:shape>
      </w:pict>
    </w:r>
    <w:r>
      <w:rPr/>
      <w:pict>
        <v:shape style="position:absolute;margin-left:527.679993pt;margin-top:781.957947pt;width:13pt;height:11pt;mso-position-horizontal-relative:page;mso-position-vertical-relative:page;z-index:-1222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2120" type="#_x0000_t75" stroked="false">
          <v:imagedata r:id="rId1" o:title=""/>
        </v:shape>
      </w:pict>
    </w:r>
    <w:r>
      <w:rPr/>
      <w:pict>
        <v:shape style="position:absolute;margin-left:524.179993pt;margin-top:781.957947pt;width:15.5pt;height:11pt;mso-position-horizontal-relative:page;mso-position-vertical-relative:page;z-index:-1222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2072" type="#_x0000_t75" stroked="false">
          <v:imagedata r:id="rId1" o:title=""/>
        </v:shape>
      </w:pict>
    </w:r>
    <w:r>
      <w:rPr/>
      <w:pict>
        <v:shape style="position:absolute;margin-left:523.179993pt;margin-top:781.957947pt;width:17.5pt;height:11pt;mso-position-horizontal-relative:page;mso-position-vertical-relative:page;z-index:-1222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2024" type="#_x0000_t75" stroked="false">
          <v:imagedata r:id="rId1" o:title=""/>
        </v:shape>
      </w:pict>
    </w:r>
    <w:r>
      <w:rPr/>
      <w:pict>
        <v:shape style="position:absolute;margin-left:524.179993pt;margin-top:781.957947pt;width:15.5pt;height:11pt;mso-position-horizontal-relative:page;mso-position-vertical-relative:page;z-index:-1222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1976" type="#_x0000_t75" stroked="false">
          <v:imagedata r:id="rId1" o:title=""/>
        </v:shape>
      </w:pict>
    </w:r>
    <w:r>
      <w:rPr/>
      <w:pict>
        <v:shape style="position:absolute;margin-left:523.179993pt;margin-top:781.957947pt;width:17.5pt;height:11pt;mso-position-horizontal-relative:page;mso-position-vertical-relative:page;z-index:-1221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21928" type="#_x0000_t75" stroked="false">
          <v:imagedata r:id="rId1" o:title=""/>
        </v:shape>
      </w:pict>
    </w:r>
    <w:r>
      <w:rPr/>
      <w:pict>
        <v:shape style="position:absolute;margin-left:523.179993pt;margin-top:781.957947pt;width:17.5pt;height:11pt;mso-position-horizontal-relative:page;mso-position-vertical-relative:page;z-index:-1221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222240"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409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spacing w:before="66"/>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spacing w:before="7"/>
      <w:ind w:left="1133"/>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enjoyor.net/" TargetMode="External"/><Relationship Id="rId10" Type="http://schemas.openxmlformats.org/officeDocument/2006/relationships/hyperlink" Target="mailto:enjoyor@enjoyor.net"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银江股份有限公司</dc:creator>
  <dc:title>银江股份有限公司2017年年度报告全文</dc:title>
  <dcterms:created xsi:type="dcterms:W3CDTF">2020-05-02T23:38:01Z</dcterms:created>
  <dcterms:modified xsi:type="dcterms:W3CDTF">2020-05-02T23:38:01Z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Office Word 2007</vt:lpwstr>
  </property>
  <property fmtid="{D5CDD505-2E9C-101B-9397-08002B2CF9AE}" pid="4" name="LastSaved">
    <vt:filetime>2020-05-02T00:00:00Z</vt:filetime>
  </property>
</Properties>
</file>